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drawings/drawing2.xml" ContentType="application/vnd.openxmlformats-officedocument.drawingml.chartshapes+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drawings/drawing3.xml" ContentType="application/vnd.openxmlformats-officedocument.drawingml.chartshapes+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5.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6.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7.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8.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9.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0.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1.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2.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3.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4.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5.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6.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7.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8.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9.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0.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1.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2.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3.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4.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5.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6.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7.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8.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9.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0.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1.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2.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3.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4.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5.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6.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7.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8.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79.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0.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1.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2.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3.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4.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5.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6.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7.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88.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9.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90.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1.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2.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3.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4.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95.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96.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7.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98.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99.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100.xml" ContentType="application/vnd.openxmlformats-officedocument.drawingml.chart+xml"/>
  <Override PartName="/word/charts/style99.xml" ContentType="application/vnd.ms-office.chartstyle+xml"/>
  <Override PartName="/word/charts/colors99.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01.xml" ContentType="application/vnd.openxmlformats-officedocument.drawingml.chart+xml"/>
  <Override PartName="/word/charts/style100.xml" ContentType="application/vnd.ms-office.chartstyle+xml"/>
  <Override PartName="/word/charts/colors100.xml" ContentType="application/vnd.ms-office.chartcolorstyle+xml"/>
  <Override PartName="/word/drawings/drawing4.xml" ContentType="application/vnd.openxmlformats-officedocument.drawingml.chartshapes+xml"/>
  <Override PartName="/word/charts/chart102.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103.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104.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105.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106.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07.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08.xml" ContentType="application/vnd.openxmlformats-officedocument.drawingml.chart+xml"/>
  <Override PartName="/word/charts/style107.xml" ContentType="application/vnd.ms-office.chartstyle+xml"/>
  <Override PartName="/word/charts/colors107.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F6F3ED" w14:textId="0A07BC4B" w:rsidR="00277183" w:rsidRPr="00477D8F" w:rsidRDefault="00D64806" w:rsidP="008261B8">
      <w:pPr>
        <w:jc w:val="both"/>
        <w:rPr>
          <w:rFonts w:ascii="Sylfaen" w:hAnsi="Sylfaen"/>
          <w:bCs/>
        </w:rPr>
      </w:pPr>
      <w:r w:rsidRPr="00477D8F">
        <w:rPr>
          <w:rFonts w:ascii="Sylfaen" w:hAnsi="Sylfaen"/>
          <w:bCs/>
        </w:rPr>
        <w:t>Report No.</w:t>
      </w:r>
      <w:r w:rsidR="00295CFC" w:rsidRPr="00477D8F">
        <w:rPr>
          <w:sz w:val="20"/>
          <w:szCs w:val="20"/>
        </w:rPr>
        <w:t xml:space="preserve"> ACS23503</w:t>
      </w:r>
      <w:r w:rsidRPr="00477D8F">
        <w:rPr>
          <w:rFonts w:ascii="Sylfaen" w:hAnsi="Sylfaen"/>
          <w:bCs/>
        </w:rPr>
        <w:t xml:space="preserve"> </w:t>
      </w:r>
    </w:p>
    <w:p w14:paraId="45F8AEC1" w14:textId="77777777" w:rsidR="00277183" w:rsidRPr="00477D8F" w:rsidRDefault="00277183" w:rsidP="008261B8">
      <w:pPr>
        <w:jc w:val="both"/>
        <w:rPr>
          <w:rFonts w:ascii="Sylfaen" w:hAnsi="Sylfaen"/>
          <w:bCs/>
        </w:rPr>
      </w:pPr>
    </w:p>
    <w:p w14:paraId="7054EBEA" w14:textId="77777777" w:rsidR="00277183" w:rsidRPr="00477D8F" w:rsidRDefault="00277183" w:rsidP="008261B8">
      <w:pPr>
        <w:jc w:val="both"/>
        <w:rPr>
          <w:rFonts w:ascii="Sylfaen" w:hAnsi="Sylfaen"/>
          <w:bCs/>
        </w:rPr>
      </w:pPr>
    </w:p>
    <w:p w14:paraId="04EB6CFE" w14:textId="77777777" w:rsidR="00277183" w:rsidRPr="00477D8F" w:rsidRDefault="00277183" w:rsidP="008261B8">
      <w:pPr>
        <w:jc w:val="both"/>
        <w:rPr>
          <w:rFonts w:ascii="Sylfaen" w:hAnsi="Sylfaen"/>
          <w:bCs/>
        </w:rPr>
      </w:pPr>
    </w:p>
    <w:p w14:paraId="56C0FED9" w14:textId="77777777" w:rsidR="00277183" w:rsidRPr="00477D8F" w:rsidRDefault="00277183" w:rsidP="008261B8">
      <w:pPr>
        <w:jc w:val="both"/>
        <w:rPr>
          <w:rFonts w:ascii="Sylfaen" w:hAnsi="Sylfaen"/>
          <w:bCs/>
        </w:rPr>
      </w:pPr>
    </w:p>
    <w:p w14:paraId="44FDBBF9" w14:textId="77777777" w:rsidR="00277183" w:rsidRPr="00477D8F" w:rsidRDefault="00277183" w:rsidP="008261B8">
      <w:pPr>
        <w:jc w:val="both"/>
        <w:rPr>
          <w:rFonts w:ascii="Sylfaen" w:hAnsi="Sylfaen"/>
          <w:bCs/>
        </w:rPr>
      </w:pPr>
    </w:p>
    <w:p w14:paraId="552123EF" w14:textId="77777777" w:rsidR="00277183" w:rsidRPr="00477D8F" w:rsidRDefault="00277183" w:rsidP="008261B8">
      <w:pPr>
        <w:jc w:val="both"/>
        <w:rPr>
          <w:rFonts w:ascii="Sylfaen" w:hAnsi="Sylfaen"/>
          <w:bCs/>
        </w:rPr>
      </w:pPr>
    </w:p>
    <w:p w14:paraId="736C77EA" w14:textId="77777777" w:rsidR="00277183" w:rsidRPr="00477D8F" w:rsidRDefault="00277183" w:rsidP="008261B8">
      <w:pPr>
        <w:jc w:val="both"/>
        <w:rPr>
          <w:rFonts w:ascii="Sylfaen" w:hAnsi="Sylfaen"/>
          <w:bCs/>
        </w:rPr>
      </w:pPr>
    </w:p>
    <w:p w14:paraId="23414206" w14:textId="77777777" w:rsidR="00277183" w:rsidRPr="00477D8F" w:rsidRDefault="00277183" w:rsidP="00FD7FBF">
      <w:pPr>
        <w:pStyle w:val="Title"/>
        <w:jc w:val="center"/>
        <w:rPr>
          <w:rFonts w:ascii="Sylfaen" w:hAnsi="Sylfaen"/>
          <w:bCs/>
          <w:sz w:val="22"/>
          <w:szCs w:val="22"/>
        </w:rPr>
      </w:pPr>
    </w:p>
    <w:p w14:paraId="198E96F4" w14:textId="77777777" w:rsidR="00FD7FBF" w:rsidRPr="00477D8F" w:rsidRDefault="006A508D" w:rsidP="00FD7FBF">
      <w:pPr>
        <w:pStyle w:val="Title"/>
        <w:jc w:val="center"/>
        <w:rPr>
          <w:rFonts w:ascii="Sylfaen" w:hAnsi="Sylfaen"/>
          <w:b/>
          <w:bCs/>
          <w:sz w:val="40"/>
          <w:szCs w:val="40"/>
        </w:rPr>
      </w:pPr>
      <w:r w:rsidRPr="00477D8F">
        <w:rPr>
          <w:rFonts w:ascii="Sylfaen" w:hAnsi="Sylfaen"/>
          <w:b/>
          <w:bCs/>
          <w:sz w:val="40"/>
          <w:szCs w:val="40"/>
        </w:rPr>
        <w:t>The Gambia</w:t>
      </w:r>
      <w:r w:rsidR="00277183" w:rsidRPr="00477D8F">
        <w:rPr>
          <w:rFonts w:ascii="Sylfaen" w:hAnsi="Sylfaen"/>
          <w:b/>
          <w:bCs/>
          <w:sz w:val="40"/>
          <w:szCs w:val="40"/>
        </w:rPr>
        <w:t>:</w:t>
      </w:r>
      <w:r w:rsidR="00FD7FBF" w:rsidRPr="00477D8F">
        <w:rPr>
          <w:rFonts w:ascii="Sylfaen" w:hAnsi="Sylfaen"/>
          <w:b/>
          <w:bCs/>
          <w:sz w:val="40"/>
          <w:szCs w:val="40"/>
        </w:rPr>
        <w:t xml:space="preserve"> </w:t>
      </w:r>
    </w:p>
    <w:p w14:paraId="0E41E004" w14:textId="77777777" w:rsidR="00277183" w:rsidRPr="00477D8F" w:rsidRDefault="00277183" w:rsidP="00FD7FBF">
      <w:pPr>
        <w:pStyle w:val="Title"/>
        <w:jc w:val="center"/>
        <w:rPr>
          <w:rFonts w:ascii="Sylfaen" w:hAnsi="Sylfaen"/>
          <w:b/>
          <w:bCs/>
          <w:sz w:val="40"/>
          <w:szCs w:val="40"/>
        </w:rPr>
      </w:pPr>
      <w:r w:rsidRPr="00477D8F">
        <w:rPr>
          <w:rFonts w:ascii="Sylfaen" w:hAnsi="Sylfaen"/>
          <w:b/>
          <w:bCs/>
          <w:sz w:val="40"/>
          <w:szCs w:val="40"/>
        </w:rPr>
        <w:t>Education Sector Public Expenditure Review</w:t>
      </w:r>
    </w:p>
    <w:p w14:paraId="103BB6F9" w14:textId="4A5CDCDC" w:rsidR="00972CC5" w:rsidRPr="00477D8F" w:rsidRDefault="006A508D" w:rsidP="00FD7FBF">
      <w:pPr>
        <w:jc w:val="center"/>
        <w:rPr>
          <w:rFonts w:ascii="Sylfaen" w:hAnsi="Sylfaen"/>
          <w:bCs/>
          <w:sz w:val="24"/>
          <w:szCs w:val="24"/>
        </w:rPr>
      </w:pPr>
      <w:r w:rsidRPr="00477D8F">
        <w:rPr>
          <w:rFonts w:ascii="Sylfaen" w:hAnsi="Sylfaen"/>
          <w:bCs/>
          <w:sz w:val="24"/>
          <w:szCs w:val="24"/>
        </w:rPr>
        <w:t>An Efficiency, Effectiveness, Equity, Adequacy</w:t>
      </w:r>
      <w:r w:rsidR="00BA4889" w:rsidRPr="00477D8F">
        <w:rPr>
          <w:rFonts w:ascii="Sylfaen" w:hAnsi="Sylfaen"/>
          <w:bCs/>
          <w:sz w:val="24"/>
          <w:szCs w:val="24"/>
        </w:rPr>
        <w:t>,</w:t>
      </w:r>
      <w:r w:rsidRPr="00477D8F">
        <w:rPr>
          <w:rFonts w:ascii="Sylfaen" w:hAnsi="Sylfaen"/>
          <w:bCs/>
          <w:sz w:val="24"/>
          <w:szCs w:val="24"/>
        </w:rPr>
        <w:t xml:space="preserve"> and Sustainability </w:t>
      </w:r>
      <w:r w:rsidR="00972CC5" w:rsidRPr="00477D8F">
        <w:rPr>
          <w:rFonts w:ascii="Sylfaen" w:hAnsi="Sylfaen"/>
          <w:bCs/>
          <w:sz w:val="24"/>
          <w:szCs w:val="24"/>
        </w:rPr>
        <w:t>Analysis</w:t>
      </w:r>
    </w:p>
    <w:p w14:paraId="5DE726CD" w14:textId="77777777" w:rsidR="00277183" w:rsidRPr="00477D8F" w:rsidRDefault="00277183" w:rsidP="00FD7FBF">
      <w:pPr>
        <w:pStyle w:val="Title"/>
        <w:jc w:val="center"/>
        <w:rPr>
          <w:rFonts w:ascii="Sylfaen" w:hAnsi="Sylfaen"/>
          <w:bCs/>
          <w:sz w:val="22"/>
          <w:szCs w:val="22"/>
        </w:rPr>
      </w:pPr>
    </w:p>
    <w:p w14:paraId="07C87718" w14:textId="77777777" w:rsidR="00277183" w:rsidRPr="00477D8F" w:rsidRDefault="00277183" w:rsidP="00FD7FBF">
      <w:pPr>
        <w:pStyle w:val="Title"/>
        <w:jc w:val="center"/>
        <w:rPr>
          <w:rFonts w:ascii="Sylfaen" w:hAnsi="Sylfaen"/>
          <w:bCs/>
          <w:sz w:val="22"/>
          <w:szCs w:val="22"/>
        </w:rPr>
      </w:pPr>
    </w:p>
    <w:p w14:paraId="308D876C" w14:textId="77777777" w:rsidR="00277183" w:rsidRPr="00477D8F" w:rsidRDefault="00277183" w:rsidP="008261B8">
      <w:pPr>
        <w:jc w:val="both"/>
        <w:rPr>
          <w:rFonts w:ascii="Sylfaen" w:hAnsi="Sylfaen"/>
          <w:bCs/>
        </w:rPr>
      </w:pPr>
    </w:p>
    <w:p w14:paraId="4090FA73" w14:textId="77777777" w:rsidR="00277183" w:rsidRPr="00477D8F" w:rsidRDefault="00277183" w:rsidP="008261B8">
      <w:pPr>
        <w:jc w:val="both"/>
        <w:rPr>
          <w:rFonts w:ascii="Sylfaen" w:hAnsi="Sylfaen"/>
          <w:bCs/>
        </w:rPr>
      </w:pPr>
    </w:p>
    <w:p w14:paraId="14E4DACE" w14:textId="77777777" w:rsidR="00277183" w:rsidRPr="00477D8F" w:rsidRDefault="00277183" w:rsidP="008261B8">
      <w:pPr>
        <w:jc w:val="both"/>
        <w:rPr>
          <w:rFonts w:ascii="Sylfaen" w:hAnsi="Sylfaen"/>
          <w:bCs/>
        </w:rPr>
      </w:pPr>
    </w:p>
    <w:p w14:paraId="2AAAE030" w14:textId="77777777" w:rsidR="00277183" w:rsidRPr="00477D8F" w:rsidRDefault="00277183" w:rsidP="008261B8">
      <w:pPr>
        <w:jc w:val="both"/>
        <w:rPr>
          <w:rFonts w:ascii="Sylfaen" w:hAnsi="Sylfaen"/>
          <w:bCs/>
        </w:rPr>
      </w:pPr>
    </w:p>
    <w:p w14:paraId="7867529F" w14:textId="77777777" w:rsidR="00277183" w:rsidRPr="00477D8F" w:rsidRDefault="00277183" w:rsidP="008261B8">
      <w:pPr>
        <w:jc w:val="both"/>
        <w:rPr>
          <w:rFonts w:ascii="Sylfaen" w:hAnsi="Sylfaen"/>
          <w:bCs/>
        </w:rPr>
      </w:pPr>
    </w:p>
    <w:p w14:paraId="2ED99F04" w14:textId="77777777" w:rsidR="00277183" w:rsidRPr="00477D8F" w:rsidRDefault="00277183" w:rsidP="008261B8">
      <w:pPr>
        <w:jc w:val="both"/>
        <w:rPr>
          <w:rFonts w:ascii="Sylfaen" w:hAnsi="Sylfaen"/>
          <w:bCs/>
        </w:rPr>
      </w:pPr>
    </w:p>
    <w:p w14:paraId="6DB61CAA" w14:textId="77777777" w:rsidR="00277183" w:rsidRPr="00477D8F" w:rsidRDefault="00277183" w:rsidP="008261B8">
      <w:pPr>
        <w:jc w:val="both"/>
        <w:rPr>
          <w:rFonts w:ascii="Sylfaen" w:hAnsi="Sylfaen"/>
          <w:bCs/>
        </w:rPr>
      </w:pPr>
    </w:p>
    <w:p w14:paraId="7E769925" w14:textId="77777777" w:rsidR="00277183" w:rsidRPr="00477D8F" w:rsidRDefault="00277183" w:rsidP="008261B8">
      <w:pPr>
        <w:jc w:val="both"/>
        <w:rPr>
          <w:rFonts w:ascii="Sylfaen" w:hAnsi="Sylfaen"/>
          <w:bCs/>
        </w:rPr>
      </w:pPr>
    </w:p>
    <w:p w14:paraId="26DE1628" w14:textId="77777777" w:rsidR="00277183" w:rsidRPr="00477D8F" w:rsidRDefault="00277183" w:rsidP="008261B8">
      <w:pPr>
        <w:jc w:val="both"/>
        <w:rPr>
          <w:rFonts w:ascii="Sylfaen" w:hAnsi="Sylfaen"/>
          <w:bCs/>
        </w:rPr>
      </w:pPr>
    </w:p>
    <w:p w14:paraId="3104BDCC" w14:textId="77777777" w:rsidR="00277183" w:rsidRPr="00477D8F" w:rsidRDefault="00277183" w:rsidP="008261B8">
      <w:pPr>
        <w:jc w:val="both"/>
        <w:rPr>
          <w:rFonts w:ascii="Sylfaen" w:hAnsi="Sylfaen"/>
          <w:bCs/>
        </w:rPr>
      </w:pPr>
    </w:p>
    <w:p w14:paraId="1DF1F69B" w14:textId="6A8C8501" w:rsidR="00277183" w:rsidRPr="00477D8F" w:rsidRDefault="00295CFC" w:rsidP="0081189E">
      <w:pPr>
        <w:jc w:val="center"/>
        <w:rPr>
          <w:rFonts w:ascii="Sylfaen" w:hAnsi="Sylfaen"/>
          <w:bCs/>
        </w:rPr>
      </w:pPr>
      <w:r w:rsidRPr="00477D8F">
        <w:rPr>
          <w:rFonts w:ascii="Sylfaen" w:hAnsi="Sylfaen"/>
          <w:bCs/>
        </w:rPr>
        <w:t xml:space="preserve">October </w:t>
      </w:r>
      <w:r w:rsidR="00D7079C" w:rsidRPr="00477D8F">
        <w:rPr>
          <w:rFonts w:ascii="Sylfaen" w:hAnsi="Sylfaen"/>
          <w:bCs/>
        </w:rPr>
        <w:t>2017</w:t>
      </w:r>
    </w:p>
    <w:p w14:paraId="668E5453" w14:textId="77777777" w:rsidR="00277183" w:rsidRPr="00477D8F" w:rsidRDefault="00277183" w:rsidP="008261B8">
      <w:pPr>
        <w:jc w:val="both"/>
        <w:rPr>
          <w:rFonts w:ascii="Sylfaen" w:hAnsi="Sylfaen"/>
          <w:bCs/>
        </w:rPr>
      </w:pPr>
    </w:p>
    <w:p w14:paraId="5CD075B7" w14:textId="397763B9" w:rsidR="00784BE8" w:rsidRPr="00477D8F" w:rsidRDefault="00C123C1" w:rsidP="008261B8">
      <w:pPr>
        <w:jc w:val="both"/>
        <w:rPr>
          <w:rFonts w:ascii="Sylfaen" w:hAnsi="Sylfaen" w:cs="Times New Roman"/>
          <w:bCs/>
        </w:rPr>
      </w:pPr>
      <w:r w:rsidRPr="00477D8F">
        <w:rPr>
          <w:rFonts w:ascii="Sylfaen" w:hAnsi="Sylfaen"/>
          <w:bCs/>
          <w:noProof/>
        </w:rPr>
        <w:drawing>
          <wp:inline distT="0" distB="0" distL="0" distR="0" wp14:anchorId="701291C6" wp14:editId="136F55D7">
            <wp:extent cx="1842448" cy="346075"/>
            <wp:effectExtent l="0" t="0" r="5715" b="0"/>
            <wp:docPr id="615" name="Picture 615" descr="C:\Users\wb309110\WinRAR-HOLD\Rar$DI85.064\WBG-Education-Horizontal-RGB-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309110\WinRAR-HOLD\Rar$DI85.064\WBG-Education-Horizontal-RGB-med.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6467" cy="359978"/>
                    </a:xfrm>
                    <a:prstGeom prst="rect">
                      <a:avLst/>
                    </a:prstGeom>
                    <a:noFill/>
                    <a:ln>
                      <a:noFill/>
                    </a:ln>
                  </pic:spPr>
                </pic:pic>
              </a:graphicData>
            </a:graphic>
          </wp:inline>
        </w:drawing>
      </w:r>
    </w:p>
    <w:p w14:paraId="5DC8E29A" w14:textId="77777777" w:rsidR="00784BE8" w:rsidRPr="00477D8F" w:rsidRDefault="00784BE8" w:rsidP="008261B8">
      <w:pPr>
        <w:jc w:val="both"/>
        <w:rPr>
          <w:rFonts w:ascii="Sylfaen" w:hAnsi="Sylfaen" w:cs="Times New Roman"/>
          <w:bCs/>
        </w:rPr>
      </w:pPr>
    </w:p>
    <w:p w14:paraId="37037A01" w14:textId="77777777" w:rsidR="00277183" w:rsidRPr="00477D8F" w:rsidRDefault="00277183" w:rsidP="0081189E">
      <w:pPr>
        <w:autoSpaceDE w:val="0"/>
        <w:autoSpaceDN w:val="0"/>
        <w:adjustRightInd w:val="0"/>
        <w:spacing w:after="0" w:line="240" w:lineRule="auto"/>
        <w:jc w:val="center"/>
        <w:rPr>
          <w:rFonts w:ascii="Sylfaen" w:hAnsi="Sylfaen" w:cs="Times New Roman"/>
          <w:bCs/>
          <w:sz w:val="24"/>
          <w:szCs w:val="24"/>
        </w:rPr>
      </w:pPr>
      <w:r w:rsidRPr="00477D8F">
        <w:rPr>
          <w:rFonts w:ascii="Sylfaen" w:hAnsi="Sylfaen" w:cs="Times New Roman"/>
          <w:bCs/>
          <w:sz w:val="24"/>
          <w:szCs w:val="24"/>
        </w:rPr>
        <w:lastRenderedPageBreak/>
        <w:t>CURRENCY EQUIVALENTS</w:t>
      </w:r>
    </w:p>
    <w:p w14:paraId="1B6C5786" w14:textId="73084D58" w:rsidR="00277183" w:rsidRPr="00477D8F" w:rsidRDefault="00277183" w:rsidP="0081189E">
      <w:pPr>
        <w:autoSpaceDE w:val="0"/>
        <w:autoSpaceDN w:val="0"/>
        <w:adjustRightInd w:val="0"/>
        <w:spacing w:after="0" w:line="240" w:lineRule="auto"/>
        <w:jc w:val="center"/>
        <w:rPr>
          <w:rFonts w:ascii="Sylfaen" w:hAnsi="Sylfaen" w:cs="Times New Roman"/>
          <w:bCs/>
          <w:sz w:val="24"/>
          <w:szCs w:val="24"/>
        </w:rPr>
      </w:pPr>
      <w:r w:rsidRPr="00477D8F">
        <w:rPr>
          <w:rFonts w:ascii="Sylfaen" w:hAnsi="Sylfaen" w:cs="Times New Roman"/>
          <w:bCs/>
          <w:sz w:val="24"/>
          <w:szCs w:val="24"/>
        </w:rPr>
        <w:t>Official exchange rate (LCU per US$, period average, 201</w:t>
      </w:r>
      <w:r w:rsidR="008B3C55" w:rsidRPr="00477D8F">
        <w:rPr>
          <w:rFonts w:ascii="Sylfaen" w:hAnsi="Sylfaen" w:cs="Times New Roman"/>
          <w:bCs/>
          <w:sz w:val="24"/>
          <w:szCs w:val="24"/>
        </w:rPr>
        <w:t>5</w:t>
      </w:r>
      <w:r w:rsidRPr="00477D8F">
        <w:rPr>
          <w:rFonts w:ascii="Sylfaen" w:hAnsi="Sylfaen" w:cs="Times New Roman"/>
          <w:bCs/>
          <w:sz w:val="24"/>
          <w:szCs w:val="24"/>
        </w:rPr>
        <w:t>)</w:t>
      </w:r>
    </w:p>
    <w:p w14:paraId="26667D62" w14:textId="400AD21E" w:rsidR="00277183" w:rsidRPr="00477D8F" w:rsidRDefault="00277183" w:rsidP="0081189E">
      <w:pPr>
        <w:autoSpaceDE w:val="0"/>
        <w:autoSpaceDN w:val="0"/>
        <w:adjustRightInd w:val="0"/>
        <w:spacing w:after="0" w:line="240" w:lineRule="auto"/>
        <w:jc w:val="center"/>
        <w:rPr>
          <w:rFonts w:ascii="Sylfaen" w:hAnsi="Sylfaen" w:cs="Times New Roman"/>
          <w:bCs/>
          <w:sz w:val="24"/>
          <w:szCs w:val="24"/>
        </w:rPr>
      </w:pPr>
      <w:r w:rsidRPr="00477D8F">
        <w:rPr>
          <w:rFonts w:ascii="Sylfaen" w:hAnsi="Sylfaen" w:cs="Times New Roman"/>
          <w:bCs/>
          <w:sz w:val="24"/>
          <w:szCs w:val="24"/>
        </w:rPr>
        <w:t xml:space="preserve">Currency Unit = </w:t>
      </w:r>
      <w:r w:rsidR="00911C5E" w:rsidRPr="00477D8F">
        <w:rPr>
          <w:rFonts w:ascii="Sylfaen" w:hAnsi="Sylfaen" w:cs="Times New Roman"/>
          <w:bCs/>
          <w:sz w:val="24"/>
          <w:szCs w:val="24"/>
        </w:rPr>
        <w:t>Gambian Dalasi (GMD)</w:t>
      </w:r>
    </w:p>
    <w:p w14:paraId="44E4D9F0" w14:textId="44259CF4" w:rsidR="00277183" w:rsidRPr="00477D8F" w:rsidRDefault="00277183" w:rsidP="0081189E">
      <w:pPr>
        <w:autoSpaceDE w:val="0"/>
        <w:autoSpaceDN w:val="0"/>
        <w:adjustRightInd w:val="0"/>
        <w:spacing w:after="0" w:line="240" w:lineRule="auto"/>
        <w:jc w:val="center"/>
        <w:rPr>
          <w:rFonts w:ascii="Sylfaen" w:hAnsi="Sylfaen" w:cs="Times New Roman"/>
          <w:bCs/>
          <w:sz w:val="24"/>
          <w:szCs w:val="24"/>
        </w:rPr>
      </w:pPr>
      <w:r w:rsidRPr="00477D8F">
        <w:rPr>
          <w:rFonts w:ascii="Sylfaen" w:hAnsi="Sylfaen" w:cs="Times New Roman"/>
          <w:bCs/>
          <w:sz w:val="24"/>
          <w:szCs w:val="24"/>
        </w:rPr>
        <w:t xml:space="preserve">US$1 = </w:t>
      </w:r>
      <w:r w:rsidR="00911C5E" w:rsidRPr="00477D8F">
        <w:rPr>
          <w:rFonts w:ascii="Sylfaen" w:hAnsi="Sylfaen" w:cs="Times New Roman"/>
          <w:bCs/>
          <w:sz w:val="24"/>
          <w:szCs w:val="24"/>
        </w:rPr>
        <w:t xml:space="preserve">GMD </w:t>
      </w:r>
      <w:r w:rsidR="00214468" w:rsidRPr="00477D8F">
        <w:rPr>
          <w:rFonts w:ascii="Sylfaen" w:hAnsi="Sylfaen" w:cs="Times New Roman"/>
          <w:bCs/>
          <w:sz w:val="24"/>
          <w:szCs w:val="24"/>
        </w:rPr>
        <w:t>4</w:t>
      </w:r>
      <w:r w:rsidR="00DE3A45" w:rsidRPr="00477D8F">
        <w:rPr>
          <w:rFonts w:ascii="Sylfaen" w:hAnsi="Sylfaen" w:cs="Times New Roman"/>
          <w:bCs/>
          <w:sz w:val="24"/>
          <w:szCs w:val="24"/>
        </w:rPr>
        <w:t>4</w:t>
      </w:r>
    </w:p>
    <w:p w14:paraId="1A89B504" w14:textId="77777777" w:rsidR="00277183" w:rsidRPr="00477D8F" w:rsidRDefault="00277183" w:rsidP="0081189E">
      <w:pPr>
        <w:autoSpaceDE w:val="0"/>
        <w:autoSpaceDN w:val="0"/>
        <w:adjustRightInd w:val="0"/>
        <w:spacing w:after="0" w:line="240" w:lineRule="auto"/>
        <w:jc w:val="center"/>
        <w:rPr>
          <w:rFonts w:ascii="Sylfaen" w:hAnsi="Sylfaen" w:cs="Times New Roman"/>
          <w:bCs/>
          <w:sz w:val="24"/>
          <w:szCs w:val="24"/>
        </w:rPr>
      </w:pPr>
      <w:r w:rsidRPr="00477D8F">
        <w:rPr>
          <w:rFonts w:ascii="Sylfaen" w:hAnsi="Sylfaen" w:cs="Times New Roman"/>
          <w:bCs/>
          <w:sz w:val="24"/>
          <w:szCs w:val="24"/>
        </w:rPr>
        <w:t>FISCAL YEAR</w:t>
      </w:r>
    </w:p>
    <w:p w14:paraId="2FF2125A" w14:textId="77777777" w:rsidR="00277183" w:rsidRPr="00477D8F" w:rsidRDefault="00277183" w:rsidP="0081189E">
      <w:pPr>
        <w:jc w:val="center"/>
        <w:rPr>
          <w:rFonts w:ascii="Sylfaen" w:hAnsi="Sylfaen" w:cs="Times New Roman"/>
          <w:bCs/>
          <w:sz w:val="24"/>
          <w:szCs w:val="24"/>
        </w:rPr>
      </w:pPr>
      <w:r w:rsidRPr="00477D8F">
        <w:rPr>
          <w:rFonts w:ascii="Sylfaen" w:hAnsi="Sylfaen" w:cs="Times New Roman"/>
          <w:bCs/>
          <w:sz w:val="24"/>
          <w:szCs w:val="24"/>
        </w:rPr>
        <w:t>January 1 – December 31</w:t>
      </w:r>
    </w:p>
    <w:p w14:paraId="74B6CD80" w14:textId="77777777" w:rsidR="00277183" w:rsidRPr="00477D8F" w:rsidRDefault="00277183" w:rsidP="0081189E">
      <w:pPr>
        <w:jc w:val="center"/>
        <w:rPr>
          <w:rFonts w:ascii="Sylfaen" w:hAnsi="Sylfaen" w:cs="Times New Roman"/>
          <w:bCs/>
          <w:sz w:val="24"/>
          <w:szCs w:val="24"/>
        </w:rPr>
      </w:pPr>
      <w:r w:rsidRPr="00477D8F">
        <w:rPr>
          <w:rFonts w:ascii="Sylfaen" w:hAnsi="Sylfaen" w:cs="Times New Roman"/>
          <w:bCs/>
          <w:sz w:val="24"/>
          <w:szCs w:val="24"/>
        </w:rPr>
        <w:t>ABBREVIATIONS AND ACRONYMS</w:t>
      </w:r>
    </w:p>
    <w:tbl>
      <w:tblPr>
        <w:tblW w:w="5000" w:type="pct"/>
        <w:tblLook w:val="04A0" w:firstRow="1" w:lastRow="0" w:firstColumn="1" w:lastColumn="0" w:noHBand="0" w:noVBand="1"/>
      </w:tblPr>
      <w:tblGrid>
        <w:gridCol w:w="1529"/>
        <w:gridCol w:w="7831"/>
      </w:tblGrid>
      <w:tr w:rsidR="00750EB0" w:rsidRPr="00477D8F" w14:paraId="1DA2A9B8" w14:textId="77777777" w:rsidTr="00FC3EA9">
        <w:trPr>
          <w:trHeight w:val="300"/>
        </w:trPr>
        <w:tc>
          <w:tcPr>
            <w:tcW w:w="817" w:type="pct"/>
            <w:shd w:val="clear" w:color="auto" w:fill="auto"/>
            <w:noWrap/>
            <w:vAlign w:val="bottom"/>
          </w:tcPr>
          <w:p w14:paraId="403ADA38" w14:textId="689A937C" w:rsidR="00750EB0" w:rsidRPr="00477D8F" w:rsidRDefault="00750EB0" w:rsidP="00750EB0">
            <w:pPr>
              <w:spacing w:after="0" w:line="240" w:lineRule="auto"/>
              <w:jc w:val="both"/>
              <w:rPr>
                <w:rFonts w:ascii="Sylfaen" w:eastAsia="Times New Roman" w:hAnsi="Sylfaen" w:cs="Times New Roman"/>
                <w:color w:val="000000"/>
              </w:rPr>
            </w:pPr>
            <w:r w:rsidRPr="00477D8F">
              <w:rPr>
                <w:rFonts w:ascii="Sylfaen" w:hAnsi="Sylfaen" w:cs="Times New Roman"/>
              </w:rPr>
              <w:t>AMANA</w:t>
            </w:r>
          </w:p>
        </w:tc>
        <w:tc>
          <w:tcPr>
            <w:tcW w:w="4183" w:type="pct"/>
            <w:shd w:val="clear" w:color="auto" w:fill="auto"/>
            <w:noWrap/>
            <w:vAlign w:val="bottom"/>
          </w:tcPr>
          <w:p w14:paraId="2CD25F66" w14:textId="0F6D1923" w:rsidR="00750EB0" w:rsidRPr="00477D8F" w:rsidRDefault="00750EB0" w:rsidP="00750EB0">
            <w:pPr>
              <w:spacing w:after="0" w:line="240" w:lineRule="auto"/>
              <w:jc w:val="both"/>
              <w:rPr>
                <w:rFonts w:ascii="Sylfaen" w:eastAsia="Times New Roman" w:hAnsi="Sylfaen" w:cs="Times New Roman"/>
                <w:bCs/>
                <w:color w:val="000000"/>
              </w:rPr>
            </w:pPr>
            <w:r w:rsidRPr="00477D8F">
              <w:rPr>
                <w:rFonts w:ascii="Sylfaen" w:hAnsi="Sylfaen" w:cs="Times New Roman"/>
              </w:rPr>
              <w:t>Secretariat of the Arab-Islamic education in The Gambia</w:t>
            </w:r>
          </w:p>
        </w:tc>
      </w:tr>
      <w:tr w:rsidR="00A71E11" w:rsidRPr="00477D8F" w14:paraId="0AB40C69" w14:textId="77777777" w:rsidTr="00FC3EA9">
        <w:trPr>
          <w:trHeight w:val="300"/>
        </w:trPr>
        <w:tc>
          <w:tcPr>
            <w:tcW w:w="817" w:type="pct"/>
            <w:shd w:val="clear" w:color="auto" w:fill="auto"/>
            <w:noWrap/>
            <w:vAlign w:val="bottom"/>
          </w:tcPr>
          <w:p w14:paraId="14130D09" w14:textId="4388D648" w:rsidR="00A71E11" w:rsidRPr="00477D8F" w:rsidRDefault="00A71E11" w:rsidP="00750EB0">
            <w:pPr>
              <w:spacing w:after="0" w:line="240" w:lineRule="auto"/>
              <w:jc w:val="both"/>
              <w:rPr>
                <w:rFonts w:ascii="Sylfaen" w:hAnsi="Sylfaen" w:cs="Times New Roman"/>
              </w:rPr>
            </w:pPr>
            <w:bookmarkStart w:id="0" w:name="_Toc419454623"/>
            <w:bookmarkStart w:id="1" w:name="_Toc422532688"/>
            <w:r w:rsidRPr="00477D8F">
              <w:rPr>
                <w:rFonts w:ascii="Sylfaen" w:hAnsi="Sylfaen" w:cs="Times New Roman"/>
              </w:rPr>
              <w:t>ASFR</w:t>
            </w:r>
          </w:p>
        </w:tc>
        <w:tc>
          <w:tcPr>
            <w:tcW w:w="4183" w:type="pct"/>
            <w:shd w:val="clear" w:color="auto" w:fill="auto"/>
            <w:noWrap/>
            <w:vAlign w:val="bottom"/>
          </w:tcPr>
          <w:p w14:paraId="39E7BFC0" w14:textId="7FE5F88D" w:rsidR="00A71E11" w:rsidRPr="00477D8F" w:rsidRDefault="00A71E11" w:rsidP="00750EB0">
            <w:pPr>
              <w:spacing w:after="0" w:line="240" w:lineRule="auto"/>
              <w:jc w:val="both"/>
              <w:rPr>
                <w:rFonts w:ascii="Sylfaen" w:hAnsi="Sylfaen" w:cs="Times New Roman"/>
              </w:rPr>
            </w:pPr>
            <w:r w:rsidRPr="00477D8F">
              <w:rPr>
                <w:rFonts w:ascii="Sylfaen" w:hAnsi="Sylfaen" w:cs="Times New Roman"/>
              </w:rPr>
              <w:t>Age-Specific Fertility Rate</w:t>
            </w:r>
          </w:p>
        </w:tc>
      </w:tr>
      <w:tr w:rsidR="003F6151" w:rsidRPr="00477D8F" w14:paraId="345E12C6" w14:textId="77777777" w:rsidTr="00FC3EA9">
        <w:trPr>
          <w:trHeight w:val="300"/>
        </w:trPr>
        <w:tc>
          <w:tcPr>
            <w:tcW w:w="817" w:type="pct"/>
            <w:shd w:val="clear" w:color="auto" w:fill="auto"/>
            <w:noWrap/>
            <w:vAlign w:val="bottom"/>
          </w:tcPr>
          <w:p w14:paraId="23F69A4B" w14:textId="77777777" w:rsidR="003F6151" w:rsidRPr="00477D8F" w:rsidRDefault="003F6151" w:rsidP="005A79E3">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BIA</w:t>
            </w:r>
          </w:p>
        </w:tc>
        <w:tc>
          <w:tcPr>
            <w:tcW w:w="4183" w:type="pct"/>
            <w:shd w:val="clear" w:color="auto" w:fill="auto"/>
            <w:noWrap/>
            <w:vAlign w:val="bottom"/>
          </w:tcPr>
          <w:p w14:paraId="4689ED36" w14:textId="77777777" w:rsidR="003F6151" w:rsidRPr="00477D8F" w:rsidRDefault="003F6151" w:rsidP="005A79E3">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Benefit Incident Analysis</w:t>
            </w:r>
          </w:p>
        </w:tc>
      </w:tr>
      <w:tr w:rsidR="003F6151" w:rsidRPr="00477D8F" w14:paraId="3A496ED1" w14:textId="77777777" w:rsidTr="00FC3EA9">
        <w:trPr>
          <w:trHeight w:val="300"/>
        </w:trPr>
        <w:tc>
          <w:tcPr>
            <w:tcW w:w="817" w:type="pct"/>
            <w:shd w:val="clear" w:color="auto" w:fill="auto"/>
            <w:noWrap/>
            <w:vAlign w:val="bottom"/>
          </w:tcPr>
          <w:p w14:paraId="182D4D2E" w14:textId="77777777" w:rsidR="003F6151" w:rsidRPr="00477D8F" w:rsidRDefault="003F6151" w:rsidP="005A79E3">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CCT</w:t>
            </w:r>
          </w:p>
        </w:tc>
        <w:tc>
          <w:tcPr>
            <w:tcW w:w="4183" w:type="pct"/>
            <w:shd w:val="clear" w:color="auto" w:fill="auto"/>
            <w:noWrap/>
            <w:vAlign w:val="bottom"/>
          </w:tcPr>
          <w:p w14:paraId="1CF691F0" w14:textId="77777777" w:rsidR="003F6151" w:rsidRPr="00477D8F" w:rsidRDefault="003F6151" w:rsidP="005A79E3">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Conditional Cash Transfer</w:t>
            </w:r>
          </w:p>
        </w:tc>
      </w:tr>
      <w:tr w:rsidR="003F6151" w:rsidRPr="00477D8F" w14:paraId="7A539092" w14:textId="77777777" w:rsidTr="00FC3EA9">
        <w:trPr>
          <w:trHeight w:val="300"/>
        </w:trPr>
        <w:tc>
          <w:tcPr>
            <w:tcW w:w="817" w:type="pct"/>
            <w:shd w:val="clear" w:color="auto" w:fill="auto"/>
            <w:noWrap/>
            <w:vAlign w:val="bottom"/>
          </w:tcPr>
          <w:p w14:paraId="2E2D1E78" w14:textId="77777777" w:rsidR="003F6151" w:rsidRPr="00477D8F" w:rsidRDefault="003F6151" w:rsidP="005A79E3">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CSR</w:t>
            </w:r>
          </w:p>
        </w:tc>
        <w:tc>
          <w:tcPr>
            <w:tcW w:w="4183" w:type="pct"/>
            <w:shd w:val="clear" w:color="auto" w:fill="auto"/>
            <w:noWrap/>
            <w:vAlign w:val="bottom"/>
          </w:tcPr>
          <w:p w14:paraId="13F6B391" w14:textId="77777777" w:rsidR="003F6151" w:rsidRPr="00477D8F" w:rsidRDefault="003F6151" w:rsidP="005A79E3">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Country Status Report</w:t>
            </w:r>
          </w:p>
        </w:tc>
      </w:tr>
      <w:tr w:rsidR="003F6151" w:rsidRPr="00477D8F" w14:paraId="0794A7A7" w14:textId="77777777" w:rsidTr="00FC3EA9">
        <w:trPr>
          <w:trHeight w:val="300"/>
        </w:trPr>
        <w:tc>
          <w:tcPr>
            <w:tcW w:w="817" w:type="pct"/>
            <w:shd w:val="clear" w:color="auto" w:fill="auto"/>
            <w:noWrap/>
            <w:vAlign w:val="bottom"/>
          </w:tcPr>
          <w:p w14:paraId="72DE3B81" w14:textId="77777777" w:rsidR="003F6151" w:rsidRPr="00477D8F" w:rsidRDefault="003F6151" w:rsidP="005A79E3">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DEA</w:t>
            </w:r>
          </w:p>
        </w:tc>
        <w:tc>
          <w:tcPr>
            <w:tcW w:w="4183" w:type="pct"/>
            <w:shd w:val="clear" w:color="auto" w:fill="auto"/>
            <w:noWrap/>
            <w:vAlign w:val="bottom"/>
          </w:tcPr>
          <w:p w14:paraId="529DB77A" w14:textId="77777777" w:rsidR="003F6151" w:rsidRPr="00477D8F" w:rsidRDefault="003F6151" w:rsidP="005A79E3">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Data Envelopment Analysis</w:t>
            </w:r>
          </w:p>
        </w:tc>
      </w:tr>
      <w:tr w:rsidR="003F6151" w:rsidRPr="00477D8F" w14:paraId="596331DD" w14:textId="77777777" w:rsidTr="00FC3EA9">
        <w:trPr>
          <w:trHeight w:val="300"/>
        </w:trPr>
        <w:tc>
          <w:tcPr>
            <w:tcW w:w="817" w:type="pct"/>
            <w:shd w:val="clear" w:color="auto" w:fill="auto"/>
            <w:noWrap/>
            <w:vAlign w:val="bottom"/>
          </w:tcPr>
          <w:p w14:paraId="6CF06D75" w14:textId="77777777" w:rsidR="003F6151" w:rsidRPr="00477D8F" w:rsidRDefault="003F6151" w:rsidP="005A79E3">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DOSE</w:t>
            </w:r>
          </w:p>
        </w:tc>
        <w:tc>
          <w:tcPr>
            <w:tcW w:w="4183" w:type="pct"/>
            <w:shd w:val="clear" w:color="auto" w:fill="auto"/>
            <w:noWrap/>
            <w:vAlign w:val="bottom"/>
          </w:tcPr>
          <w:p w14:paraId="5EA41FC2" w14:textId="77777777" w:rsidR="003F6151" w:rsidRPr="00477D8F" w:rsidRDefault="003F6151" w:rsidP="005A79E3">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Department of State for Education</w:t>
            </w:r>
          </w:p>
        </w:tc>
      </w:tr>
      <w:tr w:rsidR="00945DF8" w:rsidRPr="00477D8F" w14:paraId="0C345344" w14:textId="77777777" w:rsidTr="00FC3EA9">
        <w:trPr>
          <w:trHeight w:val="300"/>
        </w:trPr>
        <w:tc>
          <w:tcPr>
            <w:tcW w:w="817" w:type="pct"/>
            <w:shd w:val="clear" w:color="auto" w:fill="auto"/>
            <w:noWrap/>
            <w:vAlign w:val="bottom"/>
          </w:tcPr>
          <w:p w14:paraId="737C8BD8" w14:textId="7EB5E788" w:rsidR="00945DF8" w:rsidRPr="00477D8F" w:rsidRDefault="00945DF8" w:rsidP="005A79E3">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DMU</w:t>
            </w:r>
          </w:p>
        </w:tc>
        <w:tc>
          <w:tcPr>
            <w:tcW w:w="4183" w:type="pct"/>
            <w:shd w:val="clear" w:color="auto" w:fill="auto"/>
            <w:noWrap/>
            <w:vAlign w:val="bottom"/>
          </w:tcPr>
          <w:p w14:paraId="0C0DE5C4" w14:textId="14F6D6EB" w:rsidR="00945DF8" w:rsidRPr="00477D8F" w:rsidRDefault="00945DF8" w:rsidP="005A79E3">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Decision-Making Unit</w:t>
            </w:r>
          </w:p>
        </w:tc>
      </w:tr>
      <w:tr w:rsidR="003F6151" w:rsidRPr="00477D8F" w14:paraId="4DFA1713" w14:textId="77777777" w:rsidTr="00FC3EA9">
        <w:trPr>
          <w:trHeight w:val="300"/>
        </w:trPr>
        <w:tc>
          <w:tcPr>
            <w:tcW w:w="817" w:type="pct"/>
            <w:shd w:val="clear" w:color="auto" w:fill="auto"/>
            <w:noWrap/>
            <w:vAlign w:val="bottom"/>
          </w:tcPr>
          <w:p w14:paraId="4D7CC3B3" w14:textId="77777777" w:rsidR="003F6151" w:rsidRPr="00477D8F" w:rsidRDefault="003F6151" w:rsidP="005A79E3">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ECD</w:t>
            </w:r>
          </w:p>
        </w:tc>
        <w:tc>
          <w:tcPr>
            <w:tcW w:w="4183" w:type="pct"/>
            <w:shd w:val="clear" w:color="auto" w:fill="auto"/>
            <w:noWrap/>
            <w:vAlign w:val="bottom"/>
          </w:tcPr>
          <w:p w14:paraId="466C90C1" w14:textId="77777777" w:rsidR="003F6151" w:rsidRPr="00477D8F" w:rsidRDefault="003F6151" w:rsidP="005A79E3">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Early Childhood Development</w:t>
            </w:r>
          </w:p>
        </w:tc>
      </w:tr>
      <w:tr w:rsidR="009470AA" w:rsidRPr="00477D8F" w14:paraId="7A0F0EF9" w14:textId="77777777" w:rsidTr="00FC3EA9">
        <w:trPr>
          <w:trHeight w:val="300"/>
        </w:trPr>
        <w:tc>
          <w:tcPr>
            <w:tcW w:w="817" w:type="pct"/>
            <w:shd w:val="clear" w:color="auto" w:fill="auto"/>
            <w:noWrap/>
            <w:vAlign w:val="bottom"/>
          </w:tcPr>
          <w:p w14:paraId="77023F17" w14:textId="60198BCE" w:rsidR="009470AA" w:rsidRPr="00477D8F" w:rsidRDefault="009470AA" w:rsidP="005A79E3">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EFA FTI</w:t>
            </w:r>
          </w:p>
        </w:tc>
        <w:tc>
          <w:tcPr>
            <w:tcW w:w="4183" w:type="pct"/>
            <w:shd w:val="clear" w:color="auto" w:fill="auto"/>
            <w:noWrap/>
            <w:vAlign w:val="bottom"/>
          </w:tcPr>
          <w:p w14:paraId="2C3B4D3E" w14:textId="1CF84A13" w:rsidR="009470AA" w:rsidRPr="00477D8F" w:rsidRDefault="009470AA" w:rsidP="005A79E3">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Education for All Fast-Track Initiative</w:t>
            </w:r>
          </w:p>
        </w:tc>
      </w:tr>
      <w:tr w:rsidR="003F6151" w:rsidRPr="00477D8F" w14:paraId="09166F23" w14:textId="77777777" w:rsidTr="00FC3EA9">
        <w:trPr>
          <w:trHeight w:val="300"/>
        </w:trPr>
        <w:tc>
          <w:tcPr>
            <w:tcW w:w="817" w:type="pct"/>
            <w:shd w:val="clear" w:color="auto" w:fill="auto"/>
            <w:noWrap/>
            <w:vAlign w:val="bottom"/>
          </w:tcPr>
          <w:p w14:paraId="6442056F" w14:textId="77777777" w:rsidR="003F6151" w:rsidRPr="00477D8F" w:rsidRDefault="003F6151" w:rsidP="005A79E3">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EGMA</w:t>
            </w:r>
          </w:p>
        </w:tc>
        <w:tc>
          <w:tcPr>
            <w:tcW w:w="4183" w:type="pct"/>
            <w:shd w:val="clear" w:color="auto" w:fill="auto"/>
            <w:noWrap/>
            <w:vAlign w:val="bottom"/>
          </w:tcPr>
          <w:p w14:paraId="53D763A4" w14:textId="77777777" w:rsidR="003F6151" w:rsidRPr="00477D8F" w:rsidRDefault="003F6151" w:rsidP="005A79E3">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Early Grade Mathematics Assessment</w:t>
            </w:r>
          </w:p>
        </w:tc>
      </w:tr>
      <w:tr w:rsidR="003F6151" w:rsidRPr="00477D8F" w14:paraId="21E296B0" w14:textId="77777777" w:rsidTr="00FC3EA9">
        <w:trPr>
          <w:trHeight w:val="300"/>
        </w:trPr>
        <w:tc>
          <w:tcPr>
            <w:tcW w:w="817" w:type="pct"/>
            <w:shd w:val="clear" w:color="auto" w:fill="auto"/>
            <w:noWrap/>
            <w:vAlign w:val="bottom"/>
          </w:tcPr>
          <w:p w14:paraId="3CB23C0D" w14:textId="77777777" w:rsidR="003F6151" w:rsidRPr="00477D8F" w:rsidRDefault="003F6151" w:rsidP="005A79E3">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EGRA</w:t>
            </w:r>
          </w:p>
        </w:tc>
        <w:tc>
          <w:tcPr>
            <w:tcW w:w="4183" w:type="pct"/>
            <w:shd w:val="clear" w:color="auto" w:fill="auto"/>
            <w:noWrap/>
            <w:vAlign w:val="bottom"/>
          </w:tcPr>
          <w:p w14:paraId="1CB68A41" w14:textId="77777777" w:rsidR="003F6151" w:rsidRPr="00477D8F" w:rsidRDefault="003F6151" w:rsidP="005A79E3">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Early Grade Reading Assessment</w:t>
            </w:r>
          </w:p>
        </w:tc>
      </w:tr>
      <w:tr w:rsidR="00D91825" w:rsidRPr="00477D8F" w14:paraId="6C804A2C" w14:textId="77777777" w:rsidTr="00FC3EA9">
        <w:trPr>
          <w:trHeight w:val="300"/>
        </w:trPr>
        <w:tc>
          <w:tcPr>
            <w:tcW w:w="817" w:type="pct"/>
            <w:shd w:val="clear" w:color="auto" w:fill="auto"/>
            <w:noWrap/>
            <w:vAlign w:val="bottom"/>
          </w:tcPr>
          <w:p w14:paraId="76C8B80F" w14:textId="1152E31B"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EMIS</w:t>
            </w:r>
          </w:p>
        </w:tc>
        <w:tc>
          <w:tcPr>
            <w:tcW w:w="4183" w:type="pct"/>
            <w:shd w:val="clear" w:color="auto" w:fill="auto"/>
            <w:noWrap/>
            <w:vAlign w:val="bottom"/>
          </w:tcPr>
          <w:p w14:paraId="0D4A0A78" w14:textId="33DF4DF6"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Education Management Information System</w:t>
            </w:r>
          </w:p>
        </w:tc>
      </w:tr>
      <w:tr w:rsidR="00D91825" w:rsidRPr="00477D8F" w14:paraId="09D70EAA" w14:textId="77777777" w:rsidTr="00FC3EA9">
        <w:trPr>
          <w:trHeight w:val="300"/>
        </w:trPr>
        <w:tc>
          <w:tcPr>
            <w:tcW w:w="817" w:type="pct"/>
            <w:shd w:val="clear" w:color="auto" w:fill="auto"/>
            <w:noWrap/>
            <w:vAlign w:val="bottom"/>
          </w:tcPr>
          <w:p w14:paraId="3D2F2C86" w14:textId="646B5CC0"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ESSP</w:t>
            </w:r>
          </w:p>
        </w:tc>
        <w:tc>
          <w:tcPr>
            <w:tcW w:w="4183" w:type="pct"/>
            <w:shd w:val="clear" w:color="auto" w:fill="auto"/>
            <w:noWrap/>
            <w:vAlign w:val="bottom"/>
          </w:tcPr>
          <w:p w14:paraId="55CBE32D" w14:textId="437A60F1"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Education Sector Strategic Plan</w:t>
            </w:r>
          </w:p>
        </w:tc>
      </w:tr>
      <w:tr w:rsidR="00D91825" w:rsidRPr="00477D8F" w14:paraId="4329FD18" w14:textId="77777777" w:rsidTr="00FC3EA9">
        <w:trPr>
          <w:trHeight w:val="300"/>
        </w:trPr>
        <w:tc>
          <w:tcPr>
            <w:tcW w:w="817" w:type="pct"/>
            <w:shd w:val="clear" w:color="auto" w:fill="auto"/>
            <w:noWrap/>
            <w:vAlign w:val="bottom"/>
          </w:tcPr>
          <w:p w14:paraId="48A12D7E"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FTI</w:t>
            </w:r>
          </w:p>
        </w:tc>
        <w:tc>
          <w:tcPr>
            <w:tcW w:w="4183" w:type="pct"/>
            <w:shd w:val="clear" w:color="auto" w:fill="auto"/>
            <w:noWrap/>
            <w:vAlign w:val="bottom"/>
          </w:tcPr>
          <w:p w14:paraId="6A5B1463"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Fast Track Initiative</w:t>
            </w:r>
          </w:p>
        </w:tc>
      </w:tr>
      <w:tr w:rsidR="00D91825" w:rsidRPr="00477D8F" w14:paraId="2038C7C5" w14:textId="77777777" w:rsidTr="00FC3EA9">
        <w:trPr>
          <w:trHeight w:val="300"/>
        </w:trPr>
        <w:tc>
          <w:tcPr>
            <w:tcW w:w="817" w:type="pct"/>
            <w:shd w:val="clear" w:color="auto" w:fill="auto"/>
            <w:noWrap/>
            <w:vAlign w:val="bottom"/>
          </w:tcPr>
          <w:p w14:paraId="3CDF6779"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GABECE</w:t>
            </w:r>
          </w:p>
        </w:tc>
        <w:tc>
          <w:tcPr>
            <w:tcW w:w="4183" w:type="pct"/>
            <w:shd w:val="clear" w:color="auto" w:fill="auto"/>
            <w:noWrap/>
            <w:vAlign w:val="bottom"/>
          </w:tcPr>
          <w:p w14:paraId="61915A0E"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Gambia Basic Education Certificate Examination</w:t>
            </w:r>
          </w:p>
        </w:tc>
      </w:tr>
      <w:tr w:rsidR="00D91825" w:rsidRPr="00477D8F" w14:paraId="41164A84" w14:textId="77777777" w:rsidTr="00FC3EA9">
        <w:trPr>
          <w:trHeight w:val="300"/>
        </w:trPr>
        <w:tc>
          <w:tcPr>
            <w:tcW w:w="817" w:type="pct"/>
            <w:shd w:val="clear" w:color="auto" w:fill="auto"/>
            <w:noWrap/>
            <w:vAlign w:val="bottom"/>
          </w:tcPr>
          <w:p w14:paraId="3D548DA2"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GBoS</w:t>
            </w:r>
          </w:p>
        </w:tc>
        <w:tc>
          <w:tcPr>
            <w:tcW w:w="4183" w:type="pct"/>
            <w:shd w:val="clear" w:color="auto" w:fill="auto"/>
            <w:noWrap/>
            <w:vAlign w:val="bottom"/>
          </w:tcPr>
          <w:p w14:paraId="6FCA5B1D"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Gambia Bureau of Statistics</w:t>
            </w:r>
          </w:p>
        </w:tc>
      </w:tr>
      <w:tr w:rsidR="00D91825" w:rsidRPr="00477D8F" w14:paraId="6174251A" w14:textId="77777777" w:rsidTr="00FC3EA9">
        <w:trPr>
          <w:trHeight w:val="300"/>
        </w:trPr>
        <w:tc>
          <w:tcPr>
            <w:tcW w:w="817" w:type="pct"/>
            <w:shd w:val="clear" w:color="auto" w:fill="auto"/>
            <w:noWrap/>
            <w:vAlign w:val="bottom"/>
          </w:tcPr>
          <w:p w14:paraId="0F3581D9"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GDP</w:t>
            </w:r>
          </w:p>
        </w:tc>
        <w:tc>
          <w:tcPr>
            <w:tcW w:w="4183" w:type="pct"/>
            <w:shd w:val="clear" w:color="auto" w:fill="auto"/>
            <w:noWrap/>
            <w:vAlign w:val="bottom"/>
          </w:tcPr>
          <w:p w14:paraId="12C317C9"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Gross Domestic Product</w:t>
            </w:r>
          </w:p>
        </w:tc>
      </w:tr>
      <w:tr w:rsidR="00D91825" w:rsidRPr="00477D8F" w14:paraId="03474060" w14:textId="77777777" w:rsidTr="00FC3EA9">
        <w:trPr>
          <w:trHeight w:val="300"/>
        </w:trPr>
        <w:tc>
          <w:tcPr>
            <w:tcW w:w="817" w:type="pct"/>
            <w:shd w:val="clear" w:color="auto" w:fill="auto"/>
            <w:noWrap/>
            <w:vAlign w:val="bottom"/>
          </w:tcPr>
          <w:p w14:paraId="3FC0414B"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GER</w:t>
            </w:r>
          </w:p>
        </w:tc>
        <w:tc>
          <w:tcPr>
            <w:tcW w:w="4183" w:type="pct"/>
            <w:shd w:val="clear" w:color="auto" w:fill="auto"/>
            <w:noWrap/>
            <w:vAlign w:val="bottom"/>
          </w:tcPr>
          <w:p w14:paraId="4D95B4D5"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Gross Enrollment Ratio</w:t>
            </w:r>
          </w:p>
        </w:tc>
      </w:tr>
      <w:tr w:rsidR="00D91825" w:rsidRPr="00477D8F" w14:paraId="1309AF5B" w14:textId="77777777" w:rsidTr="00FC3EA9">
        <w:trPr>
          <w:trHeight w:val="300"/>
        </w:trPr>
        <w:tc>
          <w:tcPr>
            <w:tcW w:w="817" w:type="pct"/>
            <w:shd w:val="clear" w:color="auto" w:fill="auto"/>
            <w:noWrap/>
            <w:vAlign w:val="bottom"/>
          </w:tcPr>
          <w:p w14:paraId="5F7D530D"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GPE</w:t>
            </w:r>
          </w:p>
        </w:tc>
        <w:tc>
          <w:tcPr>
            <w:tcW w:w="4183" w:type="pct"/>
            <w:shd w:val="clear" w:color="auto" w:fill="auto"/>
            <w:noWrap/>
            <w:vAlign w:val="bottom"/>
          </w:tcPr>
          <w:p w14:paraId="65E8120F"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Global Partnership for Education</w:t>
            </w:r>
          </w:p>
        </w:tc>
      </w:tr>
      <w:tr w:rsidR="00D91825" w:rsidRPr="00477D8F" w14:paraId="5DEBACD7" w14:textId="77777777" w:rsidTr="00FC3EA9">
        <w:trPr>
          <w:trHeight w:val="300"/>
        </w:trPr>
        <w:tc>
          <w:tcPr>
            <w:tcW w:w="817" w:type="pct"/>
            <w:shd w:val="clear" w:color="auto" w:fill="auto"/>
            <w:noWrap/>
            <w:vAlign w:val="bottom"/>
          </w:tcPr>
          <w:p w14:paraId="7598EABB"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GPI</w:t>
            </w:r>
          </w:p>
        </w:tc>
        <w:tc>
          <w:tcPr>
            <w:tcW w:w="4183" w:type="pct"/>
            <w:shd w:val="clear" w:color="auto" w:fill="auto"/>
            <w:noWrap/>
            <w:vAlign w:val="bottom"/>
          </w:tcPr>
          <w:p w14:paraId="0671FC60"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Gender Parity Index</w:t>
            </w:r>
          </w:p>
        </w:tc>
      </w:tr>
      <w:tr w:rsidR="00D91825" w:rsidRPr="00477D8F" w14:paraId="188793BF" w14:textId="77777777" w:rsidTr="00FC3EA9">
        <w:trPr>
          <w:trHeight w:val="300"/>
        </w:trPr>
        <w:tc>
          <w:tcPr>
            <w:tcW w:w="817" w:type="pct"/>
            <w:shd w:val="clear" w:color="auto" w:fill="auto"/>
            <w:noWrap/>
            <w:vAlign w:val="bottom"/>
          </w:tcPr>
          <w:p w14:paraId="35529643"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GTTI</w:t>
            </w:r>
          </w:p>
        </w:tc>
        <w:tc>
          <w:tcPr>
            <w:tcW w:w="4183" w:type="pct"/>
            <w:shd w:val="clear" w:color="auto" w:fill="auto"/>
            <w:noWrap/>
            <w:vAlign w:val="bottom"/>
          </w:tcPr>
          <w:p w14:paraId="3C5B603B"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Gambia Technical Training Institute</w:t>
            </w:r>
          </w:p>
        </w:tc>
      </w:tr>
      <w:tr w:rsidR="00D91825" w:rsidRPr="00477D8F" w14:paraId="2BDA18A9" w14:textId="77777777" w:rsidTr="00FC3EA9">
        <w:trPr>
          <w:trHeight w:val="300"/>
        </w:trPr>
        <w:tc>
          <w:tcPr>
            <w:tcW w:w="817" w:type="pct"/>
            <w:shd w:val="clear" w:color="auto" w:fill="auto"/>
            <w:noWrap/>
            <w:vAlign w:val="bottom"/>
          </w:tcPr>
          <w:p w14:paraId="243BD7D6"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HDI</w:t>
            </w:r>
          </w:p>
        </w:tc>
        <w:tc>
          <w:tcPr>
            <w:tcW w:w="4183" w:type="pct"/>
            <w:shd w:val="clear" w:color="auto" w:fill="auto"/>
            <w:noWrap/>
            <w:vAlign w:val="bottom"/>
          </w:tcPr>
          <w:p w14:paraId="26D3F13A"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Human Development Index</w:t>
            </w:r>
          </w:p>
        </w:tc>
      </w:tr>
      <w:tr w:rsidR="00D91825" w:rsidRPr="00477D8F" w14:paraId="1AE1D482" w14:textId="77777777" w:rsidTr="00FC3EA9">
        <w:trPr>
          <w:trHeight w:val="300"/>
        </w:trPr>
        <w:tc>
          <w:tcPr>
            <w:tcW w:w="817" w:type="pct"/>
            <w:shd w:val="clear" w:color="auto" w:fill="auto"/>
            <w:noWrap/>
            <w:vAlign w:val="bottom"/>
          </w:tcPr>
          <w:p w14:paraId="2E7CF66E" w14:textId="15BE5BA8"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hAnsi="Sylfaen" w:cs="Times New Roman"/>
              </w:rPr>
              <w:t>IHS</w:t>
            </w:r>
          </w:p>
        </w:tc>
        <w:tc>
          <w:tcPr>
            <w:tcW w:w="4183" w:type="pct"/>
            <w:shd w:val="clear" w:color="auto" w:fill="auto"/>
            <w:noWrap/>
            <w:vAlign w:val="bottom"/>
          </w:tcPr>
          <w:p w14:paraId="0B06B1DB" w14:textId="6003F64E"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Integrated Household Survey</w:t>
            </w:r>
          </w:p>
        </w:tc>
      </w:tr>
      <w:tr w:rsidR="00D91825" w:rsidRPr="00477D8F" w14:paraId="608BED1F" w14:textId="77777777" w:rsidTr="00FC3EA9">
        <w:trPr>
          <w:trHeight w:val="300"/>
        </w:trPr>
        <w:tc>
          <w:tcPr>
            <w:tcW w:w="817" w:type="pct"/>
            <w:shd w:val="clear" w:color="auto" w:fill="auto"/>
            <w:noWrap/>
            <w:vAlign w:val="bottom"/>
          </w:tcPr>
          <w:p w14:paraId="09AF4B1A" w14:textId="290CDAE0" w:rsidR="00D91825" w:rsidRPr="00477D8F" w:rsidRDefault="00D91825" w:rsidP="00D91825">
            <w:pPr>
              <w:spacing w:after="0" w:line="240" w:lineRule="auto"/>
              <w:jc w:val="both"/>
              <w:rPr>
                <w:rFonts w:ascii="Sylfaen" w:hAnsi="Sylfaen" w:cs="Times New Roman"/>
              </w:rPr>
            </w:pPr>
            <w:r w:rsidRPr="00477D8F">
              <w:rPr>
                <w:rFonts w:ascii="Sylfaen" w:eastAsia="Times New Roman" w:hAnsi="Sylfaen" w:cs="Times New Roman"/>
                <w:bCs/>
                <w:color w:val="000000"/>
              </w:rPr>
              <w:t>IIASA</w:t>
            </w:r>
          </w:p>
        </w:tc>
        <w:tc>
          <w:tcPr>
            <w:tcW w:w="4183" w:type="pct"/>
            <w:shd w:val="clear" w:color="auto" w:fill="auto"/>
            <w:noWrap/>
            <w:vAlign w:val="bottom"/>
          </w:tcPr>
          <w:p w14:paraId="24E0D659" w14:textId="057B81DB"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International Institute for Applied Systems Analysis</w:t>
            </w:r>
          </w:p>
        </w:tc>
      </w:tr>
      <w:tr w:rsidR="00D91825" w:rsidRPr="00477D8F" w14:paraId="6AF60353" w14:textId="77777777" w:rsidTr="00FC3EA9">
        <w:trPr>
          <w:trHeight w:val="300"/>
        </w:trPr>
        <w:tc>
          <w:tcPr>
            <w:tcW w:w="817" w:type="pct"/>
            <w:shd w:val="clear" w:color="auto" w:fill="auto"/>
            <w:noWrap/>
            <w:vAlign w:val="bottom"/>
          </w:tcPr>
          <w:p w14:paraId="38E8FCC3"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IMF</w:t>
            </w:r>
          </w:p>
        </w:tc>
        <w:tc>
          <w:tcPr>
            <w:tcW w:w="4183" w:type="pct"/>
            <w:shd w:val="clear" w:color="auto" w:fill="auto"/>
            <w:noWrap/>
            <w:vAlign w:val="bottom"/>
          </w:tcPr>
          <w:p w14:paraId="5D359084"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International Monetary Fund</w:t>
            </w:r>
          </w:p>
        </w:tc>
      </w:tr>
      <w:tr w:rsidR="00D91825" w:rsidRPr="00477D8F" w14:paraId="63F3DC16" w14:textId="77777777" w:rsidTr="00FC3EA9">
        <w:trPr>
          <w:trHeight w:val="300"/>
        </w:trPr>
        <w:tc>
          <w:tcPr>
            <w:tcW w:w="817" w:type="pct"/>
            <w:shd w:val="clear" w:color="auto" w:fill="auto"/>
            <w:noWrap/>
            <w:vAlign w:val="bottom"/>
          </w:tcPr>
          <w:p w14:paraId="7AEA6C27"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LBE</w:t>
            </w:r>
          </w:p>
        </w:tc>
        <w:tc>
          <w:tcPr>
            <w:tcW w:w="4183" w:type="pct"/>
            <w:shd w:val="clear" w:color="auto" w:fill="auto"/>
            <w:noWrap/>
            <w:vAlign w:val="bottom"/>
          </w:tcPr>
          <w:p w14:paraId="0E440EAE"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Lower Basic Education</w:t>
            </w:r>
          </w:p>
        </w:tc>
      </w:tr>
      <w:tr w:rsidR="00D91825" w:rsidRPr="00477D8F" w14:paraId="5907896A" w14:textId="77777777" w:rsidTr="00FC3EA9">
        <w:trPr>
          <w:trHeight w:val="300"/>
        </w:trPr>
        <w:tc>
          <w:tcPr>
            <w:tcW w:w="817" w:type="pct"/>
            <w:shd w:val="clear" w:color="auto" w:fill="auto"/>
            <w:noWrap/>
            <w:vAlign w:val="bottom"/>
          </w:tcPr>
          <w:p w14:paraId="1D4F1EA5"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LBS</w:t>
            </w:r>
          </w:p>
        </w:tc>
        <w:tc>
          <w:tcPr>
            <w:tcW w:w="4183" w:type="pct"/>
            <w:shd w:val="clear" w:color="auto" w:fill="auto"/>
            <w:noWrap/>
            <w:vAlign w:val="bottom"/>
          </w:tcPr>
          <w:p w14:paraId="7F5773EF" w14:textId="38D5942F"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Lower Basic School</w:t>
            </w:r>
          </w:p>
        </w:tc>
      </w:tr>
      <w:tr w:rsidR="00D91825" w:rsidRPr="00477D8F" w14:paraId="57EB32E2" w14:textId="77777777" w:rsidTr="00FC3EA9">
        <w:trPr>
          <w:trHeight w:val="300"/>
        </w:trPr>
        <w:tc>
          <w:tcPr>
            <w:tcW w:w="817" w:type="pct"/>
            <w:shd w:val="clear" w:color="auto" w:fill="auto"/>
            <w:noWrap/>
            <w:vAlign w:val="bottom"/>
          </w:tcPr>
          <w:p w14:paraId="7D8E3074"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M&amp;E</w:t>
            </w:r>
          </w:p>
        </w:tc>
        <w:tc>
          <w:tcPr>
            <w:tcW w:w="4183" w:type="pct"/>
            <w:shd w:val="clear" w:color="auto" w:fill="auto"/>
            <w:noWrap/>
            <w:vAlign w:val="bottom"/>
          </w:tcPr>
          <w:p w14:paraId="52E5E0BA"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Monitoring and Evaluation</w:t>
            </w:r>
          </w:p>
        </w:tc>
      </w:tr>
      <w:tr w:rsidR="00D91825" w:rsidRPr="00477D8F" w14:paraId="788447AA" w14:textId="77777777" w:rsidTr="00FC3EA9">
        <w:trPr>
          <w:trHeight w:val="300"/>
        </w:trPr>
        <w:tc>
          <w:tcPr>
            <w:tcW w:w="817" w:type="pct"/>
            <w:shd w:val="clear" w:color="auto" w:fill="auto"/>
            <w:noWrap/>
            <w:vAlign w:val="bottom"/>
          </w:tcPr>
          <w:p w14:paraId="750BF6D8"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MDG</w:t>
            </w:r>
          </w:p>
        </w:tc>
        <w:tc>
          <w:tcPr>
            <w:tcW w:w="4183" w:type="pct"/>
            <w:shd w:val="clear" w:color="auto" w:fill="auto"/>
            <w:noWrap/>
            <w:vAlign w:val="bottom"/>
          </w:tcPr>
          <w:p w14:paraId="6709A823"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Millennium Development Goal</w:t>
            </w:r>
          </w:p>
        </w:tc>
      </w:tr>
      <w:tr w:rsidR="00D91825" w:rsidRPr="00477D8F" w14:paraId="20D65838" w14:textId="77777777" w:rsidTr="00FC3EA9">
        <w:trPr>
          <w:trHeight w:val="300"/>
        </w:trPr>
        <w:tc>
          <w:tcPr>
            <w:tcW w:w="817" w:type="pct"/>
            <w:shd w:val="clear" w:color="auto" w:fill="auto"/>
            <w:noWrap/>
            <w:vAlign w:val="bottom"/>
          </w:tcPr>
          <w:p w14:paraId="05BE35C1"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MoBSE</w:t>
            </w:r>
          </w:p>
        </w:tc>
        <w:tc>
          <w:tcPr>
            <w:tcW w:w="4183" w:type="pct"/>
            <w:shd w:val="clear" w:color="auto" w:fill="auto"/>
            <w:noWrap/>
            <w:vAlign w:val="bottom"/>
          </w:tcPr>
          <w:p w14:paraId="6D20DD4A"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Ministry of Basic and Secondary Education</w:t>
            </w:r>
          </w:p>
        </w:tc>
      </w:tr>
      <w:tr w:rsidR="00D91825" w:rsidRPr="00477D8F" w14:paraId="31D03A86" w14:textId="77777777" w:rsidTr="00FC3EA9">
        <w:trPr>
          <w:trHeight w:val="300"/>
        </w:trPr>
        <w:tc>
          <w:tcPr>
            <w:tcW w:w="817" w:type="pct"/>
            <w:shd w:val="clear" w:color="auto" w:fill="auto"/>
            <w:noWrap/>
            <w:vAlign w:val="bottom"/>
          </w:tcPr>
          <w:p w14:paraId="5A032B64"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MoHERST</w:t>
            </w:r>
          </w:p>
        </w:tc>
        <w:tc>
          <w:tcPr>
            <w:tcW w:w="4183" w:type="pct"/>
            <w:shd w:val="clear" w:color="auto" w:fill="auto"/>
            <w:noWrap/>
            <w:vAlign w:val="bottom"/>
          </w:tcPr>
          <w:p w14:paraId="46A48D5E"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Ministry of Higher Education, Research, Science and Technology</w:t>
            </w:r>
          </w:p>
        </w:tc>
      </w:tr>
      <w:tr w:rsidR="00D91825" w:rsidRPr="00477D8F" w14:paraId="4C3A0522" w14:textId="77777777" w:rsidTr="00FC3EA9">
        <w:trPr>
          <w:trHeight w:val="300"/>
        </w:trPr>
        <w:tc>
          <w:tcPr>
            <w:tcW w:w="817" w:type="pct"/>
            <w:shd w:val="clear" w:color="auto" w:fill="auto"/>
            <w:noWrap/>
            <w:vAlign w:val="bottom"/>
          </w:tcPr>
          <w:p w14:paraId="494D85AF" w14:textId="1B32D6DB"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MTEF</w:t>
            </w:r>
          </w:p>
        </w:tc>
        <w:tc>
          <w:tcPr>
            <w:tcW w:w="4183" w:type="pct"/>
            <w:shd w:val="clear" w:color="auto" w:fill="auto"/>
            <w:noWrap/>
            <w:vAlign w:val="bottom"/>
          </w:tcPr>
          <w:p w14:paraId="3E0E78B8" w14:textId="74A291C2"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Medium-Term Expenditure Framework</w:t>
            </w:r>
          </w:p>
        </w:tc>
      </w:tr>
      <w:tr w:rsidR="00D91825" w:rsidRPr="00477D8F" w14:paraId="1765CA26" w14:textId="77777777" w:rsidTr="00FC3EA9">
        <w:trPr>
          <w:trHeight w:val="300"/>
        </w:trPr>
        <w:tc>
          <w:tcPr>
            <w:tcW w:w="817" w:type="pct"/>
            <w:shd w:val="clear" w:color="auto" w:fill="auto"/>
            <w:noWrap/>
            <w:vAlign w:val="bottom"/>
          </w:tcPr>
          <w:p w14:paraId="1D223B74" w14:textId="1D4FB70E"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NAT</w:t>
            </w:r>
          </w:p>
        </w:tc>
        <w:tc>
          <w:tcPr>
            <w:tcW w:w="4183" w:type="pct"/>
            <w:shd w:val="clear" w:color="auto" w:fill="auto"/>
            <w:noWrap/>
            <w:vAlign w:val="bottom"/>
          </w:tcPr>
          <w:p w14:paraId="454F89C9" w14:textId="19E198EF"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hAnsi="Sylfaen" w:cs="Times New Roman"/>
              </w:rPr>
              <w:t>National Assessment Test</w:t>
            </w:r>
          </w:p>
        </w:tc>
      </w:tr>
      <w:tr w:rsidR="00D91825" w:rsidRPr="00477D8F" w14:paraId="4C10A5B7" w14:textId="77777777" w:rsidTr="00FC3EA9">
        <w:trPr>
          <w:trHeight w:val="300"/>
        </w:trPr>
        <w:tc>
          <w:tcPr>
            <w:tcW w:w="817" w:type="pct"/>
            <w:shd w:val="clear" w:color="auto" w:fill="auto"/>
            <w:noWrap/>
            <w:vAlign w:val="bottom"/>
          </w:tcPr>
          <w:p w14:paraId="22EA4CEF" w14:textId="2FCD416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lastRenderedPageBreak/>
              <w:t>NER</w:t>
            </w:r>
          </w:p>
        </w:tc>
        <w:tc>
          <w:tcPr>
            <w:tcW w:w="4183" w:type="pct"/>
            <w:shd w:val="clear" w:color="auto" w:fill="auto"/>
            <w:noWrap/>
            <w:vAlign w:val="bottom"/>
          </w:tcPr>
          <w:p w14:paraId="11963F8C" w14:textId="7052CD14"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Net Enrollment Ratio</w:t>
            </w:r>
          </w:p>
        </w:tc>
      </w:tr>
      <w:tr w:rsidR="00D91825" w:rsidRPr="00477D8F" w14:paraId="6F6A1106" w14:textId="77777777" w:rsidTr="00FC3EA9">
        <w:trPr>
          <w:trHeight w:val="300"/>
        </w:trPr>
        <w:tc>
          <w:tcPr>
            <w:tcW w:w="817" w:type="pct"/>
            <w:shd w:val="clear" w:color="auto" w:fill="auto"/>
            <w:noWrap/>
            <w:vAlign w:val="bottom"/>
          </w:tcPr>
          <w:p w14:paraId="70E86CBE"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PCR</w:t>
            </w:r>
          </w:p>
        </w:tc>
        <w:tc>
          <w:tcPr>
            <w:tcW w:w="4183" w:type="pct"/>
            <w:shd w:val="clear" w:color="auto" w:fill="auto"/>
            <w:noWrap/>
            <w:vAlign w:val="bottom"/>
          </w:tcPr>
          <w:p w14:paraId="1FA09B14"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Primary Completion Rate</w:t>
            </w:r>
          </w:p>
        </w:tc>
      </w:tr>
      <w:tr w:rsidR="00D91825" w:rsidRPr="00477D8F" w14:paraId="4A53DF80" w14:textId="77777777" w:rsidTr="00FC3EA9">
        <w:trPr>
          <w:trHeight w:val="300"/>
        </w:trPr>
        <w:tc>
          <w:tcPr>
            <w:tcW w:w="817" w:type="pct"/>
            <w:shd w:val="clear" w:color="auto" w:fill="auto"/>
            <w:noWrap/>
            <w:vAlign w:val="bottom"/>
          </w:tcPr>
          <w:p w14:paraId="6027715A" w14:textId="7AFE68F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bCs/>
                <w:color w:val="000000"/>
              </w:rPr>
              <w:t>PCU</w:t>
            </w:r>
          </w:p>
        </w:tc>
        <w:tc>
          <w:tcPr>
            <w:tcW w:w="4183" w:type="pct"/>
            <w:shd w:val="clear" w:color="auto" w:fill="auto"/>
            <w:noWrap/>
            <w:vAlign w:val="bottom"/>
          </w:tcPr>
          <w:p w14:paraId="64346D59" w14:textId="71FD21A8"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Project Coordination Unit</w:t>
            </w:r>
          </w:p>
        </w:tc>
      </w:tr>
      <w:tr w:rsidR="00D91825" w:rsidRPr="00477D8F" w14:paraId="5450D754" w14:textId="77777777" w:rsidTr="00FC3EA9">
        <w:trPr>
          <w:trHeight w:val="300"/>
        </w:trPr>
        <w:tc>
          <w:tcPr>
            <w:tcW w:w="817" w:type="pct"/>
            <w:shd w:val="clear" w:color="auto" w:fill="auto"/>
            <w:noWrap/>
            <w:vAlign w:val="bottom"/>
          </w:tcPr>
          <w:p w14:paraId="097E7B3F" w14:textId="3DCC82C4"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PDE</w:t>
            </w:r>
          </w:p>
        </w:tc>
        <w:tc>
          <w:tcPr>
            <w:tcW w:w="4183" w:type="pct"/>
            <w:shd w:val="clear" w:color="auto" w:fill="auto"/>
            <w:noWrap/>
            <w:vAlign w:val="bottom"/>
          </w:tcPr>
          <w:p w14:paraId="544ACABF" w14:textId="2A7F3F1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Population Development Environment</w:t>
            </w:r>
          </w:p>
        </w:tc>
      </w:tr>
      <w:tr w:rsidR="00D91825" w:rsidRPr="00477D8F" w14:paraId="40BE3EEF" w14:textId="77777777" w:rsidTr="00FC3EA9">
        <w:trPr>
          <w:trHeight w:val="300"/>
        </w:trPr>
        <w:tc>
          <w:tcPr>
            <w:tcW w:w="817" w:type="pct"/>
            <w:shd w:val="clear" w:color="auto" w:fill="auto"/>
            <w:noWrap/>
            <w:vAlign w:val="bottom"/>
          </w:tcPr>
          <w:p w14:paraId="23CC0C20" w14:textId="24969B9D"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heme="minorEastAsia" w:hAnsi="Sylfaen" w:cs="Times New Roman"/>
                <w:lang w:eastAsia="ja-JP"/>
              </w:rPr>
              <w:t>PE</w:t>
            </w:r>
          </w:p>
        </w:tc>
        <w:tc>
          <w:tcPr>
            <w:tcW w:w="4183" w:type="pct"/>
            <w:shd w:val="clear" w:color="auto" w:fill="auto"/>
            <w:noWrap/>
            <w:vAlign w:val="bottom"/>
          </w:tcPr>
          <w:p w14:paraId="65F9F1CD" w14:textId="6E4E2F5C"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heme="minorEastAsia" w:hAnsi="Sylfaen" w:cs="Times New Roman"/>
                <w:lang w:eastAsia="ja-JP"/>
              </w:rPr>
              <w:t>Personal Emolument</w:t>
            </w:r>
          </w:p>
        </w:tc>
      </w:tr>
      <w:tr w:rsidR="00D91825" w:rsidRPr="00477D8F" w14:paraId="6EA09842" w14:textId="77777777" w:rsidTr="00FC3EA9">
        <w:trPr>
          <w:trHeight w:val="300"/>
        </w:trPr>
        <w:tc>
          <w:tcPr>
            <w:tcW w:w="817" w:type="pct"/>
            <w:shd w:val="clear" w:color="auto" w:fill="auto"/>
            <w:noWrap/>
            <w:vAlign w:val="bottom"/>
          </w:tcPr>
          <w:p w14:paraId="33C57C49" w14:textId="03127EE4"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PEFA</w:t>
            </w:r>
          </w:p>
        </w:tc>
        <w:tc>
          <w:tcPr>
            <w:tcW w:w="4183" w:type="pct"/>
            <w:shd w:val="clear" w:color="auto" w:fill="auto"/>
            <w:noWrap/>
            <w:vAlign w:val="bottom"/>
          </w:tcPr>
          <w:p w14:paraId="3A3DC44D" w14:textId="779AA068"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Public Expenditure and Financial Accountability</w:t>
            </w:r>
          </w:p>
        </w:tc>
      </w:tr>
      <w:tr w:rsidR="00D91825" w:rsidRPr="00477D8F" w14:paraId="5E58D1C3" w14:textId="77777777" w:rsidTr="00FC3EA9">
        <w:trPr>
          <w:trHeight w:val="300"/>
        </w:trPr>
        <w:tc>
          <w:tcPr>
            <w:tcW w:w="817" w:type="pct"/>
            <w:shd w:val="clear" w:color="auto" w:fill="auto"/>
            <w:noWrap/>
            <w:vAlign w:val="bottom"/>
          </w:tcPr>
          <w:p w14:paraId="3DCB093E" w14:textId="0A02F853"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PER</w:t>
            </w:r>
          </w:p>
        </w:tc>
        <w:tc>
          <w:tcPr>
            <w:tcW w:w="4183" w:type="pct"/>
            <w:shd w:val="clear" w:color="auto" w:fill="auto"/>
            <w:noWrap/>
            <w:vAlign w:val="bottom"/>
          </w:tcPr>
          <w:p w14:paraId="312E755A" w14:textId="5642EBC1"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hAnsi="Sylfaen" w:cs="Times New Roman"/>
              </w:rPr>
              <w:t>Public Expenditure Review</w:t>
            </w:r>
          </w:p>
        </w:tc>
      </w:tr>
      <w:tr w:rsidR="00D91825" w:rsidRPr="00477D8F" w14:paraId="4D0B5D6B" w14:textId="77777777" w:rsidTr="00FC3EA9">
        <w:trPr>
          <w:trHeight w:val="300"/>
        </w:trPr>
        <w:tc>
          <w:tcPr>
            <w:tcW w:w="817" w:type="pct"/>
            <w:shd w:val="clear" w:color="auto" w:fill="auto"/>
            <w:noWrap/>
            <w:vAlign w:val="bottom"/>
          </w:tcPr>
          <w:p w14:paraId="531C0D50"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PFM</w:t>
            </w:r>
          </w:p>
        </w:tc>
        <w:tc>
          <w:tcPr>
            <w:tcW w:w="4183" w:type="pct"/>
            <w:shd w:val="clear" w:color="auto" w:fill="auto"/>
            <w:noWrap/>
            <w:vAlign w:val="bottom"/>
          </w:tcPr>
          <w:p w14:paraId="763792E5"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Public Financial Management</w:t>
            </w:r>
          </w:p>
        </w:tc>
      </w:tr>
      <w:tr w:rsidR="00D91825" w:rsidRPr="00477D8F" w14:paraId="7CA535D3" w14:textId="77777777" w:rsidTr="00FC3EA9">
        <w:trPr>
          <w:trHeight w:val="300"/>
        </w:trPr>
        <w:tc>
          <w:tcPr>
            <w:tcW w:w="817" w:type="pct"/>
            <w:shd w:val="clear" w:color="auto" w:fill="auto"/>
            <w:noWrap/>
            <w:vAlign w:val="bottom"/>
          </w:tcPr>
          <w:p w14:paraId="480BA005"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PMO</w:t>
            </w:r>
          </w:p>
        </w:tc>
        <w:tc>
          <w:tcPr>
            <w:tcW w:w="4183" w:type="pct"/>
            <w:shd w:val="clear" w:color="auto" w:fill="auto"/>
            <w:noWrap/>
            <w:vAlign w:val="bottom"/>
          </w:tcPr>
          <w:p w14:paraId="0106CAF8" w14:textId="5F6644A2"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Personnel Management Office</w:t>
            </w:r>
          </w:p>
        </w:tc>
      </w:tr>
      <w:tr w:rsidR="00D91825" w:rsidRPr="00477D8F" w14:paraId="71617B2C" w14:textId="77777777" w:rsidTr="00FC3EA9">
        <w:trPr>
          <w:trHeight w:val="300"/>
        </w:trPr>
        <w:tc>
          <w:tcPr>
            <w:tcW w:w="817" w:type="pct"/>
            <w:shd w:val="clear" w:color="auto" w:fill="auto"/>
            <w:noWrap/>
            <w:vAlign w:val="bottom"/>
          </w:tcPr>
          <w:p w14:paraId="690EE686"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PPP</w:t>
            </w:r>
          </w:p>
        </w:tc>
        <w:tc>
          <w:tcPr>
            <w:tcW w:w="4183" w:type="pct"/>
            <w:shd w:val="clear" w:color="auto" w:fill="auto"/>
            <w:noWrap/>
            <w:vAlign w:val="bottom"/>
          </w:tcPr>
          <w:p w14:paraId="7BAE8642" w14:textId="1BBEB2A5"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Public-Private Partnership</w:t>
            </w:r>
          </w:p>
        </w:tc>
      </w:tr>
      <w:tr w:rsidR="00D91825" w:rsidRPr="00477D8F" w14:paraId="0BC6F690" w14:textId="77777777" w:rsidTr="00FC3EA9">
        <w:trPr>
          <w:trHeight w:val="300"/>
        </w:trPr>
        <w:tc>
          <w:tcPr>
            <w:tcW w:w="817" w:type="pct"/>
            <w:shd w:val="clear" w:color="auto" w:fill="auto"/>
            <w:noWrap/>
            <w:vAlign w:val="bottom"/>
          </w:tcPr>
          <w:p w14:paraId="1AF14BDD"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RED</w:t>
            </w:r>
          </w:p>
        </w:tc>
        <w:tc>
          <w:tcPr>
            <w:tcW w:w="4183" w:type="pct"/>
            <w:shd w:val="clear" w:color="auto" w:fill="auto"/>
            <w:noWrap/>
            <w:vAlign w:val="bottom"/>
          </w:tcPr>
          <w:p w14:paraId="35F82598" w14:textId="7DD81E75"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Regional Educational Directorate</w:t>
            </w:r>
          </w:p>
        </w:tc>
      </w:tr>
      <w:tr w:rsidR="00D91825" w:rsidRPr="00477D8F" w14:paraId="732253A0" w14:textId="77777777" w:rsidTr="00FC3EA9">
        <w:trPr>
          <w:trHeight w:val="300"/>
        </w:trPr>
        <w:tc>
          <w:tcPr>
            <w:tcW w:w="817" w:type="pct"/>
            <w:shd w:val="clear" w:color="auto" w:fill="auto"/>
            <w:noWrap/>
            <w:vAlign w:val="bottom"/>
          </w:tcPr>
          <w:p w14:paraId="6AEDAA95"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SDG</w:t>
            </w:r>
          </w:p>
        </w:tc>
        <w:tc>
          <w:tcPr>
            <w:tcW w:w="4183" w:type="pct"/>
            <w:shd w:val="clear" w:color="auto" w:fill="auto"/>
            <w:noWrap/>
            <w:vAlign w:val="bottom"/>
          </w:tcPr>
          <w:p w14:paraId="3AB5FFC7" w14:textId="3B78D09C"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hAnsi="Sylfaen"/>
              </w:rPr>
              <w:t>Sustainable</w:t>
            </w:r>
            <w:r w:rsidRPr="00477D8F">
              <w:rPr>
                <w:rFonts w:ascii="Sylfaen" w:eastAsia="Times New Roman" w:hAnsi="Sylfaen" w:cs="Times New Roman"/>
                <w:bCs/>
                <w:color w:val="000000"/>
              </w:rPr>
              <w:t xml:space="preserve"> Development Goal</w:t>
            </w:r>
          </w:p>
        </w:tc>
      </w:tr>
      <w:tr w:rsidR="00D91825" w:rsidRPr="00477D8F" w14:paraId="7A99E32B" w14:textId="77777777" w:rsidTr="00FC3EA9">
        <w:trPr>
          <w:trHeight w:val="300"/>
        </w:trPr>
        <w:tc>
          <w:tcPr>
            <w:tcW w:w="817" w:type="pct"/>
            <w:shd w:val="clear" w:color="auto" w:fill="auto"/>
            <w:noWrap/>
            <w:vAlign w:val="bottom"/>
          </w:tcPr>
          <w:p w14:paraId="06EF1545"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SIP</w:t>
            </w:r>
          </w:p>
        </w:tc>
        <w:tc>
          <w:tcPr>
            <w:tcW w:w="4183" w:type="pct"/>
            <w:shd w:val="clear" w:color="auto" w:fill="auto"/>
            <w:noWrap/>
            <w:vAlign w:val="bottom"/>
          </w:tcPr>
          <w:p w14:paraId="1D0F9A29"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School Improvement Plan</w:t>
            </w:r>
          </w:p>
        </w:tc>
      </w:tr>
      <w:tr w:rsidR="00D91825" w:rsidRPr="00477D8F" w14:paraId="6543FA84" w14:textId="77777777" w:rsidTr="00FC3EA9">
        <w:trPr>
          <w:trHeight w:val="300"/>
        </w:trPr>
        <w:tc>
          <w:tcPr>
            <w:tcW w:w="817" w:type="pct"/>
            <w:shd w:val="clear" w:color="auto" w:fill="auto"/>
            <w:noWrap/>
            <w:vAlign w:val="bottom"/>
          </w:tcPr>
          <w:p w14:paraId="7CACE560"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SSA</w:t>
            </w:r>
          </w:p>
        </w:tc>
        <w:tc>
          <w:tcPr>
            <w:tcW w:w="4183" w:type="pct"/>
            <w:shd w:val="clear" w:color="auto" w:fill="auto"/>
            <w:noWrap/>
            <w:vAlign w:val="bottom"/>
          </w:tcPr>
          <w:p w14:paraId="0FE87E5A"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Sub-Saharan Africa</w:t>
            </w:r>
          </w:p>
        </w:tc>
      </w:tr>
      <w:tr w:rsidR="00D91825" w:rsidRPr="00477D8F" w14:paraId="1E61964C" w14:textId="77777777" w:rsidTr="00FC3EA9">
        <w:trPr>
          <w:trHeight w:val="300"/>
        </w:trPr>
        <w:tc>
          <w:tcPr>
            <w:tcW w:w="817" w:type="pct"/>
            <w:shd w:val="clear" w:color="auto" w:fill="auto"/>
            <w:noWrap/>
            <w:vAlign w:val="bottom"/>
          </w:tcPr>
          <w:p w14:paraId="7BEE8027"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SSE</w:t>
            </w:r>
          </w:p>
        </w:tc>
        <w:tc>
          <w:tcPr>
            <w:tcW w:w="4183" w:type="pct"/>
            <w:shd w:val="clear" w:color="auto" w:fill="auto"/>
            <w:noWrap/>
            <w:vAlign w:val="bottom"/>
          </w:tcPr>
          <w:p w14:paraId="07B74F15"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Senior Secondary Education</w:t>
            </w:r>
          </w:p>
        </w:tc>
      </w:tr>
      <w:tr w:rsidR="00D91825" w:rsidRPr="00477D8F" w14:paraId="2255ABB5" w14:textId="77777777" w:rsidTr="00FC3EA9">
        <w:trPr>
          <w:trHeight w:val="300"/>
        </w:trPr>
        <w:tc>
          <w:tcPr>
            <w:tcW w:w="817" w:type="pct"/>
            <w:shd w:val="clear" w:color="auto" w:fill="auto"/>
            <w:noWrap/>
            <w:vAlign w:val="bottom"/>
          </w:tcPr>
          <w:p w14:paraId="20CFA7E5"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SSS</w:t>
            </w:r>
          </w:p>
        </w:tc>
        <w:tc>
          <w:tcPr>
            <w:tcW w:w="4183" w:type="pct"/>
            <w:shd w:val="clear" w:color="auto" w:fill="auto"/>
            <w:noWrap/>
            <w:vAlign w:val="bottom"/>
          </w:tcPr>
          <w:p w14:paraId="5968BE34"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Senior Secondary School</w:t>
            </w:r>
          </w:p>
        </w:tc>
      </w:tr>
      <w:tr w:rsidR="00D91825" w:rsidRPr="00477D8F" w14:paraId="163CBBE4" w14:textId="77777777" w:rsidTr="00FC3EA9">
        <w:trPr>
          <w:trHeight w:val="300"/>
        </w:trPr>
        <w:tc>
          <w:tcPr>
            <w:tcW w:w="817" w:type="pct"/>
            <w:shd w:val="clear" w:color="auto" w:fill="auto"/>
            <w:noWrap/>
            <w:vAlign w:val="bottom"/>
          </w:tcPr>
          <w:p w14:paraId="4BA8F7EC"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STR</w:t>
            </w:r>
          </w:p>
        </w:tc>
        <w:tc>
          <w:tcPr>
            <w:tcW w:w="4183" w:type="pct"/>
            <w:shd w:val="clear" w:color="auto" w:fill="auto"/>
            <w:noWrap/>
            <w:vAlign w:val="bottom"/>
          </w:tcPr>
          <w:p w14:paraId="2C3C0947" w14:textId="24E7BBC1"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Student-Teacher Ratio</w:t>
            </w:r>
          </w:p>
        </w:tc>
      </w:tr>
      <w:tr w:rsidR="00A71E11" w:rsidRPr="00477D8F" w14:paraId="25772B15" w14:textId="77777777" w:rsidTr="00FC3EA9">
        <w:trPr>
          <w:trHeight w:val="300"/>
        </w:trPr>
        <w:tc>
          <w:tcPr>
            <w:tcW w:w="817" w:type="pct"/>
            <w:shd w:val="clear" w:color="auto" w:fill="auto"/>
            <w:noWrap/>
            <w:vAlign w:val="bottom"/>
          </w:tcPr>
          <w:p w14:paraId="0A173590" w14:textId="670CB5E0" w:rsidR="00A71E11" w:rsidRPr="00477D8F" w:rsidRDefault="00A71E11"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TFR</w:t>
            </w:r>
          </w:p>
        </w:tc>
        <w:tc>
          <w:tcPr>
            <w:tcW w:w="4183" w:type="pct"/>
            <w:shd w:val="clear" w:color="auto" w:fill="auto"/>
            <w:noWrap/>
            <w:vAlign w:val="bottom"/>
          </w:tcPr>
          <w:p w14:paraId="376E81D2" w14:textId="3EC80294" w:rsidR="00A71E11" w:rsidRPr="00477D8F" w:rsidRDefault="00A71E11"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Total Fertility Rate</w:t>
            </w:r>
          </w:p>
        </w:tc>
      </w:tr>
      <w:tr w:rsidR="00D91825" w:rsidRPr="00477D8F" w14:paraId="181D6685" w14:textId="77777777" w:rsidTr="00FC3EA9">
        <w:trPr>
          <w:trHeight w:val="300"/>
        </w:trPr>
        <w:tc>
          <w:tcPr>
            <w:tcW w:w="817" w:type="pct"/>
            <w:shd w:val="clear" w:color="auto" w:fill="auto"/>
            <w:noWrap/>
            <w:vAlign w:val="bottom"/>
          </w:tcPr>
          <w:p w14:paraId="3300DE2A"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TVET</w:t>
            </w:r>
          </w:p>
        </w:tc>
        <w:tc>
          <w:tcPr>
            <w:tcW w:w="4183" w:type="pct"/>
            <w:shd w:val="clear" w:color="auto" w:fill="auto"/>
            <w:noWrap/>
            <w:vAlign w:val="bottom"/>
          </w:tcPr>
          <w:p w14:paraId="4357BDE9"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Technical and Vocational Education Training</w:t>
            </w:r>
          </w:p>
        </w:tc>
      </w:tr>
      <w:tr w:rsidR="00D91825" w:rsidRPr="00477D8F" w14:paraId="7CB1A69B" w14:textId="77777777" w:rsidTr="00FC3EA9">
        <w:trPr>
          <w:trHeight w:val="300"/>
        </w:trPr>
        <w:tc>
          <w:tcPr>
            <w:tcW w:w="817" w:type="pct"/>
            <w:shd w:val="clear" w:color="auto" w:fill="auto"/>
            <w:noWrap/>
            <w:vAlign w:val="bottom"/>
          </w:tcPr>
          <w:p w14:paraId="570A8ACB" w14:textId="511A3213"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UBE</w:t>
            </w:r>
          </w:p>
        </w:tc>
        <w:tc>
          <w:tcPr>
            <w:tcW w:w="4183" w:type="pct"/>
            <w:shd w:val="clear" w:color="auto" w:fill="auto"/>
            <w:noWrap/>
            <w:vAlign w:val="bottom"/>
          </w:tcPr>
          <w:p w14:paraId="4A7B712D" w14:textId="74FFDAF1"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bCs/>
                <w:color w:val="000000"/>
              </w:rPr>
              <w:t>Upper Basic Education</w:t>
            </w:r>
          </w:p>
        </w:tc>
      </w:tr>
      <w:tr w:rsidR="00D91825" w:rsidRPr="00477D8F" w14:paraId="0F005E89" w14:textId="77777777" w:rsidTr="00FC3EA9">
        <w:trPr>
          <w:trHeight w:val="300"/>
        </w:trPr>
        <w:tc>
          <w:tcPr>
            <w:tcW w:w="817" w:type="pct"/>
            <w:shd w:val="clear" w:color="auto" w:fill="auto"/>
            <w:noWrap/>
            <w:vAlign w:val="bottom"/>
          </w:tcPr>
          <w:p w14:paraId="02B874F0" w14:textId="167F39CD"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UBS</w:t>
            </w:r>
          </w:p>
        </w:tc>
        <w:tc>
          <w:tcPr>
            <w:tcW w:w="4183" w:type="pct"/>
            <w:shd w:val="clear" w:color="auto" w:fill="auto"/>
            <w:noWrap/>
            <w:vAlign w:val="bottom"/>
          </w:tcPr>
          <w:p w14:paraId="796ABDCD" w14:textId="29D936D4"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bCs/>
                <w:color w:val="000000"/>
              </w:rPr>
              <w:t>Upper Basic School</w:t>
            </w:r>
          </w:p>
        </w:tc>
      </w:tr>
      <w:tr w:rsidR="00D91825" w:rsidRPr="00477D8F" w14:paraId="26C41C2B" w14:textId="77777777" w:rsidTr="00FC3EA9">
        <w:trPr>
          <w:trHeight w:val="300"/>
        </w:trPr>
        <w:tc>
          <w:tcPr>
            <w:tcW w:w="817" w:type="pct"/>
            <w:shd w:val="clear" w:color="auto" w:fill="auto"/>
            <w:noWrap/>
            <w:vAlign w:val="bottom"/>
          </w:tcPr>
          <w:p w14:paraId="3AF2ABBF"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UIS</w:t>
            </w:r>
          </w:p>
        </w:tc>
        <w:tc>
          <w:tcPr>
            <w:tcW w:w="4183" w:type="pct"/>
            <w:shd w:val="clear" w:color="auto" w:fill="auto"/>
            <w:noWrap/>
            <w:vAlign w:val="bottom"/>
          </w:tcPr>
          <w:p w14:paraId="0AB39768" w14:textId="3AE2C845"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color w:val="000000"/>
              </w:rPr>
              <w:t xml:space="preserve">UNESCO </w:t>
            </w:r>
            <w:r w:rsidRPr="00477D8F">
              <w:rPr>
                <w:rFonts w:ascii="Sylfaen" w:eastAsia="Times New Roman" w:hAnsi="Sylfaen" w:cs="Times New Roman"/>
                <w:bCs/>
                <w:color w:val="000000"/>
              </w:rPr>
              <w:t>Institute of Statistics</w:t>
            </w:r>
          </w:p>
        </w:tc>
      </w:tr>
      <w:tr w:rsidR="00D91825" w:rsidRPr="00477D8F" w14:paraId="6A89AAFD" w14:textId="77777777" w:rsidTr="00FC3EA9">
        <w:trPr>
          <w:trHeight w:val="300"/>
        </w:trPr>
        <w:tc>
          <w:tcPr>
            <w:tcW w:w="817" w:type="pct"/>
            <w:shd w:val="clear" w:color="auto" w:fill="auto"/>
            <w:noWrap/>
            <w:vAlign w:val="bottom"/>
          </w:tcPr>
          <w:p w14:paraId="4C79579D"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UNDP</w:t>
            </w:r>
          </w:p>
        </w:tc>
        <w:tc>
          <w:tcPr>
            <w:tcW w:w="4183" w:type="pct"/>
            <w:shd w:val="clear" w:color="auto" w:fill="auto"/>
            <w:noWrap/>
            <w:vAlign w:val="bottom"/>
          </w:tcPr>
          <w:p w14:paraId="66231280"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United Nations Development Programme</w:t>
            </w:r>
          </w:p>
        </w:tc>
      </w:tr>
      <w:tr w:rsidR="00D91825" w:rsidRPr="00477D8F" w14:paraId="314EF4D9" w14:textId="77777777" w:rsidTr="00FC3EA9">
        <w:trPr>
          <w:trHeight w:val="300"/>
        </w:trPr>
        <w:tc>
          <w:tcPr>
            <w:tcW w:w="817" w:type="pct"/>
            <w:shd w:val="clear" w:color="auto" w:fill="auto"/>
            <w:noWrap/>
            <w:vAlign w:val="bottom"/>
          </w:tcPr>
          <w:p w14:paraId="30776272" w14:textId="33016B38"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hAnsi="Sylfaen" w:cstheme="majorBidi"/>
              </w:rPr>
              <w:t>UNESCO</w:t>
            </w:r>
          </w:p>
        </w:tc>
        <w:tc>
          <w:tcPr>
            <w:tcW w:w="4183" w:type="pct"/>
            <w:shd w:val="clear" w:color="auto" w:fill="auto"/>
            <w:noWrap/>
            <w:vAlign w:val="bottom"/>
          </w:tcPr>
          <w:p w14:paraId="6F086D1D" w14:textId="1248B8B6"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United Nations Educational, Scientific, and Cultural Organization</w:t>
            </w:r>
          </w:p>
        </w:tc>
      </w:tr>
      <w:tr w:rsidR="00D91825" w:rsidRPr="00477D8F" w14:paraId="61A53991" w14:textId="77777777" w:rsidTr="00FC3EA9">
        <w:trPr>
          <w:trHeight w:val="300"/>
        </w:trPr>
        <w:tc>
          <w:tcPr>
            <w:tcW w:w="817" w:type="pct"/>
            <w:shd w:val="clear" w:color="auto" w:fill="auto"/>
            <w:noWrap/>
            <w:vAlign w:val="bottom"/>
          </w:tcPr>
          <w:p w14:paraId="1D07433F"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UTG</w:t>
            </w:r>
          </w:p>
        </w:tc>
        <w:tc>
          <w:tcPr>
            <w:tcW w:w="4183" w:type="pct"/>
            <w:shd w:val="clear" w:color="auto" w:fill="auto"/>
            <w:noWrap/>
            <w:vAlign w:val="bottom"/>
          </w:tcPr>
          <w:p w14:paraId="3AAB88A0"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University of The Gambia</w:t>
            </w:r>
          </w:p>
        </w:tc>
      </w:tr>
      <w:tr w:rsidR="00D91825" w:rsidRPr="00477D8F" w14:paraId="6C4B58EF" w14:textId="77777777" w:rsidTr="00FC3EA9">
        <w:trPr>
          <w:trHeight w:val="300"/>
        </w:trPr>
        <w:tc>
          <w:tcPr>
            <w:tcW w:w="817" w:type="pct"/>
            <w:shd w:val="clear" w:color="auto" w:fill="auto"/>
            <w:noWrap/>
            <w:vAlign w:val="bottom"/>
          </w:tcPr>
          <w:p w14:paraId="1A9E488B"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WAEC</w:t>
            </w:r>
          </w:p>
        </w:tc>
        <w:tc>
          <w:tcPr>
            <w:tcW w:w="4183" w:type="pct"/>
            <w:shd w:val="clear" w:color="auto" w:fill="auto"/>
            <w:noWrap/>
            <w:vAlign w:val="bottom"/>
          </w:tcPr>
          <w:p w14:paraId="4551C04E"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West African Examination Council</w:t>
            </w:r>
          </w:p>
        </w:tc>
      </w:tr>
      <w:tr w:rsidR="00D91825" w:rsidRPr="00477D8F" w14:paraId="0E6C6E4C" w14:textId="77777777" w:rsidTr="00FC3EA9">
        <w:trPr>
          <w:trHeight w:val="300"/>
        </w:trPr>
        <w:tc>
          <w:tcPr>
            <w:tcW w:w="817" w:type="pct"/>
            <w:shd w:val="clear" w:color="auto" w:fill="auto"/>
            <w:noWrap/>
            <w:vAlign w:val="bottom"/>
          </w:tcPr>
          <w:p w14:paraId="219FB88B"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WASSCE</w:t>
            </w:r>
          </w:p>
        </w:tc>
        <w:tc>
          <w:tcPr>
            <w:tcW w:w="4183" w:type="pct"/>
            <w:shd w:val="clear" w:color="auto" w:fill="auto"/>
            <w:noWrap/>
            <w:vAlign w:val="bottom"/>
          </w:tcPr>
          <w:p w14:paraId="07777FBF" w14:textId="77777777"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West African Secondary School Certificate Examinations</w:t>
            </w:r>
          </w:p>
        </w:tc>
      </w:tr>
      <w:tr w:rsidR="00D91825" w:rsidRPr="00477D8F" w14:paraId="6B15B51E" w14:textId="77777777" w:rsidTr="00FC3EA9">
        <w:trPr>
          <w:trHeight w:val="300"/>
        </w:trPr>
        <w:tc>
          <w:tcPr>
            <w:tcW w:w="817" w:type="pct"/>
            <w:shd w:val="clear" w:color="auto" w:fill="auto"/>
            <w:noWrap/>
            <w:vAlign w:val="bottom"/>
          </w:tcPr>
          <w:p w14:paraId="4EF77AEE" w14:textId="77777777" w:rsidR="00D91825" w:rsidRPr="00477D8F" w:rsidRDefault="00D91825" w:rsidP="00D91825">
            <w:pPr>
              <w:spacing w:after="0" w:line="240" w:lineRule="auto"/>
              <w:jc w:val="both"/>
              <w:rPr>
                <w:rFonts w:ascii="Sylfaen" w:eastAsia="Times New Roman" w:hAnsi="Sylfaen" w:cs="Times New Roman"/>
                <w:color w:val="000000"/>
              </w:rPr>
            </w:pPr>
            <w:r w:rsidRPr="00477D8F">
              <w:rPr>
                <w:rFonts w:ascii="Sylfaen" w:eastAsia="Times New Roman" w:hAnsi="Sylfaen" w:cs="Times New Roman"/>
                <w:color w:val="000000"/>
              </w:rPr>
              <w:t>WDI</w:t>
            </w:r>
          </w:p>
        </w:tc>
        <w:tc>
          <w:tcPr>
            <w:tcW w:w="4183" w:type="pct"/>
            <w:shd w:val="clear" w:color="auto" w:fill="auto"/>
            <w:noWrap/>
            <w:vAlign w:val="bottom"/>
          </w:tcPr>
          <w:p w14:paraId="0733D8ED" w14:textId="61B9C55C" w:rsidR="00D91825" w:rsidRPr="00477D8F" w:rsidRDefault="00D91825" w:rsidP="00D91825">
            <w:pPr>
              <w:spacing w:after="0" w:line="240" w:lineRule="auto"/>
              <w:jc w:val="both"/>
              <w:rPr>
                <w:rFonts w:ascii="Sylfaen" w:eastAsia="Times New Roman" w:hAnsi="Sylfaen" w:cs="Times New Roman"/>
                <w:bCs/>
                <w:color w:val="000000"/>
              </w:rPr>
            </w:pPr>
            <w:r w:rsidRPr="00477D8F">
              <w:rPr>
                <w:rFonts w:ascii="Sylfaen" w:eastAsia="Times New Roman" w:hAnsi="Sylfaen" w:cs="Times New Roman"/>
                <w:bCs/>
                <w:color w:val="000000"/>
              </w:rPr>
              <w:t>World Development Indicators</w:t>
            </w:r>
          </w:p>
        </w:tc>
      </w:tr>
    </w:tbl>
    <w:p w14:paraId="428A63C4" w14:textId="5020B4E8" w:rsidR="00DE3A45" w:rsidRPr="00477D8F" w:rsidRDefault="00DE3A45" w:rsidP="008261B8">
      <w:pPr>
        <w:jc w:val="both"/>
        <w:rPr>
          <w:rStyle w:val="Heading1Char"/>
          <w:rFonts w:cs="Arial"/>
          <w:b/>
          <w:color w:val="auto"/>
          <w:sz w:val="22"/>
          <w:szCs w:val="22"/>
        </w:rPr>
      </w:pPr>
    </w:p>
    <w:tbl>
      <w:tblPr>
        <w:tblpPr w:leftFromText="187" w:rightFromText="187" w:horzAnchor="margin" w:tblpXSpec="center" w:tblpYSpec="bottom"/>
        <w:tblW w:w="9180" w:type="dxa"/>
        <w:tblLook w:val="04A0" w:firstRow="1" w:lastRow="0" w:firstColumn="1" w:lastColumn="0" w:noHBand="0" w:noVBand="1"/>
      </w:tblPr>
      <w:tblGrid>
        <w:gridCol w:w="4310"/>
        <w:gridCol w:w="4870"/>
      </w:tblGrid>
      <w:tr w:rsidR="00DE3A45" w:rsidRPr="00477D8F" w14:paraId="5A77A5EA" w14:textId="77777777" w:rsidTr="00DE3A45">
        <w:trPr>
          <w:trHeight w:val="300"/>
        </w:trPr>
        <w:tc>
          <w:tcPr>
            <w:tcW w:w="4310" w:type="dxa"/>
            <w:tcBorders>
              <w:top w:val="single" w:sz="8" w:space="0" w:color="auto"/>
              <w:left w:val="single" w:sz="8" w:space="0" w:color="auto"/>
              <w:bottom w:val="nil"/>
              <w:right w:val="nil"/>
            </w:tcBorders>
            <w:shd w:val="clear" w:color="auto" w:fill="auto"/>
            <w:noWrap/>
            <w:vAlign w:val="center"/>
            <w:hideMark/>
          </w:tcPr>
          <w:p w14:paraId="2804C11B" w14:textId="77777777" w:rsidR="00DE3A45" w:rsidRPr="00477D8F" w:rsidRDefault="00DE3A45" w:rsidP="00DE3A45">
            <w:pPr>
              <w:spacing w:after="0" w:line="240" w:lineRule="auto"/>
              <w:jc w:val="right"/>
              <w:rPr>
                <w:rFonts w:ascii="Sylfaen" w:eastAsia="Times New Roman" w:hAnsi="Sylfaen" w:cs="Times New Roman"/>
                <w:color w:val="000000"/>
              </w:rPr>
            </w:pPr>
            <w:r w:rsidRPr="00477D8F">
              <w:rPr>
                <w:rFonts w:ascii="Sylfaen" w:eastAsia="Times New Roman" w:hAnsi="Sylfaen" w:cs="Times-Roman"/>
                <w:color w:val="000000"/>
              </w:rPr>
              <w:t>Vice President:</w:t>
            </w:r>
          </w:p>
        </w:tc>
        <w:tc>
          <w:tcPr>
            <w:tcW w:w="4870" w:type="dxa"/>
            <w:tcBorders>
              <w:top w:val="single" w:sz="8" w:space="0" w:color="auto"/>
              <w:left w:val="nil"/>
              <w:bottom w:val="nil"/>
              <w:right w:val="single" w:sz="8" w:space="0" w:color="auto"/>
            </w:tcBorders>
            <w:shd w:val="clear" w:color="auto" w:fill="auto"/>
            <w:noWrap/>
            <w:vAlign w:val="center"/>
            <w:hideMark/>
          </w:tcPr>
          <w:p w14:paraId="5970E114" w14:textId="77777777" w:rsidR="00DE3A45" w:rsidRPr="00477D8F" w:rsidRDefault="00DE3A45" w:rsidP="00DE3A45">
            <w:pPr>
              <w:spacing w:after="0" w:line="240" w:lineRule="auto"/>
              <w:rPr>
                <w:rFonts w:ascii="Sylfaen" w:eastAsia="Times New Roman" w:hAnsi="Sylfaen" w:cs="Times New Roman"/>
                <w:color w:val="000000"/>
              </w:rPr>
            </w:pPr>
            <w:r w:rsidRPr="00477D8F">
              <w:rPr>
                <w:rFonts w:ascii="Sylfaen" w:eastAsia="Times New Roman" w:hAnsi="Sylfaen" w:cs="Times-Roman"/>
                <w:color w:val="000000"/>
              </w:rPr>
              <w:t xml:space="preserve">Makhtar Diop </w:t>
            </w:r>
          </w:p>
        </w:tc>
      </w:tr>
      <w:tr w:rsidR="00DE3A45" w:rsidRPr="00477D8F" w14:paraId="3BEF5CE9" w14:textId="77777777" w:rsidTr="00DE3A45">
        <w:trPr>
          <w:trHeight w:val="300"/>
        </w:trPr>
        <w:tc>
          <w:tcPr>
            <w:tcW w:w="4310" w:type="dxa"/>
            <w:tcBorders>
              <w:top w:val="nil"/>
              <w:left w:val="single" w:sz="8" w:space="0" w:color="auto"/>
              <w:bottom w:val="nil"/>
              <w:right w:val="nil"/>
            </w:tcBorders>
            <w:shd w:val="clear" w:color="auto" w:fill="auto"/>
            <w:noWrap/>
            <w:vAlign w:val="center"/>
            <w:hideMark/>
          </w:tcPr>
          <w:p w14:paraId="3B24E031" w14:textId="77777777" w:rsidR="00DE3A45" w:rsidRPr="00477D8F" w:rsidRDefault="00DE3A45" w:rsidP="00DE3A45">
            <w:pPr>
              <w:spacing w:after="0" w:line="240" w:lineRule="auto"/>
              <w:jc w:val="right"/>
              <w:rPr>
                <w:rFonts w:ascii="Sylfaen" w:eastAsia="Times New Roman" w:hAnsi="Sylfaen" w:cs="Times New Roman"/>
                <w:color w:val="000000"/>
              </w:rPr>
            </w:pPr>
            <w:r w:rsidRPr="00477D8F">
              <w:rPr>
                <w:rFonts w:ascii="Sylfaen" w:eastAsia="Times New Roman" w:hAnsi="Sylfaen" w:cs="Times-Roman"/>
                <w:color w:val="000000"/>
              </w:rPr>
              <w:t>Country Director:</w:t>
            </w:r>
          </w:p>
        </w:tc>
        <w:tc>
          <w:tcPr>
            <w:tcW w:w="4870" w:type="dxa"/>
            <w:tcBorders>
              <w:top w:val="nil"/>
              <w:left w:val="nil"/>
              <w:bottom w:val="nil"/>
              <w:right w:val="single" w:sz="8" w:space="0" w:color="auto"/>
            </w:tcBorders>
            <w:shd w:val="clear" w:color="auto" w:fill="auto"/>
            <w:noWrap/>
            <w:vAlign w:val="center"/>
            <w:hideMark/>
          </w:tcPr>
          <w:p w14:paraId="10B99E02" w14:textId="77777777" w:rsidR="00DE3A45" w:rsidRPr="00477D8F" w:rsidRDefault="00DE3A45" w:rsidP="00DE3A45">
            <w:pPr>
              <w:spacing w:after="0" w:line="240" w:lineRule="auto"/>
              <w:rPr>
                <w:rFonts w:ascii="Sylfaen" w:eastAsia="Times New Roman" w:hAnsi="Sylfaen" w:cs="Times New Roman"/>
                <w:color w:val="000000"/>
              </w:rPr>
            </w:pPr>
            <w:r w:rsidRPr="00477D8F">
              <w:rPr>
                <w:rFonts w:ascii="Sylfaen" w:eastAsia="Times New Roman" w:hAnsi="Sylfaen" w:cs="Times-Roman"/>
                <w:color w:val="000000"/>
              </w:rPr>
              <w:t>Louise J. Cord</w:t>
            </w:r>
          </w:p>
        </w:tc>
      </w:tr>
      <w:tr w:rsidR="00DE3A45" w:rsidRPr="00477D8F" w14:paraId="1D98017A" w14:textId="77777777" w:rsidTr="00DE3A45">
        <w:trPr>
          <w:trHeight w:val="300"/>
        </w:trPr>
        <w:tc>
          <w:tcPr>
            <w:tcW w:w="4310" w:type="dxa"/>
            <w:tcBorders>
              <w:top w:val="nil"/>
              <w:left w:val="single" w:sz="8" w:space="0" w:color="auto"/>
              <w:bottom w:val="nil"/>
              <w:right w:val="nil"/>
            </w:tcBorders>
            <w:shd w:val="clear" w:color="auto" w:fill="auto"/>
            <w:noWrap/>
            <w:vAlign w:val="center"/>
            <w:hideMark/>
          </w:tcPr>
          <w:p w14:paraId="68CC3A99" w14:textId="77777777" w:rsidR="00DE3A45" w:rsidRPr="00477D8F" w:rsidRDefault="00DE3A45" w:rsidP="00DE3A45">
            <w:pPr>
              <w:spacing w:after="0" w:line="240" w:lineRule="auto"/>
              <w:jc w:val="right"/>
              <w:rPr>
                <w:rFonts w:ascii="Sylfaen" w:eastAsia="Times New Roman" w:hAnsi="Sylfaen" w:cs="Times New Roman"/>
                <w:color w:val="000000"/>
              </w:rPr>
            </w:pPr>
            <w:r w:rsidRPr="00477D8F">
              <w:rPr>
                <w:rFonts w:ascii="Sylfaen" w:eastAsia="Times New Roman" w:hAnsi="Sylfaen" w:cs="Times-Roman"/>
                <w:color w:val="000000"/>
              </w:rPr>
              <w:t>Senior Director:</w:t>
            </w:r>
          </w:p>
        </w:tc>
        <w:tc>
          <w:tcPr>
            <w:tcW w:w="4870" w:type="dxa"/>
            <w:tcBorders>
              <w:top w:val="nil"/>
              <w:left w:val="nil"/>
              <w:bottom w:val="nil"/>
              <w:right w:val="single" w:sz="8" w:space="0" w:color="auto"/>
            </w:tcBorders>
            <w:shd w:val="clear" w:color="auto" w:fill="auto"/>
            <w:noWrap/>
            <w:vAlign w:val="center"/>
            <w:hideMark/>
          </w:tcPr>
          <w:p w14:paraId="7DF0E542" w14:textId="77777777" w:rsidR="00DE3A45" w:rsidRPr="00477D8F" w:rsidRDefault="00DE3A45" w:rsidP="00DE3A45">
            <w:pPr>
              <w:spacing w:after="0" w:line="240" w:lineRule="auto"/>
              <w:rPr>
                <w:rFonts w:ascii="Sylfaen" w:eastAsia="Times New Roman" w:hAnsi="Sylfaen" w:cs="Times-Roman"/>
                <w:color w:val="000000"/>
              </w:rPr>
            </w:pPr>
            <w:r w:rsidRPr="00477D8F">
              <w:rPr>
                <w:rFonts w:ascii="Sylfaen" w:eastAsia="Times New Roman" w:hAnsi="Sylfaen" w:cs="Times-Roman"/>
                <w:color w:val="000000"/>
              </w:rPr>
              <w:t>Jaime Saavedra</w:t>
            </w:r>
          </w:p>
        </w:tc>
      </w:tr>
      <w:tr w:rsidR="00DE3A45" w:rsidRPr="00477D8F" w14:paraId="74353051" w14:textId="77777777" w:rsidTr="00DE3A45">
        <w:trPr>
          <w:trHeight w:val="300"/>
        </w:trPr>
        <w:tc>
          <w:tcPr>
            <w:tcW w:w="4310" w:type="dxa"/>
            <w:tcBorders>
              <w:top w:val="nil"/>
              <w:left w:val="single" w:sz="8" w:space="0" w:color="auto"/>
              <w:bottom w:val="nil"/>
              <w:right w:val="nil"/>
            </w:tcBorders>
            <w:shd w:val="clear" w:color="auto" w:fill="auto"/>
            <w:noWrap/>
            <w:vAlign w:val="center"/>
            <w:hideMark/>
          </w:tcPr>
          <w:p w14:paraId="6B7D5965" w14:textId="77777777" w:rsidR="00DE3A45" w:rsidRPr="00477D8F" w:rsidRDefault="00DE3A45" w:rsidP="00DE3A45">
            <w:pPr>
              <w:spacing w:after="0" w:line="240" w:lineRule="auto"/>
              <w:jc w:val="right"/>
              <w:rPr>
                <w:rFonts w:ascii="Sylfaen" w:eastAsia="Times New Roman" w:hAnsi="Sylfaen" w:cs="Times New Roman"/>
                <w:color w:val="000000"/>
              </w:rPr>
            </w:pPr>
            <w:r w:rsidRPr="00477D8F">
              <w:rPr>
                <w:rFonts w:ascii="Sylfaen" w:eastAsia="Times New Roman" w:hAnsi="Sylfaen" w:cs="Times-Roman"/>
                <w:color w:val="000000"/>
              </w:rPr>
              <w:t>Director:</w:t>
            </w:r>
          </w:p>
        </w:tc>
        <w:tc>
          <w:tcPr>
            <w:tcW w:w="4870" w:type="dxa"/>
            <w:tcBorders>
              <w:top w:val="nil"/>
              <w:left w:val="nil"/>
              <w:bottom w:val="nil"/>
              <w:right w:val="single" w:sz="8" w:space="0" w:color="auto"/>
            </w:tcBorders>
            <w:shd w:val="clear" w:color="auto" w:fill="auto"/>
            <w:noWrap/>
            <w:vAlign w:val="center"/>
            <w:hideMark/>
          </w:tcPr>
          <w:p w14:paraId="42DB5ABF" w14:textId="77777777" w:rsidR="00DE3A45" w:rsidRPr="00477D8F" w:rsidRDefault="00DE3A45" w:rsidP="00DE3A45">
            <w:pPr>
              <w:spacing w:after="0" w:line="240" w:lineRule="auto"/>
              <w:rPr>
                <w:rFonts w:ascii="Sylfaen" w:eastAsia="Times New Roman" w:hAnsi="Sylfaen" w:cs="Times-Roman"/>
                <w:color w:val="000000"/>
              </w:rPr>
            </w:pPr>
            <w:r w:rsidRPr="00477D8F">
              <w:rPr>
                <w:rFonts w:ascii="Sylfaen" w:eastAsia="Times New Roman" w:hAnsi="Sylfaen" w:cs="Times-Roman"/>
                <w:color w:val="000000"/>
              </w:rPr>
              <w:t>Luis Benveniste</w:t>
            </w:r>
          </w:p>
        </w:tc>
      </w:tr>
      <w:tr w:rsidR="00DE3A45" w:rsidRPr="00477D8F" w14:paraId="5E157143" w14:textId="77777777" w:rsidTr="00DE3A45">
        <w:trPr>
          <w:trHeight w:val="300"/>
        </w:trPr>
        <w:tc>
          <w:tcPr>
            <w:tcW w:w="4310" w:type="dxa"/>
            <w:tcBorders>
              <w:top w:val="nil"/>
              <w:left w:val="single" w:sz="8" w:space="0" w:color="auto"/>
              <w:bottom w:val="nil"/>
              <w:right w:val="nil"/>
            </w:tcBorders>
            <w:shd w:val="clear" w:color="auto" w:fill="auto"/>
            <w:noWrap/>
            <w:vAlign w:val="center"/>
            <w:hideMark/>
          </w:tcPr>
          <w:p w14:paraId="378B98F3" w14:textId="77777777" w:rsidR="00DE3A45" w:rsidRPr="00477D8F" w:rsidRDefault="00DE3A45" w:rsidP="00DE3A45">
            <w:pPr>
              <w:spacing w:after="0" w:line="240" w:lineRule="auto"/>
              <w:jc w:val="right"/>
              <w:rPr>
                <w:rFonts w:ascii="Sylfaen" w:eastAsia="Times New Roman" w:hAnsi="Sylfaen" w:cs="Times New Roman"/>
                <w:color w:val="000000"/>
              </w:rPr>
            </w:pPr>
            <w:r w:rsidRPr="00477D8F">
              <w:rPr>
                <w:rFonts w:ascii="Sylfaen" w:eastAsia="Times New Roman" w:hAnsi="Sylfaen" w:cs="Times-Roman"/>
                <w:color w:val="000000"/>
              </w:rPr>
              <w:t>Practice Manager:</w:t>
            </w:r>
          </w:p>
        </w:tc>
        <w:tc>
          <w:tcPr>
            <w:tcW w:w="4870" w:type="dxa"/>
            <w:tcBorders>
              <w:top w:val="nil"/>
              <w:left w:val="nil"/>
              <w:bottom w:val="nil"/>
              <w:right w:val="single" w:sz="8" w:space="0" w:color="auto"/>
            </w:tcBorders>
            <w:shd w:val="clear" w:color="auto" w:fill="auto"/>
            <w:noWrap/>
            <w:vAlign w:val="center"/>
            <w:hideMark/>
          </w:tcPr>
          <w:p w14:paraId="01777022" w14:textId="77777777" w:rsidR="00DE3A45" w:rsidRPr="00477D8F" w:rsidRDefault="00DE3A45" w:rsidP="00DE3A45">
            <w:pPr>
              <w:spacing w:after="0" w:line="240" w:lineRule="auto"/>
              <w:rPr>
                <w:rFonts w:ascii="Sylfaen" w:eastAsia="Times New Roman" w:hAnsi="Sylfaen" w:cs="Times New Roman"/>
                <w:color w:val="000000"/>
              </w:rPr>
            </w:pPr>
            <w:r w:rsidRPr="00477D8F">
              <w:rPr>
                <w:rFonts w:ascii="Sylfaen" w:eastAsia="Times New Roman" w:hAnsi="Sylfaen" w:cs="Times-Roman"/>
                <w:color w:val="000000"/>
              </w:rPr>
              <w:t>Meskerem Mulatu</w:t>
            </w:r>
          </w:p>
        </w:tc>
      </w:tr>
      <w:tr w:rsidR="00DE3A45" w:rsidRPr="00477D8F" w14:paraId="25C1E671" w14:textId="77777777" w:rsidTr="00DE3A45">
        <w:trPr>
          <w:trHeight w:val="315"/>
        </w:trPr>
        <w:tc>
          <w:tcPr>
            <w:tcW w:w="4310" w:type="dxa"/>
            <w:tcBorders>
              <w:top w:val="nil"/>
              <w:left w:val="single" w:sz="8" w:space="0" w:color="auto"/>
              <w:bottom w:val="single" w:sz="8" w:space="0" w:color="auto"/>
              <w:right w:val="nil"/>
            </w:tcBorders>
            <w:shd w:val="clear" w:color="auto" w:fill="auto"/>
            <w:noWrap/>
            <w:vAlign w:val="center"/>
            <w:hideMark/>
          </w:tcPr>
          <w:p w14:paraId="77A6F7EC" w14:textId="77777777" w:rsidR="00DE3A45" w:rsidRPr="00477D8F" w:rsidRDefault="00DE3A45" w:rsidP="00DE3A45">
            <w:pPr>
              <w:spacing w:after="0" w:line="240" w:lineRule="auto"/>
              <w:jc w:val="right"/>
              <w:rPr>
                <w:rFonts w:ascii="Sylfaen" w:eastAsia="Times New Roman" w:hAnsi="Sylfaen" w:cs="Times New Roman"/>
                <w:color w:val="000000"/>
              </w:rPr>
            </w:pPr>
            <w:r w:rsidRPr="00477D8F">
              <w:rPr>
                <w:rFonts w:ascii="Sylfaen" w:eastAsia="Times New Roman" w:hAnsi="Sylfaen" w:cs="Times-Roman"/>
                <w:color w:val="000000"/>
              </w:rPr>
              <w:t>Task Team Leaders:</w:t>
            </w:r>
          </w:p>
        </w:tc>
        <w:tc>
          <w:tcPr>
            <w:tcW w:w="4870" w:type="dxa"/>
            <w:tcBorders>
              <w:top w:val="nil"/>
              <w:left w:val="nil"/>
              <w:bottom w:val="single" w:sz="8" w:space="0" w:color="auto"/>
              <w:right w:val="single" w:sz="8" w:space="0" w:color="auto"/>
            </w:tcBorders>
            <w:shd w:val="clear" w:color="auto" w:fill="auto"/>
            <w:noWrap/>
            <w:vAlign w:val="center"/>
            <w:hideMark/>
          </w:tcPr>
          <w:p w14:paraId="5B820335" w14:textId="77777777" w:rsidR="00DE3A45" w:rsidRPr="00477D8F" w:rsidRDefault="00DE3A45" w:rsidP="00DE3A45">
            <w:pPr>
              <w:spacing w:after="0" w:line="240" w:lineRule="auto"/>
              <w:rPr>
                <w:rFonts w:ascii="Sylfaen" w:eastAsia="Times New Roman" w:hAnsi="Sylfaen" w:cs="Times New Roman"/>
                <w:color w:val="000000"/>
              </w:rPr>
            </w:pPr>
            <w:r w:rsidRPr="00477D8F">
              <w:rPr>
                <w:rFonts w:ascii="Sylfaen" w:eastAsia="Times New Roman" w:hAnsi="Sylfaen" w:cs="Times-Roman"/>
                <w:color w:val="000000"/>
              </w:rPr>
              <w:t>Ryoko Tomita and Kebede Feda</w:t>
            </w:r>
          </w:p>
        </w:tc>
      </w:tr>
    </w:tbl>
    <w:p w14:paraId="142B99B4" w14:textId="77777777" w:rsidR="001A550D" w:rsidRPr="00477D8F" w:rsidRDefault="001A550D" w:rsidP="00DE3A45">
      <w:pPr>
        <w:rPr>
          <w:rFonts w:ascii="Sylfaen" w:eastAsiaTheme="majorEastAsia" w:hAnsi="Sylfaen" w:cs="Arial"/>
        </w:rPr>
        <w:sectPr w:rsidR="001A550D" w:rsidRPr="00477D8F" w:rsidSect="00172EE5">
          <w:footerReference w:type="default" r:id="rId13"/>
          <w:pgSz w:w="12240" w:h="15840"/>
          <w:pgMar w:top="1440" w:right="1440" w:bottom="1440" w:left="1440" w:header="720" w:footer="720" w:gutter="0"/>
          <w:pgNumType w:start="1"/>
          <w:cols w:space="720"/>
          <w:docGrid w:linePitch="360"/>
        </w:sectPr>
      </w:pPr>
    </w:p>
    <w:p w14:paraId="6CFCB079" w14:textId="092FC6B6" w:rsidR="00277183" w:rsidRPr="00477D8F" w:rsidRDefault="00277183" w:rsidP="008261B8">
      <w:pPr>
        <w:spacing w:line="26" w:lineRule="atLeast"/>
        <w:jc w:val="both"/>
        <w:rPr>
          <w:rStyle w:val="Heading1Char"/>
          <w:rFonts w:cs="Arial"/>
          <w:b/>
          <w:color w:val="auto"/>
          <w:sz w:val="22"/>
          <w:szCs w:val="22"/>
        </w:rPr>
      </w:pPr>
      <w:bookmarkStart w:id="2" w:name="_Toc497171844"/>
      <w:r w:rsidRPr="00477D8F">
        <w:rPr>
          <w:rStyle w:val="Heading1Char"/>
          <w:rFonts w:cs="Arial"/>
          <w:b/>
          <w:color w:val="auto"/>
          <w:sz w:val="22"/>
          <w:szCs w:val="22"/>
        </w:rPr>
        <w:lastRenderedPageBreak/>
        <w:t>Acknowledgments</w:t>
      </w:r>
      <w:bookmarkEnd w:id="0"/>
      <w:bookmarkEnd w:id="1"/>
      <w:bookmarkEnd w:id="2"/>
    </w:p>
    <w:p w14:paraId="08E6E25A" w14:textId="77777777" w:rsidR="009D00A6" w:rsidRPr="00477D8F" w:rsidRDefault="009D00A6" w:rsidP="008261B8">
      <w:pPr>
        <w:spacing w:line="26" w:lineRule="atLeast"/>
        <w:jc w:val="both"/>
        <w:rPr>
          <w:rStyle w:val="Heading1Char"/>
          <w:rFonts w:cs="Arial"/>
          <w:b/>
          <w:color w:val="auto"/>
          <w:sz w:val="22"/>
          <w:szCs w:val="22"/>
        </w:rPr>
      </w:pPr>
    </w:p>
    <w:p w14:paraId="7BB270F0" w14:textId="77777777" w:rsidR="002D58FC" w:rsidRPr="00477D8F" w:rsidRDefault="002D58FC" w:rsidP="002D58FC">
      <w:pPr>
        <w:spacing w:line="26" w:lineRule="atLeast"/>
        <w:jc w:val="both"/>
        <w:rPr>
          <w:rFonts w:ascii="Sylfaen" w:hAnsi="Sylfaen" w:cs="Arial"/>
        </w:rPr>
      </w:pPr>
      <w:r w:rsidRPr="00477D8F">
        <w:rPr>
          <w:rFonts w:ascii="Sylfaen" w:hAnsi="Sylfaen" w:cs="Arial"/>
        </w:rPr>
        <w:t xml:space="preserve">The Public Expenditure Review (PER) in the education sector in The Gambia was prepared by the Education Global Practice of The World Bank Group. The report was written by the World Bank team consisting of Kebede Feda (Sr. Economist, Co-TTL, GED07), Ryoko Tomita (Sr. Economist, Co-TTL, GED07), Tanya Savrimootoo (Economist, GED01), and Cristelle Alexandra Ahunvin Kouame (Fellow, GED07), with substantive input from Alison Marie Grimsland (Education Specialist, GED07). The report was prepared under the overall guidance of Meskerem Mulatu (Practice Manager, GED07). Louise J. Cord, (Country Director, AFCF1), Peter Materu, (Director, Master Foundation), Dina Abu-Ghaida, (Lead Economist, GED13), Annette De Kleine Feige, (Senior Economist, GMF04), Elisé Miningou, (Statistical Officer, DFGPE)), Rose Mungai, (Senior Economist/Statistician, GPV07), Raja Bentaouet Kattan, (Lead Education Specialist, GED02), Paolo Zacchia (Program Leader, AFCF1), Evelyn Awittor (Senior Operations Officer, AFCF1), Chadi Bou-Habib (Program Leader, AFCC2), Samira Halabi (Education Specialist, GED05). The team would also like to express its thanks to Lalaina Noelinirina Rasoloharison (Program Assistant, GED07) in Washington D.C. and Astou Diaw-Ba (Senior Program Assistant, AFCF1), for their support during the missions and preparation of the report. </w:t>
      </w:r>
    </w:p>
    <w:p w14:paraId="07A39842" w14:textId="5CAAB2EB" w:rsidR="002D58FC" w:rsidRPr="00477D8F" w:rsidRDefault="002D58FC" w:rsidP="002D58FC">
      <w:pPr>
        <w:spacing w:line="26" w:lineRule="atLeast"/>
        <w:jc w:val="both"/>
        <w:rPr>
          <w:rFonts w:ascii="Sylfaen" w:hAnsi="Sylfaen" w:cs="Arial"/>
        </w:rPr>
      </w:pPr>
      <w:r w:rsidRPr="00477D8F">
        <w:rPr>
          <w:rFonts w:ascii="Sylfaen" w:hAnsi="Sylfaen" w:cs="Arial"/>
        </w:rPr>
        <w:t>The team would particularly like to thank The Government counterpart and the education sector stakeholders in The Gambia who participated in the workshops, provided valuable qualitative information and data to supplement the analysis, and provided invaluable feedback on the initial draft.</w:t>
      </w:r>
      <w:r w:rsidR="001E47FB" w:rsidRPr="00477D8F">
        <w:rPr>
          <w:rFonts w:ascii="Sylfaen" w:hAnsi="Sylfaen" w:cs="Arial"/>
        </w:rPr>
        <w:t xml:space="preserve"> </w:t>
      </w:r>
      <w:r w:rsidRPr="00477D8F">
        <w:rPr>
          <w:rFonts w:ascii="Sylfaen" w:hAnsi="Sylfaen" w:cs="Arial"/>
        </w:rPr>
        <w:t>Special thanks should go to The Honorable Claudiana Cole, Minister, (Ministry of Basic and Secondary Education), Mr. Mohammed Jallow, Permanent Secretary, (Ministry of Basic and Secondary Education), The Honorable Fatou Faye, Former Minister, (Ministry of Basic and Secondary Education, and Ministry of Higher Education, Research, Science and Technology), Mr. Baboucarr Bouy, Former</w:t>
      </w:r>
      <w:r w:rsidR="001E47FB" w:rsidRPr="00477D8F">
        <w:rPr>
          <w:rFonts w:ascii="Sylfaen" w:hAnsi="Sylfaen" w:cs="Arial"/>
        </w:rPr>
        <w:t xml:space="preserve"> </w:t>
      </w:r>
      <w:r w:rsidRPr="00477D8F">
        <w:rPr>
          <w:rFonts w:ascii="Sylfaen" w:hAnsi="Sylfaen" w:cs="Arial"/>
        </w:rPr>
        <w:t>Permanent Secretary (Ministry of Basic and Secondary Education), Mr. Sherif Yunus Hydara, Project Manager, Mr. Abdoulie Sow, Deputy Project Manager, (Ministry of Basic and Secondary Education), and Mr. Alpha Bah, System Analyst (Ministry of Basic and Secondary Education), and Mr. Yusupha Touray, Director of planning, (Ministry of Higher Education, Research, Science and Technology). The team also thankful for MoEF, University of The Gambia, and The Gambia College for their collaboration during data collection process.</w:t>
      </w:r>
      <w:r w:rsidR="001E47FB" w:rsidRPr="00477D8F">
        <w:rPr>
          <w:rFonts w:ascii="Sylfaen" w:hAnsi="Sylfaen" w:cs="Arial"/>
        </w:rPr>
        <w:t xml:space="preserve"> </w:t>
      </w:r>
    </w:p>
    <w:p w14:paraId="2A14D333" w14:textId="23C99E51" w:rsidR="002D58FC" w:rsidRPr="00477D8F" w:rsidRDefault="002D58FC" w:rsidP="002D58FC">
      <w:pPr>
        <w:spacing w:line="26" w:lineRule="atLeast"/>
        <w:jc w:val="both"/>
        <w:rPr>
          <w:rFonts w:ascii="Sylfaen" w:hAnsi="Sylfaen" w:cs="Arial"/>
        </w:rPr>
      </w:pPr>
      <w:r w:rsidRPr="00477D8F">
        <w:rPr>
          <w:rFonts w:ascii="Sylfaen" w:hAnsi="Sylfaen" w:cs="Arial"/>
        </w:rPr>
        <w:t>The final version of the education sector PER benefitted from very helpful comments and suggestions from our colleagues Dina N. Abu-Ghaida (Lead Economist, GED13), Sachiko Kataoka (Senior Economist, GED02) and Christine M. Richaud (Lead Economist, GMF08) who served as peer reviewers for the report. The team is also grateful for the guidance and support provided by Sophie Naudeau (Program Leader, AFCF1) and Meskerem Mulatu, (Practice Manager, GED07) and other staff members in the country team.</w:t>
      </w:r>
    </w:p>
    <w:p w14:paraId="08CB51E3" w14:textId="77777777" w:rsidR="009D00A6" w:rsidRPr="00477D8F" w:rsidRDefault="009D00A6" w:rsidP="002D58FC">
      <w:pPr>
        <w:spacing w:line="26" w:lineRule="atLeast"/>
        <w:jc w:val="both"/>
        <w:rPr>
          <w:rFonts w:ascii="Sylfaen" w:hAnsi="Sylfaen" w:cs="Arial"/>
        </w:rPr>
      </w:pPr>
    </w:p>
    <w:p w14:paraId="7BF72058" w14:textId="5DBC4D39" w:rsidR="002D58FC" w:rsidRPr="00477D8F" w:rsidRDefault="002D58FC" w:rsidP="009D00A6">
      <w:pPr>
        <w:spacing w:line="26" w:lineRule="atLeast"/>
        <w:jc w:val="both"/>
        <w:rPr>
          <w:rFonts w:ascii="Sylfaen" w:hAnsi="Sylfaen" w:cs="Arial"/>
        </w:rPr>
      </w:pPr>
      <w:r w:rsidRPr="00477D8F">
        <w:rPr>
          <w:rFonts w:ascii="Sylfaen" w:hAnsi="Sylfaen" w:cs="Arial"/>
        </w:rPr>
        <w:t xml:space="preserve">Report edited by </w:t>
      </w:r>
      <w:r w:rsidR="009D00A6" w:rsidRPr="00477D8F">
        <w:rPr>
          <w:rFonts w:ascii="Sylfaen" w:hAnsi="Sylfaen" w:cs="Arial"/>
        </w:rPr>
        <w:t>Akashee Medhi, Kolammal Sankaranarayanan and Susi Victor</w:t>
      </w:r>
    </w:p>
    <w:p w14:paraId="350B0C04" w14:textId="77777777" w:rsidR="006863C2" w:rsidRPr="00477D8F" w:rsidRDefault="00D7079C" w:rsidP="008261B8">
      <w:pPr>
        <w:jc w:val="both"/>
        <w:rPr>
          <w:rFonts w:ascii="Sylfaen" w:hAnsi="Sylfaen"/>
          <w:bCs/>
        </w:rPr>
      </w:pPr>
      <w:r w:rsidRPr="00477D8F">
        <w:rPr>
          <w:rFonts w:ascii="Sylfaen" w:hAnsi="Sylfaen"/>
          <w:bCs/>
        </w:rPr>
        <w:br w:type="page"/>
      </w:r>
    </w:p>
    <w:sdt>
      <w:sdtPr>
        <w:rPr>
          <w:rFonts w:ascii="Sylfaen" w:hAnsi="Sylfaen"/>
          <w:bCs/>
        </w:rPr>
        <w:id w:val="1273361252"/>
        <w:docPartObj>
          <w:docPartGallery w:val="Table of Contents"/>
          <w:docPartUnique/>
        </w:docPartObj>
      </w:sdtPr>
      <w:sdtContent>
        <w:p w14:paraId="03D8CB40" w14:textId="77777777" w:rsidR="00D14EEF" w:rsidRPr="00477D8F" w:rsidRDefault="00D14EEF" w:rsidP="008261B8">
          <w:pPr>
            <w:pStyle w:val="ListParagraph"/>
            <w:tabs>
              <w:tab w:val="left" w:pos="360"/>
            </w:tabs>
            <w:ind w:left="0"/>
            <w:contextualSpacing w:val="0"/>
            <w:jc w:val="both"/>
            <w:rPr>
              <w:rFonts w:ascii="Sylfaen" w:hAnsi="Sylfaen" w:cstheme="majorBidi"/>
              <w:bCs/>
            </w:rPr>
          </w:pPr>
          <w:r w:rsidRPr="00477D8F">
            <w:rPr>
              <w:rFonts w:ascii="Sylfaen" w:hAnsi="Sylfaen" w:cstheme="majorBidi"/>
              <w:bCs/>
            </w:rPr>
            <w:t>Table of Contents</w:t>
          </w:r>
        </w:p>
        <w:bookmarkStart w:id="3" w:name="_GoBack"/>
        <w:bookmarkEnd w:id="3"/>
        <w:p w14:paraId="47700EA8" w14:textId="569A56AA" w:rsidR="00945650" w:rsidRDefault="00644C60">
          <w:pPr>
            <w:pStyle w:val="TOC1"/>
            <w:rPr>
              <w:rFonts w:asciiTheme="minorHAnsi" w:eastAsiaTheme="minorEastAsia" w:hAnsiTheme="minorHAnsi"/>
              <w:noProof/>
            </w:rPr>
          </w:pPr>
          <w:r w:rsidRPr="00477D8F">
            <w:rPr>
              <w:rFonts w:cstheme="majorBidi"/>
              <w:bCs/>
            </w:rPr>
            <w:fldChar w:fldCharType="begin"/>
          </w:r>
          <w:r w:rsidRPr="00477D8F">
            <w:rPr>
              <w:rFonts w:cstheme="majorBidi"/>
              <w:bCs/>
            </w:rPr>
            <w:instrText xml:space="preserve"> TOC \o "1-2" \h \z \u </w:instrText>
          </w:r>
          <w:r w:rsidRPr="00477D8F">
            <w:rPr>
              <w:rFonts w:cstheme="majorBidi"/>
              <w:bCs/>
            </w:rPr>
            <w:fldChar w:fldCharType="separate"/>
          </w:r>
          <w:hyperlink w:anchor="_Toc497171844" w:history="1">
            <w:r w:rsidR="00945650" w:rsidRPr="004A413D">
              <w:rPr>
                <w:rStyle w:val="Hyperlink"/>
                <w:rFonts w:cs="Arial"/>
                <w:noProof/>
              </w:rPr>
              <w:t>Acknowledgments</w:t>
            </w:r>
            <w:r w:rsidR="00945650">
              <w:rPr>
                <w:noProof/>
                <w:webHidden/>
              </w:rPr>
              <w:tab/>
            </w:r>
            <w:r w:rsidR="00945650">
              <w:rPr>
                <w:noProof/>
                <w:webHidden/>
              </w:rPr>
              <w:fldChar w:fldCharType="begin"/>
            </w:r>
            <w:r w:rsidR="00945650">
              <w:rPr>
                <w:noProof/>
                <w:webHidden/>
              </w:rPr>
              <w:instrText xml:space="preserve"> PAGEREF _Toc497171844 \h </w:instrText>
            </w:r>
            <w:r w:rsidR="00945650">
              <w:rPr>
                <w:noProof/>
                <w:webHidden/>
              </w:rPr>
            </w:r>
            <w:r w:rsidR="00945650">
              <w:rPr>
                <w:noProof/>
                <w:webHidden/>
              </w:rPr>
              <w:fldChar w:fldCharType="separate"/>
            </w:r>
            <w:r w:rsidR="00945650">
              <w:rPr>
                <w:noProof/>
                <w:webHidden/>
              </w:rPr>
              <w:t>i</w:t>
            </w:r>
            <w:r w:rsidR="00945650">
              <w:rPr>
                <w:noProof/>
                <w:webHidden/>
              </w:rPr>
              <w:fldChar w:fldCharType="end"/>
            </w:r>
          </w:hyperlink>
        </w:p>
        <w:p w14:paraId="30EF0DBC" w14:textId="648E210F" w:rsidR="00945650" w:rsidRDefault="00945650">
          <w:pPr>
            <w:pStyle w:val="TOC1"/>
            <w:rPr>
              <w:rFonts w:asciiTheme="minorHAnsi" w:eastAsiaTheme="minorEastAsia" w:hAnsiTheme="minorHAnsi"/>
              <w:noProof/>
            </w:rPr>
          </w:pPr>
          <w:hyperlink w:anchor="_Toc497171845" w:history="1">
            <w:r w:rsidRPr="004A413D">
              <w:rPr>
                <w:rStyle w:val="Hyperlink"/>
                <w:noProof/>
              </w:rPr>
              <w:t>Executive Summary</w:t>
            </w:r>
            <w:r>
              <w:rPr>
                <w:noProof/>
                <w:webHidden/>
              </w:rPr>
              <w:tab/>
            </w:r>
            <w:r>
              <w:rPr>
                <w:noProof/>
                <w:webHidden/>
              </w:rPr>
              <w:fldChar w:fldCharType="begin"/>
            </w:r>
            <w:r>
              <w:rPr>
                <w:noProof/>
                <w:webHidden/>
              </w:rPr>
              <w:instrText xml:space="preserve"> PAGEREF _Toc497171845 \h </w:instrText>
            </w:r>
            <w:r>
              <w:rPr>
                <w:noProof/>
                <w:webHidden/>
              </w:rPr>
            </w:r>
            <w:r>
              <w:rPr>
                <w:noProof/>
                <w:webHidden/>
              </w:rPr>
              <w:fldChar w:fldCharType="separate"/>
            </w:r>
            <w:r>
              <w:rPr>
                <w:noProof/>
                <w:webHidden/>
              </w:rPr>
              <w:t>1</w:t>
            </w:r>
            <w:r>
              <w:rPr>
                <w:noProof/>
                <w:webHidden/>
              </w:rPr>
              <w:fldChar w:fldCharType="end"/>
            </w:r>
          </w:hyperlink>
        </w:p>
        <w:p w14:paraId="5DEEC2CE" w14:textId="6529F396" w:rsidR="00945650" w:rsidRDefault="00945650">
          <w:pPr>
            <w:pStyle w:val="TOC1"/>
            <w:rPr>
              <w:rFonts w:asciiTheme="minorHAnsi" w:eastAsiaTheme="minorEastAsia" w:hAnsiTheme="minorHAnsi"/>
              <w:noProof/>
            </w:rPr>
          </w:pPr>
          <w:hyperlink w:anchor="_Toc497171846" w:history="1">
            <w:r w:rsidRPr="004A413D">
              <w:rPr>
                <w:rStyle w:val="Hyperlink"/>
                <w:noProof/>
              </w:rPr>
              <w:t>I.</w:t>
            </w:r>
            <w:r>
              <w:rPr>
                <w:rFonts w:asciiTheme="minorHAnsi" w:eastAsiaTheme="minorEastAsia" w:hAnsiTheme="minorHAnsi"/>
                <w:noProof/>
              </w:rPr>
              <w:tab/>
            </w:r>
            <w:r w:rsidRPr="004A413D">
              <w:rPr>
                <w:rStyle w:val="Hyperlink"/>
                <w:noProof/>
              </w:rPr>
              <w:t>Introduction</w:t>
            </w:r>
            <w:r>
              <w:rPr>
                <w:noProof/>
                <w:webHidden/>
              </w:rPr>
              <w:tab/>
            </w:r>
            <w:r>
              <w:rPr>
                <w:noProof/>
                <w:webHidden/>
              </w:rPr>
              <w:fldChar w:fldCharType="begin"/>
            </w:r>
            <w:r>
              <w:rPr>
                <w:noProof/>
                <w:webHidden/>
              </w:rPr>
              <w:instrText xml:space="preserve"> PAGEREF _Toc497171846 \h </w:instrText>
            </w:r>
            <w:r>
              <w:rPr>
                <w:noProof/>
                <w:webHidden/>
              </w:rPr>
            </w:r>
            <w:r>
              <w:rPr>
                <w:noProof/>
                <w:webHidden/>
              </w:rPr>
              <w:fldChar w:fldCharType="separate"/>
            </w:r>
            <w:r>
              <w:rPr>
                <w:noProof/>
                <w:webHidden/>
              </w:rPr>
              <w:t>13</w:t>
            </w:r>
            <w:r>
              <w:rPr>
                <w:noProof/>
                <w:webHidden/>
              </w:rPr>
              <w:fldChar w:fldCharType="end"/>
            </w:r>
          </w:hyperlink>
        </w:p>
        <w:p w14:paraId="2BB44D0D" w14:textId="597EEA30" w:rsidR="00945650" w:rsidRDefault="00945650">
          <w:pPr>
            <w:pStyle w:val="TOC2"/>
            <w:rPr>
              <w:rFonts w:asciiTheme="minorHAnsi" w:eastAsiaTheme="minorEastAsia" w:hAnsiTheme="minorHAnsi"/>
              <w:noProof/>
            </w:rPr>
          </w:pPr>
          <w:hyperlink w:anchor="_Toc497171847" w:history="1">
            <w:r w:rsidRPr="004A413D">
              <w:rPr>
                <w:rStyle w:val="Hyperlink"/>
                <w:noProof/>
              </w:rPr>
              <w:t>Data and limitations and methodology</w:t>
            </w:r>
            <w:r>
              <w:rPr>
                <w:noProof/>
                <w:webHidden/>
              </w:rPr>
              <w:tab/>
            </w:r>
            <w:r>
              <w:rPr>
                <w:noProof/>
                <w:webHidden/>
              </w:rPr>
              <w:fldChar w:fldCharType="begin"/>
            </w:r>
            <w:r>
              <w:rPr>
                <w:noProof/>
                <w:webHidden/>
              </w:rPr>
              <w:instrText xml:space="preserve"> PAGEREF _Toc497171847 \h </w:instrText>
            </w:r>
            <w:r>
              <w:rPr>
                <w:noProof/>
                <w:webHidden/>
              </w:rPr>
            </w:r>
            <w:r>
              <w:rPr>
                <w:noProof/>
                <w:webHidden/>
              </w:rPr>
              <w:fldChar w:fldCharType="separate"/>
            </w:r>
            <w:r>
              <w:rPr>
                <w:noProof/>
                <w:webHidden/>
              </w:rPr>
              <w:t>15</w:t>
            </w:r>
            <w:r>
              <w:rPr>
                <w:noProof/>
                <w:webHidden/>
              </w:rPr>
              <w:fldChar w:fldCharType="end"/>
            </w:r>
          </w:hyperlink>
        </w:p>
        <w:p w14:paraId="3EFCBAFF" w14:textId="331B19B7" w:rsidR="00945650" w:rsidRDefault="00945650">
          <w:pPr>
            <w:pStyle w:val="TOC2"/>
            <w:rPr>
              <w:rFonts w:asciiTheme="minorHAnsi" w:eastAsiaTheme="minorEastAsia" w:hAnsiTheme="minorHAnsi"/>
              <w:noProof/>
            </w:rPr>
          </w:pPr>
          <w:hyperlink w:anchor="_Toc497171848" w:history="1">
            <w:r w:rsidRPr="004A413D">
              <w:rPr>
                <w:rStyle w:val="Hyperlink"/>
                <w:noProof/>
              </w:rPr>
              <w:t>Outline of the report</w:t>
            </w:r>
            <w:r>
              <w:rPr>
                <w:noProof/>
                <w:webHidden/>
              </w:rPr>
              <w:tab/>
            </w:r>
            <w:r>
              <w:rPr>
                <w:noProof/>
                <w:webHidden/>
              </w:rPr>
              <w:fldChar w:fldCharType="begin"/>
            </w:r>
            <w:r>
              <w:rPr>
                <w:noProof/>
                <w:webHidden/>
              </w:rPr>
              <w:instrText xml:space="preserve"> PAGEREF _Toc497171848 \h </w:instrText>
            </w:r>
            <w:r>
              <w:rPr>
                <w:noProof/>
                <w:webHidden/>
              </w:rPr>
            </w:r>
            <w:r>
              <w:rPr>
                <w:noProof/>
                <w:webHidden/>
              </w:rPr>
              <w:fldChar w:fldCharType="separate"/>
            </w:r>
            <w:r>
              <w:rPr>
                <w:noProof/>
                <w:webHidden/>
              </w:rPr>
              <w:t>15</w:t>
            </w:r>
            <w:r>
              <w:rPr>
                <w:noProof/>
                <w:webHidden/>
              </w:rPr>
              <w:fldChar w:fldCharType="end"/>
            </w:r>
          </w:hyperlink>
        </w:p>
        <w:p w14:paraId="009EA939" w14:textId="4FCED5AB" w:rsidR="00945650" w:rsidRDefault="00945650">
          <w:pPr>
            <w:pStyle w:val="TOC1"/>
            <w:rPr>
              <w:rFonts w:asciiTheme="minorHAnsi" w:eastAsiaTheme="minorEastAsia" w:hAnsiTheme="minorHAnsi"/>
              <w:noProof/>
            </w:rPr>
          </w:pPr>
          <w:hyperlink w:anchor="_Toc497171849" w:history="1">
            <w:r w:rsidRPr="004A413D">
              <w:rPr>
                <w:rStyle w:val="Hyperlink"/>
                <w:noProof/>
              </w:rPr>
              <w:t>II.</w:t>
            </w:r>
            <w:r>
              <w:rPr>
                <w:rFonts w:asciiTheme="minorHAnsi" w:eastAsiaTheme="minorEastAsia" w:hAnsiTheme="minorHAnsi"/>
                <w:noProof/>
              </w:rPr>
              <w:tab/>
            </w:r>
            <w:r w:rsidRPr="004A413D">
              <w:rPr>
                <w:rStyle w:val="Hyperlink"/>
                <w:noProof/>
              </w:rPr>
              <w:t>Country Context</w:t>
            </w:r>
            <w:r>
              <w:rPr>
                <w:noProof/>
                <w:webHidden/>
              </w:rPr>
              <w:tab/>
            </w:r>
            <w:r>
              <w:rPr>
                <w:noProof/>
                <w:webHidden/>
              </w:rPr>
              <w:fldChar w:fldCharType="begin"/>
            </w:r>
            <w:r>
              <w:rPr>
                <w:noProof/>
                <w:webHidden/>
              </w:rPr>
              <w:instrText xml:space="preserve"> PAGEREF _Toc497171849 \h </w:instrText>
            </w:r>
            <w:r>
              <w:rPr>
                <w:noProof/>
                <w:webHidden/>
              </w:rPr>
            </w:r>
            <w:r>
              <w:rPr>
                <w:noProof/>
                <w:webHidden/>
              </w:rPr>
              <w:fldChar w:fldCharType="separate"/>
            </w:r>
            <w:r>
              <w:rPr>
                <w:noProof/>
                <w:webHidden/>
              </w:rPr>
              <w:t>17</w:t>
            </w:r>
            <w:r>
              <w:rPr>
                <w:noProof/>
                <w:webHidden/>
              </w:rPr>
              <w:fldChar w:fldCharType="end"/>
            </w:r>
          </w:hyperlink>
        </w:p>
        <w:p w14:paraId="61CEA85A" w14:textId="435D60D1" w:rsidR="00945650" w:rsidRDefault="00945650">
          <w:pPr>
            <w:pStyle w:val="TOC2"/>
            <w:rPr>
              <w:rFonts w:asciiTheme="minorHAnsi" w:eastAsiaTheme="minorEastAsia" w:hAnsiTheme="minorHAnsi"/>
              <w:noProof/>
            </w:rPr>
          </w:pPr>
          <w:hyperlink w:anchor="_Toc497171850" w:history="1">
            <w:r w:rsidRPr="004A413D">
              <w:rPr>
                <w:rStyle w:val="Hyperlink"/>
                <w:noProof/>
              </w:rPr>
              <w:t>Economic context</w:t>
            </w:r>
            <w:r>
              <w:rPr>
                <w:noProof/>
                <w:webHidden/>
              </w:rPr>
              <w:tab/>
            </w:r>
            <w:r>
              <w:rPr>
                <w:noProof/>
                <w:webHidden/>
              </w:rPr>
              <w:fldChar w:fldCharType="begin"/>
            </w:r>
            <w:r>
              <w:rPr>
                <w:noProof/>
                <w:webHidden/>
              </w:rPr>
              <w:instrText xml:space="preserve"> PAGEREF _Toc497171850 \h </w:instrText>
            </w:r>
            <w:r>
              <w:rPr>
                <w:noProof/>
                <w:webHidden/>
              </w:rPr>
            </w:r>
            <w:r>
              <w:rPr>
                <w:noProof/>
                <w:webHidden/>
              </w:rPr>
              <w:fldChar w:fldCharType="separate"/>
            </w:r>
            <w:r>
              <w:rPr>
                <w:noProof/>
                <w:webHidden/>
              </w:rPr>
              <w:t>17</w:t>
            </w:r>
            <w:r>
              <w:rPr>
                <w:noProof/>
                <w:webHidden/>
              </w:rPr>
              <w:fldChar w:fldCharType="end"/>
            </w:r>
          </w:hyperlink>
        </w:p>
        <w:p w14:paraId="501D6AD3" w14:textId="5F0E1285" w:rsidR="00945650" w:rsidRDefault="00945650">
          <w:pPr>
            <w:pStyle w:val="TOC2"/>
            <w:rPr>
              <w:rFonts w:asciiTheme="minorHAnsi" w:eastAsiaTheme="minorEastAsia" w:hAnsiTheme="minorHAnsi"/>
              <w:noProof/>
            </w:rPr>
          </w:pPr>
          <w:hyperlink w:anchor="_Toc497171851" w:history="1">
            <w:r w:rsidRPr="004A413D">
              <w:rPr>
                <w:rStyle w:val="Hyperlink"/>
                <w:noProof/>
              </w:rPr>
              <w:t>Demographic context</w:t>
            </w:r>
            <w:r>
              <w:rPr>
                <w:noProof/>
                <w:webHidden/>
              </w:rPr>
              <w:tab/>
            </w:r>
            <w:r>
              <w:rPr>
                <w:noProof/>
                <w:webHidden/>
              </w:rPr>
              <w:fldChar w:fldCharType="begin"/>
            </w:r>
            <w:r>
              <w:rPr>
                <w:noProof/>
                <w:webHidden/>
              </w:rPr>
              <w:instrText xml:space="preserve"> PAGEREF _Toc497171851 \h </w:instrText>
            </w:r>
            <w:r>
              <w:rPr>
                <w:noProof/>
                <w:webHidden/>
              </w:rPr>
            </w:r>
            <w:r>
              <w:rPr>
                <w:noProof/>
                <w:webHidden/>
              </w:rPr>
              <w:fldChar w:fldCharType="separate"/>
            </w:r>
            <w:r>
              <w:rPr>
                <w:noProof/>
                <w:webHidden/>
              </w:rPr>
              <w:t>18</w:t>
            </w:r>
            <w:r>
              <w:rPr>
                <w:noProof/>
                <w:webHidden/>
              </w:rPr>
              <w:fldChar w:fldCharType="end"/>
            </w:r>
          </w:hyperlink>
        </w:p>
        <w:p w14:paraId="1397F5B3" w14:textId="07990D8E" w:rsidR="00945650" w:rsidRDefault="00945650">
          <w:pPr>
            <w:pStyle w:val="TOC1"/>
            <w:rPr>
              <w:rFonts w:asciiTheme="minorHAnsi" w:eastAsiaTheme="minorEastAsia" w:hAnsiTheme="minorHAnsi"/>
              <w:noProof/>
            </w:rPr>
          </w:pPr>
          <w:hyperlink w:anchor="_Toc497171852" w:history="1">
            <w:r w:rsidRPr="004A413D">
              <w:rPr>
                <w:rStyle w:val="Hyperlink"/>
                <w:noProof/>
              </w:rPr>
              <w:t>III.</w:t>
            </w:r>
            <w:r>
              <w:rPr>
                <w:rFonts w:asciiTheme="minorHAnsi" w:eastAsiaTheme="minorEastAsia" w:hAnsiTheme="minorHAnsi"/>
                <w:noProof/>
              </w:rPr>
              <w:tab/>
            </w:r>
            <w:r w:rsidRPr="004A413D">
              <w:rPr>
                <w:rStyle w:val="Hyperlink"/>
                <w:noProof/>
              </w:rPr>
              <w:t>Education Sector Context</w:t>
            </w:r>
            <w:r>
              <w:rPr>
                <w:noProof/>
                <w:webHidden/>
              </w:rPr>
              <w:tab/>
            </w:r>
            <w:r>
              <w:rPr>
                <w:noProof/>
                <w:webHidden/>
              </w:rPr>
              <w:fldChar w:fldCharType="begin"/>
            </w:r>
            <w:r>
              <w:rPr>
                <w:noProof/>
                <w:webHidden/>
              </w:rPr>
              <w:instrText xml:space="preserve"> PAGEREF _Toc497171852 \h </w:instrText>
            </w:r>
            <w:r>
              <w:rPr>
                <w:noProof/>
                <w:webHidden/>
              </w:rPr>
            </w:r>
            <w:r>
              <w:rPr>
                <w:noProof/>
                <w:webHidden/>
              </w:rPr>
              <w:fldChar w:fldCharType="separate"/>
            </w:r>
            <w:r>
              <w:rPr>
                <w:noProof/>
                <w:webHidden/>
              </w:rPr>
              <w:t>21</w:t>
            </w:r>
            <w:r>
              <w:rPr>
                <w:noProof/>
                <w:webHidden/>
              </w:rPr>
              <w:fldChar w:fldCharType="end"/>
            </w:r>
          </w:hyperlink>
        </w:p>
        <w:p w14:paraId="47B98DB9" w14:textId="24B525F5" w:rsidR="00945650" w:rsidRDefault="00945650">
          <w:pPr>
            <w:pStyle w:val="TOC2"/>
            <w:rPr>
              <w:rFonts w:asciiTheme="minorHAnsi" w:eastAsiaTheme="minorEastAsia" w:hAnsiTheme="minorHAnsi"/>
              <w:noProof/>
            </w:rPr>
          </w:pPr>
          <w:hyperlink w:anchor="_Toc497171853" w:history="1">
            <w:r w:rsidRPr="004A413D">
              <w:rPr>
                <w:rStyle w:val="Hyperlink"/>
                <w:noProof/>
              </w:rPr>
              <w:t>Structure of the system</w:t>
            </w:r>
            <w:r>
              <w:rPr>
                <w:noProof/>
                <w:webHidden/>
              </w:rPr>
              <w:tab/>
            </w:r>
            <w:r>
              <w:rPr>
                <w:noProof/>
                <w:webHidden/>
              </w:rPr>
              <w:fldChar w:fldCharType="begin"/>
            </w:r>
            <w:r>
              <w:rPr>
                <w:noProof/>
                <w:webHidden/>
              </w:rPr>
              <w:instrText xml:space="preserve"> PAGEREF _Toc497171853 \h </w:instrText>
            </w:r>
            <w:r>
              <w:rPr>
                <w:noProof/>
                <w:webHidden/>
              </w:rPr>
            </w:r>
            <w:r>
              <w:rPr>
                <w:noProof/>
                <w:webHidden/>
              </w:rPr>
              <w:fldChar w:fldCharType="separate"/>
            </w:r>
            <w:r>
              <w:rPr>
                <w:noProof/>
                <w:webHidden/>
              </w:rPr>
              <w:t>21</w:t>
            </w:r>
            <w:r>
              <w:rPr>
                <w:noProof/>
                <w:webHidden/>
              </w:rPr>
              <w:fldChar w:fldCharType="end"/>
            </w:r>
          </w:hyperlink>
        </w:p>
        <w:p w14:paraId="347EC6CD" w14:textId="20EE1CCA" w:rsidR="00945650" w:rsidRDefault="00945650">
          <w:pPr>
            <w:pStyle w:val="TOC2"/>
            <w:rPr>
              <w:rFonts w:asciiTheme="minorHAnsi" w:eastAsiaTheme="minorEastAsia" w:hAnsiTheme="minorHAnsi"/>
              <w:noProof/>
            </w:rPr>
          </w:pPr>
          <w:hyperlink w:anchor="_Toc497171854" w:history="1">
            <w:r w:rsidRPr="004A413D">
              <w:rPr>
                <w:rStyle w:val="Hyperlink"/>
                <w:noProof/>
              </w:rPr>
              <w:t>Public-private partnership</w:t>
            </w:r>
            <w:r>
              <w:rPr>
                <w:noProof/>
                <w:webHidden/>
              </w:rPr>
              <w:tab/>
            </w:r>
            <w:r>
              <w:rPr>
                <w:noProof/>
                <w:webHidden/>
              </w:rPr>
              <w:fldChar w:fldCharType="begin"/>
            </w:r>
            <w:r>
              <w:rPr>
                <w:noProof/>
                <w:webHidden/>
              </w:rPr>
              <w:instrText xml:space="preserve"> PAGEREF _Toc497171854 \h </w:instrText>
            </w:r>
            <w:r>
              <w:rPr>
                <w:noProof/>
                <w:webHidden/>
              </w:rPr>
            </w:r>
            <w:r>
              <w:rPr>
                <w:noProof/>
                <w:webHidden/>
              </w:rPr>
              <w:fldChar w:fldCharType="separate"/>
            </w:r>
            <w:r>
              <w:rPr>
                <w:noProof/>
                <w:webHidden/>
              </w:rPr>
              <w:t>23</w:t>
            </w:r>
            <w:r>
              <w:rPr>
                <w:noProof/>
                <w:webHidden/>
              </w:rPr>
              <w:fldChar w:fldCharType="end"/>
            </w:r>
          </w:hyperlink>
        </w:p>
        <w:p w14:paraId="7E9D8315" w14:textId="163906F9" w:rsidR="00945650" w:rsidRDefault="00945650">
          <w:pPr>
            <w:pStyle w:val="TOC1"/>
            <w:rPr>
              <w:rFonts w:asciiTheme="minorHAnsi" w:eastAsiaTheme="minorEastAsia" w:hAnsiTheme="minorHAnsi"/>
              <w:noProof/>
            </w:rPr>
          </w:pPr>
          <w:hyperlink w:anchor="_Toc497171855" w:history="1">
            <w:r w:rsidRPr="004A413D">
              <w:rPr>
                <w:rStyle w:val="Hyperlink"/>
                <w:noProof/>
              </w:rPr>
              <w:t>IV.</w:t>
            </w:r>
            <w:r>
              <w:rPr>
                <w:rFonts w:asciiTheme="minorHAnsi" w:eastAsiaTheme="minorEastAsia" w:hAnsiTheme="minorHAnsi"/>
                <w:noProof/>
              </w:rPr>
              <w:tab/>
            </w:r>
            <w:r w:rsidRPr="004A413D">
              <w:rPr>
                <w:rStyle w:val="Hyperlink"/>
                <w:noProof/>
              </w:rPr>
              <w:t>Key Sector Performance Indicators</w:t>
            </w:r>
            <w:r>
              <w:rPr>
                <w:noProof/>
                <w:webHidden/>
              </w:rPr>
              <w:tab/>
            </w:r>
            <w:r>
              <w:rPr>
                <w:noProof/>
                <w:webHidden/>
              </w:rPr>
              <w:fldChar w:fldCharType="begin"/>
            </w:r>
            <w:r>
              <w:rPr>
                <w:noProof/>
                <w:webHidden/>
              </w:rPr>
              <w:instrText xml:space="preserve"> PAGEREF _Toc497171855 \h </w:instrText>
            </w:r>
            <w:r>
              <w:rPr>
                <w:noProof/>
                <w:webHidden/>
              </w:rPr>
            </w:r>
            <w:r>
              <w:rPr>
                <w:noProof/>
                <w:webHidden/>
              </w:rPr>
              <w:fldChar w:fldCharType="separate"/>
            </w:r>
            <w:r>
              <w:rPr>
                <w:noProof/>
                <w:webHidden/>
              </w:rPr>
              <w:t>25</w:t>
            </w:r>
            <w:r>
              <w:rPr>
                <w:noProof/>
                <w:webHidden/>
              </w:rPr>
              <w:fldChar w:fldCharType="end"/>
            </w:r>
          </w:hyperlink>
        </w:p>
        <w:p w14:paraId="7BBAA9F2" w14:textId="46A2AEB8" w:rsidR="00945650" w:rsidRDefault="00945650">
          <w:pPr>
            <w:pStyle w:val="TOC2"/>
            <w:rPr>
              <w:rFonts w:asciiTheme="minorHAnsi" w:eastAsiaTheme="minorEastAsia" w:hAnsiTheme="minorHAnsi"/>
              <w:noProof/>
            </w:rPr>
          </w:pPr>
          <w:hyperlink w:anchor="_Toc497171856" w:history="1">
            <w:r w:rsidRPr="004A413D">
              <w:rPr>
                <w:rStyle w:val="Hyperlink"/>
                <w:noProof/>
              </w:rPr>
              <w:t>Enrollment, completion, and gender parity</w:t>
            </w:r>
            <w:r>
              <w:rPr>
                <w:noProof/>
                <w:webHidden/>
              </w:rPr>
              <w:tab/>
            </w:r>
            <w:r>
              <w:rPr>
                <w:noProof/>
                <w:webHidden/>
              </w:rPr>
              <w:fldChar w:fldCharType="begin"/>
            </w:r>
            <w:r>
              <w:rPr>
                <w:noProof/>
                <w:webHidden/>
              </w:rPr>
              <w:instrText xml:space="preserve"> PAGEREF _Toc497171856 \h </w:instrText>
            </w:r>
            <w:r>
              <w:rPr>
                <w:noProof/>
                <w:webHidden/>
              </w:rPr>
            </w:r>
            <w:r>
              <w:rPr>
                <w:noProof/>
                <w:webHidden/>
              </w:rPr>
              <w:fldChar w:fldCharType="separate"/>
            </w:r>
            <w:r>
              <w:rPr>
                <w:noProof/>
                <w:webHidden/>
              </w:rPr>
              <w:t>25</w:t>
            </w:r>
            <w:r>
              <w:rPr>
                <w:noProof/>
                <w:webHidden/>
              </w:rPr>
              <w:fldChar w:fldCharType="end"/>
            </w:r>
          </w:hyperlink>
        </w:p>
        <w:p w14:paraId="4316A9B7" w14:textId="0C26898F" w:rsidR="00945650" w:rsidRDefault="00945650">
          <w:pPr>
            <w:pStyle w:val="TOC2"/>
            <w:rPr>
              <w:rFonts w:asciiTheme="minorHAnsi" w:eastAsiaTheme="minorEastAsia" w:hAnsiTheme="minorHAnsi"/>
              <w:noProof/>
            </w:rPr>
          </w:pPr>
          <w:hyperlink w:anchor="_Toc497171857" w:history="1">
            <w:r w:rsidRPr="004A413D">
              <w:rPr>
                <w:rStyle w:val="Hyperlink"/>
                <w:noProof/>
              </w:rPr>
              <w:t>Repetition and dropout</w:t>
            </w:r>
            <w:r>
              <w:rPr>
                <w:noProof/>
                <w:webHidden/>
              </w:rPr>
              <w:tab/>
            </w:r>
            <w:r>
              <w:rPr>
                <w:noProof/>
                <w:webHidden/>
              </w:rPr>
              <w:fldChar w:fldCharType="begin"/>
            </w:r>
            <w:r>
              <w:rPr>
                <w:noProof/>
                <w:webHidden/>
              </w:rPr>
              <w:instrText xml:space="preserve"> PAGEREF _Toc497171857 \h </w:instrText>
            </w:r>
            <w:r>
              <w:rPr>
                <w:noProof/>
                <w:webHidden/>
              </w:rPr>
            </w:r>
            <w:r>
              <w:rPr>
                <w:noProof/>
                <w:webHidden/>
              </w:rPr>
              <w:fldChar w:fldCharType="separate"/>
            </w:r>
            <w:r>
              <w:rPr>
                <w:noProof/>
                <w:webHidden/>
              </w:rPr>
              <w:t>26</w:t>
            </w:r>
            <w:r>
              <w:rPr>
                <w:noProof/>
                <w:webHidden/>
              </w:rPr>
              <w:fldChar w:fldCharType="end"/>
            </w:r>
          </w:hyperlink>
        </w:p>
        <w:p w14:paraId="5779B49C" w14:textId="1768F402" w:rsidR="00945650" w:rsidRDefault="00945650">
          <w:pPr>
            <w:pStyle w:val="TOC2"/>
            <w:rPr>
              <w:rFonts w:asciiTheme="minorHAnsi" w:eastAsiaTheme="minorEastAsia" w:hAnsiTheme="minorHAnsi"/>
              <w:noProof/>
            </w:rPr>
          </w:pPr>
          <w:hyperlink w:anchor="_Toc497171858" w:history="1">
            <w:r w:rsidRPr="004A413D">
              <w:rPr>
                <w:rStyle w:val="Hyperlink"/>
                <w:noProof/>
              </w:rPr>
              <w:t>Out of school</w:t>
            </w:r>
            <w:r>
              <w:rPr>
                <w:noProof/>
                <w:webHidden/>
              </w:rPr>
              <w:tab/>
            </w:r>
            <w:r>
              <w:rPr>
                <w:noProof/>
                <w:webHidden/>
              </w:rPr>
              <w:fldChar w:fldCharType="begin"/>
            </w:r>
            <w:r>
              <w:rPr>
                <w:noProof/>
                <w:webHidden/>
              </w:rPr>
              <w:instrText xml:space="preserve"> PAGEREF _Toc497171858 \h </w:instrText>
            </w:r>
            <w:r>
              <w:rPr>
                <w:noProof/>
                <w:webHidden/>
              </w:rPr>
            </w:r>
            <w:r>
              <w:rPr>
                <w:noProof/>
                <w:webHidden/>
              </w:rPr>
              <w:fldChar w:fldCharType="separate"/>
            </w:r>
            <w:r>
              <w:rPr>
                <w:noProof/>
                <w:webHidden/>
              </w:rPr>
              <w:t>27</w:t>
            </w:r>
            <w:r>
              <w:rPr>
                <w:noProof/>
                <w:webHidden/>
              </w:rPr>
              <w:fldChar w:fldCharType="end"/>
            </w:r>
          </w:hyperlink>
        </w:p>
        <w:p w14:paraId="7312AA6C" w14:textId="3F863CB1" w:rsidR="00945650" w:rsidRDefault="00945650">
          <w:pPr>
            <w:pStyle w:val="TOC2"/>
            <w:rPr>
              <w:rFonts w:asciiTheme="minorHAnsi" w:eastAsiaTheme="minorEastAsia" w:hAnsiTheme="minorHAnsi"/>
              <w:noProof/>
            </w:rPr>
          </w:pPr>
          <w:hyperlink w:anchor="_Toc497171859" w:history="1">
            <w:r w:rsidRPr="004A413D">
              <w:rPr>
                <w:rStyle w:val="Hyperlink"/>
                <w:noProof/>
              </w:rPr>
              <w:t>Learning outcomes and national examinations</w:t>
            </w:r>
            <w:r>
              <w:rPr>
                <w:noProof/>
                <w:webHidden/>
              </w:rPr>
              <w:tab/>
            </w:r>
            <w:r>
              <w:rPr>
                <w:noProof/>
                <w:webHidden/>
              </w:rPr>
              <w:fldChar w:fldCharType="begin"/>
            </w:r>
            <w:r>
              <w:rPr>
                <w:noProof/>
                <w:webHidden/>
              </w:rPr>
              <w:instrText xml:space="preserve"> PAGEREF _Toc497171859 \h </w:instrText>
            </w:r>
            <w:r>
              <w:rPr>
                <w:noProof/>
                <w:webHidden/>
              </w:rPr>
            </w:r>
            <w:r>
              <w:rPr>
                <w:noProof/>
                <w:webHidden/>
              </w:rPr>
              <w:fldChar w:fldCharType="separate"/>
            </w:r>
            <w:r>
              <w:rPr>
                <w:noProof/>
                <w:webHidden/>
              </w:rPr>
              <w:t>29</w:t>
            </w:r>
            <w:r>
              <w:rPr>
                <w:noProof/>
                <w:webHidden/>
              </w:rPr>
              <w:fldChar w:fldCharType="end"/>
            </w:r>
          </w:hyperlink>
        </w:p>
        <w:p w14:paraId="2E20E4B3" w14:textId="483C4543" w:rsidR="00945650" w:rsidRDefault="00945650">
          <w:pPr>
            <w:pStyle w:val="TOC2"/>
            <w:rPr>
              <w:rFonts w:asciiTheme="minorHAnsi" w:eastAsiaTheme="minorEastAsia" w:hAnsiTheme="minorHAnsi"/>
              <w:noProof/>
            </w:rPr>
          </w:pPr>
          <w:hyperlink w:anchor="_Toc497171860" w:history="1">
            <w:r w:rsidRPr="004A413D">
              <w:rPr>
                <w:rStyle w:val="Hyperlink"/>
                <w:noProof/>
              </w:rPr>
              <w:t>Education attainment of labor force</w:t>
            </w:r>
            <w:r>
              <w:rPr>
                <w:noProof/>
                <w:webHidden/>
              </w:rPr>
              <w:tab/>
            </w:r>
            <w:r>
              <w:rPr>
                <w:noProof/>
                <w:webHidden/>
              </w:rPr>
              <w:fldChar w:fldCharType="begin"/>
            </w:r>
            <w:r>
              <w:rPr>
                <w:noProof/>
                <w:webHidden/>
              </w:rPr>
              <w:instrText xml:space="preserve"> PAGEREF _Toc497171860 \h </w:instrText>
            </w:r>
            <w:r>
              <w:rPr>
                <w:noProof/>
                <w:webHidden/>
              </w:rPr>
            </w:r>
            <w:r>
              <w:rPr>
                <w:noProof/>
                <w:webHidden/>
              </w:rPr>
              <w:fldChar w:fldCharType="separate"/>
            </w:r>
            <w:r>
              <w:rPr>
                <w:noProof/>
                <w:webHidden/>
              </w:rPr>
              <w:t>29</w:t>
            </w:r>
            <w:r>
              <w:rPr>
                <w:noProof/>
                <w:webHidden/>
              </w:rPr>
              <w:fldChar w:fldCharType="end"/>
            </w:r>
          </w:hyperlink>
        </w:p>
        <w:p w14:paraId="3EF27D6C" w14:textId="1F641869" w:rsidR="00945650" w:rsidRDefault="00945650">
          <w:pPr>
            <w:pStyle w:val="TOC1"/>
            <w:rPr>
              <w:rFonts w:asciiTheme="minorHAnsi" w:eastAsiaTheme="minorEastAsia" w:hAnsiTheme="minorHAnsi"/>
              <w:noProof/>
            </w:rPr>
          </w:pPr>
          <w:hyperlink w:anchor="_Toc497171861" w:history="1">
            <w:r w:rsidRPr="004A413D">
              <w:rPr>
                <w:rStyle w:val="Hyperlink"/>
                <w:noProof/>
              </w:rPr>
              <w:t>V.</w:t>
            </w:r>
            <w:r>
              <w:rPr>
                <w:rFonts w:asciiTheme="minorHAnsi" w:eastAsiaTheme="minorEastAsia" w:hAnsiTheme="minorHAnsi"/>
                <w:noProof/>
              </w:rPr>
              <w:tab/>
            </w:r>
            <w:r w:rsidRPr="004A413D">
              <w:rPr>
                <w:rStyle w:val="Hyperlink"/>
                <w:noProof/>
              </w:rPr>
              <w:t>Education Sector Financing</w:t>
            </w:r>
            <w:r>
              <w:rPr>
                <w:noProof/>
                <w:webHidden/>
              </w:rPr>
              <w:tab/>
            </w:r>
            <w:r>
              <w:rPr>
                <w:noProof/>
                <w:webHidden/>
              </w:rPr>
              <w:fldChar w:fldCharType="begin"/>
            </w:r>
            <w:r>
              <w:rPr>
                <w:noProof/>
                <w:webHidden/>
              </w:rPr>
              <w:instrText xml:space="preserve"> PAGEREF _Toc497171861 \h </w:instrText>
            </w:r>
            <w:r>
              <w:rPr>
                <w:noProof/>
                <w:webHidden/>
              </w:rPr>
            </w:r>
            <w:r>
              <w:rPr>
                <w:noProof/>
                <w:webHidden/>
              </w:rPr>
              <w:fldChar w:fldCharType="separate"/>
            </w:r>
            <w:r>
              <w:rPr>
                <w:noProof/>
                <w:webHidden/>
              </w:rPr>
              <w:t>32</w:t>
            </w:r>
            <w:r>
              <w:rPr>
                <w:noProof/>
                <w:webHidden/>
              </w:rPr>
              <w:fldChar w:fldCharType="end"/>
            </w:r>
          </w:hyperlink>
        </w:p>
        <w:p w14:paraId="77C25C44" w14:textId="7ABBBAA8" w:rsidR="00945650" w:rsidRDefault="00945650">
          <w:pPr>
            <w:pStyle w:val="TOC2"/>
            <w:rPr>
              <w:rFonts w:asciiTheme="minorHAnsi" w:eastAsiaTheme="minorEastAsia" w:hAnsiTheme="minorHAnsi"/>
              <w:noProof/>
            </w:rPr>
          </w:pPr>
          <w:hyperlink w:anchor="_Toc497171862" w:history="1">
            <w:r w:rsidRPr="004A413D">
              <w:rPr>
                <w:rStyle w:val="Hyperlink"/>
                <w:noProof/>
                <w:lang w:eastAsia="ja-JP"/>
              </w:rPr>
              <w:t>Budget planning and execution process</w:t>
            </w:r>
            <w:r>
              <w:rPr>
                <w:noProof/>
                <w:webHidden/>
              </w:rPr>
              <w:tab/>
            </w:r>
            <w:r>
              <w:rPr>
                <w:noProof/>
                <w:webHidden/>
              </w:rPr>
              <w:fldChar w:fldCharType="begin"/>
            </w:r>
            <w:r>
              <w:rPr>
                <w:noProof/>
                <w:webHidden/>
              </w:rPr>
              <w:instrText xml:space="preserve"> PAGEREF _Toc497171862 \h </w:instrText>
            </w:r>
            <w:r>
              <w:rPr>
                <w:noProof/>
                <w:webHidden/>
              </w:rPr>
            </w:r>
            <w:r>
              <w:rPr>
                <w:noProof/>
                <w:webHidden/>
              </w:rPr>
              <w:fldChar w:fldCharType="separate"/>
            </w:r>
            <w:r>
              <w:rPr>
                <w:noProof/>
                <w:webHidden/>
              </w:rPr>
              <w:t>32</w:t>
            </w:r>
            <w:r>
              <w:rPr>
                <w:noProof/>
                <w:webHidden/>
              </w:rPr>
              <w:fldChar w:fldCharType="end"/>
            </w:r>
          </w:hyperlink>
        </w:p>
        <w:p w14:paraId="765A9A34" w14:textId="516F38F3" w:rsidR="00945650" w:rsidRDefault="00945650">
          <w:pPr>
            <w:pStyle w:val="TOC2"/>
            <w:rPr>
              <w:rFonts w:asciiTheme="minorHAnsi" w:eastAsiaTheme="minorEastAsia" w:hAnsiTheme="minorHAnsi"/>
              <w:noProof/>
            </w:rPr>
          </w:pPr>
          <w:hyperlink w:anchor="_Toc497171863" w:history="1">
            <w:r w:rsidRPr="004A413D">
              <w:rPr>
                <w:rStyle w:val="Hyperlink"/>
                <w:noProof/>
                <w:lang w:eastAsia="ja-JP"/>
              </w:rPr>
              <w:t>Execution of salary payments</w:t>
            </w:r>
            <w:r>
              <w:rPr>
                <w:noProof/>
                <w:webHidden/>
              </w:rPr>
              <w:tab/>
            </w:r>
            <w:r>
              <w:rPr>
                <w:noProof/>
                <w:webHidden/>
              </w:rPr>
              <w:fldChar w:fldCharType="begin"/>
            </w:r>
            <w:r>
              <w:rPr>
                <w:noProof/>
                <w:webHidden/>
              </w:rPr>
              <w:instrText xml:space="preserve"> PAGEREF _Toc497171863 \h </w:instrText>
            </w:r>
            <w:r>
              <w:rPr>
                <w:noProof/>
                <w:webHidden/>
              </w:rPr>
            </w:r>
            <w:r>
              <w:rPr>
                <w:noProof/>
                <w:webHidden/>
              </w:rPr>
              <w:fldChar w:fldCharType="separate"/>
            </w:r>
            <w:r>
              <w:rPr>
                <w:noProof/>
                <w:webHidden/>
              </w:rPr>
              <w:t>33</w:t>
            </w:r>
            <w:r>
              <w:rPr>
                <w:noProof/>
                <w:webHidden/>
              </w:rPr>
              <w:fldChar w:fldCharType="end"/>
            </w:r>
          </w:hyperlink>
        </w:p>
        <w:p w14:paraId="0CDAC6B0" w14:textId="36C0AD8C" w:rsidR="00945650" w:rsidRDefault="00945650">
          <w:pPr>
            <w:pStyle w:val="TOC2"/>
            <w:rPr>
              <w:rFonts w:asciiTheme="minorHAnsi" w:eastAsiaTheme="minorEastAsia" w:hAnsiTheme="minorHAnsi"/>
              <w:noProof/>
            </w:rPr>
          </w:pPr>
          <w:hyperlink w:anchor="_Toc497171864" w:history="1">
            <w:r w:rsidRPr="004A413D">
              <w:rPr>
                <w:rStyle w:val="Hyperlink"/>
                <w:noProof/>
                <w:lang w:eastAsia="ja-JP"/>
              </w:rPr>
              <w:t>Human resource management</w:t>
            </w:r>
            <w:r>
              <w:rPr>
                <w:noProof/>
                <w:webHidden/>
              </w:rPr>
              <w:tab/>
            </w:r>
            <w:r>
              <w:rPr>
                <w:noProof/>
                <w:webHidden/>
              </w:rPr>
              <w:fldChar w:fldCharType="begin"/>
            </w:r>
            <w:r>
              <w:rPr>
                <w:noProof/>
                <w:webHidden/>
              </w:rPr>
              <w:instrText xml:space="preserve"> PAGEREF _Toc497171864 \h </w:instrText>
            </w:r>
            <w:r>
              <w:rPr>
                <w:noProof/>
                <w:webHidden/>
              </w:rPr>
            </w:r>
            <w:r>
              <w:rPr>
                <w:noProof/>
                <w:webHidden/>
              </w:rPr>
              <w:fldChar w:fldCharType="separate"/>
            </w:r>
            <w:r>
              <w:rPr>
                <w:noProof/>
                <w:webHidden/>
              </w:rPr>
              <w:t>33</w:t>
            </w:r>
            <w:r>
              <w:rPr>
                <w:noProof/>
                <w:webHidden/>
              </w:rPr>
              <w:fldChar w:fldCharType="end"/>
            </w:r>
          </w:hyperlink>
        </w:p>
        <w:p w14:paraId="400502EA" w14:textId="1067739B" w:rsidR="00945650" w:rsidRDefault="00945650">
          <w:pPr>
            <w:pStyle w:val="TOC2"/>
            <w:rPr>
              <w:rFonts w:asciiTheme="minorHAnsi" w:eastAsiaTheme="minorEastAsia" w:hAnsiTheme="minorHAnsi"/>
              <w:noProof/>
            </w:rPr>
          </w:pPr>
          <w:hyperlink w:anchor="_Toc497171865" w:history="1">
            <w:r w:rsidRPr="004A413D">
              <w:rPr>
                <w:rStyle w:val="Hyperlink"/>
                <w:noProof/>
                <w:lang w:eastAsia="ja-JP"/>
              </w:rPr>
              <w:t>Education sector PFM</w:t>
            </w:r>
            <w:r>
              <w:rPr>
                <w:noProof/>
                <w:webHidden/>
              </w:rPr>
              <w:tab/>
            </w:r>
            <w:r>
              <w:rPr>
                <w:noProof/>
                <w:webHidden/>
              </w:rPr>
              <w:fldChar w:fldCharType="begin"/>
            </w:r>
            <w:r>
              <w:rPr>
                <w:noProof/>
                <w:webHidden/>
              </w:rPr>
              <w:instrText xml:space="preserve"> PAGEREF _Toc497171865 \h </w:instrText>
            </w:r>
            <w:r>
              <w:rPr>
                <w:noProof/>
                <w:webHidden/>
              </w:rPr>
            </w:r>
            <w:r>
              <w:rPr>
                <w:noProof/>
                <w:webHidden/>
              </w:rPr>
              <w:fldChar w:fldCharType="separate"/>
            </w:r>
            <w:r>
              <w:rPr>
                <w:noProof/>
                <w:webHidden/>
              </w:rPr>
              <w:t>35</w:t>
            </w:r>
            <w:r>
              <w:rPr>
                <w:noProof/>
                <w:webHidden/>
              </w:rPr>
              <w:fldChar w:fldCharType="end"/>
            </w:r>
          </w:hyperlink>
        </w:p>
        <w:p w14:paraId="1B4D8E98" w14:textId="1A7C9A1E" w:rsidR="00945650" w:rsidRDefault="00945650">
          <w:pPr>
            <w:pStyle w:val="TOC2"/>
            <w:rPr>
              <w:rFonts w:asciiTheme="minorHAnsi" w:eastAsiaTheme="minorEastAsia" w:hAnsiTheme="minorHAnsi"/>
              <w:noProof/>
            </w:rPr>
          </w:pPr>
          <w:hyperlink w:anchor="_Toc497171866" w:history="1">
            <w:r w:rsidRPr="004A413D">
              <w:rPr>
                <w:rStyle w:val="Hyperlink"/>
                <w:noProof/>
                <w:lang w:eastAsia="ja-JP"/>
              </w:rPr>
              <w:t>Education sector financing sources</w:t>
            </w:r>
            <w:r>
              <w:rPr>
                <w:noProof/>
                <w:webHidden/>
              </w:rPr>
              <w:tab/>
            </w:r>
            <w:r>
              <w:rPr>
                <w:noProof/>
                <w:webHidden/>
              </w:rPr>
              <w:fldChar w:fldCharType="begin"/>
            </w:r>
            <w:r>
              <w:rPr>
                <w:noProof/>
                <w:webHidden/>
              </w:rPr>
              <w:instrText xml:space="preserve"> PAGEREF _Toc497171866 \h </w:instrText>
            </w:r>
            <w:r>
              <w:rPr>
                <w:noProof/>
                <w:webHidden/>
              </w:rPr>
            </w:r>
            <w:r>
              <w:rPr>
                <w:noProof/>
                <w:webHidden/>
              </w:rPr>
              <w:fldChar w:fldCharType="separate"/>
            </w:r>
            <w:r>
              <w:rPr>
                <w:noProof/>
                <w:webHidden/>
              </w:rPr>
              <w:t>35</w:t>
            </w:r>
            <w:r>
              <w:rPr>
                <w:noProof/>
                <w:webHidden/>
              </w:rPr>
              <w:fldChar w:fldCharType="end"/>
            </w:r>
          </w:hyperlink>
        </w:p>
        <w:p w14:paraId="096430EB" w14:textId="72BE926C" w:rsidR="00945650" w:rsidRDefault="00945650">
          <w:pPr>
            <w:pStyle w:val="TOC2"/>
            <w:rPr>
              <w:rFonts w:asciiTheme="minorHAnsi" w:eastAsiaTheme="minorEastAsia" w:hAnsiTheme="minorHAnsi"/>
              <w:noProof/>
            </w:rPr>
          </w:pPr>
          <w:hyperlink w:anchor="_Toc497171867" w:history="1">
            <w:r w:rsidRPr="004A413D">
              <w:rPr>
                <w:rStyle w:val="Hyperlink"/>
                <w:noProof/>
                <w:lang w:eastAsia="ja-JP"/>
              </w:rPr>
              <w:t>Budget allocation and execution</w:t>
            </w:r>
            <w:r>
              <w:rPr>
                <w:noProof/>
                <w:webHidden/>
              </w:rPr>
              <w:tab/>
            </w:r>
            <w:r>
              <w:rPr>
                <w:noProof/>
                <w:webHidden/>
              </w:rPr>
              <w:fldChar w:fldCharType="begin"/>
            </w:r>
            <w:r>
              <w:rPr>
                <w:noProof/>
                <w:webHidden/>
              </w:rPr>
              <w:instrText xml:space="preserve"> PAGEREF _Toc497171867 \h </w:instrText>
            </w:r>
            <w:r>
              <w:rPr>
                <w:noProof/>
                <w:webHidden/>
              </w:rPr>
            </w:r>
            <w:r>
              <w:rPr>
                <w:noProof/>
                <w:webHidden/>
              </w:rPr>
              <w:fldChar w:fldCharType="separate"/>
            </w:r>
            <w:r>
              <w:rPr>
                <w:noProof/>
                <w:webHidden/>
              </w:rPr>
              <w:t>37</w:t>
            </w:r>
            <w:r>
              <w:rPr>
                <w:noProof/>
                <w:webHidden/>
              </w:rPr>
              <w:fldChar w:fldCharType="end"/>
            </w:r>
          </w:hyperlink>
        </w:p>
        <w:p w14:paraId="63B556B9" w14:textId="148A569D" w:rsidR="00945650" w:rsidRDefault="00945650">
          <w:pPr>
            <w:pStyle w:val="TOC1"/>
            <w:rPr>
              <w:rFonts w:asciiTheme="minorHAnsi" w:eastAsiaTheme="minorEastAsia" w:hAnsiTheme="minorHAnsi"/>
              <w:noProof/>
            </w:rPr>
          </w:pPr>
          <w:hyperlink w:anchor="_Toc497171868" w:history="1">
            <w:r w:rsidRPr="004A413D">
              <w:rPr>
                <w:rStyle w:val="Hyperlink"/>
                <w:noProof/>
              </w:rPr>
              <w:t>VI.</w:t>
            </w:r>
            <w:r>
              <w:rPr>
                <w:rFonts w:asciiTheme="minorHAnsi" w:eastAsiaTheme="minorEastAsia" w:hAnsiTheme="minorHAnsi"/>
                <w:noProof/>
              </w:rPr>
              <w:tab/>
            </w:r>
            <w:r w:rsidRPr="004A413D">
              <w:rPr>
                <w:rStyle w:val="Hyperlink"/>
                <w:noProof/>
              </w:rPr>
              <w:t>Adequacy and Sustainability of Public Spending</w:t>
            </w:r>
            <w:r>
              <w:rPr>
                <w:noProof/>
                <w:webHidden/>
              </w:rPr>
              <w:tab/>
            </w:r>
            <w:r>
              <w:rPr>
                <w:noProof/>
                <w:webHidden/>
              </w:rPr>
              <w:fldChar w:fldCharType="begin"/>
            </w:r>
            <w:r>
              <w:rPr>
                <w:noProof/>
                <w:webHidden/>
              </w:rPr>
              <w:instrText xml:space="preserve"> PAGEREF _Toc497171868 \h </w:instrText>
            </w:r>
            <w:r>
              <w:rPr>
                <w:noProof/>
                <w:webHidden/>
              </w:rPr>
            </w:r>
            <w:r>
              <w:rPr>
                <w:noProof/>
                <w:webHidden/>
              </w:rPr>
              <w:fldChar w:fldCharType="separate"/>
            </w:r>
            <w:r>
              <w:rPr>
                <w:noProof/>
                <w:webHidden/>
              </w:rPr>
              <w:t>43</w:t>
            </w:r>
            <w:r>
              <w:rPr>
                <w:noProof/>
                <w:webHidden/>
              </w:rPr>
              <w:fldChar w:fldCharType="end"/>
            </w:r>
          </w:hyperlink>
        </w:p>
        <w:p w14:paraId="3ECCEF9E" w14:textId="5E708B89" w:rsidR="00945650" w:rsidRDefault="00945650">
          <w:pPr>
            <w:pStyle w:val="TOC2"/>
            <w:rPr>
              <w:rFonts w:asciiTheme="minorHAnsi" w:eastAsiaTheme="minorEastAsia" w:hAnsiTheme="minorHAnsi"/>
              <w:noProof/>
            </w:rPr>
          </w:pPr>
          <w:hyperlink w:anchor="_Toc497171869" w:history="1">
            <w:r w:rsidRPr="004A413D">
              <w:rPr>
                <w:rStyle w:val="Hyperlink"/>
                <w:noProof/>
              </w:rPr>
              <w:t>Budget allocation to the education sector</w:t>
            </w:r>
            <w:r>
              <w:rPr>
                <w:noProof/>
                <w:webHidden/>
              </w:rPr>
              <w:tab/>
            </w:r>
            <w:r>
              <w:rPr>
                <w:noProof/>
                <w:webHidden/>
              </w:rPr>
              <w:fldChar w:fldCharType="begin"/>
            </w:r>
            <w:r>
              <w:rPr>
                <w:noProof/>
                <w:webHidden/>
              </w:rPr>
              <w:instrText xml:space="preserve"> PAGEREF _Toc497171869 \h </w:instrText>
            </w:r>
            <w:r>
              <w:rPr>
                <w:noProof/>
                <w:webHidden/>
              </w:rPr>
            </w:r>
            <w:r>
              <w:rPr>
                <w:noProof/>
                <w:webHidden/>
              </w:rPr>
              <w:fldChar w:fldCharType="separate"/>
            </w:r>
            <w:r>
              <w:rPr>
                <w:noProof/>
                <w:webHidden/>
              </w:rPr>
              <w:t>43</w:t>
            </w:r>
            <w:r>
              <w:rPr>
                <w:noProof/>
                <w:webHidden/>
              </w:rPr>
              <w:fldChar w:fldCharType="end"/>
            </w:r>
          </w:hyperlink>
        </w:p>
        <w:p w14:paraId="57115644" w14:textId="2758A727" w:rsidR="00945650" w:rsidRDefault="00945650">
          <w:pPr>
            <w:pStyle w:val="TOC2"/>
            <w:rPr>
              <w:rFonts w:asciiTheme="minorHAnsi" w:eastAsiaTheme="minorEastAsia" w:hAnsiTheme="minorHAnsi"/>
              <w:noProof/>
            </w:rPr>
          </w:pPr>
          <w:hyperlink w:anchor="_Toc497171870" w:history="1">
            <w:r w:rsidRPr="004A413D">
              <w:rPr>
                <w:rStyle w:val="Hyperlink"/>
                <w:noProof/>
              </w:rPr>
              <w:t>Per student allocation (unit cost)</w:t>
            </w:r>
            <w:r>
              <w:rPr>
                <w:noProof/>
                <w:webHidden/>
              </w:rPr>
              <w:tab/>
            </w:r>
            <w:r>
              <w:rPr>
                <w:noProof/>
                <w:webHidden/>
              </w:rPr>
              <w:fldChar w:fldCharType="begin"/>
            </w:r>
            <w:r>
              <w:rPr>
                <w:noProof/>
                <w:webHidden/>
              </w:rPr>
              <w:instrText xml:space="preserve"> PAGEREF _Toc497171870 \h </w:instrText>
            </w:r>
            <w:r>
              <w:rPr>
                <w:noProof/>
                <w:webHidden/>
              </w:rPr>
            </w:r>
            <w:r>
              <w:rPr>
                <w:noProof/>
                <w:webHidden/>
              </w:rPr>
              <w:fldChar w:fldCharType="separate"/>
            </w:r>
            <w:r>
              <w:rPr>
                <w:noProof/>
                <w:webHidden/>
              </w:rPr>
              <w:t>45</w:t>
            </w:r>
            <w:r>
              <w:rPr>
                <w:noProof/>
                <w:webHidden/>
              </w:rPr>
              <w:fldChar w:fldCharType="end"/>
            </w:r>
          </w:hyperlink>
        </w:p>
        <w:p w14:paraId="4F274EB0" w14:textId="008FF12E" w:rsidR="00945650" w:rsidRDefault="00945650">
          <w:pPr>
            <w:pStyle w:val="TOC2"/>
            <w:rPr>
              <w:rFonts w:asciiTheme="minorHAnsi" w:eastAsiaTheme="minorEastAsia" w:hAnsiTheme="minorHAnsi"/>
              <w:noProof/>
            </w:rPr>
          </w:pPr>
          <w:hyperlink w:anchor="_Toc497171871" w:history="1">
            <w:r w:rsidRPr="004A413D">
              <w:rPr>
                <w:rStyle w:val="Hyperlink"/>
                <w:noProof/>
              </w:rPr>
              <w:t>Teachers’ compensations</w:t>
            </w:r>
            <w:r>
              <w:rPr>
                <w:noProof/>
                <w:webHidden/>
              </w:rPr>
              <w:tab/>
            </w:r>
            <w:r>
              <w:rPr>
                <w:noProof/>
                <w:webHidden/>
              </w:rPr>
              <w:fldChar w:fldCharType="begin"/>
            </w:r>
            <w:r>
              <w:rPr>
                <w:noProof/>
                <w:webHidden/>
              </w:rPr>
              <w:instrText xml:space="preserve"> PAGEREF _Toc497171871 \h </w:instrText>
            </w:r>
            <w:r>
              <w:rPr>
                <w:noProof/>
                <w:webHidden/>
              </w:rPr>
            </w:r>
            <w:r>
              <w:rPr>
                <w:noProof/>
                <w:webHidden/>
              </w:rPr>
              <w:fldChar w:fldCharType="separate"/>
            </w:r>
            <w:r>
              <w:rPr>
                <w:noProof/>
                <w:webHidden/>
              </w:rPr>
              <w:t>47</w:t>
            </w:r>
            <w:r>
              <w:rPr>
                <w:noProof/>
                <w:webHidden/>
              </w:rPr>
              <w:fldChar w:fldCharType="end"/>
            </w:r>
          </w:hyperlink>
        </w:p>
        <w:p w14:paraId="32028390" w14:textId="36B10998" w:rsidR="00945650" w:rsidRDefault="00945650">
          <w:pPr>
            <w:pStyle w:val="TOC2"/>
            <w:rPr>
              <w:rFonts w:asciiTheme="minorHAnsi" w:eastAsiaTheme="minorEastAsia" w:hAnsiTheme="minorHAnsi"/>
              <w:noProof/>
            </w:rPr>
          </w:pPr>
          <w:hyperlink w:anchor="_Toc497171872" w:history="1">
            <w:r w:rsidRPr="004A413D">
              <w:rPr>
                <w:rStyle w:val="Hyperlink"/>
                <w:noProof/>
              </w:rPr>
              <w:t>Supply of school facilities and materials</w:t>
            </w:r>
            <w:r>
              <w:rPr>
                <w:noProof/>
                <w:webHidden/>
              </w:rPr>
              <w:tab/>
            </w:r>
            <w:r>
              <w:rPr>
                <w:noProof/>
                <w:webHidden/>
              </w:rPr>
              <w:fldChar w:fldCharType="begin"/>
            </w:r>
            <w:r>
              <w:rPr>
                <w:noProof/>
                <w:webHidden/>
              </w:rPr>
              <w:instrText xml:space="preserve"> PAGEREF _Toc497171872 \h </w:instrText>
            </w:r>
            <w:r>
              <w:rPr>
                <w:noProof/>
                <w:webHidden/>
              </w:rPr>
            </w:r>
            <w:r>
              <w:rPr>
                <w:noProof/>
                <w:webHidden/>
              </w:rPr>
              <w:fldChar w:fldCharType="separate"/>
            </w:r>
            <w:r>
              <w:rPr>
                <w:noProof/>
                <w:webHidden/>
              </w:rPr>
              <w:t>51</w:t>
            </w:r>
            <w:r>
              <w:rPr>
                <w:noProof/>
                <w:webHidden/>
              </w:rPr>
              <w:fldChar w:fldCharType="end"/>
            </w:r>
          </w:hyperlink>
        </w:p>
        <w:p w14:paraId="257E0C0C" w14:textId="47D34E57" w:rsidR="00945650" w:rsidRDefault="00945650">
          <w:pPr>
            <w:pStyle w:val="TOC1"/>
            <w:rPr>
              <w:rFonts w:asciiTheme="minorHAnsi" w:eastAsiaTheme="minorEastAsia" w:hAnsiTheme="minorHAnsi"/>
              <w:noProof/>
            </w:rPr>
          </w:pPr>
          <w:hyperlink w:anchor="_Toc497171873" w:history="1">
            <w:r w:rsidRPr="004A413D">
              <w:rPr>
                <w:rStyle w:val="Hyperlink"/>
                <w:noProof/>
              </w:rPr>
              <w:t>VII.</w:t>
            </w:r>
            <w:r>
              <w:rPr>
                <w:rFonts w:asciiTheme="minorHAnsi" w:eastAsiaTheme="minorEastAsia" w:hAnsiTheme="minorHAnsi"/>
                <w:noProof/>
              </w:rPr>
              <w:tab/>
            </w:r>
            <w:r w:rsidRPr="004A413D">
              <w:rPr>
                <w:rStyle w:val="Hyperlink"/>
                <w:noProof/>
              </w:rPr>
              <w:t>Efficiency of The Gambia Education System</w:t>
            </w:r>
            <w:r>
              <w:rPr>
                <w:noProof/>
                <w:webHidden/>
              </w:rPr>
              <w:tab/>
            </w:r>
            <w:r>
              <w:rPr>
                <w:noProof/>
                <w:webHidden/>
              </w:rPr>
              <w:fldChar w:fldCharType="begin"/>
            </w:r>
            <w:r>
              <w:rPr>
                <w:noProof/>
                <w:webHidden/>
              </w:rPr>
              <w:instrText xml:space="preserve"> PAGEREF _Toc497171873 \h </w:instrText>
            </w:r>
            <w:r>
              <w:rPr>
                <w:noProof/>
                <w:webHidden/>
              </w:rPr>
            </w:r>
            <w:r>
              <w:rPr>
                <w:noProof/>
                <w:webHidden/>
              </w:rPr>
              <w:fldChar w:fldCharType="separate"/>
            </w:r>
            <w:r>
              <w:rPr>
                <w:noProof/>
                <w:webHidden/>
              </w:rPr>
              <w:t>54</w:t>
            </w:r>
            <w:r>
              <w:rPr>
                <w:noProof/>
                <w:webHidden/>
              </w:rPr>
              <w:fldChar w:fldCharType="end"/>
            </w:r>
          </w:hyperlink>
        </w:p>
        <w:p w14:paraId="6FA0EEF0" w14:textId="288EA09C" w:rsidR="00945650" w:rsidRDefault="00945650">
          <w:pPr>
            <w:pStyle w:val="TOC2"/>
            <w:rPr>
              <w:rFonts w:asciiTheme="minorHAnsi" w:eastAsiaTheme="minorEastAsia" w:hAnsiTheme="minorHAnsi"/>
              <w:noProof/>
            </w:rPr>
          </w:pPr>
          <w:hyperlink w:anchor="_Toc497171874" w:history="1">
            <w:r w:rsidRPr="004A413D">
              <w:rPr>
                <w:rStyle w:val="Hyperlink"/>
                <w:noProof/>
              </w:rPr>
              <w:t>Efficiency of resource utilization—value for money analysis</w:t>
            </w:r>
            <w:r>
              <w:rPr>
                <w:noProof/>
                <w:webHidden/>
              </w:rPr>
              <w:tab/>
            </w:r>
            <w:r>
              <w:rPr>
                <w:noProof/>
                <w:webHidden/>
              </w:rPr>
              <w:fldChar w:fldCharType="begin"/>
            </w:r>
            <w:r>
              <w:rPr>
                <w:noProof/>
                <w:webHidden/>
              </w:rPr>
              <w:instrText xml:space="preserve"> PAGEREF _Toc497171874 \h </w:instrText>
            </w:r>
            <w:r>
              <w:rPr>
                <w:noProof/>
                <w:webHidden/>
              </w:rPr>
            </w:r>
            <w:r>
              <w:rPr>
                <w:noProof/>
                <w:webHidden/>
              </w:rPr>
              <w:fldChar w:fldCharType="separate"/>
            </w:r>
            <w:r>
              <w:rPr>
                <w:noProof/>
                <w:webHidden/>
              </w:rPr>
              <w:t>54</w:t>
            </w:r>
            <w:r>
              <w:rPr>
                <w:noProof/>
                <w:webHidden/>
              </w:rPr>
              <w:fldChar w:fldCharType="end"/>
            </w:r>
          </w:hyperlink>
        </w:p>
        <w:p w14:paraId="0BFB7170" w14:textId="2837430C" w:rsidR="00945650" w:rsidRDefault="00945650">
          <w:pPr>
            <w:pStyle w:val="TOC2"/>
            <w:rPr>
              <w:rFonts w:asciiTheme="minorHAnsi" w:eastAsiaTheme="minorEastAsia" w:hAnsiTheme="minorHAnsi"/>
              <w:noProof/>
            </w:rPr>
          </w:pPr>
          <w:hyperlink w:anchor="_Toc497171875" w:history="1">
            <w:r w:rsidRPr="004A413D">
              <w:rPr>
                <w:rStyle w:val="Hyperlink"/>
                <w:noProof/>
              </w:rPr>
              <w:t>Internal efficiency</w:t>
            </w:r>
            <w:r>
              <w:rPr>
                <w:noProof/>
                <w:webHidden/>
              </w:rPr>
              <w:tab/>
            </w:r>
            <w:r>
              <w:rPr>
                <w:noProof/>
                <w:webHidden/>
              </w:rPr>
              <w:fldChar w:fldCharType="begin"/>
            </w:r>
            <w:r>
              <w:rPr>
                <w:noProof/>
                <w:webHidden/>
              </w:rPr>
              <w:instrText xml:space="preserve"> PAGEREF _Toc497171875 \h </w:instrText>
            </w:r>
            <w:r>
              <w:rPr>
                <w:noProof/>
                <w:webHidden/>
              </w:rPr>
            </w:r>
            <w:r>
              <w:rPr>
                <w:noProof/>
                <w:webHidden/>
              </w:rPr>
              <w:fldChar w:fldCharType="separate"/>
            </w:r>
            <w:r>
              <w:rPr>
                <w:noProof/>
                <w:webHidden/>
              </w:rPr>
              <w:t>57</w:t>
            </w:r>
            <w:r>
              <w:rPr>
                <w:noProof/>
                <w:webHidden/>
              </w:rPr>
              <w:fldChar w:fldCharType="end"/>
            </w:r>
          </w:hyperlink>
        </w:p>
        <w:p w14:paraId="483BA017" w14:textId="176FB372" w:rsidR="00945650" w:rsidRDefault="00945650">
          <w:pPr>
            <w:pStyle w:val="TOC2"/>
            <w:rPr>
              <w:rFonts w:asciiTheme="minorHAnsi" w:eastAsiaTheme="minorEastAsia" w:hAnsiTheme="minorHAnsi"/>
              <w:noProof/>
            </w:rPr>
          </w:pPr>
          <w:hyperlink w:anchor="_Toc497171876" w:history="1">
            <w:r w:rsidRPr="004A413D">
              <w:rPr>
                <w:rStyle w:val="Hyperlink"/>
                <w:noProof/>
              </w:rPr>
              <w:t>External efficiency</w:t>
            </w:r>
            <w:r>
              <w:rPr>
                <w:noProof/>
                <w:webHidden/>
              </w:rPr>
              <w:tab/>
            </w:r>
            <w:r>
              <w:rPr>
                <w:noProof/>
                <w:webHidden/>
              </w:rPr>
              <w:fldChar w:fldCharType="begin"/>
            </w:r>
            <w:r>
              <w:rPr>
                <w:noProof/>
                <w:webHidden/>
              </w:rPr>
              <w:instrText xml:space="preserve"> PAGEREF _Toc497171876 \h </w:instrText>
            </w:r>
            <w:r>
              <w:rPr>
                <w:noProof/>
                <w:webHidden/>
              </w:rPr>
            </w:r>
            <w:r>
              <w:rPr>
                <w:noProof/>
                <w:webHidden/>
              </w:rPr>
              <w:fldChar w:fldCharType="separate"/>
            </w:r>
            <w:r>
              <w:rPr>
                <w:noProof/>
                <w:webHidden/>
              </w:rPr>
              <w:t>60</w:t>
            </w:r>
            <w:r>
              <w:rPr>
                <w:noProof/>
                <w:webHidden/>
              </w:rPr>
              <w:fldChar w:fldCharType="end"/>
            </w:r>
          </w:hyperlink>
        </w:p>
        <w:p w14:paraId="32797A5B" w14:textId="0F081E12" w:rsidR="00945650" w:rsidRDefault="00945650">
          <w:pPr>
            <w:pStyle w:val="TOC1"/>
            <w:rPr>
              <w:rFonts w:asciiTheme="minorHAnsi" w:eastAsiaTheme="minorEastAsia" w:hAnsiTheme="minorHAnsi"/>
              <w:noProof/>
            </w:rPr>
          </w:pPr>
          <w:hyperlink w:anchor="_Toc497171877" w:history="1">
            <w:r w:rsidRPr="004A413D">
              <w:rPr>
                <w:rStyle w:val="Hyperlink"/>
                <w:noProof/>
              </w:rPr>
              <w:t>VIII.</w:t>
            </w:r>
            <w:r>
              <w:rPr>
                <w:rFonts w:asciiTheme="minorHAnsi" w:eastAsiaTheme="minorEastAsia" w:hAnsiTheme="minorHAnsi"/>
                <w:noProof/>
              </w:rPr>
              <w:tab/>
            </w:r>
            <w:r w:rsidRPr="004A413D">
              <w:rPr>
                <w:rStyle w:val="Hyperlink"/>
                <w:noProof/>
              </w:rPr>
              <w:t>Inequality, Affordability of Schooling, and the Role of Government</w:t>
            </w:r>
            <w:r>
              <w:rPr>
                <w:noProof/>
                <w:webHidden/>
              </w:rPr>
              <w:tab/>
            </w:r>
            <w:r>
              <w:rPr>
                <w:noProof/>
                <w:webHidden/>
              </w:rPr>
              <w:fldChar w:fldCharType="begin"/>
            </w:r>
            <w:r>
              <w:rPr>
                <w:noProof/>
                <w:webHidden/>
              </w:rPr>
              <w:instrText xml:space="preserve"> PAGEREF _Toc497171877 \h </w:instrText>
            </w:r>
            <w:r>
              <w:rPr>
                <w:noProof/>
                <w:webHidden/>
              </w:rPr>
            </w:r>
            <w:r>
              <w:rPr>
                <w:noProof/>
                <w:webHidden/>
              </w:rPr>
              <w:fldChar w:fldCharType="separate"/>
            </w:r>
            <w:r>
              <w:rPr>
                <w:noProof/>
                <w:webHidden/>
              </w:rPr>
              <w:t>64</w:t>
            </w:r>
            <w:r>
              <w:rPr>
                <w:noProof/>
                <w:webHidden/>
              </w:rPr>
              <w:fldChar w:fldCharType="end"/>
            </w:r>
          </w:hyperlink>
        </w:p>
        <w:p w14:paraId="7957D364" w14:textId="497B8BCA" w:rsidR="00945650" w:rsidRDefault="00945650">
          <w:pPr>
            <w:pStyle w:val="TOC2"/>
            <w:rPr>
              <w:rFonts w:asciiTheme="minorHAnsi" w:eastAsiaTheme="minorEastAsia" w:hAnsiTheme="minorHAnsi"/>
              <w:noProof/>
            </w:rPr>
          </w:pPr>
          <w:hyperlink w:anchor="_Toc497171878" w:history="1">
            <w:r w:rsidRPr="004A413D">
              <w:rPr>
                <w:rStyle w:val="Hyperlink"/>
                <w:noProof/>
              </w:rPr>
              <w:t>Inequality in access</w:t>
            </w:r>
            <w:r>
              <w:rPr>
                <w:noProof/>
                <w:webHidden/>
              </w:rPr>
              <w:tab/>
            </w:r>
            <w:r>
              <w:rPr>
                <w:noProof/>
                <w:webHidden/>
              </w:rPr>
              <w:fldChar w:fldCharType="begin"/>
            </w:r>
            <w:r>
              <w:rPr>
                <w:noProof/>
                <w:webHidden/>
              </w:rPr>
              <w:instrText xml:space="preserve"> PAGEREF _Toc497171878 \h </w:instrText>
            </w:r>
            <w:r>
              <w:rPr>
                <w:noProof/>
                <w:webHidden/>
              </w:rPr>
            </w:r>
            <w:r>
              <w:rPr>
                <w:noProof/>
                <w:webHidden/>
              </w:rPr>
              <w:fldChar w:fldCharType="separate"/>
            </w:r>
            <w:r>
              <w:rPr>
                <w:noProof/>
                <w:webHidden/>
              </w:rPr>
              <w:t>64</w:t>
            </w:r>
            <w:r>
              <w:rPr>
                <w:noProof/>
                <w:webHidden/>
              </w:rPr>
              <w:fldChar w:fldCharType="end"/>
            </w:r>
          </w:hyperlink>
        </w:p>
        <w:p w14:paraId="39559778" w14:textId="2AFFED9E" w:rsidR="00945650" w:rsidRDefault="00945650">
          <w:pPr>
            <w:pStyle w:val="TOC2"/>
            <w:rPr>
              <w:rFonts w:asciiTheme="minorHAnsi" w:eastAsiaTheme="minorEastAsia" w:hAnsiTheme="minorHAnsi"/>
              <w:noProof/>
            </w:rPr>
          </w:pPr>
          <w:hyperlink w:anchor="_Toc497171879" w:history="1">
            <w:r w:rsidRPr="004A413D">
              <w:rPr>
                <w:rStyle w:val="Hyperlink"/>
                <w:noProof/>
              </w:rPr>
              <w:t>Inequality in out-of-school incidence</w:t>
            </w:r>
            <w:r>
              <w:rPr>
                <w:noProof/>
                <w:webHidden/>
              </w:rPr>
              <w:tab/>
            </w:r>
            <w:r>
              <w:rPr>
                <w:noProof/>
                <w:webHidden/>
              </w:rPr>
              <w:fldChar w:fldCharType="begin"/>
            </w:r>
            <w:r>
              <w:rPr>
                <w:noProof/>
                <w:webHidden/>
              </w:rPr>
              <w:instrText xml:space="preserve"> PAGEREF _Toc497171879 \h </w:instrText>
            </w:r>
            <w:r>
              <w:rPr>
                <w:noProof/>
                <w:webHidden/>
              </w:rPr>
            </w:r>
            <w:r>
              <w:rPr>
                <w:noProof/>
                <w:webHidden/>
              </w:rPr>
              <w:fldChar w:fldCharType="separate"/>
            </w:r>
            <w:r>
              <w:rPr>
                <w:noProof/>
                <w:webHidden/>
              </w:rPr>
              <w:t>70</w:t>
            </w:r>
            <w:r>
              <w:rPr>
                <w:noProof/>
                <w:webHidden/>
              </w:rPr>
              <w:fldChar w:fldCharType="end"/>
            </w:r>
          </w:hyperlink>
        </w:p>
        <w:p w14:paraId="23A09F0D" w14:textId="28894491" w:rsidR="00945650" w:rsidRDefault="00945650">
          <w:pPr>
            <w:pStyle w:val="TOC2"/>
            <w:rPr>
              <w:rFonts w:asciiTheme="minorHAnsi" w:eastAsiaTheme="minorEastAsia" w:hAnsiTheme="minorHAnsi"/>
              <w:noProof/>
            </w:rPr>
          </w:pPr>
          <w:hyperlink w:anchor="_Toc497171880" w:history="1">
            <w:r w:rsidRPr="004A413D">
              <w:rPr>
                <w:rStyle w:val="Hyperlink"/>
                <w:noProof/>
              </w:rPr>
              <w:t>Inequality in affordability of education--role of households</w:t>
            </w:r>
            <w:r>
              <w:rPr>
                <w:noProof/>
                <w:webHidden/>
              </w:rPr>
              <w:tab/>
            </w:r>
            <w:r>
              <w:rPr>
                <w:noProof/>
                <w:webHidden/>
              </w:rPr>
              <w:fldChar w:fldCharType="begin"/>
            </w:r>
            <w:r>
              <w:rPr>
                <w:noProof/>
                <w:webHidden/>
              </w:rPr>
              <w:instrText xml:space="preserve"> PAGEREF _Toc497171880 \h </w:instrText>
            </w:r>
            <w:r>
              <w:rPr>
                <w:noProof/>
                <w:webHidden/>
              </w:rPr>
            </w:r>
            <w:r>
              <w:rPr>
                <w:noProof/>
                <w:webHidden/>
              </w:rPr>
              <w:fldChar w:fldCharType="separate"/>
            </w:r>
            <w:r>
              <w:rPr>
                <w:noProof/>
                <w:webHidden/>
              </w:rPr>
              <w:t>73</w:t>
            </w:r>
            <w:r>
              <w:rPr>
                <w:noProof/>
                <w:webHidden/>
              </w:rPr>
              <w:fldChar w:fldCharType="end"/>
            </w:r>
          </w:hyperlink>
        </w:p>
        <w:p w14:paraId="640281FF" w14:textId="11D7BE2A" w:rsidR="00945650" w:rsidRDefault="00945650">
          <w:pPr>
            <w:pStyle w:val="TOC2"/>
            <w:rPr>
              <w:rFonts w:asciiTheme="minorHAnsi" w:eastAsiaTheme="minorEastAsia" w:hAnsiTheme="minorHAnsi"/>
              <w:noProof/>
            </w:rPr>
          </w:pPr>
          <w:hyperlink w:anchor="_Toc497171881" w:history="1">
            <w:r w:rsidRPr="004A413D">
              <w:rPr>
                <w:rStyle w:val="Hyperlink"/>
                <w:noProof/>
              </w:rPr>
              <w:t>Available resources per student</w:t>
            </w:r>
            <w:r>
              <w:rPr>
                <w:noProof/>
                <w:webHidden/>
              </w:rPr>
              <w:tab/>
            </w:r>
            <w:r>
              <w:rPr>
                <w:noProof/>
                <w:webHidden/>
              </w:rPr>
              <w:fldChar w:fldCharType="begin"/>
            </w:r>
            <w:r>
              <w:rPr>
                <w:noProof/>
                <w:webHidden/>
              </w:rPr>
              <w:instrText xml:space="preserve"> PAGEREF _Toc497171881 \h </w:instrText>
            </w:r>
            <w:r>
              <w:rPr>
                <w:noProof/>
                <w:webHidden/>
              </w:rPr>
            </w:r>
            <w:r>
              <w:rPr>
                <w:noProof/>
                <w:webHidden/>
              </w:rPr>
              <w:fldChar w:fldCharType="separate"/>
            </w:r>
            <w:r>
              <w:rPr>
                <w:noProof/>
                <w:webHidden/>
              </w:rPr>
              <w:t>74</w:t>
            </w:r>
            <w:r>
              <w:rPr>
                <w:noProof/>
                <w:webHidden/>
              </w:rPr>
              <w:fldChar w:fldCharType="end"/>
            </w:r>
          </w:hyperlink>
        </w:p>
        <w:p w14:paraId="4F421064" w14:textId="50C60CC2" w:rsidR="00945650" w:rsidRDefault="00945650">
          <w:pPr>
            <w:pStyle w:val="TOC2"/>
            <w:rPr>
              <w:rFonts w:asciiTheme="minorHAnsi" w:eastAsiaTheme="minorEastAsia" w:hAnsiTheme="minorHAnsi"/>
              <w:noProof/>
            </w:rPr>
          </w:pPr>
          <w:hyperlink w:anchor="_Toc497171882" w:history="1">
            <w:r w:rsidRPr="004A413D">
              <w:rPr>
                <w:rStyle w:val="Hyperlink"/>
                <w:noProof/>
              </w:rPr>
              <w:t>Economic and social factors as key determinants of schooling</w:t>
            </w:r>
            <w:r>
              <w:rPr>
                <w:noProof/>
                <w:webHidden/>
              </w:rPr>
              <w:tab/>
            </w:r>
            <w:r>
              <w:rPr>
                <w:noProof/>
                <w:webHidden/>
              </w:rPr>
              <w:fldChar w:fldCharType="begin"/>
            </w:r>
            <w:r>
              <w:rPr>
                <w:noProof/>
                <w:webHidden/>
              </w:rPr>
              <w:instrText xml:space="preserve"> PAGEREF _Toc497171882 \h </w:instrText>
            </w:r>
            <w:r>
              <w:rPr>
                <w:noProof/>
                <w:webHidden/>
              </w:rPr>
            </w:r>
            <w:r>
              <w:rPr>
                <w:noProof/>
                <w:webHidden/>
              </w:rPr>
              <w:fldChar w:fldCharType="separate"/>
            </w:r>
            <w:r>
              <w:rPr>
                <w:noProof/>
                <w:webHidden/>
              </w:rPr>
              <w:t>76</w:t>
            </w:r>
            <w:r>
              <w:rPr>
                <w:noProof/>
                <w:webHidden/>
              </w:rPr>
              <w:fldChar w:fldCharType="end"/>
            </w:r>
          </w:hyperlink>
        </w:p>
        <w:p w14:paraId="347BB6BA" w14:textId="012296D6" w:rsidR="00945650" w:rsidRDefault="00945650">
          <w:pPr>
            <w:pStyle w:val="TOC2"/>
            <w:rPr>
              <w:rFonts w:asciiTheme="minorHAnsi" w:eastAsiaTheme="minorEastAsia" w:hAnsiTheme="minorHAnsi"/>
              <w:noProof/>
            </w:rPr>
          </w:pPr>
          <w:hyperlink w:anchor="_Toc497171883" w:history="1">
            <w:r w:rsidRPr="004A413D">
              <w:rPr>
                <w:rStyle w:val="Hyperlink"/>
                <w:noProof/>
              </w:rPr>
              <w:t>Inequality in public resources distribution, role of government</w:t>
            </w:r>
            <w:r>
              <w:rPr>
                <w:noProof/>
                <w:webHidden/>
              </w:rPr>
              <w:tab/>
            </w:r>
            <w:r>
              <w:rPr>
                <w:noProof/>
                <w:webHidden/>
              </w:rPr>
              <w:fldChar w:fldCharType="begin"/>
            </w:r>
            <w:r>
              <w:rPr>
                <w:noProof/>
                <w:webHidden/>
              </w:rPr>
              <w:instrText xml:space="preserve"> PAGEREF _Toc497171883 \h </w:instrText>
            </w:r>
            <w:r>
              <w:rPr>
                <w:noProof/>
                <w:webHidden/>
              </w:rPr>
            </w:r>
            <w:r>
              <w:rPr>
                <w:noProof/>
                <w:webHidden/>
              </w:rPr>
              <w:fldChar w:fldCharType="separate"/>
            </w:r>
            <w:r>
              <w:rPr>
                <w:noProof/>
                <w:webHidden/>
              </w:rPr>
              <w:t>79</w:t>
            </w:r>
            <w:r>
              <w:rPr>
                <w:noProof/>
                <w:webHidden/>
              </w:rPr>
              <w:fldChar w:fldCharType="end"/>
            </w:r>
          </w:hyperlink>
        </w:p>
        <w:p w14:paraId="091DD4B7" w14:textId="0E6CCF4C" w:rsidR="00945650" w:rsidRDefault="00945650">
          <w:pPr>
            <w:pStyle w:val="TOC1"/>
            <w:rPr>
              <w:rFonts w:asciiTheme="minorHAnsi" w:eastAsiaTheme="minorEastAsia" w:hAnsiTheme="minorHAnsi"/>
              <w:noProof/>
            </w:rPr>
          </w:pPr>
          <w:hyperlink w:anchor="_Toc497171884" w:history="1">
            <w:r w:rsidRPr="004A413D">
              <w:rPr>
                <w:rStyle w:val="Hyperlink"/>
                <w:noProof/>
              </w:rPr>
              <w:t>IX.</w:t>
            </w:r>
            <w:r>
              <w:rPr>
                <w:rFonts w:asciiTheme="minorHAnsi" w:eastAsiaTheme="minorEastAsia" w:hAnsiTheme="minorHAnsi"/>
                <w:noProof/>
              </w:rPr>
              <w:tab/>
            </w:r>
            <w:r w:rsidRPr="004A413D">
              <w:rPr>
                <w:rStyle w:val="Hyperlink"/>
                <w:noProof/>
              </w:rPr>
              <w:t>Human Capital Development</w:t>
            </w:r>
            <w:r>
              <w:rPr>
                <w:noProof/>
                <w:webHidden/>
              </w:rPr>
              <w:tab/>
            </w:r>
            <w:r>
              <w:rPr>
                <w:noProof/>
                <w:webHidden/>
              </w:rPr>
              <w:fldChar w:fldCharType="begin"/>
            </w:r>
            <w:r>
              <w:rPr>
                <w:noProof/>
                <w:webHidden/>
              </w:rPr>
              <w:instrText xml:space="preserve"> PAGEREF _Toc497171884 \h </w:instrText>
            </w:r>
            <w:r>
              <w:rPr>
                <w:noProof/>
                <w:webHidden/>
              </w:rPr>
            </w:r>
            <w:r>
              <w:rPr>
                <w:noProof/>
                <w:webHidden/>
              </w:rPr>
              <w:fldChar w:fldCharType="separate"/>
            </w:r>
            <w:r>
              <w:rPr>
                <w:noProof/>
                <w:webHidden/>
              </w:rPr>
              <w:t>83</w:t>
            </w:r>
            <w:r>
              <w:rPr>
                <w:noProof/>
                <w:webHidden/>
              </w:rPr>
              <w:fldChar w:fldCharType="end"/>
            </w:r>
          </w:hyperlink>
        </w:p>
        <w:p w14:paraId="58762D79" w14:textId="2156C8C3" w:rsidR="00945650" w:rsidRDefault="00945650">
          <w:pPr>
            <w:pStyle w:val="TOC2"/>
            <w:rPr>
              <w:rFonts w:asciiTheme="minorHAnsi" w:eastAsiaTheme="minorEastAsia" w:hAnsiTheme="minorHAnsi"/>
              <w:noProof/>
            </w:rPr>
          </w:pPr>
          <w:hyperlink w:anchor="_Toc497171885" w:history="1">
            <w:r w:rsidRPr="004A413D">
              <w:rPr>
                <w:rStyle w:val="Hyperlink"/>
                <w:noProof/>
              </w:rPr>
              <w:t>Projection of enrollment by level of education</w:t>
            </w:r>
            <w:r>
              <w:rPr>
                <w:noProof/>
                <w:webHidden/>
              </w:rPr>
              <w:tab/>
            </w:r>
            <w:r>
              <w:rPr>
                <w:noProof/>
                <w:webHidden/>
              </w:rPr>
              <w:fldChar w:fldCharType="begin"/>
            </w:r>
            <w:r>
              <w:rPr>
                <w:noProof/>
                <w:webHidden/>
              </w:rPr>
              <w:instrText xml:space="preserve"> PAGEREF _Toc497171885 \h </w:instrText>
            </w:r>
            <w:r>
              <w:rPr>
                <w:noProof/>
                <w:webHidden/>
              </w:rPr>
            </w:r>
            <w:r>
              <w:rPr>
                <w:noProof/>
                <w:webHidden/>
              </w:rPr>
              <w:fldChar w:fldCharType="separate"/>
            </w:r>
            <w:r>
              <w:rPr>
                <w:noProof/>
                <w:webHidden/>
              </w:rPr>
              <w:t>84</w:t>
            </w:r>
            <w:r>
              <w:rPr>
                <w:noProof/>
                <w:webHidden/>
              </w:rPr>
              <w:fldChar w:fldCharType="end"/>
            </w:r>
          </w:hyperlink>
        </w:p>
        <w:p w14:paraId="48BB4F40" w14:textId="76CEAC4A" w:rsidR="00945650" w:rsidRDefault="00945650">
          <w:pPr>
            <w:pStyle w:val="TOC2"/>
            <w:rPr>
              <w:rFonts w:asciiTheme="minorHAnsi" w:eastAsiaTheme="minorEastAsia" w:hAnsiTheme="minorHAnsi"/>
              <w:noProof/>
            </w:rPr>
          </w:pPr>
          <w:hyperlink w:anchor="_Toc497171886" w:history="1">
            <w:r w:rsidRPr="004A413D">
              <w:rPr>
                <w:rStyle w:val="Hyperlink"/>
                <w:noProof/>
              </w:rPr>
              <w:t>Projections of the number of students, teachers and financing</w:t>
            </w:r>
            <w:r>
              <w:rPr>
                <w:noProof/>
                <w:webHidden/>
              </w:rPr>
              <w:tab/>
            </w:r>
            <w:r>
              <w:rPr>
                <w:noProof/>
                <w:webHidden/>
              </w:rPr>
              <w:fldChar w:fldCharType="begin"/>
            </w:r>
            <w:r>
              <w:rPr>
                <w:noProof/>
                <w:webHidden/>
              </w:rPr>
              <w:instrText xml:space="preserve"> PAGEREF _Toc497171886 \h </w:instrText>
            </w:r>
            <w:r>
              <w:rPr>
                <w:noProof/>
                <w:webHidden/>
              </w:rPr>
            </w:r>
            <w:r>
              <w:rPr>
                <w:noProof/>
                <w:webHidden/>
              </w:rPr>
              <w:fldChar w:fldCharType="separate"/>
            </w:r>
            <w:r>
              <w:rPr>
                <w:noProof/>
                <w:webHidden/>
              </w:rPr>
              <w:t>85</w:t>
            </w:r>
            <w:r>
              <w:rPr>
                <w:noProof/>
                <w:webHidden/>
              </w:rPr>
              <w:fldChar w:fldCharType="end"/>
            </w:r>
          </w:hyperlink>
        </w:p>
        <w:p w14:paraId="54DC315A" w14:textId="0E7F68EE" w:rsidR="00945650" w:rsidRDefault="00945650">
          <w:pPr>
            <w:pStyle w:val="TOC2"/>
            <w:rPr>
              <w:rFonts w:asciiTheme="minorHAnsi" w:eastAsiaTheme="minorEastAsia" w:hAnsiTheme="minorHAnsi"/>
              <w:noProof/>
            </w:rPr>
          </w:pPr>
          <w:hyperlink w:anchor="_Toc497171887" w:history="1">
            <w:r w:rsidRPr="004A413D">
              <w:rPr>
                <w:rStyle w:val="Hyperlink"/>
                <w:noProof/>
              </w:rPr>
              <w:t>Implication of primary completion on the labor market input</w:t>
            </w:r>
            <w:r>
              <w:rPr>
                <w:noProof/>
                <w:webHidden/>
              </w:rPr>
              <w:tab/>
            </w:r>
            <w:r>
              <w:rPr>
                <w:noProof/>
                <w:webHidden/>
              </w:rPr>
              <w:fldChar w:fldCharType="begin"/>
            </w:r>
            <w:r>
              <w:rPr>
                <w:noProof/>
                <w:webHidden/>
              </w:rPr>
              <w:instrText xml:space="preserve"> PAGEREF _Toc497171887 \h </w:instrText>
            </w:r>
            <w:r>
              <w:rPr>
                <w:noProof/>
                <w:webHidden/>
              </w:rPr>
            </w:r>
            <w:r>
              <w:rPr>
                <w:noProof/>
                <w:webHidden/>
              </w:rPr>
              <w:fldChar w:fldCharType="separate"/>
            </w:r>
            <w:r>
              <w:rPr>
                <w:noProof/>
                <w:webHidden/>
              </w:rPr>
              <w:t>86</w:t>
            </w:r>
            <w:r>
              <w:rPr>
                <w:noProof/>
                <w:webHidden/>
              </w:rPr>
              <w:fldChar w:fldCharType="end"/>
            </w:r>
          </w:hyperlink>
        </w:p>
        <w:p w14:paraId="1E5E2124" w14:textId="4444C7ED" w:rsidR="00945650" w:rsidRDefault="00945650">
          <w:pPr>
            <w:pStyle w:val="TOC1"/>
            <w:rPr>
              <w:rFonts w:asciiTheme="minorHAnsi" w:eastAsiaTheme="minorEastAsia" w:hAnsiTheme="minorHAnsi"/>
              <w:noProof/>
            </w:rPr>
          </w:pPr>
          <w:hyperlink w:anchor="_Toc497171888" w:history="1">
            <w:r w:rsidRPr="004A413D">
              <w:rPr>
                <w:rStyle w:val="Hyperlink"/>
                <w:noProof/>
              </w:rPr>
              <w:t>X.</w:t>
            </w:r>
            <w:r>
              <w:rPr>
                <w:rFonts w:asciiTheme="minorHAnsi" w:eastAsiaTheme="minorEastAsia" w:hAnsiTheme="minorHAnsi"/>
                <w:noProof/>
              </w:rPr>
              <w:tab/>
            </w:r>
            <w:r w:rsidRPr="004A413D">
              <w:rPr>
                <w:rStyle w:val="Hyperlink"/>
                <w:noProof/>
              </w:rPr>
              <w:t>Conclusions and Policy Recommendations</w:t>
            </w:r>
            <w:r>
              <w:rPr>
                <w:noProof/>
                <w:webHidden/>
              </w:rPr>
              <w:tab/>
            </w:r>
            <w:r>
              <w:rPr>
                <w:noProof/>
                <w:webHidden/>
              </w:rPr>
              <w:fldChar w:fldCharType="begin"/>
            </w:r>
            <w:r>
              <w:rPr>
                <w:noProof/>
                <w:webHidden/>
              </w:rPr>
              <w:instrText xml:space="preserve"> PAGEREF _Toc497171888 \h </w:instrText>
            </w:r>
            <w:r>
              <w:rPr>
                <w:noProof/>
                <w:webHidden/>
              </w:rPr>
            </w:r>
            <w:r>
              <w:rPr>
                <w:noProof/>
                <w:webHidden/>
              </w:rPr>
              <w:fldChar w:fldCharType="separate"/>
            </w:r>
            <w:r>
              <w:rPr>
                <w:noProof/>
                <w:webHidden/>
              </w:rPr>
              <w:t>89</w:t>
            </w:r>
            <w:r>
              <w:rPr>
                <w:noProof/>
                <w:webHidden/>
              </w:rPr>
              <w:fldChar w:fldCharType="end"/>
            </w:r>
          </w:hyperlink>
        </w:p>
        <w:p w14:paraId="1C2A1495" w14:textId="34246119" w:rsidR="00945650" w:rsidRDefault="00945650">
          <w:pPr>
            <w:pStyle w:val="TOC2"/>
            <w:rPr>
              <w:rFonts w:asciiTheme="minorHAnsi" w:eastAsiaTheme="minorEastAsia" w:hAnsiTheme="minorHAnsi"/>
              <w:noProof/>
            </w:rPr>
          </w:pPr>
          <w:hyperlink w:anchor="_Toc497171889" w:history="1">
            <w:r w:rsidRPr="004A413D">
              <w:rPr>
                <w:rStyle w:val="Hyperlink"/>
                <w:noProof/>
              </w:rPr>
              <w:t>Conclusions</w:t>
            </w:r>
            <w:r>
              <w:rPr>
                <w:noProof/>
                <w:webHidden/>
              </w:rPr>
              <w:tab/>
            </w:r>
            <w:r>
              <w:rPr>
                <w:noProof/>
                <w:webHidden/>
              </w:rPr>
              <w:fldChar w:fldCharType="begin"/>
            </w:r>
            <w:r>
              <w:rPr>
                <w:noProof/>
                <w:webHidden/>
              </w:rPr>
              <w:instrText xml:space="preserve"> PAGEREF _Toc497171889 \h </w:instrText>
            </w:r>
            <w:r>
              <w:rPr>
                <w:noProof/>
                <w:webHidden/>
              </w:rPr>
            </w:r>
            <w:r>
              <w:rPr>
                <w:noProof/>
                <w:webHidden/>
              </w:rPr>
              <w:fldChar w:fldCharType="separate"/>
            </w:r>
            <w:r>
              <w:rPr>
                <w:noProof/>
                <w:webHidden/>
              </w:rPr>
              <w:t>89</w:t>
            </w:r>
            <w:r>
              <w:rPr>
                <w:noProof/>
                <w:webHidden/>
              </w:rPr>
              <w:fldChar w:fldCharType="end"/>
            </w:r>
          </w:hyperlink>
        </w:p>
        <w:p w14:paraId="15645BF1" w14:textId="18518613" w:rsidR="00945650" w:rsidRDefault="00945650">
          <w:pPr>
            <w:pStyle w:val="TOC2"/>
            <w:rPr>
              <w:rFonts w:asciiTheme="minorHAnsi" w:eastAsiaTheme="minorEastAsia" w:hAnsiTheme="minorHAnsi"/>
              <w:noProof/>
            </w:rPr>
          </w:pPr>
          <w:hyperlink w:anchor="_Toc497171890" w:history="1">
            <w:r w:rsidRPr="004A413D">
              <w:rPr>
                <w:rStyle w:val="Hyperlink"/>
                <w:noProof/>
              </w:rPr>
              <w:t>Policy recommendations</w:t>
            </w:r>
            <w:r>
              <w:rPr>
                <w:noProof/>
                <w:webHidden/>
              </w:rPr>
              <w:tab/>
            </w:r>
            <w:r>
              <w:rPr>
                <w:noProof/>
                <w:webHidden/>
              </w:rPr>
              <w:fldChar w:fldCharType="begin"/>
            </w:r>
            <w:r>
              <w:rPr>
                <w:noProof/>
                <w:webHidden/>
              </w:rPr>
              <w:instrText xml:space="preserve"> PAGEREF _Toc497171890 \h </w:instrText>
            </w:r>
            <w:r>
              <w:rPr>
                <w:noProof/>
                <w:webHidden/>
              </w:rPr>
            </w:r>
            <w:r>
              <w:rPr>
                <w:noProof/>
                <w:webHidden/>
              </w:rPr>
              <w:fldChar w:fldCharType="separate"/>
            </w:r>
            <w:r>
              <w:rPr>
                <w:noProof/>
                <w:webHidden/>
              </w:rPr>
              <w:t>95</w:t>
            </w:r>
            <w:r>
              <w:rPr>
                <w:noProof/>
                <w:webHidden/>
              </w:rPr>
              <w:fldChar w:fldCharType="end"/>
            </w:r>
          </w:hyperlink>
        </w:p>
        <w:p w14:paraId="4627EECA" w14:textId="5587AAA0" w:rsidR="00945650" w:rsidRDefault="00945650">
          <w:pPr>
            <w:pStyle w:val="TOC1"/>
            <w:rPr>
              <w:rFonts w:asciiTheme="minorHAnsi" w:eastAsiaTheme="minorEastAsia" w:hAnsiTheme="minorHAnsi"/>
              <w:noProof/>
            </w:rPr>
          </w:pPr>
          <w:hyperlink w:anchor="_Toc497171891" w:history="1">
            <w:r w:rsidRPr="004A413D">
              <w:rPr>
                <w:rStyle w:val="Hyperlink"/>
                <w:noProof/>
              </w:rPr>
              <w:t>References</w:t>
            </w:r>
            <w:r>
              <w:rPr>
                <w:noProof/>
                <w:webHidden/>
              </w:rPr>
              <w:tab/>
            </w:r>
            <w:r>
              <w:rPr>
                <w:noProof/>
                <w:webHidden/>
              </w:rPr>
              <w:fldChar w:fldCharType="begin"/>
            </w:r>
            <w:r>
              <w:rPr>
                <w:noProof/>
                <w:webHidden/>
              </w:rPr>
              <w:instrText xml:space="preserve"> PAGEREF _Toc497171891 \h </w:instrText>
            </w:r>
            <w:r>
              <w:rPr>
                <w:noProof/>
                <w:webHidden/>
              </w:rPr>
            </w:r>
            <w:r>
              <w:rPr>
                <w:noProof/>
                <w:webHidden/>
              </w:rPr>
              <w:fldChar w:fldCharType="separate"/>
            </w:r>
            <w:r>
              <w:rPr>
                <w:noProof/>
                <w:webHidden/>
              </w:rPr>
              <w:t>99</w:t>
            </w:r>
            <w:r>
              <w:rPr>
                <w:noProof/>
                <w:webHidden/>
              </w:rPr>
              <w:fldChar w:fldCharType="end"/>
            </w:r>
          </w:hyperlink>
        </w:p>
        <w:p w14:paraId="050084BE" w14:textId="33017BD4" w:rsidR="00945650" w:rsidRDefault="00945650">
          <w:pPr>
            <w:pStyle w:val="TOC1"/>
            <w:rPr>
              <w:rFonts w:asciiTheme="minorHAnsi" w:eastAsiaTheme="minorEastAsia" w:hAnsiTheme="minorHAnsi"/>
              <w:noProof/>
            </w:rPr>
          </w:pPr>
          <w:hyperlink w:anchor="_Toc497171892" w:history="1">
            <w:r w:rsidRPr="004A413D">
              <w:rPr>
                <w:rStyle w:val="Hyperlink"/>
                <w:noProof/>
              </w:rPr>
              <w:t>Annexes</w:t>
            </w:r>
            <w:r>
              <w:rPr>
                <w:noProof/>
                <w:webHidden/>
              </w:rPr>
              <w:tab/>
            </w:r>
            <w:r>
              <w:rPr>
                <w:noProof/>
                <w:webHidden/>
              </w:rPr>
              <w:fldChar w:fldCharType="begin"/>
            </w:r>
            <w:r>
              <w:rPr>
                <w:noProof/>
                <w:webHidden/>
              </w:rPr>
              <w:instrText xml:space="preserve"> PAGEREF _Toc497171892 \h </w:instrText>
            </w:r>
            <w:r>
              <w:rPr>
                <w:noProof/>
                <w:webHidden/>
              </w:rPr>
            </w:r>
            <w:r>
              <w:rPr>
                <w:noProof/>
                <w:webHidden/>
              </w:rPr>
              <w:fldChar w:fldCharType="separate"/>
            </w:r>
            <w:r>
              <w:rPr>
                <w:noProof/>
                <w:webHidden/>
              </w:rPr>
              <w:t>102</w:t>
            </w:r>
            <w:r>
              <w:rPr>
                <w:noProof/>
                <w:webHidden/>
              </w:rPr>
              <w:fldChar w:fldCharType="end"/>
            </w:r>
          </w:hyperlink>
        </w:p>
        <w:p w14:paraId="7FF119D4" w14:textId="3B43682F" w:rsidR="00945650" w:rsidRDefault="00945650">
          <w:pPr>
            <w:pStyle w:val="TOC2"/>
            <w:rPr>
              <w:rFonts w:asciiTheme="minorHAnsi" w:eastAsiaTheme="minorEastAsia" w:hAnsiTheme="minorHAnsi"/>
              <w:noProof/>
            </w:rPr>
          </w:pPr>
          <w:hyperlink w:anchor="_Toc497171893" w:history="1">
            <w:r w:rsidRPr="004A413D">
              <w:rPr>
                <w:rStyle w:val="Hyperlink"/>
                <w:noProof/>
              </w:rPr>
              <w:t>Annex A. Methodological notes</w:t>
            </w:r>
            <w:r>
              <w:rPr>
                <w:noProof/>
                <w:webHidden/>
              </w:rPr>
              <w:tab/>
            </w:r>
            <w:r>
              <w:rPr>
                <w:noProof/>
                <w:webHidden/>
              </w:rPr>
              <w:fldChar w:fldCharType="begin"/>
            </w:r>
            <w:r>
              <w:rPr>
                <w:noProof/>
                <w:webHidden/>
              </w:rPr>
              <w:instrText xml:space="preserve"> PAGEREF _Toc497171893 \h </w:instrText>
            </w:r>
            <w:r>
              <w:rPr>
                <w:noProof/>
                <w:webHidden/>
              </w:rPr>
            </w:r>
            <w:r>
              <w:rPr>
                <w:noProof/>
                <w:webHidden/>
              </w:rPr>
              <w:fldChar w:fldCharType="separate"/>
            </w:r>
            <w:r>
              <w:rPr>
                <w:noProof/>
                <w:webHidden/>
              </w:rPr>
              <w:t>102</w:t>
            </w:r>
            <w:r>
              <w:rPr>
                <w:noProof/>
                <w:webHidden/>
              </w:rPr>
              <w:fldChar w:fldCharType="end"/>
            </w:r>
          </w:hyperlink>
        </w:p>
        <w:p w14:paraId="5F78CBAE" w14:textId="7827E886" w:rsidR="00945650" w:rsidRDefault="00945650">
          <w:pPr>
            <w:pStyle w:val="TOC2"/>
            <w:rPr>
              <w:rFonts w:asciiTheme="minorHAnsi" w:eastAsiaTheme="minorEastAsia" w:hAnsiTheme="minorHAnsi"/>
              <w:noProof/>
            </w:rPr>
          </w:pPr>
          <w:hyperlink w:anchor="_Toc497171894" w:history="1">
            <w:r w:rsidRPr="004A413D">
              <w:rPr>
                <w:rStyle w:val="Hyperlink"/>
                <w:noProof/>
              </w:rPr>
              <w:t>Annex B. Tables</w:t>
            </w:r>
            <w:r>
              <w:rPr>
                <w:noProof/>
                <w:webHidden/>
              </w:rPr>
              <w:tab/>
            </w:r>
            <w:r>
              <w:rPr>
                <w:noProof/>
                <w:webHidden/>
              </w:rPr>
              <w:fldChar w:fldCharType="begin"/>
            </w:r>
            <w:r>
              <w:rPr>
                <w:noProof/>
                <w:webHidden/>
              </w:rPr>
              <w:instrText xml:space="preserve"> PAGEREF _Toc497171894 \h </w:instrText>
            </w:r>
            <w:r>
              <w:rPr>
                <w:noProof/>
                <w:webHidden/>
              </w:rPr>
            </w:r>
            <w:r>
              <w:rPr>
                <w:noProof/>
                <w:webHidden/>
              </w:rPr>
              <w:fldChar w:fldCharType="separate"/>
            </w:r>
            <w:r>
              <w:rPr>
                <w:noProof/>
                <w:webHidden/>
              </w:rPr>
              <w:t>108</w:t>
            </w:r>
            <w:r>
              <w:rPr>
                <w:noProof/>
                <w:webHidden/>
              </w:rPr>
              <w:fldChar w:fldCharType="end"/>
            </w:r>
          </w:hyperlink>
        </w:p>
        <w:p w14:paraId="382AC12E" w14:textId="4565D026" w:rsidR="00945650" w:rsidRDefault="00945650">
          <w:pPr>
            <w:pStyle w:val="TOC2"/>
            <w:rPr>
              <w:rFonts w:asciiTheme="minorHAnsi" w:eastAsiaTheme="minorEastAsia" w:hAnsiTheme="minorHAnsi"/>
              <w:noProof/>
            </w:rPr>
          </w:pPr>
          <w:hyperlink w:anchor="_Toc497171895" w:history="1">
            <w:r w:rsidRPr="004A413D">
              <w:rPr>
                <w:rStyle w:val="Hyperlink"/>
                <w:noProof/>
              </w:rPr>
              <w:t>Annex C. Figures</w:t>
            </w:r>
            <w:r>
              <w:rPr>
                <w:noProof/>
                <w:webHidden/>
              </w:rPr>
              <w:tab/>
            </w:r>
            <w:r>
              <w:rPr>
                <w:noProof/>
                <w:webHidden/>
              </w:rPr>
              <w:fldChar w:fldCharType="begin"/>
            </w:r>
            <w:r>
              <w:rPr>
                <w:noProof/>
                <w:webHidden/>
              </w:rPr>
              <w:instrText xml:space="preserve"> PAGEREF _Toc497171895 \h </w:instrText>
            </w:r>
            <w:r>
              <w:rPr>
                <w:noProof/>
                <w:webHidden/>
              </w:rPr>
            </w:r>
            <w:r>
              <w:rPr>
                <w:noProof/>
                <w:webHidden/>
              </w:rPr>
              <w:fldChar w:fldCharType="separate"/>
            </w:r>
            <w:r>
              <w:rPr>
                <w:noProof/>
                <w:webHidden/>
              </w:rPr>
              <w:t>114</w:t>
            </w:r>
            <w:r>
              <w:rPr>
                <w:noProof/>
                <w:webHidden/>
              </w:rPr>
              <w:fldChar w:fldCharType="end"/>
            </w:r>
          </w:hyperlink>
        </w:p>
        <w:p w14:paraId="5B41DBEC" w14:textId="2E92E995" w:rsidR="00945650" w:rsidRDefault="00945650">
          <w:pPr>
            <w:pStyle w:val="TOC2"/>
            <w:rPr>
              <w:rFonts w:asciiTheme="minorHAnsi" w:eastAsiaTheme="minorEastAsia" w:hAnsiTheme="minorHAnsi"/>
              <w:noProof/>
            </w:rPr>
          </w:pPr>
          <w:hyperlink w:anchor="_Toc497171896" w:history="1">
            <w:r w:rsidRPr="004A413D">
              <w:rPr>
                <w:rStyle w:val="Hyperlink"/>
                <w:noProof/>
              </w:rPr>
              <w:t>Annex D. Examples of evaluated interventions or programs and lessons learned</w:t>
            </w:r>
            <w:r>
              <w:rPr>
                <w:noProof/>
                <w:webHidden/>
              </w:rPr>
              <w:tab/>
            </w:r>
            <w:r>
              <w:rPr>
                <w:noProof/>
                <w:webHidden/>
              </w:rPr>
              <w:fldChar w:fldCharType="begin"/>
            </w:r>
            <w:r>
              <w:rPr>
                <w:noProof/>
                <w:webHidden/>
              </w:rPr>
              <w:instrText xml:space="preserve"> PAGEREF _Toc497171896 \h </w:instrText>
            </w:r>
            <w:r>
              <w:rPr>
                <w:noProof/>
                <w:webHidden/>
              </w:rPr>
            </w:r>
            <w:r>
              <w:rPr>
                <w:noProof/>
                <w:webHidden/>
              </w:rPr>
              <w:fldChar w:fldCharType="separate"/>
            </w:r>
            <w:r>
              <w:rPr>
                <w:noProof/>
                <w:webHidden/>
              </w:rPr>
              <w:t>121</w:t>
            </w:r>
            <w:r>
              <w:rPr>
                <w:noProof/>
                <w:webHidden/>
              </w:rPr>
              <w:fldChar w:fldCharType="end"/>
            </w:r>
          </w:hyperlink>
        </w:p>
        <w:p w14:paraId="583AE1BE" w14:textId="07FE7235" w:rsidR="00D14EEF" w:rsidRPr="00477D8F" w:rsidRDefault="00644C60" w:rsidP="00AE75CB">
          <w:pPr>
            <w:pStyle w:val="TOC2"/>
            <w:rPr>
              <w:bCs/>
            </w:rPr>
          </w:pPr>
          <w:r w:rsidRPr="00477D8F">
            <w:rPr>
              <w:rFonts w:cstheme="majorBidi"/>
              <w:bCs/>
            </w:rPr>
            <w:fldChar w:fldCharType="end"/>
          </w:r>
        </w:p>
      </w:sdtContent>
    </w:sdt>
    <w:p w14:paraId="3974FA4B" w14:textId="5068097F" w:rsidR="005B4DC3" w:rsidRPr="00477D8F" w:rsidRDefault="006065B2" w:rsidP="00410E18">
      <w:pPr>
        <w:jc w:val="both"/>
        <w:rPr>
          <w:rFonts w:ascii="Sylfaen" w:hAnsi="Sylfaen" w:cs="Times New Roman"/>
          <w:bCs/>
        </w:rPr>
      </w:pPr>
      <w:r w:rsidRPr="00477D8F">
        <w:rPr>
          <w:rFonts w:ascii="Sylfaen" w:hAnsi="Sylfaen" w:cs="Times New Roman"/>
          <w:bCs/>
        </w:rPr>
        <w:br w:type="page"/>
      </w:r>
    </w:p>
    <w:p w14:paraId="57B2E111" w14:textId="5D4EC87B" w:rsidR="00A768C2" w:rsidRPr="00477D8F" w:rsidRDefault="00A768C2" w:rsidP="008261B8">
      <w:pPr>
        <w:spacing w:after="0" w:line="240" w:lineRule="auto"/>
        <w:jc w:val="both"/>
        <w:rPr>
          <w:rFonts w:ascii="Sylfaen" w:hAnsi="Sylfaen" w:cs="Times New Roman"/>
          <w:bCs/>
          <w:sz w:val="28"/>
          <w:szCs w:val="28"/>
        </w:rPr>
      </w:pPr>
      <w:r w:rsidRPr="00477D8F">
        <w:rPr>
          <w:rFonts w:ascii="Sylfaen" w:hAnsi="Sylfaen" w:cs="Times New Roman"/>
          <w:bCs/>
          <w:sz w:val="28"/>
          <w:szCs w:val="28"/>
        </w:rPr>
        <w:lastRenderedPageBreak/>
        <w:t>List of Figures</w:t>
      </w:r>
    </w:p>
    <w:p w14:paraId="326E013C" w14:textId="77777777" w:rsidR="00EB4A5E" w:rsidRPr="00477D8F" w:rsidRDefault="00EB4A5E" w:rsidP="008261B8">
      <w:pPr>
        <w:spacing w:after="0" w:line="240" w:lineRule="auto"/>
        <w:jc w:val="both"/>
        <w:rPr>
          <w:rFonts w:ascii="Sylfaen" w:hAnsi="Sylfaen" w:cs="Times New Roman"/>
          <w:bCs/>
          <w:sz w:val="28"/>
          <w:szCs w:val="28"/>
        </w:rPr>
      </w:pPr>
    </w:p>
    <w:p w14:paraId="5E677AB4" w14:textId="77777777" w:rsidR="00945650" w:rsidRDefault="00DC13D4" w:rsidP="00451B1B">
      <w:pPr>
        <w:pStyle w:val="TableofFigures"/>
        <w:tabs>
          <w:tab w:val="right" w:leader="dot" w:pos="9350"/>
        </w:tabs>
        <w:rPr>
          <w:noProof/>
        </w:rPr>
      </w:pPr>
      <w:r w:rsidRPr="00477D8F">
        <w:rPr>
          <w:rFonts w:cs="Times New Roman"/>
          <w:bCs/>
        </w:rPr>
        <w:fldChar w:fldCharType="begin"/>
      </w:r>
      <w:r w:rsidRPr="00477D8F">
        <w:rPr>
          <w:rFonts w:cs="Times New Roman"/>
          <w:bCs/>
        </w:rPr>
        <w:instrText xml:space="preserve"> TOC \h \z \c "Figure E." </w:instrText>
      </w:r>
      <w:r w:rsidRPr="00477D8F">
        <w:rPr>
          <w:rFonts w:cs="Times New Roman"/>
          <w:bCs/>
        </w:rPr>
        <w:fldChar w:fldCharType="separate"/>
      </w:r>
      <w:r w:rsidRPr="00477D8F">
        <w:rPr>
          <w:rFonts w:cs="Times New Roman"/>
          <w:bCs/>
        </w:rPr>
        <w:fldChar w:fldCharType="end"/>
      </w:r>
      <w:r w:rsidR="00A768C2" w:rsidRPr="00477D8F">
        <w:rPr>
          <w:rFonts w:cs="Times New Roman"/>
          <w:bCs/>
        </w:rPr>
        <w:fldChar w:fldCharType="begin"/>
      </w:r>
      <w:r w:rsidR="00A768C2" w:rsidRPr="00477D8F">
        <w:rPr>
          <w:rFonts w:cs="Times New Roman"/>
          <w:bCs/>
        </w:rPr>
        <w:instrText xml:space="preserve"> TOC \h \z \c "Figure" </w:instrText>
      </w:r>
      <w:r w:rsidR="00A768C2" w:rsidRPr="00477D8F">
        <w:rPr>
          <w:rFonts w:cs="Times New Roman"/>
          <w:bCs/>
        </w:rPr>
        <w:fldChar w:fldCharType="separate"/>
      </w:r>
    </w:p>
    <w:p w14:paraId="42DB3C02" w14:textId="3D18B2D5" w:rsidR="00945650" w:rsidRDefault="00945650">
      <w:pPr>
        <w:pStyle w:val="TableofFigures"/>
        <w:tabs>
          <w:tab w:val="right" w:leader="dot" w:pos="9350"/>
        </w:tabs>
        <w:rPr>
          <w:rFonts w:asciiTheme="minorHAnsi" w:eastAsiaTheme="minorEastAsia" w:hAnsiTheme="minorHAnsi"/>
          <w:noProof/>
        </w:rPr>
      </w:pPr>
      <w:hyperlink w:anchor="_Toc497171771" w:history="1">
        <w:r w:rsidRPr="00793DB2">
          <w:rPr>
            <w:rStyle w:val="Hyperlink"/>
            <w:noProof/>
          </w:rPr>
          <w:t>Figure 1: Trends of GDP per capita and real GDP growth, The Gambia and SSA average</w:t>
        </w:r>
        <w:r>
          <w:rPr>
            <w:noProof/>
            <w:webHidden/>
          </w:rPr>
          <w:tab/>
        </w:r>
        <w:r>
          <w:rPr>
            <w:noProof/>
            <w:webHidden/>
          </w:rPr>
          <w:fldChar w:fldCharType="begin"/>
        </w:r>
        <w:r>
          <w:rPr>
            <w:noProof/>
            <w:webHidden/>
          </w:rPr>
          <w:instrText xml:space="preserve"> PAGEREF _Toc497171771 \h </w:instrText>
        </w:r>
        <w:r>
          <w:rPr>
            <w:noProof/>
            <w:webHidden/>
          </w:rPr>
        </w:r>
        <w:r>
          <w:rPr>
            <w:noProof/>
            <w:webHidden/>
          </w:rPr>
          <w:fldChar w:fldCharType="separate"/>
        </w:r>
        <w:r>
          <w:rPr>
            <w:noProof/>
            <w:webHidden/>
          </w:rPr>
          <w:t>18</w:t>
        </w:r>
        <w:r>
          <w:rPr>
            <w:noProof/>
            <w:webHidden/>
          </w:rPr>
          <w:fldChar w:fldCharType="end"/>
        </w:r>
      </w:hyperlink>
    </w:p>
    <w:p w14:paraId="6F99F2CA" w14:textId="57982D2B" w:rsidR="00945650" w:rsidRDefault="00945650">
      <w:pPr>
        <w:pStyle w:val="TableofFigures"/>
        <w:tabs>
          <w:tab w:val="right" w:leader="dot" w:pos="9350"/>
        </w:tabs>
        <w:rPr>
          <w:rFonts w:asciiTheme="minorHAnsi" w:eastAsiaTheme="minorEastAsia" w:hAnsiTheme="minorHAnsi"/>
          <w:noProof/>
        </w:rPr>
      </w:pPr>
      <w:hyperlink w:anchor="_Toc497171772" w:history="1">
        <w:r w:rsidRPr="00793DB2">
          <w:rPr>
            <w:rStyle w:val="Hyperlink"/>
            <w:noProof/>
          </w:rPr>
          <w:t>Figure 2: Demographic 2005–2020: Population pyramid (in thousands) by gender (left); school-age cohort (right)</w:t>
        </w:r>
        <w:r>
          <w:rPr>
            <w:noProof/>
            <w:webHidden/>
          </w:rPr>
          <w:tab/>
        </w:r>
        <w:r>
          <w:rPr>
            <w:noProof/>
            <w:webHidden/>
          </w:rPr>
          <w:fldChar w:fldCharType="begin"/>
        </w:r>
        <w:r>
          <w:rPr>
            <w:noProof/>
            <w:webHidden/>
          </w:rPr>
          <w:instrText xml:space="preserve"> PAGEREF _Toc497171772 \h </w:instrText>
        </w:r>
        <w:r>
          <w:rPr>
            <w:noProof/>
            <w:webHidden/>
          </w:rPr>
        </w:r>
        <w:r>
          <w:rPr>
            <w:noProof/>
            <w:webHidden/>
          </w:rPr>
          <w:fldChar w:fldCharType="separate"/>
        </w:r>
        <w:r>
          <w:rPr>
            <w:noProof/>
            <w:webHidden/>
          </w:rPr>
          <w:t>19</w:t>
        </w:r>
        <w:r>
          <w:rPr>
            <w:noProof/>
            <w:webHidden/>
          </w:rPr>
          <w:fldChar w:fldCharType="end"/>
        </w:r>
      </w:hyperlink>
    </w:p>
    <w:p w14:paraId="000415F7" w14:textId="40741453" w:rsidR="00945650" w:rsidRDefault="00945650">
      <w:pPr>
        <w:pStyle w:val="TableofFigures"/>
        <w:tabs>
          <w:tab w:val="right" w:leader="dot" w:pos="9350"/>
        </w:tabs>
        <w:rPr>
          <w:rFonts w:asciiTheme="minorHAnsi" w:eastAsiaTheme="minorEastAsia" w:hAnsiTheme="minorHAnsi"/>
          <w:noProof/>
        </w:rPr>
      </w:pPr>
      <w:hyperlink w:anchor="_Toc497171773" w:history="1">
        <w:r w:rsidRPr="00793DB2">
          <w:rPr>
            <w:rStyle w:val="Hyperlink"/>
            <w:noProof/>
          </w:rPr>
          <w:t>Figure 3: Trends of HDI breakdown by components</w:t>
        </w:r>
        <w:r>
          <w:rPr>
            <w:noProof/>
            <w:webHidden/>
          </w:rPr>
          <w:tab/>
        </w:r>
        <w:r>
          <w:rPr>
            <w:noProof/>
            <w:webHidden/>
          </w:rPr>
          <w:fldChar w:fldCharType="begin"/>
        </w:r>
        <w:r>
          <w:rPr>
            <w:noProof/>
            <w:webHidden/>
          </w:rPr>
          <w:instrText xml:space="preserve"> PAGEREF _Toc497171773 \h </w:instrText>
        </w:r>
        <w:r>
          <w:rPr>
            <w:noProof/>
            <w:webHidden/>
          </w:rPr>
        </w:r>
        <w:r>
          <w:rPr>
            <w:noProof/>
            <w:webHidden/>
          </w:rPr>
          <w:fldChar w:fldCharType="separate"/>
        </w:r>
        <w:r>
          <w:rPr>
            <w:noProof/>
            <w:webHidden/>
          </w:rPr>
          <w:t>19</w:t>
        </w:r>
        <w:r>
          <w:rPr>
            <w:noProof/>
            <w:webHidden/>
          </w:rPr>
          <w:fldChar w:fldCharType="end"/>
        </w:r>
      </w:hyperlink>
    </w:p>
    <w:p w14:paraId="37CB4B78" w14:textId="75416817" w:rsidR="00945650" w:rsidRDefault="00945650">
      <w:pPr>
        <w:pStyle w:val="TableofFigures"/>
        <w:tabs>
          <w:tab w:val="right" w:leader="dot" w:pos="9350"/>
        </w:tabs>
        <w:rPr>
          <w:rFonts w:asciiTheme="minorHAnsi" w:eastAsiaTheme="minorEastAsia" w:hAnsiTheme="minorHAnsi"/>
          <w:noProof/>
        </w:rPr>
      </w:pPr>
      <w:hyperlink w:anchor="_Toc497171774" w:history="1">
        <w:r w:rsidRPr="00793DB2">
          <w:rPr>
            <w:rStyle w:val="Hyperlink"/>
            <w:noProof/>
          </w:rPr>
          <w:t>Figure 4: Under-five and infant mortality rates, 2005–2015</w:t>
        </w:r>
        <w:r>
          <w:rPr>
            <w:noProof/>
            <w:webHidden/>
          </w:rPr>
          <w:tab/>
        </w:r>
        <w:r>
          <w:rPr>
            <w:noProof/>
            <w:webHidden/>
          </w:rPr>
          <w:fldChar w:fldCharType="begin"/>
        </w:r>
        <w:r>
          <w:rPr>
            <w:noProof/>
            <w:webHidden/>
          </w:rPr>
          <w:instrText xml:space="preserve"> PAGEREF _Toc497171774 \h </w:instrText>
        </w:r>
        <w:r>
          <w:rPr>
            <w:noProof/>
            <w:webHidden/>
          </w:rPr>
        </w:r>
        <w:r>
          <w:rPr>
            <w:noProof/>
            <w:webHidden/>
          </w:rPr>
          <w:fldChar w:fldCharType="separate"/>
        </w:r>
        <w:r>
          <w:rPr>
            <w:noProof/>
            <w:webHidden/>
          </w:rPr>
          <w:t>20</w:t>
        </w:r>
        <w:r>
          <w:rPr>
            <w:noProof/>
            <w:webHidden/>
          </w:rPr>
          <w:fldChar w:fldCharType="end"/>
        </w:r>
      </w:hyperlink>
    </w:p>
    <w:p w14:paraId="0D1B10EA" w14:textId="763DA535" w:rsidR="00945650" w:rsidRDefault="00945650">
      <w:pPr>
        <w:pStyle w:val="TableofFigures"/>
        <w:tabs>
          <w:tab w:val="right" w:leader="dot" w:pos="9350"/>
        </w:tabs>
        <w:rPr>
          <w:rFonts w:asciiTheme="minorHAnsi" w:eastAsiaTheme="minorEastAsia" w:hAnsiTheme="minorHAnsi"/>
          <w:noProof/>
        </w:rPr>
      </w:pPr>
      <w:hyperlink w:anchor="_Toc497171775" w:history="1">
        <w:r w:rsidRPr="00793DB2">
          <w:rPr>
            <w:rStyle w:val="Hyperlink"/>
            <w:noProof/>
          </w:rPr>
          <w:t>Figure 5: The education system in The Gambia</w:t>
        </w:r>
        <w:r>
          <w:rPr>
            <w:noProof/>
            <w:webHidden/>
          </w:rPr>
          <w:tab/>
        </w:r>
        <w:r>
          <w:rPr>
            <w:noProof/>
            <w:webHidden/>
          </w:rPr>
          <w:fldChar w:fldCharType="begin"/>
        </w:r>
        <w:r>
          <w:rPr>
            <w:noProof/>
            <w:webHidden/>
          </w:rPr>
          <w:instrText xml:space="preserve"> PAGEREF _Toc497171775 \h </w:instrText>
        </w:r>
        <w:r>
          <w:rPr>
            <w:noProof/>
            <w:webHidden/>
          </w:rPr>
        </w:r>
        <w:r>
          <w:rPr>
            <w:noProof/>
            <w:webHidden/>
          </w:rPr>
          <w:fldChar w:fldCharType="separate"/>
        </w:r>
        <w:r>
          <w:rPr>
            <w:noProof/>
            <w:webHidden/>
          </w:rPr>
          <w:t>23</w:t>
        </w:r>
        <w:r>
          <w:rPr>
            <w:noProof/>
            <w:webHidden/>
          </w:rPr>
          <w:fldChar w:fldCharType="end"/>
        </w:r>
      </w:hyperlink>
    </w:p>
    <w:p w14:paraId="6264ABEF" w14:textId="28F39674" w:rsidR="00945650" w:rsidRDefault="00945650">
      <w:pPr>
        <w:pStyle w:val="TableofFigures"/>
        <w:tabs>
          <w:tab w:val="right" w:leader="dot" w:pos="9350"/>
        </w:tabs>
        <w:rPr>
          <w:rFonts w:asciiTheme="minorHAnsi" w:eastAsiaTheme="minorEastAsia" w:hAnsiTheme="minorHAnsi"/>
          <w:noProof/>
        </w:rPr>
      </w:pPr>
      <w:hyperlink w:anchor="_Toc497171776" w:history="1">
        <w:r w:rsidRPr="00793DB2">
          <w:rPr>
            <w:rStyle w:val="Hyperlink"/>
            <w:noProof/>
          </w:rPr>
          <w:t>Figure 6: Trends of GERs and gender parity and completion rate by level of education</w:t>
        </w:r>
        <w:r>
          <w:rPr>
            <w:noProof/>
            <w:webHidden/>
          </w:rPr>
          <w:tab/>
        </w:r>
        <w:r>
          <w:rPr>
            <w:noProof/>
            <w:webHidden/>
          </w:rPr>
          <w:fldChar w:fldCharType="begin"/>
        </w:r>
        <w:r>
          <w:rPr>
            <w:noProof/>
            <w:webHidden/>
          </w:rPr>
          <w:instrText xml:space="preserve"> PAGEREF _Toc497171776 \h </w:instrText>
        </w:r>
        <w:r>
          <w:rPr>
            <w:noProof/>
            <w:webHidden/>
          </w:rPr>
        </w:r>
        <w:r>
          <w:rPr>
            <w:noProof/>
            <w:webHidden/>
          </w:rPr>
          <w:fldChar w:fldCharType="separate"/>
        </w:r>
        <w:r>
          <w:rPr>
            <w:noProof/>
            <w:webHidden/>
          </w:rPr>
          <w:t>26</w:t>
        </w:r>
        <w:r>
          <w:rPr>
            <w:noProof/>
            <w:webHidden/>
          </w:rPr>
          <w:fldChar w:fldCharType="end"/>
        </w:r>
      </w:hyperlink>
    </w:p>
    <w:p w14:paraId="4B24E23D" w14:textId="07D48598" w:rsidR="00945650" w:rsidRDefault="00945650">
      <w:pPr>
        <w:pStyle w:val="TableofFigures"/>
        <w:tabs>
          <w:tab w:val="right" w:leader="dot" w:pos="9350"/>
        </w:tabs>
        <w:rPr>
          <w:rFonts w:asciiTheme="minorHAnsi" w:eastAsiaTheme="minorEastAsia" w:hAnsiTheme="minorHAnsi"/>
          <w:noProof/>
        </w:rPr>
      </w:pPr>
      <w:hyperlink w:anchor="_Toc497171777" w:history="1">
        <w:r w:rsidRPr="00793DB2">
          <w:rPr>
            <w:rStyle w:val="Hyperlink"/>
            <w:noProof/>
          </w:rPr>
          <w:t>Figure 7: Repetition rate by grade and trends of repetition at grade 1, 2010, 2015</w:t>
        </w:r>
        <w:r>
          <w:rPr>
            <w:noProof/>
            <w:webHidden/>
          </w:rPr>
          <w:tab/>
        </w:r>
        <w:r>
          <w:rPr>
            <w:noProof/>
            <w:webHidden/>
          </w:rPr>
          <w:fldChar w:fldCharType="begin"/>
        </w:r>
        <w:r>
          <w:rPr>
            <w:noProof/>
            <w:webHidden/>
          </w:rPr>
          <w:instrText xml:space="preserve"> PAGEREF _Toc497171777 \h </w:instrText>
        </w:r>
        <w:r>
          <w:rPr>
            <w:noProof/>
            <w:webHidden/>
          </w:rPr>
        </w:r>
        <w:r>
          <w:rPr>
            <w:noProof/>
            <w:webHidden/>
          </w:rPr>
          <w:fldChar w:fldCharType="separate"/>
        </w:r>
        <w:r>
          <w:rPr>
            <w:noProof/>
            <w:webHidden/>
          </w:rPr>
          <w:t>26</w:t>
        </w:r>
        <w:r>
          <w:rPr>
            <w:noProof/>
            <w:webHidden/>
          </w:rPr>
          <w:fldChar w:fldCharType="end"/>
        </w:r>
      </w:hyperlink>
    </w:p>
    <w:p w14:paraId="61082602" w14:textId="1E5B9943" w:rsidR="00945650" w:rsidRDefault="00945650">
      <w:pPr>
        <w:pStyle w:val="TableofFigures"/>
        <w:tabs>
          <w:tab w:val="right" w:leader="dot" w:pos="9350"/>
        </w:tabs>
        <w:rPr>
          <w:rFonts w:asciiTheme="minorHAnsi" w:eastAsiaTheme="minorEastAsia" w:hAnsiTheme="minorHAnsi"/>
          <w:noProof/>
        </w:rPr>
      </w:pPr>
      <w:hyperlink w:anchor="_Toc497171778" w:history="1">
        <w:r w:rsidRPr="00793DB2">
          <w:rPr>
            <w:rStyle w:val="Hyperlink"/>
            <w:noProof/>
          </w:rPr>
          <w:t>Figure 8: Trends of out-of-school rate for LBS, UBS, and SSS-age cohort children breakdown by never attended and dropout (%)</w:t>
        </w:r>
        <w:r>
          <w:rPr>
            <w:noProof/>
            <w:webHidden/>
          </w:rPr>
          <w:tab/>
        </w:r>
        <w:r>
          <w:rPr>
            <w:noProof/>
            <w:webHidden/>
          </w:rPr>
          <w:fldChar w:fldCharType="begin"/>
        </w:r>
        <w:r>
          <w:rPr>
            <w:noProof/>
            <w:webHidden/>
          </w:rPr>
          <w:instrText xml:space="preserve"> PAGEREF _Toc497171778 \h </w:instrText>
        </w:r>
        <w:r>
          <w:rPr>
            <w:noProof/>
            <w:webHidden/>
          </w:rPr>
        </w:r>
        <w:r>
          <w:rPr>
            <w:noProof/>
            <w:webHidden/>
          </w:rPr>
          <w:fldChar w:fldCharType="separate"/>
        </w:r>
        <w:r>
          <w:rPr>
            <w:noProof/>
            <w:webHidden/>
          </w:rPr>
          <w:t>27</w:t>
        </w:r>
        <w:r>
          <w:rPr>
            <w:noProof/>
            <w:webHidden/>
          </w:rPr>
          <w:fldChar w:fldCharType="end"/>
        </w:r>
      </w:hyperlink>
    </w:p>
    <w:p w14:paraId="10A7117E" w14:textId="43CAB612" w:rsidR="00945650" w:rsidRDefault="00945650">
      <w:pPr>
        <w:pStyle w:val="TableofFigures"/>
        <w:tabs>
          <w:tab w:val="right" w:leader="dot" w:pos="9350"/>
        </w:tabs>
        <w:rPr>
          <w:rFonts w:asciiTheme="minorHAnsi" w:eastAsiaTheme="minorEastAsia" w:hAnsiTheme="minorHAnsi"/>
          <w:noProof/>
        </w:rPr>
      </w:pPr>
      <w:hyperlink w:anchor="_Toc497171779" w:history="1">
        <w:r w:rsidRPr="00793DB2">
          <w:rPr>
            <w:rStyle w:val="Hyperlink"/>
            <w:noProof/>
          </w:rPr>
          <w:t>Figure 9: Distribution of total number of out-of-school children and LBS-age children by region</w:t>
        </w:r>
        <w:r>
          <w:rPr>
            <w:noProof/>
            <w:webHidden/>
          </w:rPr>
          <w:tab/>
        </w:r>
        <w:r>
          <w:rPr>
            <w:noProof/>
            <w:webHidden/>
          </w:rPr>
          <w:fldChar w:fldCharType="begin"/>
        </w:r>
        <w:r>
          <w:rPr>
            <w:noProof/>
            <w:webHidden/>
          </w:rPr>
          <w:instrText xml:space="preserve"> PAGEREF _Toc497171779 \h </w:instrText>
        </w:r>
        <w:r>
          <w:rPr>
            <w:noProof/>
            <w:webHidden/>
          </w:rPr>
        </w:r>
        <w:r>
          <w:rPr>
            <w:noProof/>
            <w:webHidden/>
          </w:rPr>
          <w:fldChar w:fldCharType="separate"/>
        </w:r>
        <w:r>
          <w:rPr>
            <w:noProof/>
            <w:webHidden/>
          </w:rPr>
          <w:t>28</w:t>
        </w:r>
        <w:r>
          <w:rPr>
            <w:noProof/>
            <w:webHidden/>
          </w:rPr>
          <w:fldChar w:fldCharType="end"/>
        </w:r>
      </w:hyperlink>
    </w:p>
    <w:p w14:paraId="7456BE6D" w14:textId="22E71A2A" w:rsidR="00945650" w:rsidRDefault="00945650">
      <w:pPr>
        <w:pStyle w:val="TableofFigures"/>
        <w:tabs>
          <w:tab w:val="right" w:leader="dot" w:pos="9350"/>
        </w:tabs>
        <w:rPr>
          <w:rFonts w:asciiTheme="minorHAnsi" w:eastAsiaTheme="minorEastAsia" w:hAnsiTheme="minorHAnsi"/>
          <w:noProof/>
        </w:rPr>
      </w:pPr>
      <w:hyperlink w:anchor="_Toc497171780" w:history="1">
        <w:r w:rsidRPr="00793DB2">
          <w:rPr>
            <w:rStyle w:val="Hyperlink"/>
            <w:noProof/>
          </w:rPr>
          <w:t>Figure 10: Comparison of primary-age children out-of-school rate (%)</w:t>
        </w:r>
        <w:r>
          <w:rPr>
            <w:noProof/>
            <w:webHidden/>
          </w:rPr>
          <w:tab/>
        </w:r>
        <w:r>
          <w:rPr>
            <w:noProof/>
            <w:webHidden/>
          </w:rPr>
          <w:fldChar w:fldCharType="begin"/>
        </w:r>
        <w:r>
          <w:rPr>
            <w:noProof/>
            <w:webHidden/>
          </w:rPr>
          <w:instrText xml:space="preserve"> PAGEREF _Toc497171780 \h </w:instrText>
        </w:r>
        <w:r>
          <w:rPr>
            <w:noProof/>
            <w:webHidden/>
          </w:rPr>
        </w:r>
        <w:r>
          <w:rPr>
            <w:noProof/>
            <w:webHidden/>
          </w:rPr>
          <w:fldChar w:fldCharType="separate"/>
        </w:r>
        <w:r>
          <w:rPr>
            <w:noProof/>
            <w:webHidden/>
          </w:rPr>
          <w:t>28</w:t>
        </w:r>
        <w:r>
          <w:rPr>
            <w:noProof/>
            <w:webHidden/>
          </w:rPr>
          <w:fldChar w:fldCharType="end"/>
        </w:r>
      </w:hyperlink>
    </w:p>
    <w:p w14:paraId="3ED44985" w14:textId="6DC231C4" w:rsidR="00945650" w:rsidRDefault="00945650">
      <w:pPr>
        <w:pStyle w:val="TableofFigures"/>
        <w:tabs>
          <w:tab w:val="right" w:leader="dot" w:pos="9350"/>
        </w:tabs>
        <w:rPr>
          <w:rFonts w:asciiTheme="minorHAnsi" w:eastAsiaTheme="minorEastAsia" w:hAnsiTheme="minorHAnsi"/>
          <w:noProof/>
        </w:rPr>
      </w:pPr>
      <w:hyperlink w:anchor="_Toc497171781" w:history="1">
        <w:r w:rsidRPr="00793DB2">
          <w:rPr>
            <w:rStyle w:val="Hyperlink"/>
            <w:noProof/>
          </w:rPr>
          <w:t>Figure 11: Literacy rates among youth and the working-age population (left) and educational attainment of youth (right), 2010, 2015</w:t>
        </w:r>
        <w:r>
          <w:rPr>
            <w:noProof/>
            <w:webHidden/>
          </w:rPr>
          <w:tab/>
        </w:r>
        <w:r>
          <w:rPr>
            <w:noProof/>
            <w:webHidden/>
          </w:rPr>
          <w:fldChar w:fldCharType="begin"/>
        </w:r>
        <w:r>
          <w:rPr>
            <w:noProof/>
            <w:webHidden/>
          </w:rPr>
          <w:instrText xml:space="preserve"> PAGEREF _Toc497171781 \h </w:instrText>
        </w:r>
        <w:r>
          <w:rPr>
            <w:noProof/>
            <w:webHidden/>
          </w:rPr>
        </w:r>
        <w:r>
          <w:rPr>
            <w:noProof/>
            <w:webHidden/>
          </w:rPr>
          <w:fldChar w:fldCharType="separate"/>
        </w:r>
        <w:r>
          <w:rPr>
            <w:noProof/>
            <w:webHidden/>
          </w:rPr>
          <w:t>29</w:t>
        </w:r>
        <w:r>
          <w:rPr>
            <w:noProof/>
            <w:webHidden/>
          </w:rPr>
          <w:fldChar w:fldCharType="end"/>
        </w:r>
      </w:hyperlink>
    </w:p>
    <w:p w14:paraId="711538C6" w14:textId="53C0F4B4" w:rsidR="00945650" w:rsidRDefault="00945650">
      <w:pPr>
        <w:pStyle w:val="TableofFigures"/>
        <w:tabs>
          <w:tab w:val="right" w:leader="dot" w:pos="9350"/>
        </w:tabs>
        <w:rPr>
          <w:rFonts w:asciiTheme="minorHAnsi" w:eastAsiaTheme="minorEastAsia" w:hAnsiTheme="minorHAnsi"/>
          <w:noProof/>
        </w:rPr>
      </w:pPr>
      <w:hyperlink w:anchor="_Toc497171782" w:history="1">
        <w:r w:rsidRPr="00793DB2">
          <w:rPr>
            <w:rStyle w:val="Hyperlink"/>
            <w:noProof/>
          </w:rPr>
          <w:t>Figure 12: Average years of schooling</w:t>
        </w:r>
        <w:r>
          <w:rPr>
            <w:noProof/>
            <w:webHidden/>
          </w:rPr>
          <w:tab/>
        </w:r>
        <w:r>
          <w:rPr>
            <w:noProof/>
            <w:webHidden/>
          </w:rPr>
          <w:fldChar w:fldCharType="begin"/>
        </w:r>
        <w:r>
          <w:rPr>
            <w:noProof/>
            <w:webHidden/>
          </w:rPr>
          <w:instrText xml:space="preserve"> PAGEREF _Toc497171782 \h </w:instrText>
        </w:r>
        <w:r>
          <w:rPr>
            <w:noProof/>
            <w:webHidden/>
          </w:rPr>
        </w:r>
        <w:r>
          <w:rPr>
            <w:noProof/>
            <w:webHidden/>
          </w:rPr>
          <w:fldChar w:fldCharType="separate"/>
        </w:r>
        <w:r>
          <w:rPr>
            <w:noProof/>
            <w:webHidden/>
          </w:rPr>
          <w:t>30</w:t>
        </w:r>
        <w:r>
          <w:rPr>
            <w:noProof/>
            <w:webHidden/>
          </w:rPr>
          <w:fldChar w:fldCharType="end"/>
        </w:r>
      </w:hyperlink>
    </w:p>
    <w:p w14:paraId="562FEC61" w14:textId="27AB8704" w:rsidR="00945650" w:rsidRDefault="00945650">
      <w:pPr>
        <w:pStyle w:val="TableofFigures"/>
        <w:tabs>
          <w:tab w:val="right" w:leader="dot" w:pos="9350"/>
        </w:tabs>
        <w:rPr>
          <w:rFonts w:asciiTheme="minorHAnsi" w:eastAsiaTheme="minorEastAsia" w:hAnsiTheme="minorHAnsi"/>
          <w:noProof/>
        </w:rPr>
      </w:pPr>
      <w:hyperlink w:anchor="_Toc497171783" w:history="1">
        <w:r w:rsidRPr="00793DB2">
          <w:rPr>
            <w:rStyle w:val="Hyperlink"/>
            <w:noProof/>
          </w:rPr>
          <w:t>Figure 13: Distribution of the working population by level of education in terms of age group, gender, area, and region (%)</w:t>
        </w:r>
        <w:r>
          <w:rPr>
            <w:noProof/>
            <w:webHidden/>
          </w:rPr>
          <w:tab/>
        </w:r>
        <w:r>
          <w:rPr>
            <w:noProof/>
            <w:webHidden/>
          </w:rPr>
          <w:fldChar w:fldCharType="begin"/>
        </w:r>
        <w:r>
          <w:rPr>
            <w:noProof/>
            <w:webHidden/>
          </w:rPr>
          <w:instrText xml:space="preserve"> PAGEREF _Toc497171783 \h </w:instrText>
        </w:r>
        <w:r>
          <w:rPr>
            <w:noProof/>
            <w:webHidden/>
          </w:rPr>
        </w:r>
        <w:r>
          <w:rPr>
            <w:noProof/>
            <w:webHidden/>
          </w:rPr>
          <w:fldChar w:fldCharType="separate"/>
        </w:r>
        <w:r>
          <w:rPr>
            <w:noProof/>
            <w:webHidden/>
          </w:rPr>
          <w:t>30</w:t>
        </w:r>
        <w:r>
          <w:rPr>
            <w:noProof/>
            <w:webHidden/>
          </w:rPr>
          <w:fldChar w:fldCharType="end"/>
        </w:r>
      </w:hyperlink>
    </w:p>
    <w:p w14:paraId="078C272C" w14:textId="5CFADC29" w:rsidR="00945650" w:rsidRDefault="00945650">
      <w:pPr>
        <w:pStyle w:val="TableofFigures"/>
        <w:tabs>
          <w:tab w:val="right" w:leader="dot" w:pos="9350"/>
        </w:tabs>
        <w:rPr>
          <w:rFonts w:asciiTheme="minorHAnsi" w:eastAsiaTheme="minorEastAsia" w:hAnsiTheme="minorHAnsi"/>
          <w:noProof/>
        </w:rPr>
      </w:pPr>
      <w:hyperlink w:anchor="_Toc497171784" w:history="1">
        <w:r w:rsidRPr="00793DB2">
          <w:rPr>
            <w:rStyle w:val="Hyperlink"/>
            <w:noProof/>
          </w:rPr>
          <w:t>Figure 14: Share of labor force population with no formal education, ages 15–24 and ages 25–64</w:t>
        </w:r>
        <w:r>
          <w:rPr>
            <w:noProof/>
            <w:webHidden/>
          </w:rPr>
          <w:tab/>
        </w:r>
        <w:r>
          <w:rPr>
            <w:noProof/>
            <w:webHidden/>
          </w:rPr>
          <w:fldChar w:fldCharType="begin"/>
        </w:r>
        <w:r>
          <w:rPr>
            <w:noProof/>
            <w:webHidden/>
          </w:rPr>
          <w:instrText xml:space="preserve"> PAGEREF _Toc497171784 \h </w:instrText>
        </w:r>
        <w:r>
          <w:rPr>
            <w:noProof/>
            <w:webHidden/>
          </w:rPr>
        </w:r>
        <w:r>
          <w:rPr>
            <w:noProof/>
            <w:webHidden/>
          </w:rPr>
          <w:fldChar w:fldCharType="separate"/>
        </w:r>
        <w:r>
          <w:rPr>
            <w:noProof/>
            <w:webHidden/>
          </w:rPr>
          <w:t>31</w:t>
        </w:r>
        <w:r>
          <w:rPr>
            <w:noProof/>
            <w:webHidden/>
          </w:rPr>
          <w:fldChar w:fldCharType="end"/>
        </w:r>
      </w:hyperlink>
    </w:p>
    <w:p w14:paraId="26C785F9" w14:textId="0EE5932F" w:rsidR="00945650" w:rsidRDefault="00945650">
      <w:pPr>
        <w:pStyle w:val="TableofFigures"/>
        <w:tabs>
          <w:tab w:val="right" w:leader="dot" w:pos="9350"/>
        </w:tabs>
        <w:rPr>
          <w:rFonts w:asciiTheme="minorHAnsi" w:eastAsiaTheme="minorEastAsia" w:hAnsiTheme="minorHAnsi"/>
          <w:noProof/>
        </w:rPr>
      </w:pPr>
      <w:hyperlink w:anchor="_Toc497171785" w:history="1">
        <w:r w:rsidRPr="00793DB2">
          <w:rPr>
            <w:rStyle w:val="Hyperlink"/>
            <w:noProof/>
          </w:rPr>
          <w:t xml:space="preserve">Figure 15: </w:t>
        </w:r>
        <w:r w:rsidRPr="00793DB2">
          <w:rPr>
            <w:rStyle w:val="Hyperlink"/>
            <w:noProof/>
            <w:lang w:eastAsia="ja-JP"/>
          </w:rPr>
          <w:t>Budget process and flow</w:t>
        </w:r>
        <w:r>
          <w:rPr>
            <w:noProof/>
            <w:webHidden/>
          </w:rPr>
          <w:tab/>
        </w:r>
        <w:r>
          <w:rPr>
            <w:noProof/>
            <w:webHidden/>
          </w:rPr>
          <w:fldChar w:fldCharType="begin"/>
        </w:r>
        <w:r>
          <w:rPr>
            <w:noProof/>
            <w:webHidden/>
          </w:rPr>
          <w:instrText xml:space="preserve"> PAGEREF _Toc497171785 \h </w:instrText>
        </w:r>
        <w:r>
          <w:rPr>
            <w:noProof/>
            <w:webHidden/>
          </w:rPr>
        </w:r>
        <w:r>
          <w:rPr>
            <w:noProof/>
            <w:webHidden/>
          </w:rPr>
          <w:fldChar w:fldCharType="separate"/>
        </w:r>
        <w:r>
          <w:rPr>
            <w:noProof/>
            <w:webHidden/>
          </w:rPr>
          <w:t>34</w:t>
        </w:r>
        <w:r>
          <w:rPr>
            <w:noProof/>
            <w:webHidden/>
          </w:rPr>
          <w:fldChar w:fldCharType="end"/>
        </w:r>
      </w:hyperlink>
    </w:p>
    <w:p w14:paraId="4F6B63C5" w14:textId="601E0775" w:rsidR="00945650" w:rsidRDefault="00945650">
      <w:pPr>
        <w:pStyle w:val="TableofFigures"/>
        <w:tabs>
          <w:tab w:val="right" w:leader="dot" w:pos="9350"/>
        </w:tabs>
        <w:rPr>
          <w:rFonts w:asciiTheme="minorHAnsi" w:eastAsiaTheme="minorEastAsia" w:hAnsiTheme="minorHAnsi"/>
          <w:noProof/>
        </w:rPr>
      </w:pPr>
      <w:hyperlink w:anchor="_Toc497171786" w:history="1">
        <w:r w:rsidRPr="00793DB2">
          <w:rPr>
            <w:rStyle w:val="Hyperlink"/>
            <w:noProof/>
          </w:rPr>
          <w:t>Figure 16: Sources of education sector finance and the breakdown by level of education, 2015</w:t>
        </w:r>
        <w:r>
          <w:rPr>
            <w:noProof/>
            <w:webHidden/>
          </w:rPr>
          <w:tab/>
        </w:r>
        <w:r>
          <w:rPr>
            <w:noProof/>
            <w:webHidden/>
          </w:rPr>
          <w:fldChar w:fldCharType="begin"/>
        </w:r>
        <w:r>
          <w:rPr>
            <w:noProof/>
            <w:webHidden/>
          </w:rPr>
          <w:instrText xml:space="preserve"> PAGEREF _Toc497171786 \h </w:instrText>
        </w:r>
        <w:r>
          <w:rPr>
            <w:noProof/>
            <w:webHidden/>
          </w:rPr>
        </w:r>
        <w:r>
          <w:rPr>
            <w:noProof/>
            <w:webHidden/>
          </w:rPr>
          <w:fldChar w:fldCharType="separate"/>
        </w:r>
        <w:r>
          <w:rPr>
            <w:noProof/>
            <w:webHidden/>
          </w:rPr>
          <w:t>36</w:t>
        </w:r>
        <w:r>
          <w:rPr>
            <w:noProof/>
            <w:webHidden/>
          </w:rPr>
          <w:fldChar w:fldCharType="end"/>
        </w:r>
      </w:hyperlink>
    </w:p>
    <w:p w14:paraId="65DF4CE3" w14:textId="4E89DE32" w:rsidR="00945650" w:rsidRDefault="00945650">
      <w:pPr>
        <w:pStyle w:val="TableofFigures"/>
        <w:tabs>
          <w:tab w:val="right" w:leader="dot" w:pos="9350"/>
        </w:tabs>
        <w:rPr>
          <w:rFonts w:asciiTheme="minorHAnsi" w:eastAsiaTheme="minorEastAsia" w:hAnsiTheme="minorHAnsi"/>
          <w:noProof/>
        </w:rPr>
      </w:pPr>
      <w:hyperlink w:anchor="_Toc497171787" w:history="1">
        <w:r w:rsidRPr="00793DB2">
          <w:rPr>
            <w:rStyle w:val="Hyperlink"/>
            <w:noProof/>
          </w:rPr>
          <w:t>Figure 17: Share of education spending and share of enrollments by level of education</w:t>
        </w:r>
        <w:r>
          <w:rPr>
            <w:noProof/>
            <w:webHidden/>
          </w:rPr>
          <w:tab/>
        </w:r>
        <w:r>
          <w:rPr>
            <w:noProof/>
            <w:webHidden/>
          </w:rPr>
          <w:fldChar w:fldCharType="begin"/>
        </w:r>
        <w:r>
          <w:rPr>
            <w:noProof/>
            <w:webHidden/>
          </w:rPr>
          <w:instrText xml:space="preserve"> PAGEREF _Toc497171787 \h </w:instrText>
        </w:r>
        <w:r>
          <w:rPr>
            <w:noProof/>
            <w:webHidden/>
          </w:rPr>
        </w:r>
        <w:r>
          <w:rPr>
            <w:noProof/>
            <w:webHidden/>
          </w:rPr>
          <w:fldChar w:fldCharType="separate"/>
        </w:r>
        <w:r>
          <w:rPr>
            <w:noProof/>
            <w:webHidden/>
          </w:rPr>
          <w:t>37</w:t>
        </w:r>
        <w:r>
          <w:rPr>
            <w:noProof/>
            <w:webHidden/>
          </w:rPr>
          <w:fldChar w:fldCharType="end"/>
        </w:r>
      </w:hyperlink>
    </w:p>
    <w:p w14:paraId="429595E1" w14:textId="360C757D" w:rsidR="00945650" w:rsidRDefault="00945650">
      <w:pPr>
        <w:pStyle w:val="TableofFigures"/>
        <w:tabs>
          <w:tab w:val="right" w:leader="dot" w:pos="9350"/>
        </w:tabs>
        <w:rPr>
          <w:rFonts w:asciiTheme="minorHAnsi" w:eastAsiaTheme="minorEastAsia" w:hAnsiTheme="minorHAnsi"/>
          <w:noProof/>
        </w:rPr>
      </w:pPr>
      <w:hyperlink w:anchor="_Toc497171788" w:history="1">
        <w:r w:rsidRPr="00793DB2">
          <w:rPr>
            <w:rStyle w:val="Hyperlink"/>
            <w:noProof/>
          </w:rPr>
          <w:t>Figure 18: Trends of public expenditure on education by ministry and total (GMD)</w:t>
        </w:r>
        <w:r>
          <w:rPr>
            <w:noProof/>
            <w:webHidden/>
          </w:rPr>
          <w:tab/>
        </w:r>
        <w:r>
          <w:rPr>
            <w:noProof/>
            <w:webHidden/>
          </w:rPr>
          <w:fldChar w:fldCharType="begin"/>
        </w:r>
        <w:r>
          <w:rPr>
            <w:noProof/>
            <w:webHidden/>
          </w:rPr>
          <w:instrText xml:space="preserve"> PAGEREF _Toc497171788 \h </w:instrText>
        </w:r>
        <w:r>
          <w:rPr>
            <w:noProof/>
            <w:webHidden/>
          </w:rPr>
        </w:r>
        <w:r>
          <w:rPr>
            <w:noProof/>
            <w:webHidden/>
          </w:rPr>
          <w:fldChar w:fldCharType="separate"/>
        </w:r>
        <w:r>
          <w:rPr>
            <w:noProof/>
            <w:webHidden/>
          </w:rPr>
          <w:t>38</w:t>
        </w:r>
        <w:r>
          <w:rPr>
            <w:noProof/>
            <w:webHidden/>
          </w:rPr>
          <w:fldChar w:fldCharType="end"/>
        </w:r>
      </w:hyperlink>
    </w:p>
    <w:p w14:paraId="7FA3A46A" w14:textId="214F5422" w:rsidR="00945650" w:rsidRDefault="00945650">
      <w:pPr>
        <w:pStyle w:val="TableofFigures"/>
        <w:tabs>
          <w:tab w:val="right" w:leader="dot" w:pos="9350"/>
        </w:tabs>
        <w:rPr>
          <w:rFonts w:asciiTheme="minorHAnsi" w:eastAsiaTheme="minorEastAsia" w:hAnsiTheme="minorHAnsi"/>
          <w:noProof/>
        </w:rPr>
      </w:pPr>
      <w:hyperlink w:anchor="_Toc497171789" w:history="1">
        <w:r w:rsidRPr="00793DB2">
          <w:rPr>
            <w:rStyle w:val="Hyperlink"/>
            <w:noProof/>
          </w:rPr>
          <w:t>Figure 19: Trends of budget execution rates, 2010–2015</w:t>
        </w:r>
        <w:r>
          <w:rPr>
            <w:noProof/>
            <w:webHidden/>
          </w:rPr>
          <w:tab/>
        </w:r>
        <w:r>
          <w:rPr>
            <w:noProof/>
            <w:webHidden/>
          </w:rPr>
          <w:fldChar w:fldCharType="begin"/>
        </w:r>
        <w:r>
          <w:rPr>
            <w:noProof/>
            <w:webHidden/>
          </w:rPr>
          <w:instrText xml:space="preserve"> PAGEREF _Toc497171789 \h </w:instrText>
        </w:r>
        <w:r>
          <w:rPr>
            <w:noProof/>
            <w:webHidden/>
          </w:rPr>
        </w:r>
        <w:r>
          <w:rPr>
            <w:noProof/>
            <w:webHidden/>
          </w:rPr>
          <w:fldChar w:fldCharType="separate"/>
        </w:r>
        <w:r>
          <w:rPr>
            <w:noProof/>
            <w:webHidden/>
          </w:rPr>
          <w:t>38</w:t>
        </w:r>
        <w:r>
          <w:rPr>
            <w:noProof/>
            <w:webHidden/>
          </w:rPr>
          <w:fldChar w:fldCharType="end"/>
        </w:r>
      </w:hyperlink>
    </w:p>
    <w:p w14:paraId="43E761E1" w14:textId="10E54AAF" w:rsidR="00945650" w:rsidRDefault="00945650">
      <w:pPr>
        <w:pStyle w:val="TableofFigures"/>
        <w:tabs>
          <w:tab w:val="right" w:leader="dot" w:pos="9350"/>
        </w:tabs>
        <w:rPr>
          <w:rFonts w:asciiTheme="minorHAnsi" w:eastAsiaTheme="minorEastAsia" w:hAnsiTheme="minorHAnsi"/>
          <w:noProof/>
        </w:rPr>
      </w:pPr>
      <w:hyperlink w:anchor="_Toc497171790" w:history="1">
        <w:r w:rsidRPr="00793DB2">
          <w:rPr>
            <w:rStyle w:val="Hyperlink"/>
            <w:noProof/>
          </w:rPr>
          <w:t>Figure 20: Budget allocation by level of education</w:t>
        </w:r>
        <w:r>
          <w:rPr>
            <w:noProof/>
            <w:webHidden/>
          </w:rPr>
          <w:tab/>
        </w:r>
        <w:r>
          <w:rPr>
            <w:noProof/>
            <w:webHidden/>
          </w:rPr>
          <w:fldChar w:fldCharType="begin"/>
        </w:r>
        <w:r>
          <w:rPr>
            <w:noProof/>
            <w:webHidden/>
          </w:rPr>
          <w:instrText xml:space="preserve"> PAGEREF _Toc497171790 \h </w:instrText>
        </w:r>
        <w:r>
          <w:rPr>
            <w:noProof/>
            <w:webHidden/>
          </w:rPr>
        </w:r>
        <w:r>
          <w:rPr>
            <w:noProof/>
            <w:webHidden/>
          </w:rPr>
          <w:fldChar w:fldCharType="separate"/>
        </w:r>
        <w:r>
          <w:rPr>
            <w:noProof/>
            <w:webHidden/>
          </w:rPr>
          <w:t>39</w:t>
        </w:r>
        <w:r>
          <w:rPr>
            <w:noProof/>
            <w:webHidden/>
          </w:rPr>
          <w:fldChar w:fldCharType="end"/>
        </w:r>
      </w:hyperlink>
    </w:p>
    <w:p w14:paraId="1EA2D9D2" w14:textId="5A3055C6" w:rsidR="00945650" w:rsidRDefault="00945650">
      <w:pPr>
        <w:pStyle w:val="TableofFigures"/>
        <w:tabs>
          <w:tab w:val="right" w:leader="dot" w:pos="9350"/>
        </w:tabs>
        <w:rPr>
          <w:rFonts w:asciiTheme="minorHAnsi" w:eastAsiaTheme="minorEastAsia" w:hAnsiTheme="minorHAnsi"/>
          <w:noProof/>
        </w:rPr>
      </w:pPr>
      <w:hyperlink w:anchor="_Toc497171791" w:history="1">
        <w:r w:rsidRPr="00793DB2">
          <w:rPr>
            <w:rStyle w:val="Hyperlink"/>
            <w:noProof/>
          </w:rPr>
          <w:t>Figure 21: Distribution of public expenditure by level of education</w:t>
        </w:r>
        <w:r>
          <w:rPr>
            <w:noProof/>
            <w:webHidden/>
          </w:rPr>
          <w:tab/>
        </w:r>
        <w:r>
          <w:rPr>
            <w:noProof/>
            <w:webHidden/>
          </w:rPr>
          <w:fldChar w:fldCharType="begin"/>
        </w:r>
        <w:r>
          <w:rPr>
            <w:noProof/>
            <w:webHidden/>
          </w:rPr>
          <w:instrText xml:space="preserve"> PAGEREF _Toc497171791 \h </w:instrText>
        </w:r>
        <w:r>
          <w:rPr>
            <w:noProof/>
            <w:webHidden/>
          </w:rPr>
        </w:r>
        <w:r>
          <w:rPr>
            <w:noProof/>
            <w:webHidden/>
          </w:rPr>
          <w:fldChar w:fldCharType="separate"/>
        </w:r>
        <w:r>
          <w:rPr>
            <w:noProof/>
            <w:webHidden/>
          </w:rPr>
          <w:t>40</w:t>
        </w:r>
        <w:r>
          <w:rPr>
            <w:noProof/>
            <w:webHidden/>
          </w:rPr>
          <w:fldChar w:fldCharType="end"/>
        </w:r>
      </w:hyperlink>
    </w:p>
    <w:p w14:paraId="688B0209" w14:textId="1CA76964" w:rsidR="00945650" w:rsidRDefault="00945650">
      <w:pPr>
        <w:pStyle w:val="TableofFigures"/>
        <w:tabs>
          <w:tab w:val="right" w:leader="dot" w:pos="9350"/>
        </w:tabs>
        <w:rPr>
          <w:rFonts w:asciiTheme="minorHAnsi" w:eastAsiaTheme="minorEastAsia" w:hAnsiTheme="minorHAnsi"/>
          <w:noProof/>
        </w:rPr>
      </w:pPr>
      <w:hyperlink w:anchor="_Toc497171792" w:history="1">
        <w:r w:rsidRPr="00793DB2">
          <w:rPr>
            <w:rStyle w:val="Hyperlink"/>
            <w:noProof/>
          </w:rPr>
          <w:t>Figure 22: Trends of breakdown of budget allocation by capita, personnel and non-personnel recurrent</w:t>
        </w:r>
        <w:r>
          <w:rPr>
            <w:noProof/>
            <w:webHidden/>
          </w:rPr>
          <w:tab/>
        </w:r>
        <w:r>
          <w:rPr>
            <w:noProof/>
            <w:webHidden/>
          </w:rPr>
          <w:fldChar w:fldCharType="begin"/>
        </w:r>
        <w:r>
          <w:rPr>
            <w:noProof/>
            <w:webHidden/>
          </w:rPr>
          <w:instrText xml:space="preserve"> PAGEREF _Toc497171792 \h </w:instrText>
        </w:r>
        <w:r>
          <w:rPr>
            <w:noProof/>
            <w:webHidden/>
          </w:rPr>
        </w:r>
        <w:r>
          <w:rPr>
            <w:noProof/>
            <w:webHidden/>
          </w:rPr>
          <w:fldChar w:fldCharType="separate"/>
        </w:r>
        <w:r>
          <w:rPr>
            <w:noProof/>
            <w:webHidden/>
          </w:rPr>
          <w:t>41</w:t>
        </w:r>
        <w:r>
          <w:rPr>
            <w:noProof/>
            <w:webHidden/>
          </w:rPr>
          <w:fldChar w:fldCharType="end"/>
        </w:r>
      </w:hyperlink>
    </w:p>
    <w:p w14:paraId="37DA0EAD" w14:textId="5EF47EC2" w:rsidR="00945650" w:rsidRDefault="00945650">
      <w:pPr>
        <w:pStyle w:val="TableofFigures"/>
        <w:tabs>
          <w:tab w:val="right" w:leader="dot" w:pos="9350"/>
        </w:tabs>
        <w:rPr>
          <w:rFonts w:asciiTheme="minorHAnsi" w:eastAsiaTheme="minorEastAsia" w:hAnsiTheme="minorHAnsi"/>
          <w:noProof/>
        </w:rPr>
      </w:pPr>
      <w:hyperlink w:anchor="_Toc497171793" w:history="1">
        <w:r w:rsidRPr="00793DB2">
          <w:rPr>
            <w:rStyle w:val="Hyperlink"/>
            <w:noProof/>
          </w:rPr>
          <w:t>Figure 23: Trends of breakdown budget allocation by central and regional (left) and breakdown of non-salary recurrent spending at central level by major categories (right)</w:t>
        </w:r>
        <w:r>
          <w:rPr>
            <w:noProof/>
            <w:webHidden/>
          </w:rPr>
          <w:tab/>
        </w:r>
        <w:r>
          <w:rPr>
            <w:noProof/>
            <w:webHidden/>
          </w:rPr>
          <w:fldChar w:fldCharType="begin"/>
        </w:r>
        <w:r>
          <w:rPr>
            <w:noProof/>
            <w:webHidden/>
          </w:rPr>
          <w:instrText xml:space="preserve"> PAGEREF _Toc497171793 \h </w:instrText>
        </w:r>
        <w:r>
          <w:rPr>
            <w:noProof/>
            <w:webHidden/>
          </w:rPr>
        </w:r>
        <w:r>
          <w:rPr>
            <w:noProof/>
            <w:webHidden/>
          </w:rPr>
          <w:fldChar w:fldCharType="separate"/>
        </w:r>
        <w:r>
          <w:rPr>
            <w:noProof/>
            <w:webHidden/>
          </w:rPr>
          <w:t>42</w:t>
        </w:r>
        <w:r>
          <w:rPr>
            <w:noProof/>
            <w:webHidden/>
          </w:rPr>
          <w:fldChar w:fldCharType="end"/>
        </w:r>
      </w:hyperlink>
    </w:p>
    <w:p w14:paraId="4371E2E8" w14:textId="5620ABEA" w:rsidR="00945650" w:rsidRDefault="00945650">
      <w:pPr>
        <w:pStyle w:val="TableofFigures"/>
        <w:tabs>
          <w:tab w:val="right" w:leader="dot" w:pos="9350"/>
        </w:tabs>
        <w:rPr>
          <w:rFonts w:asciiTheme="minorHAnsi" w:eastAsiaTheme="minorEastAsia" w:hAnsiTheme="minorHAnsi"/>
          <w:noProof/>
        </w:rPr>
      </w:pPr>
      <w:hyperlink w:anchor="_Toc497171794" w:history="1">
        <w:r w:rsidRPr="00793DB2">
          <w:rPr>
            <w:rStyle w:val="Hyperlink"/>
            <w:noProof/>
          </w:rPr>
          <w:t>Figure 24: Education spending as share of GDP (left) and total public spending (right) by ministry and total (%)</w:t>
        </w:r>
        <w:r>
          <w:rPr>
            <w:noProof/>
            <w:webHidden/>
          </w:rPr>
          <w:tab/>
        </w:r>
        <w:r>
          <w:rPr>
            <w:noProof/>
            <w:webHidden/>
          </w:rPr>
          <w:fldChar w:fldCharType="begin"/>
        </w:r>
        <w:r>
          <w:rPr>
            <w:noProof/>
            <w:webHidden/>
          </w:rPr>
          <w:instrText xml:space="preserve"> PAGEREF _Toc497171794 \h </w:instrText>
        </w:r>
        <w:r>
          <w:rPr>
            <w:noProof/>
            <w:webHidden/>
          </w:rPr>
        </w:r>
        <w:r>
          <w:rPr>
            <w:noProof/>
            <w:webHidden/>
          </w:rPr>
          <w:fldChar w:fldCharType="separate"/>
        </w:r>
        <w:r>
          <w:rPr>
            <w:noProof/>
            <w:webHidden/>
          </w:rPr>
          <w:t>44</w:t>
        </w:r>
        <w:r>
          <w:rPr>
            <w:noProof/>
            <w:webHidden/>
          </w:rPr>
          <w:fldChar w:fldCharType="end"/>
        </w:r>
      </w:hyperlink>
    </w:p>
    <w:p w14:paraId="031AB2E1" w14:textId="15162344" w:rsidR="00945650" w:rsidRDefault="00945650">
      <w:pPr>
        <w:pStyle w:val="TableofFigures"/>
        <w:tabs>
          <w:tab w:val="right" w:leader="dot" w:pos="9350"/>
        </w:tabs>
        <w:rPr>
          <w:rFonts w:asciiTheme="minorHAnsi" w:eastAsiaTheme="minorEastAsia" w:hAnsiTheme="minorHAnsi"/>
          <w:noProof/>
        </w:rPr>
      </w:pPr>
      <w:hyperlink w:anchor="_Toc497171795" w:history="1">
        <w:r w:rsidRPr="00793DB2">
          <w:rPr>
            <w:rStyle w:val="Hyperlink"/>
            <w:noProof/>
          </w:rPr>
          <w:t>Figure 25: International comparison of education spending as share of GDP and total public spending (%)</w:t>
        </w:r>
        <w:r>
          <w:rPr>
            <w:noProof/>
            <w:webHidden/>
          </w:rPr>
          <w:tab/>
        </w:r>
        <w:r>
          <w:rPr>
            <w:noProof/>
            <w:webHidden/>
          </w:rPr>
          <w:fldChar w:fldCharType="begin"/>
        </w:r>
        <w:r>
          <w:rPr>
            <w:noProof/>
            <w:webHidden/>
          </w:rPr>
          <w:instrText xml:space="preserve"> PAGEREF _Toc497171795 \h </w:instrText>
        </w:r>
        <w:r>
          <w:rPr>
            <w:noProof/>
            <w:webHidden/>
          </w:rPr>
        </w:r>
        <w:r>
          <w:rPr>
            <w:noProof/>
            <w:webHidden/>
          </w:rPr>
          <w:fldChar w:fldCharType="separate"/>
        </w:r>
        <w:r>
          <w:rPr>
            <w:noProof/>
            <w:webHidden/>
          </w:rPr>
          <w:t>45</w:t>
        </w:r>
        <w:r>
          <w:rPr>
            <w:noProof/>
            <w:webHidden/>
          </w:rPr>
          <w:fldChar w:fldCharType="end"/>
        </w:r>
      </w:hyperlink>
    </w:p>
    <w:p w14:paraId="324D17FD" w14:textId="5B622BC1" w:rsidR="00945650" w:rsidRDefault="00945650">
      <w:pPr>
        <w:pStyle w:val="TableofFigures"/>
        <w:tabs>
          <w:tab w:val="right" w:leader="dot" w:pos="9350"/>
        </w:tabs>
        <w:rPr>
          <w:rFonts w:asciiTheme="minorHAnsi" w:eastAsiaTheme="minorEastAsia" w:hAnsiTheme="minorHAnsi"/>
          <w:noProof/>
        </w:rPr>
      </w:pPr>
      <w:hyperlink w:anchor="_Toc497171796" w:history="1">
        <w:r w:rsidRPr="00793DB2">
          <w:rPr>
            <w:rStyle w:val="Hyperlink"/>
            <w:noProof/>
          </w:rPr>
          <w:t>Figure 26: Trends of public unit cost comparison (left) and per student per capita spending (right) by level of education</w:t>
        </w:r>
        <w:r>
          <w:rPr>
            <w:noProof/>
            <w:webHidden/>
          </w:rPr>
          <w:tab/>
        </w:r>
        <w:r>
          <w:rPr>
            <w:noProof/>
            <w:webHidden/>
          </w:rPr>
          <w:fldChar w:fldCharType="begin"/>
        </w:r>
        <w:r>
          <w:rPr>
            <w:noProof/>
            <w:webHidden/>
          </w:rPr>
          <w:instrText xml:space="preserve"> PAGEREF _Toc497171796 \h </w:instrText>
        </w:r>
        <w:r>
          <w:rPr>
            <w:noProof/>
            <w:webHidden/>
          </w:rPr>
        </w:r>
        <w:r>
          <w:rPr>
            <w:noProof/>
            <w:webHidden/>
          </w:rPr>
          <w:fldChar w:fldCharType="separate"/>
        </w:r>
        <w:r>
          <w:rPr>
            <w:noProof/>
            <w:webHidden/>
          </w:rPr>
          <w:t>46</w:t>
        </w:r>
        <w:r>
          <w:rPr>
            <w:noProof/>
            <w:webHidden/>
          </w:rPr>
          <w:fldChar w:fldCharType="end"/>
        </w:r>
      </w:hyperlink>
    </w:p>
    <w:p w14:paraId="529E0BDE" w14:textId="44229569" w:rsidR="00945650" w:rsidRDefault="00945650">
      <w:pPr>
        <w:pStyle w:val="TableofFigures"/>
        <w:tabs>
          <w:tab w:val="right" w:leader="dot" w:pos="9350"/>
        </w:tabs>
        <w:rPr>
          <w:rFonts w:asciiTheme="minorHAnsi" w:eastAsiaTheme="minorEastAsia" w:hAnsiTheme="minorHAnsi"/>
          <w:noProof/>
        </w:rPr>
      </w:pPr>
      <w:hyperlink w:anchor="_Toc497171797" w:history="1">
        <w:r w:rsidRPr="00793DB2">
          <w:rPr>
            <w:rStyle w:val="Hyperlink"/>
            <w:noProof/>
          </w:rPr>
          <w:t>Figure 27: International comparison per student public spending as share GDP per capita (%)</w:t>
        </w:r>
        <w:r>
          <w:rPr>
            <w:noProof/>
            <w:webHidden/>
          </w:rPr>
          <w:tab/>
        </w:r>
        <w:r>
          <w:rPr>
            <w:noProof/>
            <w:webHidden/>
          </w:rPr>
          <w:fldChar w:fldCharType="begin"/>
        </w:r>
        <w:r>
          <w:rPr>
            <w:noProof/>
            <w:webHidden/>
          </w:rPr>
          <w:instrText xml:space="preserve"> PAGEREF _Toc497171797 \h </w:instrText>
        </w:r>
        <w:r>
          <w:rPr>
            <w:noProof/>
            <w:webHidden/>
          </w:rPr>
        </w:r>
        <w:r>
          <w:rPr>
            <w:noProof/>
            <w:webHidden/>
          </w:rPr>
          <w:fldChar w:fldCharType="separate"/>
        </w:r>
        <w:r>
          <w:rPr>
            <w:noProof/>
            <w:webHidden/>
          </w:rPr>
          <w:t>47</w:t>
        </w:r>
        <w:r>
          <w:rPr>
            <w:noProof/>
            <w:webHidden/>
          </w:rPr>
          <w:fldChar w:fldCharType="end"/>
        </w:r>
      </w:hyperlink>
    </w:p>
    <w:p w14:paraId="143A3505" w14:textId="0245B878" w:rsidR="00945650" w:rsidRDefault="00945650">
      <w:pPr>
        <w:pStyle w:val="TableofFigures"/>
        <w:tabs>
          <w:tab w:val="right" w:leader="dot" w:pos="9350"/>
        </w:tabs>
        <w:rPr>
          <w:rFonts w:asciiTheme="minorHAnsi" w:eastAsiaTheme="minorEastAsia" w:hAnsiTheme="minorHAnsi"/>
          <w:noProof/>
        </w:rPr>
      </w:pPr>
      <w:hyperlink w:anchor="_Toc497171798" w:history="1">
        <w:r w:rsidRPr="00793DB2">
          <w:rPr>
            <w:rStyle w:val="Hyperlink"/>
            <w:noProof/>
          </w:rPr>
          <w:t>Figure 28: Average public sector salaries by key sectors and their share of wage bill, 2015</w:t>
        </w:r>
        <w:r>
          <w:rPr>
            <w:noProof/>
            <w:webHidden/>
          </w:rPr>
          <w:tab/>
        </w:r>
        <w:r>
          <w:rPr>
            <w:noProof/>
            <w:webHidden/>
          </w:rPr>
          <w:fldChar w:fldCharType="begin"/>
        </w:r>
        <w:r>
          <w:rPr>
            <w:noProof/>
            <w:webHidden/>
          </w:rPr>
          <w:instrText xml:space="preserve"> PAGEREF _Toc497171798 \h </w:instrText>
        </w:r>
        <w:r>
          <w:rPr>
            <w:noProof/>
            <w:webHidden/>
          </w:rPr>
        </w:r>
        <w:r>
          <w:rPr>
            <w:noProof/>
            <w:webHidden/>
          </w:rPr>
          <w:fldChar w:fldCharType="separate"/>
        </w:r>
        <w:r>
          <w:rPr>
            <w:noProof/>
            <w:webHidden/>
          </w:rPr>
          <w:t>48</w:t>
        </w:r>
        <w:r>
          <w:rPr>
            <w:noProof/>
            <w:webHidden/>
          </w:rPr>
          <w:fldChar w:fldCharType="end"/>
        </w:r>
      </w:hyperlink>
    </w:p>
    <w:p w14:paraId="1810AD7A" w14:textId="3566745B" w:rsidR="00945650" w:rsidRDefault="00945650">
      <w:pPr>
        <w:pStyle w:val="TableofFigures"/>
        <w:tabs>
          <w:tab w:val="right" w:leader="dot" w:pos="9350"/>
        </w:tabs>
        <w:rPr>
          <w:rFonts w:asciiTheme="minorHAnsi" w:eastAsiaTheme="minorEastAsia" w:hAnsiTheme="minorHAnsi"/>
          <w:noProof/>
        </w:rPr>
      </w:pPr>
      <w:hyperlink w:anchor="_Toc497171799" w:history="1">
        <w:r w:rsidRPr="00793DB2">
          <w:rPr>
            <w:rStyle w:val="Hyperlink"/>
            <w:noProof/>
          </w:rPr>
          <w:t>Figure 29: Average monthly earnings by level of education for education sector and other sectors (in GMD)</w:t>
        </w:r>
        <w:r>
          <w:rPr>
            <w:noProof/>
            <w:webHidden/>
          </w:rPr>
          <w:tab/>
        </w:r>
        <w:r>
          <w:rPr>
            <w:noProof/>
            <w:webHidden/>
          </w:rPr>
          <w:fldChar w:fldCharType="begin"/>
        </w:r>
        <w:r>
          <w:rPr>
            <w:noProof/>
            <w:webHidden/>
          </w:rPr>
          <w:instrText xml:space="preserve"> PAGEREF _Toc497171799 \h </w:instrText>
        </w:r>
        <w:r>
          <w:rPr>
            <w:noProof/>
            <w:webHidden/>
          </w:rPr>
        </w:r>
        <w:r>
          <w:rPr>
            <w:noProof/>
            <w:webHidden/>
          </w:rPr>
          <w:fldChar w:fldCharType="separate"/>
        </w:r>
        <w:r>
          <w:rPr>
            <w:noProof/>
            <w:webHidden/>
          </w:rPr>
          <w:t>49</w:t>
        </w:r>
        <w:r>
          <w:rPr>
            <w:noProof/>
            <w:webHidden/>
          </w:rPr>
          <w:fldChar w:fldCharType="end"/>
        </w:r>
      </w:hyperlink>
    </w:p>
    <w:p w14:paraId="52DBDEB0" w14:textId="5442B11E" w:rsidR="00945650" w:rsidRDefault="00945650">
      <w:pPr>
        <w:pStyle w:val="TableofFigures"/>
        <w:tabs>
          <w:tab w:val="right" w:leader="dot" w:pos="9350"/>
        </w:tabs>
        <w:rPr>
          <w:rFonts w:asciiTheme="minorHAnsi" w:eastAsiaTheme="minorEastAsia" w:hAnsiTheme="minorHAnsi"/>
          <w:noProof/>
        </w:rPr>
      </w:pPr>
      <w:hyperlink w:anchor="_Toc497171800" w:history="1">
        <w:r w:rsidRPr="00793DB2">
          <w:rPr>
            <w:rStyle w:val="Hyperlink"/>
            <w:noProof/>
          </w:rPr>
          <w:t>Figure 30: Average monthly earnings breakdown by basic salary and allowances by level of education and region, 2015 (in GMD)</w:t>
        </w:r>
        <w:r>
          <w:rPr>
            <w:noProof/>
            <w:webHidden/>
          </w:rPr>
          <w:tab/>
        </w:r>
        <w:r>
          <w:rPr>
            <w:noProof/>
            <w:webHidden/>
          </w:rPr>
          <w:fldChar w:fldCharType="begin"/>
        </w:r>
        <w:r>
          <w:rPr>
            <w:noProof/>
            <w:webHidden/>
          </w:rPr>
          <w:instrText xml:space="preserve"> PAGEREF _Toc497171800 \h </w:instrText>
        </w:r>
        <w:r>
          <w:rPr>
            <w:noProof/>
            <w:webHidden/>
          </w:rPr>
        </w:r>
        <w:r>
          <w:rPr>
            <w:noProof/>
            <w:webHidden/>
          </w:rPr>
          <w:fldChar w:fldCharType="separate"/>
        </w:r>
        <w:r>
          <w:rPr>
            <w:noProof/>
            <w:webHidden/>
          </w:rPr>
          <w:t>50</w:t>
        </w:r>
        <w:r>
          <w:rPr>
            <w:noProof/>
            <w:webHidden/>
          </w:rPr>
          <w:fldChar w:fldCharType="end"/>
        </w:r>
      </w:hyperlink>
    </w:p>
    <w:p w14:paraId="57FAD6B6" w14:textId="376428A4" w:rsidR="00945650" w:rsidRDefault="00945650">
      <w:pPr>
        <w:pStyle w:val="TableofFigures"/>
        <w:tabs>
          <w:tab w:val="right" w:leader="dot" w:pos="9350"/>
        </w:tabs>
        <w:rPr>
          <w:rFonts w:asciiTheme="minorHAnsi" w:eastAsiaTheme="minorEastAsia" w:hAnsiTheme="minorHAnsi"/>
          <w:noProof/>
        </w:rPr>
      </w:pPr>
      <w:hyperlink w:anchor="_Toc497171801" w:history="1">
        <w:r w:rsidRPr="00793DB2">
          <w:rPr>
            <w:rStyle w:val="Hyperlink"/>
            <w:noProof/>
          </w:rPr>
          <w:t>Figure 31: Trends of STR by level of education (left) and regional distribution of total teachers with and without teacher trainees by level of education 2015 (right)</w:t>
        </w:r>
        <w:r>
          <w:rPr>
            <w:noProof/>
            <w:webHidden/>
          </w:rPr>
          <w:tab/>
        </w:r>
        <w:r>
          <w:rPr>
            <w:noProof/>
            <w:webHidden/>
          </w:rPr>
          <w:fldChar w:fldCharType="begin"/>
        </w:r>
        <w:r>
          <w:rPr>
            <w:noProof/>
            <w:webHidden/>
          </w:rPr>
          <w:instrText xml:space="preserve"> PAGEREF _Toc497171801 \h </w:instrText>
        </w:r>
        <w:r>
          <w:rPr>
            <w:noProof/>
            <w:webHidden/>
          </w:rPr>
        </w:r>
        <w:r>
          <w:rPr>
            <w:noProof/>
            <w:webHidden/>
          </w:rPr>
          <w:fldChar w:fldCharType="separate"/>
        </w:r>
        <w:r>
          <w:rPr>
            <w:noProof/>
            <w:webHidden/>
          </w:rPr>
          <w:t>51</w:t>
        </w:r>
        <w:r>
          <w:rPr>
            <w:noProof/>
            <w:webHidden/>
          </w:rPr>
          <w:fldChar w:fldCharType="end"/>
        </w:r>
      </w:hyperlink>
    </w:p>
    <w:p w14:paraId="4D0BD69D" w14:textId="4EEDCF00" w:rsidR="00945650" w:rsidRDefault="00945650">
      <w:pPr>
        <w:pStyle w:val="TableofFigures"/>
        <w:tabs>
          <w:tab w:val="right" w:leader="dot" w:pos="9350"/>
        </w:tabs>
        <w:rPr>
          <w:rFonts w:asciiTheme="minorHAnsi" w:eastAsiaTheme="minorEastAsia" w:hAnsiTheme="minorHAnsi"/>
          <w:noProof/>
        </w:rPr>
      </w:pPr>
      <w:hyperlink w:anchor="_Toc497171802" w:history="1">
        <w:r w:rsidRPr="00793DB2">
          <w:rPr>
            <w:rStyle w:val="Hyperlink"/>
            <w:rFonts w:eastAsia="Times New Roman"/>
            <w:noProof/>
          </w:rPr>
          <w:t xml:space="preserve">Figure 32: </w:t>
        </w:r>
        <w:r w:rsidRPr="00793DB2">
          <w:rPr>
            <w:rStyle w:val="Hyperlink"/>
            <w:noProof/>
          </w:rPr>
          <w:t>School resource index in public LBS, 2015</w:t>
        </w:r>
        <w:r>
          <w:rPr>
            <w:noProof/>
            <w:webHidden/>
          </w:rPr>
          <w:tab/>
        </w:r>
        <w:r>
          <w:rPr>
            <w:noProof/>
            <w:webHidden/>
          </w:rPr>
          <w:fldChar w:fldCharType="begin"/>
        </w:r>
        <w:r>
          <w:rPr>
            <w:noProof/>
            <w:webHidden/>
          </w:rPr>
          <w:instrText xml:space="preserve"> PAGEREF _Toc497171802 \h </w:instrText>
        </w:r>
        <w:r>
          <w:rPr>
            <w:noProof/>
            <w:webHidden/>
          </w:rPr>
        </w:r>
        <w:r>
          <w:rPr>
            <w:noProof/>
            <w:webHidden/>
          </w:rPr>
          <w:fldChar w:fldCharType="separate"/>
        </w:r>
        <w:r>
          <w:rPr>
            <w:noProof/>
            <w:webHidden/>
          </w:rPr>
          <w:t>52</w:t>
        </w:r>
        <w:r>
          <w:rPr>
            <w:noProof/>
            <w:webHidden/>
          </w:rPr>
          <w:fldChar w:fldCharType="end"/>
        </w:r>
      </w:hyperlink>
    </w:p>
    <w:p w14:paraId="5A351E59" w14:textId="05035BED" w:rsidR="00945650" w:rsidRDefault="00945650">
      <w:pPr>
        <w:pStyle w:val="TableofFigures"/>
        <w:tabs>
          <w:tab w:val="right" w:leader="dot" w:pos="9350"/>
        </w:tabs>
        <w:rPr>
          <w:rFonts w:asciiTheme="minorHAnsi" w:eastAsiaTheme="minorEastAsia" w:hAnsiTheme="minorHAnsi"/>
          <w:noProof/>
        </w:rPr>
      </w:pPr>
      <w:hyperlink w:anchor="_Toc497171803" w:history="1">
        <w:r w:rsidRPr="00793DB2">
          <w:rPr>
            <w:rStyle w:val="Hyperlink"/>
            <w:rFonts w:eastAsia="Times New Roman"/>
            <w:noProof/>
          </w:rPr>
          <w:t xml:space="preserve">Figure 33: </w:t>
        </w:r>
        <w:r w:rsidRPr="00793DB2">
          <w:rPr>
            <w:rStyle w:val="Hyperlink"/>
            <w:noProof/>
          </w:rPr>
          <w:t>Share of enrollment by average distance from schools by level of education and region, 2015</w:t>
        </w:r>
        <w:r>
          <w:rPr>
            <w:noProof/>
            <w:webHidden/>
          </w:rPr>
          <w:tab/>
        </w:r>
        <w:r>
          <w:rPr>
            <w:noProof/>
            <w:webHidden/>
          </w:rPr>
          <w:fldChar w:fldCharType="begin"/>
        </w:r>
        <w:r>
          <w:rPr>
            <w:noProof/>
            <w:webHidden/>
          </w:rPr>
          <w:instrText xml:space="preserve"> PAGEREF _Toc497171803 \h </w:instrText>
        </w:r>
        <w:r>
          <w:rPr>
            <w:noProof/>
            <w:webHidden/>
          </w:rPr>
        </w:r>
        <w:r>
          <w:rPr>
            <w:noProof/>
            <w:webHidden/>
          </w:rPr>
          <w:fldChar w:fldCharType="separate"/>
        </w:r>
        <w:r>
          <w:rPr>
            <w:noProof/>
            <w:webHidden/>
          </w:rPr>
          <w:t>53</w:t>
        </w:r>
        <w:r>
          <w:rPr>
            <w:noProof/>
            <w:webHidden/>
          </w:rPr>
          <w:fldChar w:fldCharType="end"/>
        </w:r>
      </w:hyperlink>
    </w:p>
    <w:p w14:paraId="42DA29F4" w14:textId="54D53707" w:rsidR="00945650" w:rsidRDefault="00945650">
      <w:pPr>
        <w:pStyle w:val="TableofFigures"/>
        <w:tabs>
          <w:tab w:val="right" w:leader="dot" w:pos="9350"/>
        </w:tabs>
        <w:rPr>
          <w:rFonts w:asciiTheme="minorHAnsi" w:eastAsiaTheme="minorEastAsia" w:hAnsiTheme="minorHAnsi"/>
          <w:noProof/>
        </w:rPr>
      </w:pPr>
      <w:hyperlink w:anchor="_Toc497171804" w:history="1">
        <w:r w:rsidRPr="00793DB2">
          <w:rPr>
            <w:rStyle w:val="Hyperlink"/>
            <w:noProof/>
          </w:rPr>
          <w:t>Figure 34: Distributions of efficiency score by district at LBS, 2015</w:t>
        </w:r>
        <w:r>
          <w:rPr>
            <w:noProof/>
            <w:webHidden/>
          </w:rPr>
          <w:tab/>
        </w:r>
        <w:r>
          <w:rPr>
            <w:noProof/>
            <w:webHidden/>
          </w:rPr>
          <w:fldChar w:fldCharType="begin"/>
        </w:r>
        <w:r>
          <w:rPr>
            <w:noProof/>
            <w:webHidden/>
          </w:rPr>
          <w:instrText xml:space="preserve"> PAGEREF _Toc497171804 \h </w:instrText>
        </w:r>
        <w:r>
          <w:rPr>
            <w:noProof/>
            <w:webHidden/>
          </w:rPr>
        </w:r>
        <w:r>
          <w:rPr>
            <w:noProof/>
            <w:webHidden/>
          </w:rPr>
          <w:fldChar w:fldCharType="separate"/>
        </w:r>
        <w:r>
          <w:rPr>
            <w:noProof/>
            <w:webHidden/>
          </w:rPr>
          <w:t>55</w:t>
        </w:r>
        <w:r>
          <w:rPr>
            <w:noProof/>
            <w:webHidden/>
          </w:rPr>
          <w:fldChar w:fldCharType="end"/>
        </w:r>
      </w:hyperlink>
    </w:p>
    <w:p w14:paraId="46884584" w14:textId="4D24CF24" w:rsidR="00945650" w:rsidRDefault="00945650">
      <w:pPr>
        <w:pStyle w:val="TableofFigures"/>
        <w:tabs>
          <w:tab w:val="right" w:leader="dot" w:pos="9350"/>
        </w:tabs>
        <w:rPr>
          <w:rFonts w:asciiTheme="minorHAnsi" w:eastAsiaTheme="minorEastAsia" w:hAnsiTheme="minorHAnsi"/>
          <w:noProof/>
        </w:rPr>
      </w:pPr>
      <w:hyperlink w:anchor="_Toc497171805" w:history="1">
        <w:r w:rsidRPr="00793DB2">
          <w:rPr>
            <w:rStyle w:val="Hyperlink"/>
            <w:noProof/>
          </w:rPr>
          <w:t>Figure 35: Distributions of efficiency score by level and region, 2015</w:t>
        </w:r>
        <w:r>
          <w:rPr>
            <w:noProof/>
            <w:webHidden/>
          </w:rPr>
          <w:tab/>
        </w:r>
        <w:r>
          <w:rPr>
            <w:noProof/>
            <w:webHidden/>
          </w:rPr>
          <w:fldChar w:fldCharType="begin"/>
        </w:r>
        <w:r>
          <w:rPr>
            <w:noProof/>
            <w:webHidden/>
          </w:rPr>
          <w:instrText xml:space="preserve"> PAGEREF _Toc497171805 \h </w:instrText>
        </w:r>
        <w:r>
          <w:rPr>
            <w:noProof/>
            <w:webHidden/>
          </w:rPr>
        </w:r>
        <w:r>
          <w:rPr>
            <w:noProof/>
            <w:webHidden/>
          </w:rPr>
          <w:fldChar w:fldCharType="separate"/>
        </w:r>
        <w:r>
          <w:rPr>
            <w:noProof/>
            <w:webHidden/>
          </w:rPr>
          <w:t>56</w:t>
        </w:r>
        <w:r>
          <w:rPr>
            <w:noProof/>
            <w:webHidden/>
          </w:rPr>
          <w:fldChar w:fldCharType="end"/>
        </w:r>
      </w:hyperlink>
    </w:p>
    <w:p w14:paraId="74DFA48E" w14:textId="4A5BC91A" w:rsidR="00945650" w:rsidRDefault="00945650">
      <w:pPr>
        <w:pStyle w:val="TableofFigures"/>
        <w:tabs>
          <w:tab w:val="right" w:leader="dot" w:pos="9350"/>
        </w:tabs>
        <w:rPr>
          <w:rFonts w:asciiTheme="minorHAnsi" w:eastAsiaTheme="minorEastAsia" w:hAnsiTheme="minorHAnsi"/>
          <w:noProof/>
        </w:rPr>
      </w:pPr>
      <w:hyperlink w:anchor="_Toc497171806" w:history="1">
        <w:r w:rsidRPr="00793DB2">
          <w:rPr>
            <w:rStyle w:val="Hyperlink"/>
            <w:noProof/>
          </w:rPr>
          <w:t>Figure 36: Unit cost comparison by level of education and type of schools attended at school level based on personnel cost</w:t>
        </w:r>
        <w:r>
          <w:rPr>
            <w:noProof/>
            <w:webHidden/>
          </w:rPr>
          <w:tab/>
        </w:r>
        <w:r>
          <w:rPr>
            <w:noProof/>
            <w:webHidden/>
          </w:rPr>
          <w:fldChar w:fldCharType="begin"/>
        </w:r>
        <w:r>
          <w:rPr>
            <w:noProof/>
            <w:webHidden/>
          </w:rPr>
          <w:instrText xml:space="preserve"> PAGEREF _Toc497171806 \h </w:instrText>
        </w:r>
        <w:r>
          <w:rPr>
            <w:noProof/>
            <w:webHidden/>
          </w:rPr>
        </w:r>
        <w:r>
          <w:rPr>
            <w:noProof/>
            <w:webHidden/>
          </w:rPr>
          <w:fldChar w:fldCharType="separate"/>
        </w:r>
        <w:r>
          <w:rPr>
            <w:noProof/>
            <w:webHidden/>
          </w:rPr>
          <w:t>57</w:t>
        </w:r>
        <w:r>
          <w:rPr>
            <w:noProof/>
            <w:webHidden/>
          </w:rPr>
          <w:fldChar w:fldCharType="end"/>
        </w:r>
      </w:hyperlink>
    </w:p>
    <w:p w14:paraId="42B8BFFD" w14:textId="5CACF082" w:rsidR="00945650" w:rsidRDefault="00945650">
      <w:pPr>
        <w:pStyle w:val="TableofFigures"/>
        <w:tabs>
          <w:tab w:val="right" w:leader="dot" w:pos="9350"/>
        </w:tabs>
        <w:rPr>
          <w:rFonts w:asciiTheme="minorHAnsi" w:eastAsiaTheme="minorEastAsia" w:hAnsiTheme="minorHAnsi"/>
          <w:noProof/>
        </w:rPr>
      </w:pPr>
      <w:hyperlink w:anchor="_Toc497171807" w:history="1">
        <w:r w:rsidRPr="00793DB2">
          <w:rPr>
            <w:rStyle w:val="Hyperlink"/>
            <w:noProof/>
          </w:rPr>
          <w:t>Figure 37: Breakdown of enrollment in grade 1 by age group - underage, on time, overage by 1–2 years, and overage by 3+ years</w:t>
        </w:r>
        <w:r>
          <w:rPr>
            <w:noProof/>
            <w:webHidden/>
          </w:rPr>
          <w:tab/>
        </w:r>
        <w:r>
          <w:rPr>
            <w:noProof/>
            <w:webHidden/>
          </w:rPr>
          <w:fldChar w:fldCharType="begin"/>
        </w:r>
        <w:r>
          <w:rPr>
            <w:noProof/>
            <w:webHidden/>
          </w:rPr>
          <w:instrText xml:space="preserve"> PAGEREF _Toc497171807 \h </w:instrText>
        </w:r>
        <w:r>
          <w:rPr>
            <w:noProof/>
            <w:webHidden/>
          </w:rPr>
        </w:r>
        <w:r>
          <w:rPr>
            <w:noProof/>
            <w:webHidden/>
          </w:rPr>
          <w:fldChar w:fldCharType="separate"/>
        </w:r>
        <w:r>
          <w:rPr>
            <w:noProof/>
            <w:webHidden/>
          </w:rPr>
          <w:t>58</w:t>
        </w:r>
        <w:r>
          <w:rPr>
            <w:noProof/>
            <w:webHidden/>
          </w:rPr>
          <w:fldChar w:fldCharType="end"/>
        </w:r>
      </w:hyperlink>
    </w:p>
    <w:p w14:paraId="44AA3609" w14:textId="2ECB1FF5" w:rsidR="00945650" w:rsidRDefault="00945650">
      <w:pPr>
        <w:pStyle w:val="TableofFigures"/>
        <w:tabs>
          <w:tab w:val="right" w:leader="dot" w:pos="9350"/>
        </w:tabs>
        <w:rPr>
          <w:rFonts w:asciiTheme="minorHAnsi" w:eastAsiaTheme="minorEastAsia" w:hAnsiTheme="minorHAnsi"/>
          <w:noProof/>
        </w:rPr>
      </w:pPr>
      <w:hyperlink w:anchor="_Toc497171808" w:history="1">
        <w:r w:rsidRPr="00793DB2">
          <w:rPr>
            <w:rStyle w:val="Hyperlink"/>
            <w:noProof/>
          </w:rPr>
          <w:t>Figure 38: Survival rate through grade 12 and school attendance tree for ages 15–24</w:t>
        </w:r>
        <w:r>
          <w:rPr>
            <w:noProof/>
            <w:webHidden/>
          </w:rPr>
          <w:tab/>
        </w:r>
        <w:r>
          <w:rPr>
            <w:noProof/>
            <w:webHidden/>
          </w:rPr>
          <w:fldChar w:fldCharType="begin"/>
        </w:r>
        <w:r>
          <w:rPr>
            <w:noProof/>
            <w:webHidden/>
          </w:rPr>
          <w:instrText xml:space="preserve"> PAGEREF _Toc497171808 \h </w:instrText>
        </w:r>
        <w:r>
          <w:rPr>
            <w:noProof/>
            <w:webHidden/>
          </w:rPr>
        </w:r>
        <w:r>
          <w:rPr>
            <w:noProof/>
            <w:webHidden/>
          </w:rPr>
          <w:fldChar w:fldCharType="separate"/>
        </w:r>
        <w:r>
          <w:rPr>
            <w:noProof/>
            <w:webHidden/>
          </w:rPr>
          <w:t>59</w:t>
        </w:r>
        <w:r>
          <w:rPr>
            <w:noProof/>
            <w:webHidden/>
          </w:rPr>
          <w:fldChar w:fldCharType="end"/>
        </w:r>
      </w:hyperlink>
    </w:p>
    <w:p w14:paraId="50E7CB0A" w14:textId="2BD3155C" w:rsidR="00945650" w:rsidRDefault="00945650">
      <w:pPr>
        <w:pStyle w:val="TableofFigures"/>
        <w:tabs>
          <w:tab w:val="right" w:leader="dot" w:pos="9350"/>
        </w:tabs>
        <w:rPr>
          <w:rFonts w:asciiTheme="minorHAnsi" w:eastAsiaTheme="minorEastAsia" w:hAnsiTheme="minorHAnsi"/>
          <w:noProof/>
        </w:rPr>
      </w:pPr>
      <w:hyperlink w:anchor="_Toc497171809" w:history="1">
        <w:r w:rsidRPr="00793DB2">
          <w:rPr>
            <w:rStyle w:val="Hyperlink"/>
            <w:noProof/>
          </w:rPr>
          <w:t>Figure 39: Share of labor force population with no formal education, ages 15–24 and ages 25–64</w:t>
        </w:r>
        <w:r>
          <w:rPr>
            <w:noProof/>
            <w:webHidden/>
          </w:rPr>
          <w:tab/>
        </w:r>
        <w:r>
          <w:rPr>
            <w:noProof/>
            <w:webHidden/>
          </w:rPr>
          <w:fldChar w:fldCharType="begin"/>
        </w:r>
        <w:r>
          <w:rPr>
            <w:noProof/>
            <w:webHidden/>
          </w:rPr>
          <w:instrText xml:space="preserve"> PAGEREF _Toc497171809 \h </w:instrText>
        </w:r>
        <w:r>
          <w:rPr>
            <w:noProof/>
            <w:webHidden/>
          </w:rPr>
        </w:r>
        <w:r>
          <w:rPr>
            <w:noProof/>
            <w:webHidden/>
          </w:rPr>
          <w:fldChar w:fldCharType="separate"/>
        </w:r>
        <w:r>
          <w:rPr>
            <w:noProof/>
            <w:webHidden/>
          </w:rPr>
          <w:t>60</w:t>
        </w:r>
        <w:r>
          <w:rPr>
            <w:noProof/>
            <w:webHidden/>
          </w:rPr>
          <w:fldChar w:fldCharType="end"/>
        </w:r>
      </w:hyperlink>
    </w:p>
    <w:p w14:paraId="67651B51" w14:textId="13A1F089" w:rsidR="00945650" w:rsidRDefault="00945650">
      <w:pPr>
        <w:pStyle w:val="TableofFigures"/>
        <w:tabs>
          <w:tab w:val="right" w:leader="dot" w:pos="9350"/>
        </w:tabs>
        <w:rPr>
          <w:rFonts w:asciiTheme="minorHAnsi" w:eastAsiaTheme="minorEastAsia" w:hAnsiTheme="minorHAnsi"/>
          <w:noProof/>
        </w:rPr>
      </w:pPr>
      <w:hyperlink w:anchor="_Toc497171810" w:history="1">
        <w:r w:rsidRPr="00793DB2">
          <w:rPr>
            <w:rStyle w:val="Hyperlink"/>
            <w:noProof/>
          </w:rPr>
          <w:t>Figure 40: Average monthly earning in GMD (left) and distribution of employment by sector and type (right), by level of education</w:t>
        </w:r>
        <w:r>
          <w:rPr>
            <w:noProof/>
            <w:webHidden/>
          </w:rPr>
          <w:tab/>
        </w:r>
        <w:r>
          <w:rPr>
            <w:noProof/>
            <w:webHidden/>
          </w:rPr>
          <w:fldChar w:fldCharType="begin"/>
        </w:r>
        <w:r>
          <w:rPr>
            <w:noProof/>
            <w:webHidden/>
          </w:rPr>
          <w:instrText xml:space="preserve"> PAGEREF _Toc497171810 \h </w:instrText>
        </w:r>
        <w:r>
          <w:rPr>
            <w:noProof/>
            <w:webHidden/>
          </w:rPr>
        </w:r>
        <w:r>
          <w:rPr>
            <w:noProof/>
            <w:webHidden/>
          </w:rPr>
          <w:fldChar w:fldCharType="separate"/>
        </w:r>
        <w:r>
          <w:rPr>
            <w:noProof/>
            <w:webHidden/>
          </w:rPr>
          <w:t>61</w:t>
        </w:r>
        <w:r>
          <w:rPr>
            <w:noProof/>
            <w:webHidden/>
          </w:rPr>
          <w:fldChar w:fldCharType="end"/>
        </w:r>
      </w:hyperlink>
    </w:p>
    <w:p w14:paraId="2CD5E6B7" w14:textId="1CF3631B" w:rsidR="00945650" w:rsidRDefault="00945650">
      <w:pPr>
        <w:pStyle w:val="TableofFigures"/>
        <w:tabs>
          <w:tab w:val="right" w:leader="dot" w:pos="9350"/>
        </w:tabs>
        <w:rPr>
          <w:rFonts w:asciiTheme="minorHAnsi" w:eastAsiaTheme="minorEastAsia" w:hAnsiTheme="minorHAnsi"/>
          <w:noProof/>
        </w:rPr>
      </w:pPr>
      <w:hyperlink w:anchor="_Toc497171811" w:history="1">
        <w:r w:rsidRPr="00793DB2">
          <w:rPr>
            <w:rStyle w:val="Hyperlink"/>
            <w:noProof/>
          </w:rPr>
          <w:t>Figure 41: Rate of returns on additional years of schooling by gender and employment sector</w:t>
        </w:r>
        <w:r>
          <w:rPr>
            <w:noProof/>
            <w:webHidden/>
          </w:rPr>
          <w:tab/>
        </w:r>
        <w:r>
          <w:rPr>
            <w:noProof/>
            <w:webHidden/>
          </w:rPr>
          <w:fldChar w:fldCharType="begin"/>
        </w:r>
        <w:r>
          <w:rPr>
            <w:noProof/>
            <w:webHidden/>
          </w:rPr>
          <w:instrText xml:space="preserve"> PAGEREF _Toc497171811 \h </w:instrText>
        </w:r>
        <w:r>
          <w:rPr>
            <w:noProof/>
            <w:webHidden/>
          </w:rPr>
        </w:r>
        <w:r>
          <w:rPr>
            <w:noProof/>
            <w:webHidden/>
          </w:rPr>
          <w:fldChar w:fldCharType="separate"/>
        </w:r>
        <w:r>
          <w:rPr>
            <w:noProof/>
            <w:webHidden/>
          </w:rPr>
          <w:t>61</w:t>
        </w:r>
        <w:r>
          <w:rPr>
            <w:noProof/>
            <w:webHidden/>
          </w:rPr>
          <w:fldChar w:fldCharType="end"/>
        </w:r>
      </w:hyperlink>
    </w:p>
    <w:p w14:paraId="2500D0BA" w14:textId="40B25FA1" w:rsidR="00945650" w:rsidRDefault="00945650">
      <w:pPr>
        <w:pStyle w:val="TableofFigures"/>
        <w:tabs>
          <w:tab w:val="right" w:leader="dot" w:pos="9350"/>
        </w:tabs>
        <w:rPr>
          <w:rFonts w:asciiTheme="minorHAnsi" w:eastAsiaTheme="minorEastAsia" w:hAnsiTheme="minorHAnsi"/>
          <w:noProof/>
        </w:rPr>
      </w:pPr>
      <w:hyperlink w:anchor="_Toc497171812" w:history="1">
        <w:r w:rsidRPr="00793DB2">
          <w:rPr>
            <w:rStyle w:val="Hyperlink"/>
            <w:noProof/>
          </w:rPr>
          <w:t>Figure 42: Rate of returns on education by level of education, gender, sector of employment, and employer type</w:t>
        </w:r>
        <w:r>
          <w:rPr>
            <w:noProof/>
            <w:webHidden/>
          </w:rPr>
          <w:tab/>
        </w:r>
        <w:r>
          <w:rPr>
            <w:noProof/>
            <w:webHidden/>
          </w:rPr>
          <w:fldChar w:fldCharType="begin"/>
        </w:r>
        <w:r>
          <w:rPr>
            <w:noProof/>
            <w:webHidden/>
          </w:rPr>
          <w:instrText xml:space="preserve"> PAGEREF _Toc497171812 \h </w:instrText>
        </w:r>
        <w:r>
          <w:rPr>
            <w:noProof/>
            <w:webHidden/>
          </w:rPr>
        </w:r>
        <w:r>
          <w:rPr>
            <w:noProof/>
            <w:webHidden/>
          </w:rPr>
          <w:fldChar w:fldCharType="separate"/>
        </w:r>
        <w:r>
          <w:rPr>
            <w:noProof/>
            <w:webHidden/>
          </w:rPr>
          <w:t>62</w:t>
        </w:r>
        <w:r>
          <w:rPr>
            <w:noProof/>
            <w:webHidden/>
          </w:rPr>
          <w:fldChar w:fldCharType="end"/>
        </w:r>
      </w:hyperlink>
    </w:p>
    <w:p w14:paraId="2B5425AC" w14:textId="13276889" w:rsidR="00945650" w:rsidRDefault="00945650">
      <w:pPr>
        <w:pStyle w:val="TableofFigures"/>
        <w:tabs>
          <w:tab w:val="right" w:leader="dot" w:pos="9350"/>
        </w:tabs>
        <w:rPr>
          <w:rFonts w:asciiTheme="minorHAnsi" w:eastAsiaTheme="minorEastAsia" w:hAnsiTheme="minorHAnsi"/>
          <w:noProof/>
        </w:rPr>
      </w:pPr>
      <w:hyperlink w:anchor="_Toc497171813" w:history="1">
        <w:r w:rsidRPr="00793DB2">
          <w:rPr>
            <w:rStyle w:val="Hyperlink"/>
            <w:noProof/>
          </w:rPr>
          <w:t>Figure 43: Probability of employment in better return sector, employment type, and employer for additional year of schooling</w:t>
        </w:r>
        <w:r>
          <w:rPr>
            <w:noProof/>
            <w:webHidden/>
          </w:rPr>
          <w:tab/>
        </w:r>
        <w:r>
          <w:rPr>
            <w:noProof/>
            <w:webHidden/>
          </w:rPr>
          <w:fldChar w:fldCharType="begin"/>
        </w:r>
        <w:r>
          <w:rPr>
            <w:noProof/>
            <w:webHidden/>
          </w:rPr>
          <w:instrText xml:space="preserve"> PAGEREF _Toc497171813 \h </w:instrText>
        </w:r>
        <w:r>
          <w:rPr>
            <w:noProof/>
            <w:webHidden/>
          </w:rPr>
        </w:r>
        <w:r>
          <w:rPr>
            <w:noProof/>
            <w:webHidden/>
          </w:rPr>
          <w:fldChar w:fldCharType="separate"/>
        </w:r>
        <w:r>
          <w:rPr>
            <w:noProof/>
            <w:webHidden/>
          </w:rPr>
          <w:t>63</w:t>
        </w:r>
        <w:r>
          <w:rPr>
            <w:noProof/>
            <w:webHidden/>
          </w:rPr>
          <w:fldChar w:fldCharType="end"/>
        </w:r>
      </w:hyperlink>
    </w:p>
    <w:p w14:paraId="5635F081" w14:textId="5627E5AD" w:rsidR="00945650" w:rsidRDefault="00945650">
      <w:pPr>
        <w:pStyle w:val="TableofFigures"/>
        <w:tabs>
          <w:tab w:val="right" w:leader="dot" w:pos="9350"/>
        </w:tabs>
        <w:rPr>
          <w:rFonts w:asciiTheme="minorHAnsi" w:eastAsiaTheme="minorEastAsia" w:hAnsiTheme="minorHAnsi"/>
          <w:noProof/>
        </w:rPr>
      </w:pPr>
      <w:hyperlink w:anchor="_Toc497171814" w:history="1">
        <w:r w:rsidRPr="00793DB2">
          <w:rPr>
            <w:rStyle w:val="Hyperlink"/>
            <w:noProof/>
          </w:rPr>
          <w:t>Figure 44: Disparities in GERs, NERs, and completion rates by gender, 2015</w:t>
        </w:r>
        <w:r>
          <w:rPr>
            <w:noProof/>
            <w:webHidden/>
          </w:rPr>
          <w:tab/>
        </w:r>
        <w:r>
          <w:rPr>
            <w:noProof/>
            <w:webHidden/>
          </w:rPr>
          <w:fldChar w:fldCharType="begin"/>
        </w:r>
        <w:r>
          <w:rPr>
            <w:noProof/>
            <w:webHidden/>
          </w:rPr>
          <w:instrText xml:space="preserve"> PAGEREF _Toc497171814 \h </w:instrText>
        </w:r>
        <w:r>
          <w:rPr>
            <w:noProof/>
            <w:webHidden/>
          </w:rPr>
        </w:r>
        <w:r>
          <w:rPr>
            <w:noProof/>
            <w:webHidden/>
          </w:rPr>
          <w:fldChar w:fldCharType="separate"/>
        </w:r>
        <w:r>
          <w:rPr>
            <w:noProof/>
            <w:webHidden/>
          </w:rPr>
          <w:t>65</w:t>
        </w:r>
        <w:r>
          <w:rPr>
            <w:noProof/>
            <w:webHidden/>
          </w:rPr>
          <w:fldChar w:fldCharType="end"/>
        </w:r>
      </w:hyperlink>
    </w:p>
    <w:p w14:paraId="6E586777" w14:textId="663AEF70" w:rsidR="00945650" w:rsidRDefault="00945650">
      <w:pPr>
        <w:pStyle w:val="TableofFigures"/>
        <w:tabs>
          <w:tab w:val="right" w:leader="dot" w:pos="9350"/>
        </w:tabs>
        <w:rPr>
          <w:rFonts w:asciiTheme="minorHAnsi" w:eastAsiaTheme="minorEastAsia" w:hAnsiTheme="minorHAnsi"/>
          <w:noProof/>
        </w:rPr>
      </w:pPr>
      <w:hyperlink w:anchor="_Toc497171815" w:history="1">
        <w:r w:rsidRPr="00793DB2">
          <w:rPr>
            <w:rStyle w:val="Hyperlink"/>
            <w:noProof/>
          </w:rPr>
          <w:t>Figure 45: Disparities in gender completion rates across area, quintile, ethnic groups, and districts in region 5</w:t>
        </w:r>
        <w:r>
          <w:rPr>
            <w:noProof/>
            <w:webHidden/>
          </w:rPr>
          <w:tab/>
        </w:r>
        <w:r>
          <w:rPr>
            <w:noProof/>
            <w:webHidden/>
          </w:rPr>
          <w:fldChar w:fldCharType="begin"/>
        </w:r>
        <w:r>
          <w:rPr>
            <w:noProof/>
            <w:webHidden/>
          </w:rPr>
          <w:instrText xml:space="preserve"> PAGEREF _Toc497171815 \h </w:instrText>
        </w:r>
        <w:r>
          <w:rPr>
            <w:noProof/>
            <w:webHidden/>
          </w:rPr>
        </w:r>
        <w:r>
          <w:rPr>
            <w:noProof/>
            <w:webHidden/>
          </w:rPr>
          <w:fldChar w:fldCharType="separate"/>
        </w:r>
        <w:r>
          <w:rPr>
            <w:noProof/>
            <w:webHidden/>
          </w:rPr>
          <w:t>66</w:t>
        </w:r>
        <w:r>
          <w:rPr>
            <w:noProof/>
            <w:webHidden/>
          </w:rPr>
          <w:fldChar w:fldCharType="end"/>
        </w:r>
      </w:hyperlink>
    </w:p>
    <w:p w14:paraId="508641EE" w14:textId="527FEC8D" w:rsidR="00945650" w:rsidRDefault="00945650">
      <w:pPr>
        <w:pStyle w:val="TableofFigures"/>
        <w:tabs>
          <w:tab w:val="right" w:leader="dot" w:pos="9350"/>
        </w:tabs>
        <w:rPr>
          <w:rFonts w:asciiTheme="minorHAnsi" w:eastAsiaTheme="minorEastAsia" w:hAnsiTheme="minorHAnsi"/>
          <w:noProof/>
        </w:rPr>
      </w:pPr>
      <w:hyperlink w:anchor="_Toc497171816" w:history="1">
        <w:r w:rsidRPr="00793DB2">
          <w:rPr>
            <w:rStyle w:val="Hyperlink"/>
            <w:noProof/>
          </w:rPr>
          <w:t>Figure 46: Disparities in GERs, NERs, and completion rates by area of residence, 2015</w:t>
        </w:r>
        <w:r>
          <w:rPr>
            <w:noProof/>
            <w:webHidden/>
          </w:rPr>
          <w:tab/>
        </w:r>
        <w:r>
          <w:rPr>
            <w:noProof/>
            <w:webHidden/>
          </w:rPr>
          <w:fldChar w:fldCharType="begin"/>
        </w:r>
        <w:r>
          <w:rPr>
            <w:noProof/>
            <w:webHidden/>
          </w:rPr>
          <w:instrText xml:space="preserve"> PAGEREF _Toc497171816 \h </w:instrText>
        </w:r>
        <w:r>
          <w:rPr>
            <w:noProof/>
            <w:webHidden/>
          </w:rPr>
        </w:r>
        <w:r>
          <w:rPr>
            <w:noProof/>
            <w:webHidden/>
          </w:rPr>
          <w:fldChar w:fldCharType="separate"/>
        </w:r>
        <w:r>
          <w:rPr>
            <w:noProof/>
            <w:webHidden/>
          </w:rPr>
          <w:t>67</w:t>
        </w:r>
        <w:r>
          <w:rPr>
            <w:noProof/>
            <w:webHidden/>
          </w:rPr>
          <w:fldChar w:fldCharType="end"/>
        </w:r>
      </w:hyperlink>
    </w:p>
    <w:p w14:paraId="499C317C" w14:textId="2414E180" w:rsidR="00945650" w:rsidRDefault="00945650">
      <w:pPr>
        <w:pStyle w:val="TableofFigures"/>
        <w:tabs>
          <w:tab w:val="right" w:leader="dot" w:pos="9350"/>
        </w:tabs>
        <w:rPr>
          <w:rFonts w:asciiTheme="minorHAnsi" w:eastAsiaTheme="minorEastAsia" w:hAnsiTheme="minorHAnsi"/>
          <w:noProof/>
        </w:rPr>
      </w:pPr>
      <w:hyperlink w:anchor="_Toc497171817" w:history="1">
        <w:r w:rsidRPr="00793DB2">
          <w:rPr>
            <w:rStyle w:val="Hyperlink"/>
            <w:noProof/>
          </w:rPr>
          <w:t>Figure 47: Disparities in GERs, NERs, and completion rates by wealth quintile, 2015</w:t>
        </w:r>
        <w:r>
          <w:rPr>
            <w:noProof/>
            <w:webHidden/>
          </w:rPr>
          <w:tab/>
        </w:r>
        <w:r>
          <w:rPr>
            <w:noProof/>
            <w:webHidden/>
          </w:rPr>
          <w:fldChar w:fldCharType="begin"/>
        </w:r>
        <w:r>
          <w:rPr>
            <w:noProof/>
            <w:webHidden/>
          </w:rPr>
          <w:instrText xml:space="preserve"> PAGEREF _Toc497171817 \h </w:instrText>
        </w:r>
        <w:r>
          <w:rPr>
            <w:noProof/>
            <w:webHidden/>
          </w:rPr>
        </w:r>
        <w:r>
          <w:rPr>
            <w:noProof/>
            <w:webHidden/>
          </w:rPr>
          <w:fldChar w:fldCharType="separate"/>
        </w:r>
        <w:r>
          <w:rPr>
            <w:noProof/>
            <w:webHidden/>
          </w:rPr>
          <w:t>67</w:t>
        </w:r>
        <w:r>
          <w:rPr>
            <w:noProof/>
            <w:webHidden/>
          </w:rPr>
          <w:fldChar w:fldCharType="end"/>
        </w:r>
      </w:hyperlink>
    </w:p>
    <w:p w14:paraId="08233CB7" w14:textId="724BA7CE" w:rsidR="00945650" w:rsidRDefault="00945650">
      <w:pPr>
        <w:pStyle w:val="TableofFigures"/>
        <w:tabs>
          <w:tab w:val="right" w:leader="dot" w:pos="9350"/>
        </w:tabs>
        <w:rPr>
          <w:rFonts w:asciiTheme="minorHAnsi" w:eastAsiaTheme="minorEastAsia" w:hAnsiTheme="minorHAnsi"/>
          <w:noProof/>
        </w:rPr>
      </w:pPr>
      <w:hyperlink w:anchor="_Toc497171818" w:history="1">
        <w:r w:rsidRPr="00793DB2">
          <w:rPr>
            <w:rStyle w:val="Hyperlink"/>
            <w:noProof/>
          </w:rPr>
          <w:t>Figure 48: Disparities in GERs by ethnic groups and level of education, 2015</w:t>
        </w:r>
        <w:r>
          <w:rPr>
            <w:noProof/>
            <w:webHidden/>
          </w:rPr>
          <w:tab/>
        </w:r>
        <w:r>
          <w:rPr>
            <w:noProof/>
            <w:webHidden/>
          </w:rPr>
          <w:fldChar w:fldCharType="begin"/>
        </w:r>
        <w:r>
          <w:rPr>
            <w:noProof/>
            <w:webHidden/>
          </w:rPr>
          <w:instrText xml:space="preserve"> PAGEREF _Toc497171818 \h </w:instrText>
        </w:r>
        <w:r>
          <w:rPr>
            <w:noProof/>
            <w:webHidden/>
          </w:rPr>
        </w:r>
        <w:r>
          <w:rPr>
            <w:noProof/>
            <w:webHidden/>
          </w:rPr>
          <w:fldChar w:fldCharType="separate"/>
        </w:r>
        <w:r>
          <w:rPr>
            <w:noProof/>
            <w:webHidden/>
          </w:rPr>
          <w:t>68</w:t>
        </w:r>
        <w:r>
          <w:rPr>
            <w:noProof/>
            <w:webHidden/>
          </w:rPr>
          <w:fldChar w:fldCharType="end"/>
        </w:r>
      </w:hyperlink>
    </w:p>
    <w:p w14:paraId="4ADCE3B7" w14:textId="15282E44" w:rsidR="00945650" w:rsidRDefault="00945650">
      <w:pPr>
        <w:pStyle w:val="TableofFigures"/>
        <w:tabs>
          <w:tab w:val="right" w:leader="dot" w:pos="9350"/>
        </w:tabs>
        <w:rPr>
          <w:rFonts w:asciiTheme="minorHAnsi" w:eastAsiaTheme="minorEastAsia" w:hAnsiTheme="minorHAnsi"/>
          <w:noProof/>
        </w:rPr>
      </w:pPr>
      <w:hyperlink w:anchor="_Toc497171819" w:history="1">
        <w:r w:rsidRPr="00793DB2">
          <w:rPr>
            <w:rStyle w:val="Hyperlink"/>
            <w:noProof/>
          </w:rPr>
          <w:t>Figure 49: Disparities in GERs by region and level of education, 2015</w:t>
        </w:r>
        <w:r>
          <w:rPr>
            <w:noProof/>
            <w:webHidden/>
          </w:rPr>
          <w:tab/>
        </w:r>
        <w:r>
          <w:rPr>
            <w:noProof/>
            <w:webHidden/>
          </w:rPr>
          <w:fldChar w:fldCharType="begin"/>
        </w:r>
        <w:r>
          <w:rPr>
            <w:noProof/>
            <w:webHidden/>
          </w:rPr>
          <w:instrText xml:space="preserve"> PAGEREF _Toc497171819 \h </w:instrText>
        </w:r>
        <w:r>
          <w:rPr>
            <w:noProof/>
            <w:webHidden/>
          </w:rPr>
        </w:r>
        <w:r>
          <w:rPr>
            <w:noProof/>
            <w:webHidden/>
          </w:rPr>
          <w:fldChar w:fldCharType="separate"/>
        </w:r>
        <w:r>
          <w:rPr>
            <w:noProof/>
            <w:webHidden/>
          </w:rPr>
          <w:t>68</w:t>
        </w:r>
        <w:r>
          <w:rPr>
            <w:noProof/>
            <w:webHidden/>
          </w:rPr>
          <w:fldChar w:fldCharType="end"/>
        </w:r>
      </w:hyperlink>
    </w:p>
    <w:p w14:paraId="1718B5E8" w14:textId="1FFA4ECA" w:rsidR="00945650" w:rsidRDefault="00945650">
      <w:pPr>
        <w:pStyle w:val="TableofFigures"/>
        <w:tabs>
          <w:tab w:val="right" w:leader="dot" w:pos="9350"/>
        </w:tabs>
        <w:rPr>
          <w:rFonts w:asciiTheme="minorHAnsi" w:eastAsiaTheme="minorEastAsia" w:hAnsiTheme="minorHAnsi"/>
          <w:noProof/>
        </w:rPr>
      </w:pPr>
      <w:hyperlink w:anchor="_Toc497171820" w:history="1">
        <w:r w:rsidRPr="00793DB2">
          <w:rPr>
            <w:rStyle w:val="Hyperlink"/>
            <w:noProof/>
          </w:rPr>
          <w:t>Figure 50: Disparities in preprimary and LBS GERs at the district level, 2015</w:t>
        </w:r>
        <w:r>
          <w:rPr>
            <w:noProof/>
            <w:webHidden/>
          </w:rPr>
          <w:tab/>
        </w:r>
        <w:r>
          <w:rPr>
            <w:noProof/>
            <w:webHidden/>
          </w:rPr>
          <w:fldChar w:fldCharType="begin"/>
        </w:r>
        <w:r>
          <w:rPr>
            <w:noProof/>
            <w:webHidden/>
          </w:rPr>
          <w:instrText xml:space="preserve"> PAGEREF _Toc497171820 \h </w:instrText>
        </w:r>
        <w:r>
          <w:rPr>
            <w:noProof/>
            <w:webHidden/>
          </w:rPr>
        </w:r>
        <w:r>
          <w:rPr>
            <w:noProof/>
            <w:webHidden/>
          </w:rPr>
          <w:fldChar w:fldCharType="separate"/>
        </w:r>
        <w:r>
          <w:rPr>
            <w:noProof/>
            <w:webHidden/>
          </w:rPr>
          <w:t>69</w:t>
        </w:r>
        <w:r>
          <w:rPr>
            <w:noProof/>
            <w:webHidden/>
          </w:rPr>
          <w:fldChar w:fldCharType="end"/>
        </w:r>
      </w:hyperlink>
    </w:p>
    <w:p w14:paraId="2A073144" w14:textId="6949C823" w:rsidR="00945650" w:rsidRDefault="00945650">
      <w:pPr>
        <w:pStyle w:val="TableofFigures"/>
        <w:tabs>
          <w:tab w:val="right" w:leader="dot" w:pos="9350"/>
        </w:tabs>
        <w:rPr>
          <w:rFonts w:asciiTheme="minorHAnsi" w:eastAsiaTheme="minorEastAsia" w:hAnsiTheme="minorHAnsi"/>
          <w:noProof/>
        </w:rPr>
      </w:pPr>
      <w:hyperlink w:anchor="_Toc497171821" w:history="1">
        <w:r w:rsidRPr="00793DB2">
          <w:rPr>
            <w:rStyle w:val="Hyperlink"/>
            <w:noProof/>
          </w:rPr>
          <w:t>Figure 51: Out-of-school rate by gender and areas of residence by level of education</w:t>
        </w:r>
        <w:r>
          <w:rPr>
            <w:noProof/>
            <w:webHidden/>
          </w:rPr>
          <w:tab/>
        </w:r>
        <w:r>
          <w:rPr>
            <w:noProof/>
            <w:webHidden/>
          </w:rPr>
          <w:fldChar w:fldCharType="begin"/>
        </w:r>
        <w:r>
          <w:rPr>
            <w:noProof/>
            <w:webHidden/>
          </w:rPr>
          <w:instrText xml:space="preserve"> PAGEREF _Toc497171821 \h </w:instrText>
        </w:r>
        <w:r>
          <w:rPr>
            <w:noProof/>
            <w:webHidden/>
          </w:rPr>
        </w:r>
        <w:r>
          <w:rPr>
            <w:noProof/>
            <w:webHidden/>
          </w:rPr>
          <w:fldChar w:fldCharType="separate"/>
        </w:r>
        <w:r>
          <w:rPr>
            <w:noProof/>
            <w:webHidden/>
          </w:rPr>
          <w:t>70</w:t>
        </w:r>
        <w:r>
          <w:rPr>
            <w:noProof/>
            <w:webHidden/>
          </w:rPr>
          <w:fldChar w:fldCharType="end"/>
        </w:r>
      </w:hyperlink>
    </w:p>
    <w:p w14:paraId="70F9C914" w14:textId="06F81BCD" w:rsidR="00945650" w:rsidRDefault="00945650">
      <w:pPr>
        <w:pStyle w:val="TableofFigures"/>
        <w:tabs>
          <w:tab w:val="right" w:leader="dot" w:pos="9350"/>
        </w:tabs>
        <w:rPr>
          <w:rFonts w:asciiTheme="minorHAnsi" w:eastAsiaTheme="minorEastAsia" w:hAnsiTheme="minorHAnsi"/>
          <w:noProof/>
        </w:rPr>
      </w:pPr>
      <w:hyperlink w:anchor="_Toc497171822" w:history="1">
        <w:r w:rsidRPr="00793DB2">
          <w:rPr>
            <w:rStyle w:val="Hyperlink"/>
            <w:noProof/>
          </w:rPr>
          <w:t>Figure 52: Out-of-school rate by quintile and by level of education</w:t>
        </w:r>
        <w:r>
          <w:rPr>
            <w:noProof/>
            <w:webHidden/>
          </w:rPr>
          <w:tab/>
        </w:r>
        <w:r>
          <w:rPr>
            <w:noProof/>
            <w:webHidden/>
          </w:rPr>
          <w:fldChar w:fldCharType="begin"/>
        </w:r>
        <w:r>
          <w:rPr>
            <w:noProof/>
            <w:webHidden/>
          </w:rPr>
          <w:instrText xml:space="preserve"> PAGEREF _Toc497171822 \h </w:instrText>
        </w:r>
        <w:r>
          <w:rPr>
            <w:noProof/>
            <w:webHidden/>
          </w:rPr>
        </w:r>
        <w:r>
          <w:rPr>
            <w:noProof/>
            <w:webHidden/>
          </w:rPr>
          <w:fldChar w:fldCharType="separate"/>
        </w:r>
        <w:r>
          <w:rPr>
            <w:noProof/>
            <w:webHidden/>
          </w:rPr>
          <w:t>71</w:t>
        </w:r>
        <w:r>
          <w:rPr>
            <w:noProof/>
            <w:webHidden/>
          </w:rPr>
          <w:fldChar w:fldCharType="end"/>
        </w:r>
      </w:hyperlink>
    </w:p>
    <w:p w14:paraId="39A3FA21" w14:textId="1419B538" w:rsidR="00945650" w:rsidRDefault="00945650">
      <w:pPr>
        <w:pStyle w:val="TableofFigures"/>
        <w:tabs>
          <w:tab w:val="right" w:leader="dot" w:pos="9350"/>
        </w:tabs>
        <w:rPr>
          <w:rFonts w:asciiTheme="minorHAnsi" w:eastAsiaTheme="minorEastAsia" w:hAnsiTheme="minorHAnsi"/>
          <w:noProof/>
        </w:rPr>
      </w:pPr>
      <w:hyperlink w:anchor="_Toc497171823" w:history="1">
        <w:r w:rsidRPr="00793DB2">
          <w:rPr>
            <w:rStyle w:val="Hyperlink"/>
            <w:noProof/>
          </w:rPr>
          <w:t>Figure 53: Out-of-school rate by ethnic group and by level of education</w:t>
        </w:r>
        <w:r>
          <w:rPr>
            <w:noProof/>
            <w:webHidden/>
          </w:rPr>
          <w:tab/>
        </w:r>
        <w:r>
          <w:rPr>
            <w:noProof/>
            <w:webHidden/>
          </w:rPr>
          <w:fldChar w:fldCharType="begin"/>
        </w:r>
        <w:r>
          <w:rPr>
            <w:noProof/>
            <w:webHidden/>
          </w:rPr>
          <w:instrText xml:space="preserve"> PAGEREF _Toc497171823 \h </w:instrText>
        </w:r>
        <w:r>
          <w:rPr>
            <w:noProof/>
            <w:webHidden/>
          </w:rPr>
        </w:r>
        <w:r>
          <w:rPr>
            <w:noProof/>
            <w:webHidden/>
          </w:rPr>
          <w:fldChar w:fldCharType="separate"/>
        </w:r>
        <w:r>
          <w:rPr>
            <w:noProof/>
            <w:webHidden/>
          </w:rPr>
          <w:t>71</w:t>
        </w:r>
        <w:r>
          <w:rPr>
            <w:noProof/>
            <w:webHidden/>
          </w:rPr>
          <w:fldChar w:fldCharType="end"/>
        </w:r>
      </w:hyperlink>
    </w:p>
    <w:p w14:paraId="62BF9330" w14:textId="1D05AFFC" w:rsidR="00945650" w:rsidRDefault="00945650">
      <w:pPr>
        <w:pStyle w:val="TableofFigures"/>
        <w:tabs>
          <w:tab w:val="right" w:leader="dot" w:pos="9350"/>
        </w:tabs>
        <w:rPr>
          <w:rFonts w:asciiTheme="minorHAnsi" w:eastAsiaTheme="minorEastAsia" w:hAnsiTheme="minorHAnsi"/>
          <w:noProof/>
        </w:rPr>
      </w:pPr>
      <w:hyperlink w:anchor="_Toc497171824" w:history="1">
        <w:r w:rsidRPr="00793DB2">
          <w:rPr>
            <w:rStyle w:val="Hyperlink"/>
            <w:noProof/>
          </w:rPr>
          <w:t>Figure 54: Out-of-school rate by district at LBS level</w:t>
        </w:r>
        <w:r>
          <w:rPr>
            <w:noProof/>
            <w:webHidden/>
          </w:rPr>
          <w:tab/>
        </w:r>
        <w:r>
          <w:rPr>
            <w:noProof/>
            <w:webHidden/>
          </w:rPr>
          <w:fldChar w:fldCharType="begin"/>
        </w:r>
        <w:r>
          <w:rPr>
            <w:noProof/>
            <w:webHidden/>
          </w:rPr>
          <w:instrText xml:space="preserve"> PAGEREF _Toc497171824 \h </w:instrText>
        </w:r>
        <w:r>
          <w:rPr>
            <w:noProof/>
            <w:webHidden/>
          </w:rPr>
        </w:r>
        <w:r>
          <w:rPr>
            <w:noProof/>
            <w:webHidden/>
          </w:rPr>
          <w:fldChar w:fldCharType="separate"/>
        </w:r>
        <w:r>
          <w:rPr>
            <w:noProof/>
            <w:webHidden/>
          </w:rPr>
          <w:t>72</w:t>
        </w:r>
        <w:r>
          <w:rPr>
            <w:noProof/>
            <w:webHidden/>
          </w:rPr>
          <w:fldChar w:fldCharType="end"/>
        </w:r>
      </w:hyperlink>
    </w:p>
    <w:p w14:paraId="6A7E720D" w14:textId="0466CD76" w:rsidR="00945650" w:rsidRDefault="00945650">
      <w:pPr>
        <w:pStyle w:val="TableofFigures"/>
        <w:tabs>
          <w:tab w:val="right" w:leader="dot" w:pos="9350"/>
        </w:tabs>
        <w:rPr>
          <w:rFonts w:asciiTheme="minorHAnsi" w:eastAsiaTheme="minorEastAsia" w:hAnsiTheme="minorHAnsi"/>
          <w:noProof/>
        </w:rPr>
      </w:pPr>
      <w:hyperlink w:anchor="_Toc497171825" w:history="1">
        <w:r w:rsidRPr="00793DB2">
          <w:rPr>
            <w:rStyle w:val="Hyperlink"/>
            <w:noProof/>
          </w:rPr>
          <w:t>Figure 55: Determinants of out-of-school for children of school age cohorts for LBS, UBS, and SSS</w:t>
        </w:r>
        <w:r>
          <w:rPr>
            <w:noProof/>
            <w:webHidden/>
          </w:rPr>
          <w:tab/>
        </w:r>
        <w:r>
          <w:rPr>
            <w:noProof/>
            <w:webHidden/>
          </w:rPr>
          <w:fldChar w:fldCharType="begin"/>
        </w:r>
        <w:r>
          <w:rPr>
            <w:noProof/>
            <w:webHidden/>
          </w:rPr>
          <w:instrText xml:space="preserve"> PAGEREF _Toc497171825 \h </w:instrText>
        </w:r>
        <w:r>
          <w:rPr>
            <w:noProof/>
            <w:webHidden/>
          </w:rPr>
        </w:r>
        <w:r>
          <w:rPr>
            <w:noProof/>
            <w:webHidden/>
          </w:rPr>
          <w:fldChar w:fldCharType="separate"/>
        </w:r>
        <w:r>
          <w:rPr>
            <w:noProof/>
            <w:webHidden/>
          </w:rPr>
          <w:t>73</w:t>
        </w:r>
        <w:r>
          <w:rPr>
            <w:noProof/>
            <w:webHidden/>
          </w:rPr>
          <w:fldChar w:fldCharType="end"/>
        </w:r>
      </w:hyperlink>
    </w:p>
    <w:p w14:paraId="0FEA3FDB" w14:textId="614DEEA1" w:rsidR="00945650" w:rsidRDefault="00945650">
      <w:pPr>
        <w:pStyle w:val="TableofFigures"/>
        <w:tabs>
          <w:tab w:val="right" w:leader="dot" w:pos="9350"/>
        </w:tabs>
        <w:rPr>
          <w:rFonts w:asciiTheme="minorHAnsi" w:eastAsiaTheme="minorEastAsia" w:hAnsiTheme="minorHAnsi"/>
          <w:noProof/>
        </w:rPr>
      </w:pPr>
      <w:hyperlink w:anchor="_Toc497171826" w:history="1">
        <w:r w:rsidRPr="00793DB2">
          <w:rPr>
            <w:rStyle w:val="Hyperlink"/>
            <w:noProof/>
          </w:rPr>
          <w:t>Figure 56: Trends household education per capita spending and education spending as share of total household consumption by quintile</w:t>
        </w:r>
        <w:r>
          <w:rPr>
            <w:noProof/>
            <w:webHidden/>
          </w:rPr>
          <w:tab/>
        </w:r>
        <w:r>
          <w:rPr>
            <w:noProof/>
            <w:webHidden/>
          </w:rPr>
          <w:fldChar w:fldCharType="begin"/>
        </w:r>
        <w:r>
          <w:rPr>
            <w:noProof/>
            <w:webHidden/>
          </w:rPr>
          <w:instrText xml:space="preserve"> PAGEREF _Toc497171826 \h </w:instrText>
        </w:r>
        <w:r>
          <w:rPr>
            <w:noProof/>
            <w:webHidden/>
          </w:rPr>
        </w:r>
        <w:r>
          <w:rPr>
            <w:noProof/>
            <w:webHidden/>
          </w:rPr>
          <w:fldChar w:fldCharType="separate"/>
        </w:r>
        <w:r>
          <w:rPr>
            <w:noProof/>
            <w:webHidden/>
          </w:rPr>
          <w:t>73</w:t>
        </w:r>
        <w:r>
          <w:rPr>
            <w:noProof/>
            <w:webHidden/>
          </w:rPr>
          <w:fldChar w:fldCharType="end"/>
        </w:r>
      </w:hyperlink>
    </w:p>
    <w:p w14:paraId="28A073F3" w14:textId="61E71152" w:rsidR="00945650" w:rsidRDefault="00945650">
      <w:pPr>
        <w:pStyle w:val="TableofFigures"/>
        <w:tabs>
          <w:tab w:val="right" w:leader="dot" w:pos="9350"/>
        </w:tabs>
        <w:rPr>
          <w:rFonts w:asciiTheme="minorHAnsi" w:eastAsiaTheme="minorEastAsia" w:hAnsiTheme="minorHAnsi"/>
          <w:noProof/>
        </w:rPr>
      </w:pPr>
      <w:hyperlink w:anchor="_Toc497171827" w:history="1">
        <w:r w:rsidRPr="00793DB2">
          <w:rPr>
            <w:rStyle w:val="Hyperlink"/>
            <w:noProof/>
          </w:rPr>
          <w:t>Figure 57: Distribution of household education spending by level and wealth quintile (left) per student per capita spending by level and wealth quintile (right)</w:t>
        </w:r>
        <w:r>
          <w:rPr>
            <w:noProof/>
            <w:webHidden/>
          </w:rPr>
          <w:tab/>
        </w:r>
        <w:r>
          <w:rPr>
            <w:noProof/>
            <w:webHidden/>
          </w:rPr>
          <w:fldChar w:fldCharType="begin"/>
        </w:r>
        <w:r>
          <w:rPr>
            <w:noProof/>
            <w:webHidden/>
          </w:rPr>
          <w:instrText xml:space="preserve"> PAGEREF _Toc497171827 \h </w:instrText>
        </w:r>
        <w:r>
          <w:rPr>
            <w:noProof/>
            <w:webHidden/>
          </w:rPr>
        </w:r>
        <w:r>
          <w:rPr>
            <w:noProof/>
            <w:webHidden/>
          </w:rPr>
          <w:fldChar w:fldCharType="separate"/>
        </w:r>
        <w:r>
          <w:rPr>
            <w:noProof/>
            <w:webHidden/>
          </w:rPr>
          <w:t>74</w:t>
        </w:r>
        <w:r>
          <w:rPr>
            <w:noProof/>
            <w:webHidden/>
          </w:rPr>
          <w:fldChar w:fldCharType="end"/>
        </w:r>
      </w:hyperlink>
    </w:p>
    <w:p w14:paraId="2E8CFE61" w14:textId="0AE8A13F" w:rsidR="00945650" w:rsidRDefault="00945650">
      <w:pPr>
        <w:pStyle w:val="TableofFigures"/>
        <w:tabs>
          <w:tab w:val="right" w:leader="dot" w:pos="9350"/>
        </w:tabs>
        <w:rPr>
          <w:rFonts w:asciiTheme="minorHAnsi" w:eastAsiaTheme="minorEastAsia" w:hAnsiTheme="minorHAnsi"/>
          <w:noProof/>
        </w:rPr>
      </w:pPr>
      <w:hyperlink w:anchor="_Toc497171828" w:history="1">
        <w:r w:rsidRPr="00793DB2">
          <w:rPr>
            <w:rStyle w:val="Hyperlink"/>
            <w:noProof/>
          </w:rPr>
          <w:t>Figure 58: Unit cost by level of education, wealth quintile, and school type attended</w:t>
        </w:r>
        <w:r>
          <w:rPr>
            <w:noProof/>
            <w:webHidden/>
          </w:rPr>
          <w:tab/>
        </w:r>
        <w:r>
          <w:rPr>
            <w:noProof/>
            <w:webHidden/>
          </w:rPr>
          <w:fldChar w:fldCharType="begin"/>
        </w:r>
        <w:r>
          <w:rPr>
            <w:noProof/>
            <w:webHidden/>
          </w:rPr>
          <w:instrText xml:space="preserve"> PAGEREF _Toc497171828 \h </w:instrText>
        </w:r>
        <w:r>
          <w:rPr>
            <w:noProof/>
            <w:webHidden/>
          </w:rPr>
        </w:r>
        <w:r>
          <w:rPr>
            <w:noProof/>
            <w:webHidden/>
          </w:rPr>
          <w:fldChar w:fldCharType="separate"/>
        </w:r>
        <w:r>
          <w:rPr>
            <w:noProof/>
            <w:webHidden/>
          </w:rPr>
          <w:t>75</w:t>
        </w:r>
        <w:r>
          <w:rPr>
            <w:noProof/>
            <w:webHidden/>
          </w:rPr>
          <w:fldChar w:fldCharType="end"/>
        </w:r>
      </w:hyperlink>
    </w:p>
    <w:p w14:paraId="7207A58E" w14:textId="162909B0" w:rsidR="00945650" w:rsidRDefault="00945650">
      <w:pPr>
        <w:pStyle w:val="TableofFigures"/>
        <w:tabs>
          <w:tab w:val="right" w:leader="dot" w:pos="9350"/>
        </w:tabs>
        <w:rPr>
          <w:rFonts w:asciiTheme="minorHAnsi" w:eastAsiaTheme="minorEastAsia" w:hAnsiTheme="minorHAnsi"/>
          <w:noProof/>
        </w:rPr>
      </w:pPr>
      <w:hyperlink w:anchor="_Toc497171829" w:history="1">
        <w:r w:rsidRPr="00793DB2">
          <w:rPr>
            <w:rStyle w:val="Hyperlink"/>
            <w:noProof/>
          </w:rPr>
          <w:t>Figure 59: Breakdown of household education payment by level of education and quintile</w:t>
        </w:r>
        <w:r>
          <w:rPr>
            <w:noProof/>
            <w:webHidden/>
          </w:rPr>
          <w:tab/>
        </w:r>
        <w:r>
          <w:rPr>
            <w:noProof/>
            <w:webHidden/>
          </w:rPr>
          <w:fldChar w:fldCharType="begin"/>
        </w:r>
        <w:r>
          <w:rPr>
            <w:noProof/>
            <w:webHidden/>
          </w:rPr>
          <w:instrText xml:space="preserve"> PAGEREF _Toc497171829 \h </w:instrText>
        </w:r>
        <w:r>
          <w:rPr>
            <w:noProof/>
            <w:webHidden/>
          </w:rPr>
        </w:r>
        <w:r>
          <w:rPr>
            <w:noProof/>
            <w:webHidden/>
          </w:rPr>
          <w:fldChar w:fldCharType="separate"/>
        </w:r>
        <w:r>
          <w:rPr>
            <w:noProof/>
            <w:webHidden/>
          </w:rPr>
          <w:t>76</w:t>
        </w:r>
        <w:r>
          <w:rPr>
            <w:noProof/>
            <w:webHidden/>
          </w:rPr>
          <w:fldChar w:fldCharType="end"/>
        </w:r>
      </w:hyperlink>
    </w:p>
    <w:p w14:paraId="2A671C04" w14:textId="36817D38" w:rsidR="00945650" w:rsidRDefault="00945650">
      <w:pPr>
        <w:pStyle w:val="TableofFigures"/>
        <w:tabs>
          <w:tab w:val="right" w:leader="dot" w:pos="9350"/>
        </w:tabs>
        <w:rPr>
          <w:rFonts w:asciiTheme="minorHAnsi" w:eastAsiaTheme="minorEastAsia" w:hAnsiTheme="minorHAnsi"/>
          <w:noProof/>
        </w:rPr>
      </w:pPr>
      <w:hyperlink w:anchor="_Toc497171830" w:history="1">
        <w:r w:rsidRPr="00793DB2">
          <w:rPr>
            <w:rStyle w:val="Hyperlink"/>
            <w:noProof/>
          </w:rPr>
          <w:t>Figure 60: Reason for being out of school by level of education, breakdown by gender and area of residence</w:t>
        </w:r>
        <w:r>
          <w:rPr>
            <w:noProof/>
            <w:webHidden/>
          </w:rPr>
          <w:tab/>
        </w:r>
        <w:r>
          <w:rPr>
            <w:noProof/>
            <w:webHidden/>
          </w:rPr>
          <w:fldChar w:fldCharType="begin"/>
        </w:r>
        <w:r>
          <w:rPr>
            <w:noProof/>
            <w:webHidden/>
          </w:rPr>
          <w:instrText xml:space="preserve"> PAGEREF _Toc497171830 \h </w:instrText>
        </w:r>
        <w:r>
          <w:rPr>
            <w:noProof/>
            <w:webHidden/>
          </w:rPr>
        </w:r>
        <w:r>
          <w:rPr>
            <w:noProof/>
            <w:webHidden/>
          </w:rPr>
          <w:fldChar w:fldCharType="separate"/>
        </w:r>
        <w:r>
          <w:rPr>
            <w:noProof/>
            <w:webHidden/>
          </w:rPr>
          <w:t>76</w:t>
        </w:r>
        <w:r>
          <w:rPr>
            <w:noProof/>
            <w:webHidden/>
          </w:rPr>
          <w:fldChar w:fldCharType="end"/>
        </w:r>
      </w:hyperlink>
    </w:p>
    <w:p w14:paraId="50AAA0CA" w14:textId="5899A185" w:rsidR="00945650" w:rsidRDefault="00945650">
      <w:pPr>
        <w:pStyle w:val="TableofFigures"/>
        <w:tabs>
          <w:tab w:val="right" w:leader="dot" w:pos="9350"/>
        </w:tabs>
        <w:rPr>
          <w:rFonts w:asciiTheme="minorHAnsi" w:eastAsiaTheme="minorEastAsia" w:hAnsiTheme="minorHAnsi"/>
          <w:noProof/>
        </w:rPr>
      </w:pPr>
      <w:hyperlink w:anchor="_Toc497171831" w:history="1">
        <w:r w:rsidRPr="00793DB2">
          <w:rPr>
            <w:rStyle w:val="Hyperlink"/>
            <w:noProof/>
          </w:rPr>
          <w:t>Figure 61: Reason for being out of school by wealth quintile, region, ethnicity, and household head’s education, breakdown by gender and area of residence, LBS (ages 7–12)</w:t>
        </w:r>
        <w:r>
          <w:rPr>
            <w:noProof/>
            <w:webHidden/>
          </w:rPr>
          <w:tab/>
        </w:r>
        <w:r>
          <w:rPr>
            <w:noProof/>
            <w:webHidden/>
          </w:rPr>
          <w:fldChar w:fldCharType="begin"/>
        </w:r>
        <w:r>
          <w:rPr>
            <w:noProof/>
            <w:webHidden/>
          </w:rPr>
          <w:instrText xml:space="preserve"> PAGEREF _Toc497171831 \h </w:instrText>
        </w:r>
        <w:r>
          <w:rPr>
            <w:noProof/>
            <w:webHidden/>
          </w:rPr>
        </w:r>
        <w:r>
          <w:rPr>
            <w:noProof/>
            <w:webHidden/>
          </w:rPr>
          <w:fldChar w:fldCharType="separate"/>
        </w:r>
        <w:r>
          <w:rPr>
            <w:noProof/>
            <w:webHidden/>
          </w:rPr>
          <w:t>77</w:t>
        </w:r>
        <w:r>
          <w:rPr>
            <w:noProof/>
            <w:webHidden/>
          </w:rPr>
          <w:fldChar w:fldCharType="end"/>
        </w:r>
      </w:hyperlink>
    </w:p>
    <w:p w14:paraId="3CE74F55" w14:textId="7B249358" w:rsidR="00945650" w:rsidRDefault="00945650">
      <w:pPr>
        <w:pStyle w:val="TableofFigures"/>
        <w:tabs>
          <w:tab w:val="right" w:leader="dot" w:pos="9350"/>
        </w:tabs>
        <w:rPr>
          <w:rFonts w:asciiTheme="minorHAnsi" w:eastAsiaTheme="minorEastAsia" w:hAnsiTheme="minorHAnsi"/>
          <w:noProof/>
        </w:rPr>
      </w:pPr>
      <w:hyperlink w:anchor="_Toc497171832" w:history="1">
        <w:r w:rsidRPr="00793DB2">
          <w:rPr>
            <w:rStyle w:val="Hyperlink"/>
            <w:noProof/>
          </w:rPr>
          <w:t>Figure 62: Retention patterns by gender and socioeconomic status, 2015</w:t>
        </w:r>
        <w:r>
          <w:rPr>
            <w:noProof/>
            <w:webHidden/>
          </w:rPr>
          <w:tab/>
        </w:r>
        <w:r>
          <w:rPr>
            <w:noProof/>
            <w:webHidden/>
          </w:rPr>
          <w:fldChar w:fldCharType="begin"/>
        </w:r>
        <w:r>
          <w:rPr>
            <w:noProof/>
            <w:webHidden/>
          </w:rPr>
          <w:instrText xml:space="preserve"> PAGEREF _Toc497171832 \h </w:instrText>
        </w:r>
        <w:r>
          <w:rPr>
            <w:noProof/>
            <w:webHidden/>
          </w:rPr>
        </w:r>
        <w:r>
          <w:rPr>
            <w:noProof/>
            <w:webHidden/>
          </w:rPr>
          <w:fldChar w:fldCharType="separate"/>
        </w:r>
        <w:r>
          <w:rPr>
            <w:noProof/>
            <w:webHidden/>
          </w:rPr>
          <w:t>78</w:t>
        </w:r>
        <w:r>
          <w:rPr>
            <w:noProof/>
            <w:webHidden/>
          </w:rPr>
          <w:fldChar w:fldCharType="end"/>
        </w:r>
      </w:hyperlink>
    </w:p>
    <w:p w14:paraId="10DB4394" w14:textId="15AB6417" w:rsidR="00945650" w:rsidRDefault="00945650">
      <w:pPr>
        <w:pStyle w:val="TableofFigures"/>
        <w:tabs>
          <w:tab w:val="right" w:leader="dot" w:pos="9350"/>
        </w:tabs>
        <w:rPr>
          <w:rFonts w:asciiTheme="minorHAnsi" w:eastAsiaTheme="minorEastAsia" w:hAnsiTheme="minorHAnsi"/>
          <w:noProof/>
        </w:rPr>
      </w:pPr>
      <w:hyperlink w:anchor="_Toc497171833" w:history="1">
        <w:r w:rsidRPr="00793DB2">
          <w:rPr>
            <w:rStyle w:val="Hyperlink"/>
            <w:noProof/>
          </w:rPr>
          <w:t>Figure 63: Trends of income holding per quintile, 2010 and 2015</w:t>
        </w:r>
        <w:r>
          <w:rPr>
            <w:noProof/>
            <w:webHidden/>
          </w:rPr>
          <w:tab/>
        </w:r>
        <w:r>
          <w:rPr>
            <w:noProof/>
            <w:webHidden/>
          </w:rPr>
          <w:fldChar w:fldCharType="begin"/>
        </w:r>
        <w:r>
          <w:rPr>
            <w:noProof/>
            <w:webHidden/>
          </w:rPr>
          <w:instrText xml:space="preserve"> PAGEREF _Toc497171833 \h </w:instrText>
        </w:r>
        <w:r>
          <w:rPr>
            <w:noProof/>
            <w:webHidden/>
          </w:rPr>
        </w:r>
        <w:r>
          <w:rPr>
            <w:noProof/>
            <w:webHidden/>
          </w:rPr>
          <w:fldChar w:fldCharType="separate"/>
        </w:r>
        <w:r>
          <w:rPr>
            <w:noProof/>
            <w:webHidden/>
          </w:rPr>
          <w:t>78</w:t>
        </w:r>
        <w:r>
          <w:rPr>
            <w:noProof/>
            <w:webHidden/>
          </w:rPr>
          <w:fldChar w:fldCharType="end"/>
        </w:r>
      </w:hyperlink>
    </w:p>
    <w:p w14:paraId="46BC341F" w14:textId="03759128" w:rsidR="00945650" w:rsidRDefault="00945650">
      <w:pPr>
        <w:pStyle w:val="TableofFigures"/>
        <w:tabs>
          <w:tab w:val="right" w:leader="dot" w:pos="9350"/>
        </w:tabs>
        <w:rPr>
          <w:rFonts w:asciiTheme="minorHAnsi" w:eastAsiaTheme="minorEastAsia" w:hAnsiTheme="minorHAnsi"/>
          <w:noProof/>
        </w:rPr>
      </w:pPr>
      <w:hyperlink w:anchor="_Toc497171834" w:history="1">
        <w:r w:rsidRPr="00793DB2">
          <w:rPr>
            <w:rStyle w:val="Hyperlink"/>
            <w:noProof/>
          </w:rPr>
          <w:t>Figure 64: Results of Benefit Incident Analysis</w:t>
        </w:r>
        <w:r>
          <w:rPr>
            <w:noProof/>
            <w:webHidden/>
          </w:rPr>
          <w:tab/>
        </w:r>
        <w:r>
          <w:rPr>
            <w:noProof/>
            <w:webHidden/>
          </w:rPr>
          <w:fldChar w:fldCharType="begin"/>
        </w:r>
        <w:r>
          <w:rPr>
            <w:noProof/>
            <w:webHidden/>
          </w:rPr>
          <w:instrText xml:space="preserve"> PAGEREF _Toc497171834 \h </w:instrText>
        </w:r>
        <w:r>
          <w:rPr>
            <w:noProof/>
            <w:webHidden/>
          </w:rPr>
        </w:r>
        <w:r>
          <w:rPr>
            <w:noProof/>
            <w:webHidden/>
          </w:rPr>
          <w:fldChar w:fldCharType="separate"/>
        </w:r>
        <w:r>
          <w:rPr>
            <w:noProof/>
            <w:webHidden/>
          </w:rPr>
          <w:t>79</w:t>
        </w:r>
        <w:r>
          <w:rPr>
            <w:noProof/>
            <w:webHidden/>
          </w:rPr>
          <w:fldChar w:fldCharType="end"/>
        </w:r>
      </w:hyperlink>
    </w:p>
    <w:p w14:paraId="3D285B4F" w14:textId="692AB491" w:rsidR="00945650" w:rsidRDefault="00945650">
      <w:pPr>
        <w:pStyle w:val="TableofFigures"/>
        <w:tabs>
          <w:tab w:val="right" w:leader="dot" w:pos="9350"/>
        </w:tabs>
        <w:rPr>
          <w:rFonts w:asciiTheme="minorHAnsi" w:eastAsiaTheme="minorEastAsia" w:hAnsiTheme="minorHAnsi"/>
          <w:noProof/>
        </w:rPr>
      </w:pPr>
      <w:hyperlink w:anchor="_Toc497171835" w:history="1">
        <w:r w:rsidRPr="00793DB2">
          <w:rPr>
            <w:rStyle w:val="Hyperlink"/>
            <w:noProof/>
          </w:rPr>
          <w:t>Figure 65: Equity in the provision of public resources to the education sector</w:t>
        </w:r>
        <w:r>
          <w:rPr>
            <w:noProof/>
            <w:webHidden/>
          </w:rPr>
          <w:tab/>
        </w:r>
        <w:r>
          <w:rPr>
            <w:noProof/>
            <w:webHidden/>
          </w:rPr>
          <w:fldChar w:fldCharType="begin"/>
        </w:r>
        <w:r>
          <w:rPr>
            <w:noProof/>
            <w:webHidden/>
          </w:rPr>
          <w:instrText xml:space="preserve"> PAGEREF _Toc497171835 \h </w:instrText>
        </w:r>
        <w:r>
          <w:rPr>
            <w:noProof/>
            <w:webHidden/>
          </w:rPr>
        </w:r>
        <w:r>
          <w:rPr>
            <w:noProof/>
            <w:webHidden/>
          </w:rPr>
          <w:fldChar w:fldCharType="separate"/>
        </w:r>
        <w:r>
          <w:rPr>
            <w:noProof/>
            <w:webHidden/>
          </w:rPr>
          <w:t>80</w:t>
        </w:r>
        <w:r>
          <w:rPr>
            <w:noProof/>
            <w:webHidden/>
          </w:rPr>
          <w:fldChar w:fldCharType="end"/>
        </w:r>
      </w:hyperlink>
    </w:p>
    <w:p w14:paraId="5043BB91" w14:textId="697BA432" w:rsidR="00945650" w:rsidRDefault="00945650">
      <w:pPr>
        <w:pStyle w:val="TableofFigures"/>
        <w:tabs>
          <w:tab w:val="right" w:leader="dot" w:pos="9350"/>
        </w:tabs>
        <w:rPr>
          <w:rFonts w:asciiTheme="minorHAnsi" w:eastAsiaTheme="minorEastAsia" w:hAnsiTheme="minorHAnsi"/>
          <w:noProof/>
        </w:rPr>
      </w:pPr>
      <w:hyperlink w:anchor="_Toc497171836" w:history="1">
        <w:r w:rsidRPr="00793DB2">
          <w:rPr>
            <w:rStyle w:val="Hyperlink"/>
            <w:noProof/>
          </w:rPr>
          <w:t>Figure 66: School participation by quintile, public schools</w:t>
        </w:r>
        <w:r>
          <w:rPr>
            <w:noProof/>
            <w:webHidden/>
          </w:rPr>
          <w:tab/>
        </w:r>
        <w:r>
          <w:rPr>
            <w:noProof/>
            <w:webHidden/>
          </w:rPr>
          <w:fldChar w:fldCharType="begin"/>
        </w:r>
        <w:r>
          <w:rPr>
            <w:noProof/>
            <w:webHidden/>
          </w:rPr>
          <w:instrText xml:space="preserve"> PAGEREF _Toc497171836 \h </w:instrText>
        </w:r>
        <w:r>
          <w:rPr>
            <w:noProof/>
            <w:webHidden/>
          </w:rPr>
        </w:r>
        <w:r>
          <w:rPr>
            <w:noProof/>
            <w:webHidden/>
          </w:rPr>
          <w:fldChar w:fldCharType="separate"/>
        </w:r>
        <w:r>
          <w:rPr>
            <w:noProof/>
            <w:webHidden/>
          </w:rPr>
          <w:t>81</w:t>
        </w:r>
        <w:r>
          <w:rPr>
            <w:noProof/>
            <w:webHidden/>
          </w:rPr>
          <w:fldChar w:fldCharType="end"/>
        </w:r>
      </w:hyperlink>
    </w:p>
    <w:p w14:paraId="517F89A8" w14:textId="46A1F29A" w:rsidR="00945650" w:rsidRDefault="00945650">
      <w:pPr>
        <w:pStyle w:val="TableofFigures"/>
        <w:tabs>
          <w:tab w:val="right" w:leader="dot" w:pos="9350"/>
        </w:tabs>
        <w:rPr>
          <w:rFonts w:asciiTheme="minorHAnsi" w:eastAsiaTheme="minorEastAsia" w:hAnsiTheme="minorHAnsi"/>
          <w:noProof/>
        </w:rPr>
      </w:pPr>
      <w:hyperlink w:anchor="_Toc497171837" w:history="1">
        <w:r w:rsidRPr="00793DB2">
          <w:rPr>
            <w:rStyle w:val="Hyperlink"/>
            <w:noProof/>
          </w:rPr>
          <w:t>Figure 67: School participation by quintile, private - conventional</w:t>
        </w:r>
        <w:r>
          <w:rPr>
            <w:noProof/>
            <w:webHidden/>
          </w:rPr>
          <w:tab/>
        </w:r>
        <w:r>
          <w:rPr>
            <w:noProof/>
            <w:webHidden/>
          </w:rPr>
          <w:fldChar w:fldCharType="begin"/>
        </w:r>
        <w:r>
          <w:rPr>
            <w:noProof/>
            <w:webHidden/>
          </w:rPr>
          <w:instrText xml:space="preserve"> PAGEREF _Toc497171837 \h </w:instrText>
        </w:r>
        <w:r>
          <w:rPr>
            <w:noProof/>
            <w:webHidden/>
          </w:rPr>
        </w:r>
        <w:r>
          <w:rPr>
            <w:noProof/>
            <w:webHidden/>
          </w:rPr>
          <w:fldChar w:fldCharType="separate"/>
        </w:r>
        <w:r>
          <w:rPr>
            <w:noProof/>
            <w:webHidden/>
          </w:rPr>
          <w:t>81</w:t>
        </w:r>
        <w:r>
          <w:rPr>
            <w:noProof/>
            <w:webHidden/>
          </w:rPr>
          <w:fldChar w:fldCharType="end"/>
        </w:r>
      </w:hyperlink>
    </w:p>
    <w:p w14:paraId="24D0E606" w14:textId="32D36DFA" w:rsidR="00945650" w:rsidRDefault="00945650">
      <w:pPr>
        <w:pStyle w:val="TableofFigures"/>
        <w:tabs>
          <w:tab w:val="right" w:leader="dot" w:pos="9350"/>
        </w:tabs>
        <w:rPr>
          <w:rFonts w:asciiTheme="minorHAnsi" w:eastAsiaTheme="minorEastAsia" w:hAnsiTheme="minorHAnsi"/>
          <w:noProof/>
        </w:rPr>
      </w:pPr>
      <w:hyperlink w:anchor="_Toc497171838" w:history="1">
        <w:r w:rsidRPr="00793DB2">
          <w:rPr>
            <w:rStyle w:val="Hyperlink"/>
            <w:noProof/>
          </w:rPr>
          <w:t>Figure 68: School participation by quintile, private - Madrassah</w:t>
        </w:r>
        <w:r>
          <w:rPr>
            <w:noProof/>
            <w:webHidden/>
          </w:rPr>
          <w:tab/>
        </w:r>
        <w:r>
          <w:rPr>
            <w:noProof/>
            <w:webHidden/>
          </w:rPr>
          <w:fldChar w:fldCharType="begin"/>
        </w:r>
        <w:r>
          <w:rPr>
            <w:noProof/>
            <w:webHidden/>
          </w:rPr>
          <w:instrText xml:space="preserve"> PAGEREF _Toc497171838 \h </w:instrText>
        </w:r>
        <w:r>
          <w:rPr>
            <w:noProof/>
            <w:webHidden/>
          </w:rPr>
        </w:r>
        <w:r>
          <w:rPr>
            <w:noProof/>
            <w:webHidden/>
          </w:rPr>
          <w:fldChar w:fldCharType="separate"/>
        </w:r>
        <w:r>
          <w:rPr>
            <w:noProof/>
            <w:webHidden/>
          </w:rPr>
          <w:t>82</w:t>
        </w:r>
        <w:r>
          <w:rPr>
            <w:noProof/>
            <w:webHidden/>
          </w:rPr>
          <w:fldChar w:fldCharType="end"/>
        </w:r>
      </w:hyperlink>
    </w:p>
    <w:p w14:paraId="7D152E8C" w14:textId="33882C4D" w:rsidR="00945650" w:rsidRDefault="00945650">
      <w:pPr>
        <w:pStyle w:val="TableofFigures"/>
        <w:tabs>
          <w:tab w:val="right" w:leader="dot" w:pos="9350"/>
        </w:tabs>
        <w:rPr>
          <w:rFonts w:asciiTheme="minorHAnsi" w:eastAsiaTheme="minorEastAsia" w:hAnsiTheme="minorHAnsi"/>
          <w:noProof/>
        </w:rPr>
      </w:pPr>
      <w:hyperlink w:anchor="_Toc497171839" w:history="1">
        <w:r w:rsidRPr="00793DB2">
          <w:rPr>
            <w:rStyle w:val="Hyperlink"/>
            <w:noProof/>
          </w:rPr>
          <w:t>Figure 69: Projection of primary GERs by level of education and primary and lower secondary completion rates, 2015–2030</w:t>
        </w:r>
        <w:r>
          <w:rPr>
            <w:noProof/>
            <w:webHidden/>
          </w:rPr>
          <w:tab/>
        </w:r>
        <w:r>
          <w:rPr>
            <w:noProof/>
            <w:webHidden/>
          </w:rPr>
          <w:fldChar w:fldCharType="begin"/>
        </w:r>
        <w:r>
          <w:rPr>
            <w:noProof/>
            <w:webHidden/>
          </w:rPr>
          <w:instrText xml:space="preserve"> PAGEREF _Toc497171839 \h </w:instrText>
        </w:r>
        <w:r>
          <w:rPr>
            <w:noProof/>
            <w:webHidden/>
          </w:rPr>
        </w:r>
        <w:r>
          <w:rPr>
            <w:noProof/>
            <w:webHidden/>
          </w:rPr>
          <w:fldChar w:fldCharType="separate"/>
        </w:r>
        <w:r>
          <w:rPr>
            <w:noProof/>
            <w:webHidden/>
          </w:rPr>
          <w:t>85</w:t>
        </w:r>
        <w:r>
          <w:rPr>
            <w:noProof/>
            <w:webHidden/>
          </w:rPr>
          <w:fldChar w:fldCharType="end"/>
        </w:r>
      </w:hyperlink>
    </w:p>
    <w:p w14:paraId="30A79DCE" w14:textId="4ADF953C" w:rsidR="00945650" w:rsidRDefault="00945650">
      <w:pPr>
        <w:pStyle w:val="TableofFigures"/>
        <w:tabs>
          <w:tab w:val="right" w:leader="dot" w:pos="9350"/>
        </w:tabs>
        <w:rPr>
          <w:rFonts w:asciiTheme="minorHAnsi" w:eastAsiaTheme="minorEastAsia" w:hAnsiTheme="minorHAnsi"/>
          <w:noProof/>
        </w:rPr>
      </w:pPr>
      <w:hyperlink w:anchor="_Toc497171840" w:history="1">
        <w:r w:rsidRPr="00793DB2">
          <w:rPr>
            <w:rStyle w:val="Hyperlink"/>
            <w:noProof/>
          </w:rPr>
          <w:t>Figure 70: Projection of enrollment, teachers, and public and household spending on education by level of education, 2015–2030 (in thousands for spending)</w:t>
        </w:r>
        <w:r>
          <w:rPr>
            <w:noProof/>
            <w:webHidden/>
          </w:rPr>
          <w:tab/>
        </w:r>
        <w:r>
          <w:rPr>
            <w:noProof/>
            <w:webHidden/>
          </w:rPr>
          <w:fldChar w:fldCharType="begin"/>
        </w:r>
        <w:r>
          <w:rPr>
            <w:noProof/>
            <w:webHidden/>
          </w:rPr>
          <w:instrText xml:space="preserve"> PAGEREF _Toc497171840 \h </w:instrText>
        </w:r>
        <w:r>
          <w:rPr>
            <w:noProof/>
            <w:webHidden/>
          </w:rPr>
        </w:r>
        <w:r>
          <w:rPr>
            <w:noProof/>
            <w:webHidden/>
          </w:rPr>
          <w:fldChar w:fldCharType="separate"/>
        </w:r>
        <w:r>
          <w:rPr>
            <w:noProof/>
            <w:webHidden/>
          </w:rPr>
          <w:t>86</w:t>
        </w:r>
        <w:r>
          <w:rPr>
            <w:noProof/>
            <w:webHidden/>
          </w:rPr>
          <w:fldChar w:fldCharType="end"/>
        </w:r>
      </w:hyperlink>
    </w:p>
    <w:p w14:paraId="295DC5DF" w14:textId="415F2117" w:rsidR="00945650" w:rsidRDefault="00945650">
      <w:pPr>
        <w:pStyle w:val="TableofFigures"/>
        <w:tabs>
          <w:tab w:val="right" w:leader="dot" w:pos="9350"/>
        </w:tabs>
        <w:rPr>
          <w:rFonts w:asciiTheme="minorHAnsi" w:eastAsiaTheme="minorEastAsia" w:hAnsiTheme="minorHAnsi"/>
          <w:noProof/>
        </w:rPr>
      </w:pPr>
      <w:hyperlink w:anchor="_Toc497171841" w:history="1">
        <w:r w:rsidRPr="00793DB2">
          <w:rPr>
            <w:rStyle w:val="Hyperlink"/>
            <w:noProof/>
          </w:rPr>
          <w:t>Figure 71: Projection of educational attainment of youth under constant trend (left) and MDG scenario (right)</w:t>
        </w:r>
        <w:r>
          <w:rPr>
            <w:noProof/>
            <w:webHidden/>
          </w:rPr>
          <w:tab/>
        </w:r>
        <w:r>
          <w:rPr>
            <w:noProof/>
            <w:webHidden/>
          </w:rPr>
          <w:fldChar w:fldCharType="begin"/>
        </w:r>
        <w:r>
          <w:rPr>
            <w:noProof/>
            <w:webHidden/>
          </w:rPr>
          <w:instrText xml:space="preserve"> PAGEREF _Toc497171841 \h </w:instrText>
        </w:r>
        <w:r>
          <w:rPr>
            <w:noProof/>
            <w:webHidden/>
          </w:rPr>
        </w:r>
        <w:r>
          <w:rPr>
            <w:noProof/>
            <w:webHidden/>
          </w:rPr>
          <w:fldChar w:fldCharType="separate"/>
        </w:r>
        <w:r>
          <w:rPr>
            <w:noProof/>
            <w:webHidden/>
          </w:rPr>
          <w:t>87</w:t>
        </w:r>
        <w:r>
          <w:rPr>
            <w:noProof/>
            <w:webHidden/>
          </w:rPr>
          <w:fldChar w:fldCharType="end"/>
        </w:r>
      </w:hyperlink>
    </w:p>
    <w:p w14:paraId="0D7CD448" w14:textId="10A7C189" w:rsidR="00945650" w:rsidRDefault="00945650">
      <w:pPr>
        <w:pStyle w:val="TableofFigures"/>
        <w:tabs>
          <w:tab w:val="right" w:leader="dot" w:pos="9350"/>
        </w:tabs>
        <w:rPr>
          <w:rFonts w:asciiTheme="minorHAnsi" w:eastAsiaTheme="minorEastAsia" w:hAnsiTheme="minorHAnsi"/>
          <w:noProof/>
        </w:rPr>
      </w:pPr>
      <w:hyperlink w:anchor="_Toc497171842" w:history="1">
        <w:r w:rsidRPr="00793DB2">
          <w:rPr>
            <w:rStyle w:val="Hyperlink"/>
            <w:noProof/>
          </w:rPr>
          <w:t>Figure 72: Projection of educational attainment of working-age population (ages 15–64) in 2015 and by 2045 under MDG scenario</w:t>
        </w:r>
        <w:r>
          <w:rPr>
            <w:noProof/>
            <w:webHidden/>
          </w:rPr>
          <w:tab/>
        </w:r>
        <w:r>
          <w:rPr>
            <w:noProof/>
            <w:webHidden/>
          </w:rPr>
          <w:fldChar w:fldCharType="begin"/>
        </w:r>
        <w:r>
          <w:rPr>
            <w:noProof/>
            <w:webHidden/>
          </w:rPr>
          <w:instrText xml:space="preserve"> PAGEREF _Toc497171842 \h </w:instrText>
        </w:r>
        <w:r>
          <w:rPr>
            <w:noProof/>
            <w:webHidden/>
          </w:rPr>
        </w:r>
        <w:r>
          <w:rPr>
            <w:noProof/>
            <w:webHidden/>
          </w:rPr>
          <w:fldChar w:fldCharType="separate"/>
        </w:r>
        <w:r>
          <w:rPr>
            <w:noProof/>
            <w:webHidden/>
          </w:rPr>
          <w:t>88</w:t>
        </w:r>
        <w:r>
          <w:rPr>
            <w:noProof/>
            <w:webHidden/>
          </w:rPr>
          <w:fldChar w:fldCharType="end"/>
        </w:r>
      </w:hyperlink>
    </w:p>
    <w:p w14:paraId="47DFE94B" w14:textId="57BA5EF7" w:rsidR="00CB20F5" w:rsidRPr="00477D8F" w:rsidRDefault="00A768C2" w:rsidP="00CB20F5">
      <w:pPr>
        <w:pStyle w:val="TableofFigures"/>
        <w:tabs>
          <w:tab w:val="right" w:leader="dot" w:pos="9350"/>
        </w:tabs>
        <w:rPr>
          <w:rFonts w:cs="Times New Roman"/>
          <w:bCs/>
        </w:rPr>
      </w:pPr>
      <w:r w:rsidRPr="00477D8F">
        <w:rPr>
          <w:rFonts w:cs="Times New Roman"/>
          <w:bCs/>
        </w:rPr>
        <w:fldChar w:fldCharType="end"/>
      </w:r>
    </w:p>
    <w:p w14:paraId="703C7290" w14:textId="4DDAE6B9" w:rsidR="005B4DC3" w:rsidRPr="00477D8F" w:rsidRDefault="005B4DC3" w:rsidP="002E6B14">
      <w:pPr>
        <w:pStyle w:val="TableofFigures"/>
        <w:tabs>
          <w:tab w:val="right" w:leader="dot" w:pos="9350"/>
        </w:tabs>
        <w:rPr>
          <w:rFonts w:cs="Times New Roman"/>
          <w:bCs/>
        </w:rPr>
      </w:pPr>
    </w:p>
    <w:p w14:paraId="5A03EF14" w14:textId="13544878" w:rsidR="00A768C2" w:rsidRPr="00477D8F" w:rsidRDefault="00A768C2" w:rsidP="008261B8">
      <w:pPr>
        <w:spacing w:after="0" w:line="240" w:lineRule="auto"/>
        <w:jc w:val="both"/>
        <w:rPr>
          <w:rFonts w:ascii="Sylfaen" w:hAnsi="Sylfaen" w:cs="Times New Roman"/>
          <w:bCs/>
          <w:sz w:val="28"/>
          <w:szCs w:val="28"/>
        </w:rPr>
      </w:pPr>
      <w:r w:rsidRPr="00477D8F">
        <w:rPr>
          <w:rFonts w:ascii="Sylfaen" w:hAnsi="Sylfaen" w:cs="Times New Roman"/>
          <w:bCs/>
          <w:sz w:val="28"/>
          <w:szCs w:val="28"/>
        </w:rPr>
        <w:t>List of Tables</w:t>
      </w:r>
    </w:p>
    <w:p w14:paraId="261E868A" w14:textId="15CADD58" w:rsidR="003D1BE7" w:rsidRPr="00477D8F" w:rsidRDefault="003D1BE7" w:rsidP="003D1BE7">
      <w:pPr>
        <w:pStyle w:val="TableofFigures"/>
        <w:tabs>
          <w:tab w:val="right" w:leader="dot" w:pos="9350"/>
        </w:tabs>
        <w:rPr>
          <w:rFonts w:cs="Times New Roman"/>
          <w:bCs/>
        </w:rPr>
      </w:pPr>
    </w:p>
    <w:p w14:paraId="0E2729BA" w14:textId="621BFFCA" w:rsidR="00945650" w:rsidRDefault="003D1BE7">
      <w:pPr>
        <w:pStyle w:val="TableofFigures"/>
        <w:tabs>
          <w:tab w:val="right" w:leader="dot" w:pos="9350"/>
        </w:tabs>
        <w:rPr>
          <w:rFonts w:asciiTheme="minorHAnsi" w:eastAsiaTheme="minorEastAsia" w:hAnsiTheme="minorHAnsi"/>
          <w:noProof/>
        </w:rPr>
      </w:pPr>
      <w:r w:rsidRPr="00477D8F">
        <w:rPr>
          <w:rFonts w:cs="Times New Roman"/>
          <w:bCs/>
        </w:rPr>
        <w:fldChar w:fldCharType="begin"/>
      </w:r>
      <w:r w:rsidRPr="00477D8F">
        <w:rPr>
          <w:rFonts w:cs="Times New Roman"/>
          <w:bCs/>
        </w:rPr>
        <w:instrText xml:space="preserve"> TOC \h \z \c "Table" </w:instrText>
      </w:r>
      <w:r w:rsidRPr="00477D8F">
        <w:rPr>
          <w:rFonts w:cs="Times New Roman"/>
          <w:bCs/>
        </w:rPr>
        <w:fldChar w:fldCharType="separate"/>
      </w:r>
      <w:hyperlink w:anchor="_Toc497171843" w:history="1">
        <w:r w:rsidR="00945650" w:rsidRPr="00136E5F">
          <w:rPr>
            <w:rStyle w:val="Hyperlink"/>
            <w:noProof/>
          </w:rPr>
          <w:t>Table 1: Key macroeconomic indicators</w:t>
        </w:r>
        <w:r w:rsidR="00945650">
          <w:rPr>
            <w:noProof/>
            <w:webHidden/>
          </w:rPr>
          <w:tab/>
        </w:r>
        <w:r w:rsidR="00945650">
          <w:rPr>
            <w:noProof/>
            <w:webHidden/>
          </w:rPr>
          <w:fldChar w:fldCharType="begin"/>
        </w:r>
        <w:r w:rsidR="00945650">
          <w:rPr>
            <w:noProof/>
            <w:webHidden/>
          </w:rPr>
          <w:instrText xml:space="preserve"> PAGEREF _Toc497171843 \h </w:instrText>
        </w:r>
        <w:r w:rsidR="00945650">
          <w:rPr>
            <w:noProof/>
            <w:webHidden/>
          </w:rPr>
        </w:r>
        <w:r w:rsidR="00945650">
          <w:rPr>
            <w:noProof/>
            <w:webHidden/>
          </w:rPr>
          <w:fldChar w:fldCharType="separate"/>
        </w:r>
        <w:r w:rsidR="00945650">
          <w:rPr>
            <w:noProof/>
            <w:webHidden/>
          </w:rPr>
          <w:t>17</w:t>
        </w:r>
        <w:r w:rsidR="00945650">
          <w:rPr>
            <w:noProof/>
            <w:webHidden/>
          </w:rPr>
          <w:fldChar w:fldCharType="end"/>
        </w:r>
      </w:hyperlink>
    </w:p>
    <w:p w14:paraId="05BD8D6C" w14:textId="08DFD626" w:rsidR="00E04C25" w:rsidRPr="00477D8F" w:rsidRDefault="003D1BE7" w:rsidP="003D1BE7">
      <w:pPr>
        <w:pStyle w:val="TableofFigures"/>
        <w:tabs>
          <w:tab w:val="right" w:leader="dot" w:pos="9350"/>
        </w:tabs>
        <w:rPr>
          <w:noProof/>
        </w:rPr>
      </w:pPr>
      <w:r w:rsidRPr="00477D8F">
        <w:rPr>
          <w:rFonts w:cs="Times New Roman"/>
          <w:bCs/>
        </w:rPr>
        <w:fldChar w:fldCharType="end"/>
      </w:r>
      <w:r w:rsidRPr="00477D8F">
        <w:rPr>
          <w:rFonts w:cs="Times New Roman"/>
          <w:bCs/>
        </w:rPr>
        <w:fldChar w:fldCharType="begin"/>
      </w:r>
      <w:r w:rsidRPr="00477D8F">
        <w:rPr>
          <w:rFonts w:cs="Times New Roman"/>
          <w:bCs/>
        </w:rPr>
        <w:instrText xml:space="preserve"> TOC \h \z \c "Table B" </w:instrText>
      </w:r>
      <w:r w:rsidRPr="00477D8F">
        <w:rPr>
          <w:rFonts w:cs="Times New Roman"/>
          <w:bCs/>
        </w:rPr>
        <w:fldChar w:fldCharType="separate"/>
      </w:r>
    </w:p>
    <w:p w14:paraId="40E5C4E3" w14:textId="73553BAB" w:rsidR="001A550D" w:rsidRPr="00477D8F" w:rsidRDefault="003D1BE7" w:rsidP="003D1BE7">
      <w:pPr>
        <w:pStyle w:val="TableofFigures"/>
        <w:tabs>
          <w:tab w:val="right" w:leader="dot" w:pos="9350"/>
        </w:tabs>
        <w:rPr>
          <w:rFonts w:cs="Times New Roman"/>
          <w:bCs/>
        </w:rPr>
        <w:sectPr w:rsidR="001A550D" w:rsidRPr="00477D8F" w:rsidSect="00172EE5">
          <w:footerReference w:type="default" r:id="rId14"/>
          <w:pgSz w:w="12240" w:h="15840"/>
          <w:pgMar w:top="1440" w:right="1440" w:bottom="1440" w:left="1440" w:header="720" w:footer="720" w:gutter="0"/>
          <w:pgNumType w:fmt="lowerRoman" w:start="1"/>
          <w:cols w:space="720"/>
          <w:docGrid w:linePitch="360"/>
        </w:sectPr>
      </w:pPr>
      <w:r w:rsidRPr="00477D8F">
        <w:rPr>
          <w:rFonts w:cs="Times New Roman"/>
          <w:bCs/>
        </w:rPr>
        <w:fldChar w:fldCharType="end"/>
      </w:r>
    </w:p>
    <w:p w14:paraId="455B8A29" w14:textId="46A14A1B" w:rsidR="00D855E6" w:rsidRPr="00477D8F" w:rsidRDefault="00D855E6" w:rsidP="00D855E6">
      <w:pPr>
        <w:pStyle w:val="Heading1"/>
        <w:numPr>
          <w:ilvl w:val="0"/>
          <w:numId w:val="0"/>
        </w:numPr>
        <w:ind w:left="720" w:hanging="720"/>
      </w:pPr>
      <w:bookmarkStart w:id="4" w:name="_Toc497171845"/>
      <w:r w:rsidRPr="00477D8F">
        <w:lastRenderedPageBreak/>
        <w:t>Executive Summary</w:t>
      </w:r>
      <w:bookmarkEnd w:id="4"/>
    </w:p>
    <w:p w14:paraId="63D00FA6" w14:textId="77777777" w:rsidR="00D855E6" w:rsidRPr="00477D8F" w:rsidRDefault="00D855E6" w:rsidP="00D855E6">
      <w:pPr>
        <w:keepNext/>
        <w:spacing w:before="240" w:after="240" w:line="240" w:lineRule="auto"/>
        <w:rPr>
          <w:rFonts w:ascii="Sylfaen" w:hAnsi="Sylfaen"/>
          <w:color w:val="5B9BD5" w:themeColor="accent1"/>
          <w:sz w:val="24"/>
          <w:szCs w:val="24"/>
        </w:rPr>
      </w:pPr>
      <w:r w:rsidRPr="00477D8F">
        <w:rPr>
          <w:rFonts w:ascii="Sylfaen" w:hAnsi="Sylfaen"/>
          <w:color w:val="5B9BD5" w:themeColor="accent1"/>
          <w:sz w:val="24"/>
          <w:szCs w:val="24"/>
        </w:rPr>
        <w:t>Macro environment</w:t>
      </w:r>
    </w:p>
    <w:p w14:paraId="3FF53B75" w14:textId="5CAC2C7D"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eastAsiaTheme="majorEastAsia" w:hAnsi="Sylfaen" w:cstheme="majorBidi"/>
          <w:bCs/>
        </w:rPr>
      </w:pPr>
      <w:r w:rsidRPr="00477D8F">
        <w:rPr>
          <w:rFonts w:ascii="Sylfaen" w:hAnsi="Sylfaen" w:cs="Times New Roman"/>
        </w:rPr>
        <w:t>The Gambia has faced several significant socioeconomic and political challenges over the past few years, from droughts in 2011 and 2014 to the Ebola-related crisis in 2014 and, more recently, political unrest during the 2016 presidential election. The Ebola crisis led to a sharp contraction of the economy, which had yet to recover, when political unrest grew, including currency pegging</w:t>
      </w:r>
      <w:r w:rsidR="00FE1715" w:rsidRPr="00477D8F">
        <w:rPr>
          <w:rFonts w:ascii="Sylfaen" w:hAnsi="Sylfaen" w:cs="Times New Roman"/>
        </w:rPr>
        <w:t>,</w:t>
      </w:r>
      <w:r w:rsidRPr="00477D8F">
        <w:rPr>
          <w:rFonts w:ascii="Sylfaen" w:hAnsi="Sylfaen" w:cs="Times New Roman"/>
        </w:rPr>
        <w:t xml:space="preserve"> which was not resolved until after the election. These shocks, combined with persistent demographic pressures due to consistently high fertility rates,</w:t>
      </w:r>
      <w:r w:rsidRPr="00477D8F">
        <w:rPr>
          <w:rStyle w:val="FootnoteReference"/>
          <w:rFonts w:ascii="Sylfaen" w:hAnsi="Sylfaen" w:cs="Times New Roman"/>
        </w:rPr>
        <w:footnoteReference w:id="1"/>
      </w:r>
      <w:r w:rsidRPr="00477D8F">
        <w:rPr>
          <w:rFonts w:ascii="Sylfaen" w:hAnsi="Sylfaen" w:cs="Times New Roman"/>
        </w:rPr>
        <w:t xml:space="preserve"> have left the country severely financially constrained. The country also faces significant development challenges as reflected by its low human development country ranking on the Human Development Index (HDI) in 2015 (173 out of 188 countries), which is driven mainly by its low health</w:t>
      </w:r>
      <w:r w:rsidRPr="00477D8F">
        <w:rPr>
          <w:rFonts w:ascii="Sylfaen" w:hAnsi="Sylfaen"/>
        </w:rPr>
        <w:t xml:space="preserve"> </w:t>
      </w:r>
      <w:r w:rsidRPr="00477D8F">
        <w:rPr>
          <w:rFonts w:ascii="Sylfaen" w:hAnsi="Sylfaen" w:cs="Times New Roman"/>
        </w:rPr>
        <w:t xml:space="preserve">and education outcomes. </w:t>
      </w:r>
    </w:p>
    <w:p w14:paraId="3DF6BD6A" w14:textId="59F7834E"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eastAsiaTheme="majorEastAsia" w:hAnsi="Sylfaen" w:cstheme="majorBidi"/>
          <w:bCs/>
        </w:rPr>
      </w:pPr>
      <w:r w:rsidRPr="00477D8F">
        <w:rPr>
          <w:rFonts w:ascii="Sylfaen" w:hAnsi="Sylfaen" w:cs="Times New Roman"/>
        </w:rPr>
        <w:t>The macro</w:t>
      </w:r>
      <w:r w:rsidR="002E5BDF" w:rsidRPr="00477D8F">
        <w:rPr>
          <w:rFonts w:ascii="Sylfaen" w:hAnsi="Sylfaen" w:cs="Times New Roman"/>
        </w:rPr>
        <w:t xml:space="preserve"> </w:t>
      </w:r>
      <w:r w:rsidRPr="00477D8F">
        <w:rPr>
          <w:rFonts w:ascii="Sylfaen" w:hAnsi="Sylfaen" w:cs="Times New Roman"/>
        </w:rPr>
        <w:t xml:space="preserve">fiscal landscape in The Gambia highlights the urgent need for increased efficiency in public resource use, as economic growth falls short of the current needs. The prospects for a strong economic recovery indicate that this may be a protracted and difficult process. As The Gambia </w:t>
      </w:r>
      <w:r w:rsidRPr="00477D8F">
        <w:rPr>
          <w:rFonts w:ascii="Sylfaen" w:eastAsiaTheme="majorEastAsia" w:hAnsi="Sylfaen" w:cstheme="majorBidi"/>
          <w:bCs/>
        </w:rPr>
        <w:t xml:space="preserve">seeks to build a foundation for long-lasting sociopolitical stability and robust economic growth, there are strong implications that the education sector will play a key role in the process. To adequately take on the challenges ahead and ensure inclusive economic growth for all Gambians, the government will have to be strategic and efficient in ensuring equity in the use of public resources. Greater access to education for all, increased education completion rates, and higher educational attainment of the labor force are all required to meet the needs of the labor market demand. As such, the objective of this education sector Public Expenditure Review (PER) is to provide the government with evidence-based recommendations that will assist in addressing the main challenges facing the sector and to ensure greater equity, efficiency, and effectiveness in the education system. </w:t>
      </w:r>
    </w:p>
    <w:p w14:paraId="3DCD510B" w14:textId="77777777" w:rsidR="00D855E6" w:rsidRPr="00477D8F" w:rsidRDefault="00D855E6" w:rsidP="00D855E6">
      <w:pPr>
        <w:keepNext/>
        <w:spacing w:before="240" w:after="240" w:line="240" w:lineRule="auto"/>
        <w:rPr>
          <w:rFonts w:ascii="Sylfaen" w:hAnsi="Sylfaen"/>
          <w:color w:val="5B9BD5" w:themeColor="accent1"/>
          <w:sz w:val="24"/>
          <w:szCs w:val="24"/>
        </w:rPr>
      </w:pPr>
      <w:r w:rsidRPr="00477D8F">
        <w:rPr>
          <w:rFonts w:ascii="Sylfaen" w:hAnsi="Sylfaen"/>
          <w:color w:val="5B9BD5" w:themeColor="accent1"/>
          <w:sz w:val="24"/>
          <w:szCs w:val="24"/>
        </w:rPr>
        <w:t>Sector performance and challenges</w:t>
      </w:r>
    </w:p>
    <w:p w14:paraId="08AADC0E" w14:textId="7A35B895"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cs="Times New Roman"/>
        </w:rPr>
      </w:pPr>
      <w:r w:rsidRPr="00477D8F">
        <w:rPr>
          <w:rFonts w:ascii="Sylfaen" w:hAnsi="Sylfaen"/>
        </w:rPr>
        <w:t xml:space="preserve">The Ministry of Basic and Secondary Education (MoBSE) has benefited from a consistent and strong </w:t>
      </w:r>
      <w:r w:rsidRPr="00477D8F">
        <w:rPr>
          <w:rFonts w:ascii="Sylfaen" w:hAnsi="Sylfaen" w:cs="Times New Roman"/>
        </w:rPr>
        <w:t>management</w:t>
      </w:r>
      <w:r w:rsidRPr="00477D8F">
        <w:rPr>
          <w:rFonts w:ascii="Sylfaen" w:hAnsi="Sylfaen"/>
        </w:rPr>
        <w:t xml:space="preserve"> team during the past several years, which has been critical in addressing demographic and other socioeconomic challenges listed </w:t>
      </w:r>
      <w:r w:rsidR="00C1723B" w:rsidRPr="00477D8F">
        <w:rPr>
          <w:rFonts w:ascii="Sylfaen" w:hAnsi="Sylfaen"/>
        </w:rPr>
        <w:t>earlier</w:t>
      </w:r>
      <w:r w:rsidRPr="00477D8F">
        <w:rPr>
          <w:rFonts w:ascii="Sylfaen" w:hAnsi="Sylfaen"/>
        </w:rPr>
        <w:t xml:space="preserve">. The government has made significant efforts to increase enrollment numbers at all levels of education, even in the face of rapid population growth. However, despite the government’s commitment to education, the sector performance tends to be low. In comparison to the SSA average, there has been limited progress in key </w:t>
      </w:r>
      <w:r w:rsidRPr="00477D8F">
        <w:rPr>
          <w:rFonts w:ascii="Sylfaen" w:hAnsi="Sylfaen" w:cs="Times New Roman"/>
        </w:rPr>
        <w:t xml:space="preserve">access indicators across all levels of education between 2010 and 2015, with the exception of gender parity which has been achieved in preschool through secondary education. As an example, access to education is lower in The Gambia than the SSA average across all levels of education and most categories. In particular, inequality in access to education and out-of-school children pose significant challenges. </w:t>
      </w:r>
      <w:r w:rsidR="00AD6395" w:rsidRPr="00477D8F">
        <w:rPr>
          <w:rFonts w:ascii="Sylfaen" w:hAnsi="Sylfaen" w:cs="Times New Roman"/>
        </w:rPr>
        <w:fldChar w:fldCharType="begin"/>
      </w:r>
      <w:r w:rsidR="00AD6395" w:rsidRPr="00477D8F">
        <w:rPr>
          <w:rFonts w:ascii="Sylfaen" w:hAnsi="Sylfaen" w:cs="Times New Roman"/>
        </w:rPr>
        <w:instrText xml:space="preserve"> REF _Ref496883348 \h  \* MERGEFORMAT </w:instrText>
      </w:r>
      <w:r w:rsidR="00AD6395" w:rsidRPr="00477D8F">
        <w:rPr>
          <w:rFonts w:ascii="Sylfaen" w:hAnsi="Sylfaen" w:cs="Times New Roman"/>
        </w:rPr>
      </w:r>
      <w:r w:rsidR="00AD6395" w:rsidRPr="00477D8F">
        <w:rPr>
          <w:rFonts w:ascii="Sylfaen" w:hAnsi="Sylfaen" w:cs="Times New Roman"/>
        </w:rPr>
        <w:fldChar w:fldCharType="separate"/>
      </w:r>
      <w:r w:rsidR="00AD6395" w:rsidRPr="00477D8F">
        <w:rPr>
          <w:rFonts w:ascii="Sylfaen" w:hAnsi="Sylfaen"/>
        </w:rPr>
        <w:t>Figure E.</w:t>
      </w:r>
      <w:r w:rsidR="00AD6395" w:rsidRPr="00477D8F">
        <w:rPr>
          <w:rFonts w:ascii="Sylfaen" w:hAnsi="Sylfaen"/>
          <w:noProof/>
        </w:rPr>
        <w:t>1</w:t>
      </w:r>
      <w:r w:rsidR="00AD6395" w:rsidRPr="00477D8F">
        <w:rPr>
          <w:rFonts w:ascii="Sylfaen" w:hAnsi="Sylfaen" w:cs="Times New Roman"/>
        </w:rPr>
        <w:fldChar w:fldCharType="end"/>
      </w:r>
      <w:r w:rsidR="00AD6395" w:rsidRPr="00477D8F">
        <w:rPr>
          <w:rFonts w:ascii="Sylfaen" w:hAnsi="Sylfaen" w:cs="Times New Roman"/>
        </w:rPr>
        <w:t xml:space="preserve"> </w:t>
      </w:r>
      <w:r w:rsidRPr="00477D8F">
        <w:rPr>
          <w:rFonts w:ascii="Sylfaen" w:hAnsi="Sylfaen" w:cs="Times New Roman"/>
        </w:rPr>
        <w:t xml:space="preserve">summarizes the gross enrollment rate (GER), which is the key access indicator for The Gambia based on 2015 data, across the different equity dimensions (area, gender, quintile) and provides comparisons </w:t>
      </w:r>
      <w:r w:rsidRPr="00477D8F">
        <w:rPr>
          <w:rFonts w:ascii="Sylfaen" w:hAnsi="Sylfaen" w:cs="Times New Roman"/>
        </w:rPr>
        <w:lastRenderedPageBreak/>
        <w:t xml:space="preserve">to the Sub-Saharan Africa (SSA) average by level of education. Interestingly, youth literacy rates substantially increased between 2010 and 2015; however, the main learning assessment instruments require improvement to effectively capture and assess learning outcomes over time. Some of the main findings regarding key sector challenges are </w:t>
      </w:r>
      <w:r w:rsidR="00F874AB" w:rsidRPr="00477D8F">
        <w:rPr>
          <w:rFonts w:ascii="Sylfaen" w:hAnsi="Sylfaen" w:cs="Times New Roman"/>
        </w:rPr>
        <w:t>described in the following paragraphs</w:t>
      </w:r>
      <w:r w:rsidRPr="00477D8F">
        <w:rPr>
          <w:rFonts w:ascii="Sylfaen" w:hAnsi="Sylfaen" w:cs="Times New Roman"/>
        </w:rPr>
        <w:t>.</w:t>
      </w:r>
    </w:p>
    <w:p w14:paraId="1DC8BC63" w14:textId="49CD752C"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cs="Times New Roman"/>
        </w:rPr>
      </w:pPr>
      <w:r w:rsidRPr="00477D8F">
        <w:rPr>
          <w:rFonts w:ascii="Sylfaen" w:hAnsi="Sylfaen" w:cs="Times New Roman"/>
          <w:b/>
        </w:rPr>
        <w:t>Lower basic school (LBS) (grades 1–6).</w:t>
      </w:r>
      <w:r w:rsidRPr="00477D8F">
        <w:rPr>
          <w:rFonts w:ascii="Sylfaen" w:hAnsi="Sylfaen" w:cs="Times New Roman"/>
        </w:rPr>
        <w:t xml:space="preserve"> Access rates to primary education stagnated between 2010 and 2015, with the GER marginally decreasing from 90 percent to 87 percent, although the actual number of students enrolled increased from 228,495 to 308,729 (a 35 percent increase) during the same time. Access tends to be lower in rural areas (79 percent) and among the poorest households (73 percent). It is also lower than the SSA average that stands at 102 percent. The Gambia’s progress in achieving the Millennium Development Goal (MDG) objectives by 2015 is mixed. While the country was not able to achieve MDG#2 of reaching universal primary access by 2015, with a primary completion rate (PCR) of just 74 percent, it was able to achieve MDG#3 and reached gender parity in access at the primary level. In terms of internal efficiency, the primary level of education is also characterized by low repetition rates except at grade 1 where the average repetition rate is about 10 percent (13 percent in government schools). In addition, the rate of primary-school-age out-of-school children (7–12 years) has increased over time from 27 percent to 30 percent. This represents about 100,000 children, 95 percent of whom have never been to school. The remaining 5 percent have dropped out of the system</w:t>
      </w:r>
      <w:r w:rsidR="00FF1A7E" w:rsidRPr="00477D8F">
        <w:rPr>
          <w:rFonts w:ascii="Sylfaen" w:hAnsi="Sylfaen" w:cs="Times New Roman"/>
        </w:rPr>
        <w:t>.</w:t>
      </w:r>
      <w:r w:rsidRPr="00477D8F">
        <w:rPr>
          <w:rFonts w:ascii="Sylfaen" w:hAnsi="Sylfaen" w:cs="Times New Roman"/>
        </w:rPr>
        <w:t xml:space="preserve"> </w:t>
      </w:r>
    </w:p>
    <w:p w14:paraId="38EFD764" w14:textId="00692225"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cs="Times New Roman"/>
        </w:rPr>
      </w:pPr>
      <w:r w:rsidRPr="00477D8F">
        <w:rPr>
          <w:rFonts w:ascii="Sylfaen" w:hAnsi="Sylfaen" w:cs="Times New Roman"/>
          <w:b/>
        </w:rPr>
        <w:t>Upper basic school (UBS) (grades 7–9) and senior secondary school (SSS) (grades 10–12).</w:t>
      </w:r>
      <w:r w:rsidRPr="00477D8F">
        <w:rPr>
          <w:rFonts w:ascii="Sylfaen" w:hAnsi="Sylfaen" w:cs="Times New Roman"/>
        </w:rPr>
        <w:t xml:space="preserve"> </w:t>
      </w:r>
      <w:r w:rsidRPr="00477D8F">
        <w:rPr>
          <w:rFonts w:ascii="Sylfaen" w:hAnsi="Sylfaen"/>
        </w:rPr>
        <w:t xml:space="preserve">Access rates in </w:t>
      </w:r>
      <w:r w:rsidRPr="00477D8F">
        <w:rPr>
          <w:rFonts w:ascii="Sylfaen" w:hAnsi="Sylfaen" w:cs="Times New Roman"/>
        </w:rPr>
        <w:t>secondary</w:t>
      </w:r>
      <w:r w:rsidRPr="00477D8F">
        <w:rPr>
          <w:rFonts w:ascii="Sylfaen" w:hAnsi="Sylfaen"/>
        </w:rPr>
        <w:t xml:space="preserve"> education are low, with the GERs of 62 percent and 44 percent in UBS and SSS,</w:t>
      </w:r>
      <w:r w:rsidRPr="00477D8F">
        <w:rPr>
          <w:rFonts w:ascii="Sylfaen" w:hAnsi="Sylfaen" w:cs="Times New Roman"/>
        </w:rPr>
        <w:t xml:space="preserve"> respectively—both lower than the SSA average of 71 percent and 47 percent, respectively. As in LBS education, access rates at the secondary level (combined) have also stagnated between 2010 and 2015, with the GER going from 53 percent to 54 percent although actual enrollment increased—from 77,408 to 90,838 (17 percent) at UBS and from 37,790 to 56,001 (48 percent) in SSS. However, importantly, gender parity has been achieved at this level of education, as in the case of primary. On the other hand, completion rates remain low, with 48 percent of students completing lower secondary and 38 percent completing upper secondary. Similar to primary education, the repetition rates are also quite low at both lower and upper secondary levels, ranging between 2 percent and 5 percent across the six grades, and as such do not represent a significant source of inefficiency. However, the out-of-school rates for lower-secondary-age children (13–15 years) is high at 30 percent, with 80 percent of them having never attended. The out-of-school rate among upper-secondary-age children (16–18 years) is even higher at 43 percent, which represents a slight decrease over time. The decrease is mostly due to the reduction in the dropout incidence among this age group and hides an increase between 2010 and 2015 in the incidence of those having never attended.</w:t>
      </w:r>
    </w:p>
    <w:p w14:paraId="6426DE5C" w14:textId="19A48C94" w:rsidR="00D855E6" w:rsidRPr="00477D8F" w:rsidRDefault="00D855E6" w:rsidP="00D855E6">
      <w:pPr>
        <w:pStyle w:val="ListParagraph"/>
        <w:numPr>
          <w:ilvl w:val="0"/>
          <w:numId w:val="26"/>
        </w:numPr>
        <w:spacing w:before="240" w:after="240" w:line="240" w:lineRule="auto"/>
        <w:ind w:left="0" w:firstLine="0"/>
        <w:contextualSpacing w:val="0"/>
        <w:jc w:val="both"/>
        <w:rPr>
          <w:rFonts w:ascii="Sylfaen" w:hAnsi="Sylfaen" w:cs="Times New Roman"/>
        </w:rPr>
      </w:pPr>
      <w:r w:rsidRPr="00477D8F">
        <w:rPr>
          <w:rFonts w:ascii="Sylfaen" w:hAnsi="Sylfaen" w:cs="Times New Roman"/>
          <w:b/>
        </w:rPr>
        <w:t>Postsecondary education.</w:t>
      </w:r>
      <w:r w:rsidRPr="00477D8F">
        <w:rPr>
          <w:rFonts w:ascii="Sylfaen" w:hAnsi="Sylfaen" w:cs="Times New Roman"/>
        </w:rPr>
        <w:t xml:space="preserve"> Access to higher education remains limited in The Gambia and is lower than the SSA average of 10 percent. Although there was a slight increase of 1.5 percent between 2010 and 2015, it currently stands at 6.5 percent. This level of education registers the largest disparities across equity dimensions. For example, the access rate in urban areas stands at 9 percent versus only 3 percent in rural areas, with the largest disparity being between the richest households (13 percent) and the poorest (3 percent).</w:t>
      </w:r>
    </w:p>
    <w:tbl>
      <w:tblPr>
        <w:tblStyle w:val="TableGrid14"/>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D855E6" w:rsidRPr="00477D8F" w14:paraId="5F7FD414" w14:textId="77777777" w:rsidTr="00175BB1">
        <w:trPr>
          <w:trHeight w:val="10"/>
          <w:jc w:val="center"/>
        </w:trPr>
        <w:tc>
          <w:tcPr>
            <w:tcW w:w="9350" w:type="dxa"/>
            <w:hideMark/>
          </w:tcPr>
          <w:p w14:paraId="422D50C1" w14:textId="017DC6A5" w:rsidR="00D855E6" w:rsidRPr="00477D8F" w:rsidRDefault="00AD6395" w:rsidP="00AD6395">
            <w:pPr>
              <w:pStyle w:val="Caption1"/>
              <w:rPr>
                <w:rFonts w:eastAsia="Times New Roman"/>
                <w:color w:val="000000"/>
              </w:rPr>
            </w:pPr>
            <w:bookmarkStart w:id="5" w:name="_Ref496883348"/>
            <w:bookmarkStart w:id="6" w:name="_Toc497170598"/>
            <w:r w:rsidRPr="00477D8F">
              <w:lastRenderedPageBreak/>
              <w:t>Figure E.</w:t>
            </w:r>
            <w:r w:rsidR="002E5BDF" w:rsidRPr="00477D8F">
              <w:fldChar w:fldCharType="begin"/>
            </w:r>
            <w:r w:rsidR="002E5BDF" w:rsidRPr="00477D8F">
              <w:instrText xml:space="preserve"> SEQ Figure_E. \* ARABIC </w:instrText>
            </w:r>
            <w:r w:rsidR="002E5BDF" w:rsidRPr="00477D8F">
              <w:fldChar w:fldCharType="separate"/>
            </w:r>
            <w:r w:rsidRPr="00477D8F">
              <w:rPr>
                <w:noProof/>
              </w:rPr>
              <w:t>1</w:t>
            </w:r>
            <w:r w:rsidR="002E5BDF" w:rsidRPr="00477D8F">
              <w:rPr>
                <w:noProof/>
              </w:rPr>
              <w:fldChar w:fldCharType="end"/>
            </w:r>
            <w:bookmarkEnd w:id="5"/>
            <w:r w:rsidRPr="00477D8F">
              <w:t xml:space="preserve">: </w:t>
            </w:r>
            <w:r w:rsidR="00D855E6" w:rsidRPr="00477D8F">
              <w:t>GER by level of education and socioeconomic categories</w:t>
            </w:r>
            <w:bookmarkEnd w:id="6"/>
          </w:p>
        </w:tc>
      </w:tr>
      <w:tr w:rsidR="00D855E6" w:rsidRPr="00477D8F" w14:paraId="5254562F" w14:textId="77777777" w:rsidTr="00175BB1">
        <w:trPr>
          <w:trHeight w:val="231"/>
          <w:jc w:val="center"/>
        </w:trPr>
        <w:tc>
          <w:tcPr>
            <w:tcW w:w="9350" w:type="dxa"/>
            <w:hideMark/>
          </w:tcPr>
          <w:p w14:paraId="45F7E68C" w14:textId="77777777" w:rsidR="00D855E6" w:rsidRPr="00477D8F" w:rsidRDefault="00D855E6" w:rsidP="00DF77A6">
            <w:pPr>
              <w:jc w:val="both"/>
              <w:rPr>
                <w:rFonts w:ascii="Sylfaen" w:hAnsi="Sylfaen"/>
                <w:bCs/>
                <w:sz w:val="20"/>
                <w:szCs w:val="20"/>
              </w:rPr>
            </w:pPr>
            <w:r w:rsidRPr="00477D8F">
              <w:rPr>
                <w:noProof/>
                <w:sz w:val="20"/>
                <w:szCs w:val="20"/>
              </w:rPr>
              <w:drawing>
                <wp:inline distT="0" distB="0" distL="0" distR="0" wp14:anchorId="3178C7F6" wp14:editId="019BF53F">
                  <wp:extent cx="2966484" cy="2737485"/>
                  <wp:effectExtent l="0" t="0" r="5715" b="5715"/>
                  <wp:docPr id="21" name="Chart 21">
                    <a:extLst xmlns:a="http://schemas.openxmlformats.org/drawingml/2006/main">
                      <a:ext uri="{FF2B5EF4-FFF2-40B4-BE49-F238E27FC236}">
                        <a16:creationId xmlns:a16="http://schemas.microsoft.com/office/drawing/2014/main" id="{00000000-0008-0000-3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477D8F">
              <w:rPr>
                <w:noProof/>
                <w:sz w:val="20"/>
                <w:szCs w:val="20"/>
              </w:rPr>
              <w:drawing>
                <wp:inline distT="0" distB="0" distL="0" distR="0" wp14:anchorId="571C334C" wp14:editId="2E7E7FA3">
                  <wp:extent cx="2817407" cy="2726690"/>
                  <wp:effectExtent l="0" t="0" r="2540" b="16510"/>
                  <wp:docPr id="42" name="Chart 42">
                    <a:extLst xmlns:a="http://schemas.openxmlformats.org/drawingml/2006/main">
                      <a:ext uri="{FF2B5EF4-FFF2-40B4-BE49-F238E27FC236}">
                        <a16:creationId xmlns:a16="http://schemas.microsoft.com/office/drawing/2014/main" id="{00000000-0008-0000-3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477D8F">
              <w:rPr>
                <w:noProof/>
                <w:sz w:val="20"/>
                <w:szCs w:val="20"/>
              </w:rPr>
              <w:drawing>
                <wp:inline distT="0" distB="0" distL="0" distR="0" wp14:anchorId="530F8705" wp14:editId="15BBB059">
                  <wp:extent cx="2998381" cy="3024505"/>
                  <wp:effectExtent l="0" t="0" r="12065" b="4445"/>
                  <wp:docPr id="43" name="Chart 43">
                    <a:extLst xmlns:a="http://schemas.openxmlformats.org/drawingml/2006/main">
                      <a:ext uri="{FF2B5EF4-FFF2-40B4-BE49-F238E27FC236}">
                        <a16:creationId xmlns:a16="http://schemas.microsoft.com/office/drawing/2014/main" id="{00000000-0008-0000-3B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477D8F">
              <w:rPr>
                <w:noProof/>
                <w:sz w:val="20"/>
                <w:szCs w:val="20"/>
              </w:rPr>
              <w:drawing>
                <wp:inline distT="0" distB="0" distL="0" distR="0" wp14:anchorId="5C68FE87" wp14:editId="13C1F9DB">
                  <wp:extent cx="2732567" cy="3034665"/>
                  <wp:effectExtent l="0" t="0" r="10795" b="13335"/>
                  <wp:docPr id="57" name="Chart 57">
                    <a:extLst xmlns:a="http://schemas.openxmlformats.org/drawingml/2006/main">
                      <a:ext uri="{FF2B5EF4-FFF2-40B4-BE49-F238E27FC236}">
                        <a16:creationId xmlns:a16="http://schemas.microsoft.com/office/drawing/2014/main" id="{00000000-0008-0000-3B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D855E6" w:rsidRPr="00477D8F" w14:paraId="79921EAC" w14:textId="77777777" w:rsidTr="00175BB1">
        <w:trPr>
          <w:trHeight w:val="296"/>
          <w:jc w:val="center"/>
        </w:trPr>
        <w:tc>
          <w:tcPr>
            <w:tcW w:w="9350" w:type="dxa"/>
            <w:hideMark/>
          </w:tcPr>
          <w:p w14:paraId="087B344D" w14:textId="639F5CAF" w:rsidR="00D855E6" w:rsidRPr="00477D8F" w:rsidRDefault="00D855E6" w:rsidP="00AD6395">
            <w:pPr>
              <w:pStyle w:val="Source"/>
              <w:keepNext/>
            </w:pPr>
            <w:r w:rsidRPr="00477D8F">
              <w:rPr>
                <w:i/>
              </w:rPr>
              <w:t>Source</w:t>
            </w:r>
            <w:r w:rsidRPr="00477D8F">
              <w:rPr>
                <w:rFonts w:eastAsia="Times New Roman"/>
              </w:rPr>
              <w:t>: Authors’ calculation</w:t>
            </w:r>
            <w:r w:rsidRPr="00477D8F">
              <w:t xml:space="preserve"> based on Integrated Household Survey (IHS) 2015 for The Gambia and similar household surveys for the SSA average based on 41 countries.</w:t>
            </w:r>
          </w:p>
        </w:tc>
      </w:tr>
    </w:tbl>
    <w:p w14:paraId="75AFAF3B" w14:textId="77777777" w:rsidR="00D855E6" w:rsidRPr="00477D8F" w:rsidRDefault="00D855E6" w:rsidP="00D855E6">
      <w:pPr>
        <w:keepNext/>
        <w:spacing w:before="240" w:after="240" w:line="240" w:lineRule="auto"/>
        <w:rPr>
          <w:rFonts w:ascii="Sylfaen" w:hAnsi="Sylfaen"/>
          <w:color w:val="5B9BD5" w:themeColor="accent1"/>
          <w:sz w:val="24"/>
          <w:szCs w:val="24"/>
        </w:rPr>
      </w:pPr>
      <w:r w:rsidRPr="00477D8F">
        <w:rPr>
          <w:rFonts w:ascii="Sylfaen" w:hAnsi="Sylfaen"/>
          <w:color w:val="5B9BD5" w:themeColor="accent1"/>
          <w:sz w:val="24"/>
          <w:szCs w:val="24"/>
        </w:rPr>
        <w:t>Sector finance</w:t>
      </w:r>
    </w:p>
    <w:p w14:paraId="6FE26949" w14:textId="2BE324C4"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cs="Times New Roman"/>
        </w:rPr>
      </w:pPr>
      <w:r w:rsidRPr="00477D8F">
        <w:rPr>
          <w:rFonts w:ascii="Sylfaen" w:hAnsi="Sylfaen" w:cs="Times New Roman"/>
        </w:rPr>
        <w:t>The Public Expenditure and Financial Accountability (PEFA) assessment indicates weaknesses within The Gambia’s overall financial management and accountability environment. Despite these general weaknesses, the education sector public financial management (PFM) is expected to rate better on key PEFA indicators than the national average due to its strong management. However, there is limited information available to carry out a thorough evaluation of the system. Nonetheless, there are some key financial management and accountability aspects</w:t>
      </w:r>
      <w:r w:rsidR="00BB34ED" w:rsidRPr="00477D8F">
        <w:rPr>
          <w:rFonts w:ascii="Sylfaen" w:hAnsi="Sylfaen" w:cs="Times New Roman"/>
        </w:rPr>
        <w:t>—</w:t>
      </w:r>
      <w:r w:rsidRPr="00477D8F">
        <w:rPr>
          <w:rFonts w:ascii="Sylfaen" w:hAnsi="Sylfaen" w:cs="Times New Roman"/>
        </w:rPr>
        <w:t xml:space="preserve">such as accounting, recording, and </w:t>
      </w:r>
      <w:r w:rsidRPr="00477D8F">
        <w:rPr>
          <w:rFonts w:ascii="Sylfaen" w:hAnsi="Sylfaen" w:cs="Times New Roman"/>
        </w:rPr>
        <w:lastRenderedPageBreak/>
        <w:t>reporting</w:t>
      </w:r>
      <w:r w:rsidR="00BB34ED" w:rsidRPr="00477D8F">
        <w:rPr>
          <w:rFonts w:ascii="Sylfaen" w:hAnsi="Sylfaen" w:cs="Times New Roman"/>
        </w:rPr>
        <w:t>—</w:t>
      </w:r>
      <w:r w:rsidRPr="00477D8F">
        <w:rPr>
          <w:rFonts w:ascii="Sylfaen" w:hAnsi="Sylfaen" w:cs="Times New Roman"/>
        </w:rPr>
        <w:t xml:space="preserve">that require further strengthening within the sector. The education budget planning is a layered process involving discussions and negotiations with the Personnel Management Office (PMO) on the allocation of staff positions. The PMO accounts for the largest share of the education budget and is dependent on the allocation by the </w:t>
      </w:r>
      <w:r w:rsidRPr="00477D8F">
        <w:rPr>
          <w:rFonts w:ascii="Sylfaen" w:hAnsi="Sylfaen"/>
          <w:bCs/>
        </w:rPr>
        <w:t>Ministry of Finance and Economic Affairs (MoFEA)</w:t>
      </w:r>
      <w:r w:rsidRPr="00477D8F">
        <w:rPr>
          <w:rFonts w:ascii="Sylfaen" w:hAnsi="Sylfaen" w:cs="Times New Roman"/>
        </w:rPr>
        <w:t xml:space="preserve">. In addition, the education sector financial management is </w:t>
      </w:r>
      <w:r w:rsidR="002E5BDF" w:rsidRPr="00477D8F">
        <w:rPr>
          <w:rFonts w:ascii="Sylfaen" w:hAnsi="Sylfaen" w:cs="Times New Roman"/>
        </w:rPr>
        <w:t>semi fragmented</w:t>
      </w:r>
      <w:r w:rsidRPr="00477D8F">
        <w:rPr>
          <w:rFonts w:ascii="Sylfaen" w:hAnsi="Sylfaen" w:cs="Times New Roman"/>
        </w:rPr>
        <w:t xml:space="preserve">, with some schools, known as grant-aided schools, and select Madrassah schools receiving direct subventions. The transfers are managed entirely by the school board and the Secretariat of the Arab-Islamic education in The Gambia (AMANA) for Madrassah schools, with limited accountability channels in place to record and report on the use of these public funds. Given that most of these funds are most likely used for paying teachers, the lack of a clear accountability mechanism makes tracking of teacher salaries difficult at the ministry level. </w:t>
      </w:r>
    </w:p>
    <w:p w14:paraId="5BEE034A" w14:textId="511F1BBC"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cs="Times New Roman"/>
        </w:rPr>
      </w:pPr>
      <w:r w:rsidRPr="00477D8F">
        <w:rPr>
          <w:rFonts w:ascii="Sylfaen" w:hAnsi="Sylfaen" w:cs="Times New Roman"/>
        </w:rPr>
        <w:t>The education sector is funded in large part by private households that contributed about 5</w:t>
      </w:r>
      <w:r w:rsidR="000F1CC7" w:rsidRPr="00477D8F">
        <w:rPr>
          <w:rFonts w:ascii="Sylfaen" w:hAnsi="Sylfaen" w:cs="Times New Roman"/>
        </w:rPr>
        <w:t>8</w:t>
      </w:r>
      <w:r w:rsidRPr="00477D8F">
        <w:rPr>
          <w:rFonts w:ascii="Sylfaen" w:hAnsi="Sylfaen" w:cs="Times New Roman"/>
        </w:rPr>
        <w:t xml:space="preserve"> percent of total spending in education in 2015, followed by the public sector</w:t>
      </w:r>
      <w:r w:rsidR="00175BB1" w:rsidRPr="00477D8F">
        <w:rPr>
          <w:rFonts w:ascii="Sylfaen" w:hAnsi="Sylfaen" w:cs="Times New Roman"/>
        </w:rPr>
        <w:t>,</w:t>
      </w:r>
      <w:r w:rsidRPr="00477D8F">
        <w:rPr>
          <w:rFonts w:ascii="Sylfaen" w:hAnsi="Sylfaen" w:cs="Times New Roman"/>
        </w:rPr>
        <w:t xml:space="preserve"> which accounted for </w:t>
      </w:r>
      <w:r w:rsidR="000F1CC7" w:rsidRPr="00477D8F">
        <w:rPr>
          <w:rFonts w:ascii="Sylfaen" w:hAnsi="Sylfaen" w:cs="Times New Roman"/>
        </w:rPr>
        <w:t>34</w:t>
      </w:r>
      <w:r w:rsidRPr="00477D8F">
        <w:rPr>
          <w:rFonts w:ascii="Sylfaen" w:hAnsi="Sylfaen" w:cs="Times New Roman"/>
        </w:rPr>
        <w:t xml:space="preserve"> percent. The sector also relies heavily on donor contributions that were equivalent to more than 20 percent of non-household spending in 2015. The breakdown by level of education reveals that the public sector contributes close to </w:t>
      </w:r>
      <w:r w:rsidR="004173DB" w:rsidRPr="00477D8F">
        <w:rPr>
          <w:rFonts w:ascii="Sylfaen" w:hAnsi="Sylfaen" w:cs="Times New Roman"/>
        </w:rPr>
        <w:t>39.6</w:t>
      </w:r>
      <w:r w:rsidRPr="00477D8F">
        <w:rPr>
          <w:rFonts w:ascii="Sylfaen" w:hAnsi="Sylfaen" w:cs="Times New Roman"/>
        </w:rPr>
        <w:t xml:space="preserve"> percent of total spending at the basic education level, while households contribute </w:t>
      </w:r>
      <w:r w:rsidR="004173DB" w:rsidRPr="00477D8F">
        <w:rPr>
          <w:rFonts w:ascii="Sylfaen" w:hAnsi="Sylfaen" w:cs="Times New Roman"/>
        </w:rPr>
        <w:t>47.4</w:t>
      </w:r>
      <w:r w:rsidRPr="00477D8F">
        <w:rPr>
          <w:rFonts w:ascii="Sylfaen" w:hAnsi="Sylfaen" w:cs="Times New Roman"/>
        </w:rPr>
        <w:t xml:space="preserve"> percent. At the SSS level, households account for </w:t>
      </w:r>
      <w:r w:rsidR="004173DB" w:rsidRPr="00477D8F">
        <w:rPr>
          <w:rFonts w:ascii="Sylfaen" w:hAnsi="Sylfaen" w:cs="Times New Roman"/>
        </w:rPr>
        <w:t>53</w:t>
      </w:r>
      <w:r w:rsidRPr="00477D8F">
        <w:rPr>
          <w:rFonts w:ascii="Sylfaen" w:hAnsi="Sylfaen" w:cs="Times New Roman"/>
        </w:rPr>
        <w:t xml:space="preserve"> percent of total spending,</w:t>
      </w:r>
      <w:r w:rsidR="004173DB" w:rsidRPr="00477D8F">
        <w:rPr>
          <w:rFonts w:ascii="Sylfaen" w:hAnsi="Sylfaen" w:cs="Times New Roman"/>
        </w:rPr>
        <w:t xml:space="preserve"> while the public contributes 37</w:t>
      </w:r>
      <w:r w:rsidRPr="00477D8F">
        <w:rPr>
          <w:rFonts w:ascii="Sylfaen" w:hAnsi="Sylfaen" w:cs="Times New Roman"/>
        </w:rPr>
        <w:t xml:space="preserve">.4 percent. Lastly, donors contributed the most within the </w:t>
      </w:r>
      <w:r w:rsidR="004173DB" w:rsidRPr="00477D8F">
        <w:rPr>
          <w:rFonts w:ascii="Sylfaen" w:hAnsi="Sylfaen" w:cs="Times New Roman"/>
        </w:rPr>
        <w:t xml:space="preserve">basic education level: </w:t>
      </w:r>
      <w:r w:rsidR="00A16C1C" w:rsidRPr="00477D8F">
        <w:rPr>
          <w:rFonts w:ascii="Sylfaen" w:hAnsi="Sylfaen" w:cs="Times New Roman"/>
        </w:rPr>
        <w:t>13 percent</w:t>
      </w:r>
      <w:r w:rsidRPr="00477D8F">
        <w:rPr>
          <w:rFonts w:ascii="Sylfaen" w:hAnsi="Sylfaen" w:cs="Times New Roman"/>
        </w:rPr>
        <w:t xml:space="preserve"> of total spending at that level compared. </w:t>
      </w:r>
      <w:r w:rsidR="00A16C1C" w:rsidRPr="00477D8F">
        <w:rPr>
          <w:rFonts w:ascii="Sylfaen" w:hAnsi="Sylfaen" w:cs="Times New Roman"/>
        </w:rPr>
        <w:t>Although budget shows high share of commitment at</w:t>
      </w:r>
      <w:r w:rsidRPr="00477D8F">
        <w:rPr>
          <w:rFonts w:ascii="Sylfaen" w:hAnsi="Sylfaen" w:cs="Times New Roman"/>
        </w:rPr>
        <w:t xml:space="preserve"> the higher education level is mostly linked to the capital spending tied to the expansion of the University of The Gambia</w:t>
      </w:r>
      <w:r w:rsidR="00A16C1C" w:rsidRPr="00477D8F">
        <w:rPr>
          <w:rFonts w:ascii="Sylfaen" w:hAnsi="Sylfaen" w:cs="Times New Roman"/>
        </w:rPr>
        <w:t>, execution rate is very low</w:t>
      </w:r>
      <w:r w:rsidRPr="00477D8F">
        <w:rPr>
          <w:rFonts w:ascii="Sylfaen" w:hAnsi="Sylfaen" w:cs="Times New Roman"/>
        </w:rPr>
        <w:t xml:space="preserve">. </w:t>
      </w:r>
    </w:p>
    <w:p w14:paraId="55010BC4" w14:textId="66D2175F" w:rsidR="00D855E6" w:rsidRPr="00477D8F" w:rsidRDefault="00D855E6" w:rsidP="00D855E6">
      <w:pPr>
        <w:pStyle w:val="ListParagraph"/>
        <w:numPr>
          <w:ilvl w:val="0"/>
          <w:numId w:val="26"/>
        </w:numPr>
        <w:spacing w:before="240" w:after="240" w:line="240" w:lineRule="auto"/>
        <w:ind w:left="0" w:firstLine="0"/>
        <w:contextualSpacing w:val="0"/>
        <w:jc w:val="both"/>
        <w:rPr>
          <w:rFonts w:ascii="Sylfaen" w:hAnsi="Sylfaen"/>
        </w:rPr>
      </w:pPr>
      <w:r w:rsidRPr="00477D8F">
        <w:rPr>
          <w:rFonts w:ascii="Sylfaen" w:hAnsi="Sylfaen"/>
        </w:rPr>
        <w:t>Public spending is increasing over time both in real and nominal terms, reflecting the government’s commitment to funding the education sector. As shown in</w:t>
      </w:r>
      <w:r w:rsidR="00AD6395" w:rsidRPr="00477D8F">
        <w:rPr>
          <w:rFonts w:ascii="Sylfaen" w:hAnsi="Sylfaen"/>
        </w:rPr>
        <w:t xml:space="preserve"> </w:t>
      </w:r>
      <w:r w:rsidR="00AD6395" w:rsidRPr="00477D8F">
        <w:rPr>
          <w:rFonts w:ascii="Sylfaen" w:hAnsi="Sylfaen"/>
        </w:rPr>
        <w:fldChar w:fldCharType="begin"/>
      </w:r>
      <w:r w:rsidR="00AD6395" w:rsidRPr="00477D8F">
        <w:rPr>
          <w:rFonts w:ascii="Sylfaen" w:hAnsi="Sylfaen"/>
        </w:rPr>
        <w:instrText xml:space="preserve"> REF _Ref496883372 \h  \* MERGEFORMAT </w:instrText>
      </w:r>
      <w:r w:rsidR="00AD6395" w:rsidRPr="00477D8F">
        <w:rPr>
          <w:rFonts w:ascii="Sylfaen" w:hAnsi="Sylfaen"/>
        </w:rPr>
      </w:r>
      <w:r w:rsidR="00AD6395" w:rsidRPr="00477D8F">
        <w:rPr>
          <w:rFonts w:ascii="Sylfaen" w:hAnsi="Sylfaen"/>
        </w:rPr>
        <w:fldChar w:fldCharType="separate"/>
      </w:r>
      <w:r w:rsidR="00AD6395" w:rsidRPr="00477D8F">
        <w:rPr>
          <w:rFonts w:ascii="Sylfaen" w:hAnsi="Sylfaen"/>
        </w:rPr>
        <w:t>Figure E.</w:t>
      </w:r>
      <w:r w:rsidR="00AD6395" w:rsidRPr="00477D8F">
        <w:rPr>
          <w:rFonts w:ascii="Sylfaen" w:hAnsi="Sylfaen"/>
          <w:noProof/>
        </w:rPr>
        <w:t>2</w:t>
      </w:r>
      <w:r w:rsidR="00AD6395" w:rsidRPr="00477D8F">
        <w:rPr>
          <w:rFonts w:ascii="Sylfaen" w:hAnsi="Sylfaen"/>
        </w:rPr>
        <w:fldChar w:fldCharType="end"/>
      </w:r>
      <w:r w:rsidRPr="00477D8F">
        <w:rPr>
          <w:rFonts w:ascii="Sylfaen" w:hAnsi="Sylfaen"/>
        </w:rPr>
        <w:t xml:space="preserve">, total education spending as a share of gross domestic product (GDP) has steadily increased from 2.6 percent in 2010 to 3.2 percent in 2015, although this allocation remains below the best practices benchmark of allocating 4–6 percent of GDP. The share allocated to the MoBSE has increased from 2.3 percent to 2.8 percent of GDP while the </w:t>
      </w:r>
      <w:r w:rsidR="00175BB1" w:rsidRPr="00477D8F">
        <w:rPr>
          <w:rFonts w:ascii="Sylfaen" w:hAnsi="Sylfaen"/>
        </w:rPr>
        <w:t xml:space="preserve">share of the </w:t>
      </w:r>
      <w:r w:rsidRPr="00477D8F">
        <w:rPr>
          <w:rFonts w:ascii="Sylfaen" w:hAnsi="Sylfaen"/>
        </w:rPr>
        <w:t xml:space="preserve">Ministry of </w:t>
      </w:r>
      <w:r w:rsidRPr="00477D8F">
        <w:rPr>
          <w:rFonts w:ascii="Sylfaen" w:hAnsi="Sylfaen" w:cs="Times New Roman"/>
        </w:rPr>
        <w:t>Higher</w:t>
      </w:r>
      <w:r w:rsidRPr="00477D8F">
        <w:rPr>
          <w:rFonts w:ascii="Sylfaen" w:hAnsi="Sylfaen"/>
        </w:rPr>
        <w:t xml:space="preserve"> Education, Research, Science and Technology (MoHERST) has remained around 0.3 percent throughout 2010–2015. It should also be noted that the government uses cash method budgeting,</w:t>
      </w:r>
      <w:r w:rsidRPr="00477D8F">
        <w:rPr>
          <w:rStyle w:val="FootnoteReference"/>
          <w:rFonts w:ascii="Sylfaen" w:hAnsi="Sylfaen"/>
        </w:rPr>
        <w:footnoteReference w:id="2"/>
      </w:r>
      <w:r w:rsidRPr="00477D8F">
        <w:rPr>
          <w:rFonts w:ascii="Sylfaen" w:hAnsi="Sylfaen"/>
        </w:rPr>
        <w:t xml:space="preserve"> leading to high execution rates across the board, with execution rates of 97 percent for the MoBSE and 89 percent for the MoHERST.</w:t>
      </w:r>
    </w:p>
    <w:tbl>
      <w:tblPr>
        <w:tblStyle w:val="TableGrid14"/>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D855E6" w:rsidRPr="00477D8F" w14:paraId="79388838" w14:textId="77777777" w:rsidTr="00DF77A6">
        <w:trPr>
          <w:trHeight w:val="10"/>
        </w:trPr>
        <w:tc>
          <w:tcPr>
            <w:tcW w:w="9350" w:type="dxa"/>
            <w:hideMark/>
          </w:tcPr>
          <w:p w14:paraId="242D4EE6" w14:textId="1E2C430A" w:rsidR="00D855E6" w:rsidRPr="00477D8F" w:rsidRDefault="00AD6395" w:rsidP="00AD6395">
            <w:pPr>
              <w:pStyle w:val="Caption1"/>
              <w:rPr>
                <w:rFonts w:eastAsia="Times New Roman"/>
                <w:color w:val="000000"/>
              </w:rPr>
            </w:pPr>
            <w:bookmarkStart w:id="7" w:name="_Ref496883372"/>
            <w:bookmarkStart w:id="8" w:name="_Toc497170599"/>
            <w:r w:rsidRPr="00477D8F">
              <w:lastRenderedPageBreak/>
              <w:t>Figure E.</w:t>
            </w:r>
            <w:r w:rsidR="002E5BDF" w:rsidRPr="00477D8F">
              <w:fldChar w:fldCharType="begin"/>
            </w:r>
            <w:r w:rsidR="002E5BDF" w:rsidRPr="00477D8F">
              <w:instrText xml:space="preserve"> SEQ Figure_E. \* ARABIC </w:instrText>
            </w:r>
            <w:r w:rsidR="002E5BDF" w:rsidRPr="00477D8F">
              <w:fldChar w:fldCharType="separate"/>
            </w:r>
            <w:r w:rsidRPr="00477D8F">
              <w:rPr>
                <w:noProof/>
              </w:rPr>
              <w:t>2</w:t>
            </w:r>
            <w:r w:rsidR="002E5BDF" w:rsidRPr="00477D8F">
              <w:rPr>
                <w:noProof/>
              </w:rPr>
              <w:fldChar w:fldCharType="end"/>
            </w:r>
            <w:bookmarkEnd w:id="7"/>
            <w:r w:rsidRPr="00477D8F">
              <w:t xml:space="preserve">: </w:t>
            </w:r>
            <w:r w:rsidR="00D855E6" w:rsidRPr="00477D8F">
              <w:t>Sources of education sector finance (US$) and breakdown of public funding by ministry (%)</w:t>
            </w:r>
            <w:bookmarkEnd w:id="8"/>
          </w:p>
        </w:tc>
      </w:tr>
      <w:tr w:rsidR="00D855E6" w:rsidRPr="00477D8F" w14:paraId="01D479D0" w14:textId="77777777" w:rsidTr="00485609">
        <w:trPr>
          <w:trHeight w:val="231"/>
        </w:trPr>
        <w:tc>
          <w:tcPr>
            <w:tcW w:w="9350" w:type="dxa"/>
            <w:hideMark/>
          </w:tcPr>
          <w:p w14:paraId="08CED52B" w14:textId="66864000" w:rsidR="00D855E6" w:rsidRPr="00477D8F" w:rsidRDefault="000F1CC7" w:rsidP="00DF77A6">
            <w:pPr>
              <w:jc w:val="both"/>
              <w:rPr>
                <w:rFonts w:ascii="Sylfaen" w:hAnsi="Sylfaen"/>
                <w:bCs/>
              </w:rPr>
            </w:pPr>
            <w:r w:rsidRPr="00477D8F">
              <w:rPr>
                <w:noProof/>
              </w:rPr>
              <w:drawing>
                <wp:inline distT="0" distB="0" distL="0" distR="0" wp14:anchorId="47D08F05" wp14:editId="42557E18">
                  <wp:extent cx="2918460" cy="2036152"/>
                  <wp:effectExtent l="0" t="0" r="0" b="2540"/>
                  <wp:docPr id="109" name="Chart 109">
                    <a:extLst xmlns:a="http://schemas.openxmlformats.org/drawingml/2006/main">
                      <a:ext uri="{FF2B5EF4-FFF2-40B4-BE49-F238E27FC236}">
                        <a16:creationId xmlns:a16="http://schemas.microsoft.com/office/drawing/2014/main" id="{00000000-0008-0000-1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485609" w:rsidRPr="00477D8F">
              <w:rPr>
                <w:noProof/>
              </w:rPr>
              <w:drawing>
                <wp:inline distT="0" distB="0" distL="0" distR="0" wp14:anchorId="475221DB" wp14:editId="0D76AF97">
                  <wp:extent cx="2848610" cy="2159391"/>
                  <wp:effectExtent l="0" t="0" r="8890" b="12700"/>
                  <wp:docPr id="110" name="Chart 110">
                    <a:extLst xmlns:a="http://schemas.openxmlformats.org/drawingml/2006/main">
                      <a:ext uri="{FF2B5EF4-FFF2-40B4-BE49-F238E27FC236}">
                        <a16:creationId xmlns:a16="http://schemas.microsoft.com/office/drawing/2014/main" id="{00000000-0008-0000-17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D855E6" w:rsidRPr="00477D8F" w14:paraId="113D7571" w14:textId="77777777" w:rsidTr="00DF77A6">
        <w:trPr>
          <w:trHeight w:val="296"/>
        </w:trPr>
        <w:tc>
          <w:tcPr>
            <w:tcW w:w="9350" w:type="dxa"/>
            <w:hideMark/>
          </w:tcPr>
          <w:p w14:paraId="4F51D3F6" w14:textId="77777777" w:rsidR="00D855E6" w:rsidRPr="00477D8F" w:rsidRDefault="00D855E6" w:rsidP="00AD6395">
            <w:pPr>
              <w:pStyle w:val="Source"/>
              <w:keepNext/>
            </w:pPr>
            <w:r w:rsidRPr="00477D8F">
              <w:rPr>
                <w:i/>
              </w:rPr>
              <w:t>Source:</w:t>
            </w:r>
            <w:r w:rsidRPr="00477D8F">
              <w:t xml:space="preserve"> </w:t>
            </w:r>
            <w:r w:rsidRPr="00477D8F">
              <w:rPr>
                <w:rFonts w:eastAsia="Times New Roman"/>
              </w:rPr>
              <w:t>Authors’ calculation</w:t>
            </w:r>
            <w:r w:rsidRPr="00477D8F">
              <w:t xml:space="preserve"> based on IHS 2015 and MoFEA.</w:t>
            </w:r>
          </w:p>
        </w:tc>
      </w:tr>
    </w:tbl>
    <w:p w14:paraId="7DCF17D6" w14:textId="44828CCE" w:rsidR="00D855E6" w:rsidRPr="00477D8F" w:rsidRDefault="00D855E6" w:rsidP="00D855E6">
      <w:pPr>
        <w:keepNext/>
        <w:spacing w:before="240" w:after="240" w:line="240" w:lineRule="auto"/>
        <w:rPr>
          <w:rFonts w:ascii="Sylfaen" w:hAnsi="Sylfaen"/>
          <w:color w:val="5B9BD5" w:themeColor="accent1"/>
          <w:sz w:val="24"/>
          <w:szCs w:val="24"/>
        </w:rPr>
      </w:pPr>
      <w:r w:rsidRPr="00477D8F">
        <w:rPr>
          <w:rFonts w:ascii="Sylfaen" w:hAnsi="Sylfaen"/>
          <w:color w:val="5B9BD5" w:themeColor="accent1"/>
          <w:sz w:val="24"/>
          <w:szCs w:val="24"/>
        </w:rPr>
        <w:t>Medium- to long-term financing implications</w:t>
      </w:r>
    </w:p>
    <w:p w14:paraId="0CD257E5" w14:textId="51F7A65C"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 xml:space="preserve">Projections of the cost of education reveal that increasing access has significant implications on the government’s fiscal space and the government is unlikely to mobilize resources needed to achieve the desired level of access. </w:t>
      </w:r>
      <w:r w:rsidR="00AD6395" w:rsidRPr="00477D8F">
        <w:rPr>
          <w:rFonts w:ascii="Sylfaen" w:hAnsi="Sylfaen"/>
        </w:rPr>
        <w:fldChar w:fldCharType="begin"/>
      </w:r>
      <w:r w:rsidR="00AD6395" w:rsidRPr="00477D8F">
        <w:rPr>
          <w:rFonts w:ascii="Sylfaen" w:hAnsi="Sylfaen"/>
        </w:rPr>
        <w:instrText xml:space="preserve"> REF _Ref496883444 \h  \* MERGEFORMAT </w:instrText>
      </w:r>
      <w:r w:rsidR="00AD6395" w:rsidRPr="00477D8F">
        <w:rPr>
          <w:rFonts w:ascii="Sylfaen" w:hAnsi="Sylfaen"/>
        </w:rPr>
      </w:r>
      <w:r w:rsidR="00AD6395" w:rsidRPr="00477D8F">
        <w:rPr>
          <w:rFonts w:ascii="Sylfaen" w:hAnsi="Sylfaen"/>
        </w:rPr>
        <w:fldChar w:fldCharType="separate"/>
      </w:r>
      <w:r w:rsidR="00AD6395" w:rsidRPr="00477D8F">
        <w:rPr>
          <w:rFonts w:ascii="Sylfaen" w:hAnsi="Sylfaen"/>
        </w:rPr>
        <w:t>Figure E.</w:t>
      </w:r>
      <w:r w:rsidR="00AD6395" w:rsidRPr="00477D8F">
        <w:rPr>
          <w:rFonts w:ascii="Sylfaen" w:hAnsi="Sylfaen"/>
          <w:noProof/>
        </w:rPr>
        <w:t>3</w:t>
      </w:r>
      <w:r w:rsidR="00AD6395" w:rsidRPr="00477D8F">
        <w:rPr>
          <w:rFonts w:ascii="Sylfaen" w:hAnsi="Sylfaen"/>
        </w:rPr>
        <w:fldChar w:fldCharType="end"/>
      </w:r>
      <w:r w:rsidR="00AD6395" w:rsidRPr="00477D8F">
        <w:rPr>
          <w:rFonts w:ascii="Sylfaen" w:hAnsi="Sylfaen"/>
        </w:rPr>
        <w:t xml:space="preserve"> </w:t>
      </w:r>
      <w:r w:rsidRPr="00477D8F">
        <w:rPr>
          <w:rFonts w:ascii="Sylfaen" w:hAnsi="Sylfaen"/>
        </w:rPr>
        <w:t xml:space="preserve">shows access levels and budget implications under three scenarios. The high scenario—achieve universal access in basic education—includes achieving universal access in LBS by 2025 and in UBS by 2030, doubling enrollment in </w:t>
      </w:r>
      <w:r w:rsidR="00501FD1" w:rsidRPr="00477D8F">
        <w:rPr>
          <w:rFonts w:ascii="Sylfaen" w:hAnsi="Sylfaen"/>
        </w:rPr>
        <w:t>e</w:t>
      </w:r>
      <w:r w:rsidRPr="00477D8F">
        <w:rPr>
          <w:rFonts w:ascii="Sylfaen" w:hAnsi="Sylfaen"/>
        </w:rPr>
        <w:t xml:space="preserve">arly </w:t>
      </w:r>
      <w:r w:rsidR="00501FD1" w:rsidRPr="00477D8F">
        <w:rPr>
          <w:rFonts w:ascii="Sylfaen" w:hAnsi="Sylfaen"/>
        </w:rPr>
        <w:t>c</w:t>
      </w:r>
      <w:r w:rsidRPr="00477D8F">
        <w:rPr>
          <w:rFonts w:ascii="Sylfaen" w:hAnsi="Sylfaen"/>
        </w:rPr>
        <w:t xml:space="preserve">hild </w:t>
      </w:r>
      <w:r w:rsidR="00501FD1" w:rsidRPr="00477D8F">
        <w:rPr>
          <w:rFonts w:ascii="Sylfaen" w:hAnsi="Sylfaen"/>
        </w:rPr>
        <w:t>d</w:t>
      </w:r>
      <w:r w:rsidRPr="00477D8F">
        <w:rPr>
          <w:rFonts w:ascii="Sylfaen" w:hAnsi="Sylfaen"/>
        </w:rPr>
        <w:t>evelopment (ECD) and SSS from about 40 percent in 2015 to 80 percent in 2030 and increasing enrollment in higher education from 742 in 2015 to 1</w:t>
      </w:r>
      <w:r w:rsidR="00501FD1" w:rsidRPr="00477D8F">
        <w:rPr>
          <w:rFonts w:ascii="Sylfaen" w:hAnsi="Sylfaen"/>
        </w:rPr>
        <w:t>,</w:t>
      </w:r>
      <w:r w:rsidRPr="00477D8F">
        <w:rPr>
          <w:rFonts w:ascii="Sylfaen" w:hAnsi="Sylfaen"/>
        </w:rPr>
        <w:t>030 by 2030 per 100,000 habitants. The medium scenario would mean increasing the access rate by 20–25 percent in general education and increasing enrollment in higher education from 742 in 2015 to 800 by 2030 per 100,000 habitants to keep the sectors improving gradually but not achieving universal basic education. Lastly, the low scenario would mean maintaining the current level of access while coping with the high population growth. The high scenario is a level of access desired by the government but there are large cost implications associated with this scenario and resources are unlikely to be mobilized—it requires the education budget to be increased from US$39 million in 2015 to US$86 million in 2030. Based on the available resources from both internal sources and development partners, this will create a funding gap of 32 percent by 2030, which is equivalent to 1.9 percent of GDP (if this gap is financed by loan, it may increase the national debt by 0.74 percent). Similarly, the medium scenario implies a budget increase from US$39 million to US$69 million with a 14 percent financing gap (equivalent to 0.6 percent of GDP).</w:t>
      </w:r>
    </w:p>
    <w:p w14:paraId="7C829613" w14:textId="246452A0" w:rsidR="00D855E6" w:rsidRPr="00477D8F" w:rsidRDefault="00D855E6" w:rsidP="00D855E6">
      <w:pPr>
        <w:pStyle w:val="ListParagraph"/>
        <w:numPr>
          <w:ilvl w:val="0"/>
          <w:numId w:val="26"/>
        </w:numPr>
        <w:spacing w:before="240" w:after="240" w:line="240" w:lineRule="auto"/>
        <w:ind w:left="0" w:firstLine="0"/>
        <w:contextualSpacing w:val="0"/>
        <w:jc w:val="both"/>
        <w:rPr>
          <w:rFonts w:ascii="Sylfaen" w:hAnsi="Sylfaen"/>
        </w:rPr>
      </w:pPr>
      <w:r w:rsidRPr="00477D8F">
        <w:rPr>
          <w:rFonts w:ascii="Sylfaen" w:hAnsi="Sylfaen"/>
        </w:rPr>
        <w:t xml:space="preserve">While the government could opt for a mixture of different policies, optimizing staff utilization would help overcome some of the key financial limitations, given the main driver of the education sector budget is personnel costs. The government underutilizes teachers </w:t>
      </w:r>
      <w:r w:rsidR="00175BB1" w:rsidRPr="00477D8F">
        <w:rPr>
          <w:rFonts w:ascii="Sylfaen" w:hAnsi="Sylfaen"/>
        </w:rPr>
        <w:t xml:space="preserve">at </w:t>
      </w:r>
      <w:r w:rsidRPr="00477D8F">
        <w:rPr>
          <w:rFonts w:ascii="Sylfaen" w:hAnsi="Sylfaen"/>
        </w:rPr>
        <w:t xml:space="preserve">all levels of education as the average student-teacher ratio (STR) is 28 at ECD, 33 at primary, 28 at lower secondary, and 27 at upper </w:t>
      </w:r>
      <w:r w:rsidRPr="00477D8F">
        <w:rPr>
          <w:rFonts w:ascii="Sylfaen" w:hAnsi="Sylfaen" w:cs="Times New Roman"/>
        </w:rPr>
        <w:t>secondary</w:t>
      </w:r>
      <w:r w:rsidRPr="00477D8F">
        <w:rPr>
          <w:rFonts w:ascii="Sylfaen" w:hAnsi="Sylfaen"/>
        </w:rPr>
        <w:t xml:space="preserve"> (excluding teacher trainees). The average STR could increase to 35, 40, 35 and 30, respectively</w:t>
      </w:r>
      <w:r w:rsidR="006509ED" w:rsidRPr="00477D8F">
        <w:rPr>
          <w:rFonts w:ascii="Sylfaen" w:hAnsi="Sylfaen"/>
        </w:rPr>
        <w:t>,</w:t>
      </w:r>
      <w:r w:rsidRPr="00477D8F">
        <w:rPr>
          <w:rFonts w:ascii="Sylfaen" w:hAnsi="Sylfaen"/>
        </w:rPr>
        <w:t xml:space="preserve"> to enable the public to provide high levels of service delivery (high scenario) at the low scenario cost level. Given </w:t>
      </w:r>
      <w:r w:rsidR="0034269B" w:rsidRPr="00477D8F">
        <w:rPr>
          <w:rFonts w:ascii="Sylfaen" w:hAnsi="Sylfaen"/>
        </w:rPr>
        <w:t xml:space="preserve">that </w:t>
      </w:r>
      <w:r w:rsidRPr="00477D8F">
        <w:rPr>
          <w:rFonts w:ascii="Sylfaen" w:hAnsi="Sylfaen"/>
        </w:rPr>
        <w:t>primary education onboards many children, an increase of the average STR from 30 to 35</w:t>
      </w:r>
      <w:r w:rsidR="0034269B" w:rsidRPr="00477D8F">
        <w:rPr>
          <w:rFonts w:ascii="Sylfaen" w:hAnsi="Sylfaen"/>
        </w:rPr>
        <w:t>,</w:t>
      </w:r>
      <w:r w:rsidRPr="00477D8F">
        <w:rPr>
          <w:rFonts w:ascii="Sylfaen" w:hAnsi="Sylfaen"/>
        </w:rPr>
        <w:t xml:space="preserve"> although lower than the </w:t>
      </w:r>
      <w:r w:rsidRPr="00477D8F">
        <w:rPr>
          <w:rFonts w:ascii="Sylfaen" w:eastAsia="Times New Roman" w:hAnsi="Sylfaen" w:cs="Times New Roman"/>
          <w:bCs/>
          <w:color w:val="000000"/>
        </w:rPr>
        <w:t>Global Partnership for Education</w:t>
      </w:r>
      <w:r w:rsidRPr="00477D8F">
        <w:rPr>
          <w:rFonts w:ascii="Sylfaen" w:hAnsi="Sylfaen"/>
        </w:rPr>
        <w:t xml:space="preserve"> (GPE) benchmark </w:t>
      </w:r>
      <w:r w:rsidRPr="00477D8F">
        <w:rPr>
          <w:rFonts w:ascii="Sylfaen" w:hAnsi="Sylfaen"/>
        </w:rPr>
        <w:lastRenderedPageBreak/>
        <w:t xml:space="preserve">recommendation, can allow the government to achieve the medium scenario access rate at the low scenario cost level. Furthermore, given the overall inefficient utilization of resources, potentially costing 18 percent of the budget as observed from the efficiency analysis, the government could also achieve the medium scenario access level through an improvement of efficiency. It </w:t>
      </w:r>
      <w:r w:rsidR="0034269B" w:rsidRPr="00477D8F">
        <w:rPr>
          <w:rFonts w:ascii="Sylfaen" w:hAnsi="Sylfaen"/>
        </w:rPr>
        <w:t xml:space="preserve">is </w:t>
      </w:r>
      <w:r w:rsidRPr="00477D8F">
        <w:rPr>
          <w:rFonts w:ascii="Sylfaen" w:hAnsi="Sylfaen"/>
        </w:rPr>
        <w:t>also very important for the ministry to further clean up the staff inequality f</w:t>
      </w:r>
      <w:r w:rsidR="00A65437" w:rsidRPr="00477D8F">
        <w:rPr>
          <w:rFonts w:ascii="Sylfaen" w:hAnsi="Sylfaen"/>
        </w:rPr>
        <w:t>o</w:t>
      </w:r>
      <w:r w:rsidRPr="00477D8F">
        <w:rPr>
          <w:rFonts w:ascii="Sylfaen" w:hAnsi="Sylfaen"/>
        </w:rPr>
        <w:t>l</w:t>
      </w:r>
      <w:r w:rsidR="00A65437" w:rsidRPr="00477D8F">
        <w:rPr>
          <w:rFonts w:ascii="Sylfaen" w:hAnsi="Sylfaen"/>
        </w:rPr>
        <w:t>l</w:t>
      </w:r>
      <w:r w:rsidRPr="00477D8F">
        <w:rPr>
          <w:rFonts w:ascii="Sylfaen" w:hAnsi="Sylfaen"/>
        </w:rPr>
        <w:t xml:space="preserve">owing the recent audit report by </w:t>
      </w:r>
      <w:r w:rsidR="0003084F" w:rsidRPr="00477D8F">
        <w:rPr>
          <w:rFonts w:ascii="Sylfaen" w:hAnsi="Sylfaen"/>
        </w:rPr>
        <w:t xml:space="preserve">the </w:t>
      </w:r>
      <w:r w:rsidRPr="00477D8F">
        <w:rPr>
          <w:rFonts w:ascii="Sylfaen" w:hAnsi="Sylfaen"/>
        </w:rPr>
        <w:t xml:space="preserve">PMO. </w:t>
      </w:r>
    </w:p>
    <w:tbl>
      <w:tblPr>
        <w:tblStyle w:val="TableGrid14"/>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D855E6" w:rsidRPr="00477D8F" w14:paraId="5CA53747" w14:textId="77777777" w:rsidTr="00DF77A6">
        <w:trPr>
          <w:trHeight w:val="10"/>
        </w:trPr>
        <w:tc>
          <w:tcPr>
            <w:tcW w:w="9350" w:type="dxa"/>
            <w:hideMark/>
          </w:tcPr>
          <w:p w14:paraId="38C44559" w14:textId="5136A3C8" w:rsidR="00D855E6" w:rsidRPr="00477D8F" w:rsidRDefault="00AD6395" w:rsidP="00AD6395">
            <w:pPr>
              <w:pStyle w:val="Caption1"/>
              <w:rPr>
                <w:rFonts w:eastAsia="Times New Roman"/>
                <w:color w:val="000000"/>
              </w:rPr>
            </w:pPr>
            <w:bookmarkStart w:id="9" w:name="_Ref496883444"/>
            <w:bookmarkStart w:id="10" w:name="_Toc497170600"/>
            <w:r w:rsidRPr="00477D8F">
              <w:t>Figure E.</w:t>
            </w:r>
            <w:r w:rsidR="002E5BDF" w:rsidRPr="00477D8F">
              <w:fldChar w:fldCharType="begin"/>
            </w:r>
            <w:r w:rsidR="002E5BDF" w:rsidRPr="00477D8F">
              <w:instrText xml:space="preserve"> SEQ Figure_E. \* ARABIC </w:instrText>
            </w:r>
            <w:r w:rsidR="002E5BDF" w:rsidRPr="00477D8F">
              <w:fldChar w:fldCharType="separate"/>
            </w:r>
            <w:r w:rsidRPr="00477D8F">
              <w:rPr>
                <w:noProof/>
              </w:rPr>
              <w:t>3</w:t>
            </w:r>
            <w:r w:rsidR="002E5BDF" w:rsidRPr="00477D8F">
              <w:rPr>
                <w:noProof/>
              </w:rPr>
              <w:fldChar w:fldCharType="end"/>
            </w:r>
            <w:bookmarkEnd w:id="9"/>
            <w:r w:rsidRPr="00477D8F">
              <w:t xml:space="preserve">: </w:t>
            </w:r>
            <w:r w:rsidR="00D855E6" w:rsidRPr="00477D8F">
              <w:t>Enrollment projec</w:t>
            </w:r>
            <w:r w:rsidR="00DE3A45" w:rsidRPr="00477D8F">
              <w:t xml:space="preserve">tion </w:t>
            </w:r>
            <w:r w:rsidR="00D855E6" w:rsidRPr="00477D8F">
              <w:t>by level of education (in thousands) and total education sector budget (US$</w:t>
            </w:r>
            <w:r w:rsidR="00260177" w:rsidRPr="00477D8F">
              <w:t>, millions</w:t>
            </w:r>
            <w:r w:rsidR="00D855E6" w:rsidRPr="00477D8F">
              <w:t>) under three scenarios—low, medium, and high</w:t>
            </w:r>
            <w:bookmarkEnd w:id="10"/>
          </w:p>
        </w:tc>
      </w:tr>
      <w:tr w:rsidR="00D855E6" w:rsidRPr="00477D8F" w14:paraId="34379ADB" w14:textId="77777777" w:rsidTr="00DF77A6">
        <w:trPr>
          <w:trHeight w:val="231"/>
        </w:trPr>
        <w:tc>
          <w:tcPr>
            <w:tcW w:w="9350" w:type="dxa"/>
            <w:hideMark/>
          </w:tcPr>
          <w:p w14:paraId="494697BA" w14:textId="77777777" w:rsidR="00D855E6" w:rsidRPr="00477D8F" w:rsidRDefault="00D855E6" w:rsidP="00DF77A6">
            <w:pPr>
              <w:jc w:val="both"/>
              <w:rPr>
                <w:rFonts w:ascii="Sylfaen" w:hAnsi="Sylfaen"/>
                <w:bCs/>
              </w:rPr>
            </w:pPr>
            <w:r w:rsidRPr="00477D8F">
              <w:rPr>
                <w:rFonts w:ascii="Sylfaen" w:hAnsi="Sylfaen"/>
                <w:noProof/>
              </w:rPr>
              <w:drawing>
                <wp:inline distT="0" distB="0" distL="0" distR="0" wp14:anchorId="71F8513B" wp14:editId="5E512A7C">
                  <wp:extent cx="1897038" cy="1835150"/>
                  <wp:effectExtent l="0" t="0" r="8255" b="12700"/>
                  <wp:docPr id="47" name="Chart 47">
                    <a:extLst xmlns:a="http://schemas.openxmlformats.org/drawingml/2006/main">
                      <a:ext uri="{FF2B5EF4-FFF2-40B4-BE49-F238E27FC236}">
                        <a16:creationId xmlns:a16="http://schemas.microsoft.com/office/drawing/2014/main" id="{1BE25FE2-16CD-4730-A0CE-4DCBBFD83A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477D8F">
              <w:rPr>
                <w:rFonts w:ascii="Sylfaen" w:hAnsi="Sylfaen"/>
                <w:noProof/>
              </w:rPr>
              <w:drawing>
                <wp:inline distT="0" distB="0" distL="0" distR="0" wp14:anchorId="6AD7C02B" wp14:editId="71F42BC0">
                  <wp:extent cx="2033517" cy="1830705"/>
                  <wp:effectExtent l="0" t="0" r="5080" b="17145"/>
                  <wp:docPr id="55" name="Chart 55">
                    <a:extLst xmlns:a="http://schemas.openxmlformats.org/drawingml/2006/main">
                      <a:ext uri="{FF2B5EF4-FFF2-40B4-BE49-F238E27FC236}">
                        <a16:creationId xmlns:a16="http://schemas.microsoft.com/office/drawing/2014/main" id="{D1AD2B92-C470-4A05-8A47-F796EA8C48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477D8F">
              <w:rPr>
                <w:rFonts w:ascii="Sylfaen" w:hAnsi="Sylfaen"/>
                <w:noProof/>
              </w:rPr>
              <w:drawing>
                <wp:inline distT="0" distB="0" distL="0" distR="0" wp14:anchorId="3F3F67F3" wp14:editId="7E83B136">
                  <wp:extent cx="1842021" cy="1849120"/>
                  <wp:effectExtent l="0" t="0" r="6350" b="17780"/>
                  <wp:docPr id="56" name="Chart 56">
                    <a:extLst xmlns:a="http://schemas.openxmlformats.org/drawingml/2006/main">
                      <a:ext uri="{FF2B5EF4-FFF2-40B4-BE49-F238E27FC236}">
                        <a16:creationId xmlns:a16="http://schemas.microsoft.com/office/drawing/2014/main" id="{BF80B66F-A689-44D3-B992-8402DDA6A9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477D8F">
              <w:rPr>
                <w:rFonts w:ascii="Sylfaen" w:hAnsi="Sylfaen"/>
                <w:noProof/>
              </w:rPr>
              <w:drawing>
                <wp:inline distT="0" distB="0" distL="0" distR="0" wp14:anchorId="1D325FF4" wp14:editId="3097C685">
                  <wp:extent cx="1910080" cy="1787857"/>
                  <wp:effectExtent l="0" t="0" r="13970" b="3175"/>
                  <wp:docPr id="59" name="Chart 59">
                    <a:extLst xmlns:a="http://schemas.openxmlformats.org/drawingml/2006/main">
                      <a:ext uri="{FF2B5EF4-FFF2-40B4-BE49-F238E27FC236}">
                        <a16:creationId xmlns:a16="http://schemas.microsoft.com/office/drawing/2014/main" id="{E1E6E174-E650-4F99-96A2-D4A3DA2860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477D8F">
              <w:rPr>
                <w:rFonts w:ascii="Sylfaen" w:hAnsi="Sylfaen"/>
                <w:noProof/>
              </w:rPr>
              <w:drawing>
                <wp:inline distT="0" distB="0" distL="0" distR="0" wp14:anchorId="49A79C9B" wp14:editId="7C3C3C72">
                  <wp:extent cx="2005965" cy="1774209"/>
                  <wp:effectExtent l="0" t="0" r="13335" b="16510"/>
                  <wp:docPr id="99" name="Chart 99">
                    <a:extLst xmlns:a="http://schemas.openxmlformats.org/drawingml/2006/main">
                      <a:ext uri="{FF2B5EF4-FFF2-40B4-BE49-F238E27FC236}">
                        <a16:creationId xmlns:a16="http://schemas.microsoft.com/office/drawing/2014/main" id="{279DC1F1-6A95-4277-BC59-1B6EC5E119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477D8F">
              <w:rPr>
                <w:rFonts w:ascii="Sylfaen" w:hAnsi="Sylfaen"/>
                <w:noProof/>
              </w:rPr>
              <w:drawing>
                <wp:inline distT="0" distB="0" distL="0" distR="0" wp14:anchorId="480B0D90" wp14:editId="6B14353C">
                  <wp:extent cx="1828800" cy="1781033"/>
                  <wp:effectExtent l="0" t="0" r="0" b="10160"/>
                  <wp:docPr id="100" name="Chart 100">
                    <a:extLst xmlns:a="http://schemas.openxmlformats.org/drawingml/2006/main">
                      <a:ext uri="{FF2B5EF4-FFF2-40B4-BE49-F238E27FC236}">
                        <a16:creationId xmlns:a16="http://schemas.microsoft.com/office/drawing/2014/main" id="{EF8D8DB1-873E-4712-90BE-97458C8337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D855E6" w:rsidRPr="00477D8F" w14:paraId="31082AEA" w14:textId="77777777" w:rsidTr="00DF77A6">
        <w:trPr>
          <w:trHeight w:val="296"/>
        </w:trPr>
        <w:tc>
          <w:tcPr>
            <w:tcW w:w="9350" w:type="dxa"/>
            <w:hideMark/>
          </w:tcPr>
          <w:p w14:paraId="543C86B2" w14:textId="027334D3" w:rsidR="00D855E6" w:rsidRPr="00477D8F" w:rsidRDefault="00D855E6" w:rsidP="00AD6395">
            <w:pPr>
              <w:pStyle w:val="Source"/>
              <w:keepNext/>
            </w:pPr>
            <w:r w:rsidRPr="00477D8F">
              <w:rPr>
                <w:i/>
              </w:rPr>
              <w:t>Source:</w:t>
            </w:r>
            <w:r w:rsidRPr="00477D8F">
              <w:t xml:space="preserve"> </w:t>
            </w:r>
            <w:r w:rsidRPr="00477D8F">
              <w:rPr>
                <w:rFonts w:eastAsia="Times New Roman"/>
              </w:rPr>
              <w:t>Authors’ calculation</w:t>
            </w:r>
            <w:r w:rsidRPr="00477D8F">
              <w:t xml:space="preserve"> based on IHS 2015, </w:t>
            </w:r>
            <w:r w:rsidR="00B04D7A" w:rsidRPr="00477D8F">
              <w:t>UN Population Division (</w:t>
            </w:r>
            <w:r w:rsidRPr="00477D8F">
              <w:t>UNPD</w:t>
            </w:r>
            <w:r w:rsidR="00B04D7A" w:rsidRPr="00477D8F">
              <w:t>)</w:t>
            </w:r>
            <w:r w:rsidRPr="00477D8F">
              <w:t>, and MoFEA.</w:t>
            </w:r>
          </w:p>
        </w:tc>
      </w:tr>
    </w:tbl>
    <w:p w14:paraId="21631B17" w14:textId="662E863F" w:rsidR="00D855E6" w:rsidRPr="00477D8F" w:rsidRDefault="00D855E6" w:rsidP="00D855E6">
      <w:pPr>
        <w:keepNext/>
        <w:spacing w:before="240" w:after="240" w:line="240" w:lineRule="auto"/>
        <w:rPr>
          <w:rFonts w:ascii="Sylfaen" w:hAnsi="Sylfaen"/>
          <w:color w:val="5B9BD5" w:themeColor="accent1"/>
          <w:sz w:val="24"/>
          <w:szCs w:val="24"/>
        </w:rPr>
      </w:pPr>
      <w:r w:rsidRPr="00477D8F">
        <w:rPr>
          <w:rFonts w:ascii="Sylfaen" w:hAnsi="Sylfaen"/>
          <w:color w:val="5B9BD5" w:themeColor="accent1"/>
          <w:sz w:val="24"/>
          <w:szCs w:val="24"/>
        </w:rPr>
        <w:t>Key findings and policy recommendations</w:t>
      </w:r>
    </w:p>
    <w:p w14:paraId="72131127" w14:textId="0F591FD3"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cs="Times New Roman"/>
        </w:rPr>
        <w:t xml:space="preserve">The main findings from the PER can be grouped under four areas for policy recommendations: (a) adopting measures to improve internal efficiency of the education sector to cope with the limited fiscal space in the short run and ensure the adequacy and sustainability of public spending; (b) ensuring public resources serve to improve equity through relevant intervention instruments; (c) improving capacity building to better evaluate service delivery, learning outcomes, and foster a resilient education system; and (d) improving the human capital development of the labor force through adequate provision of second chance education programs and raising the educational attainment among those who may have failed to complete their studies or who have never been to school. The policy recommendations are presented below. </w:t>
      </w:r>
    </w:p>
    <w:p w14:paraId="6085F02A" w14:textId="77777777" w:rsidR="00D855E6" w:rsidRPr="00477D8F" w:rsidRDefault="00D855E6" w:rsidP="00D855E6">
      <w:pPr>
        <w:keepNext/>
        <w:spacing w:before="240" w:after="240" w:line="240" w:lineRule="auto"/>
        <w:jc w:val="both"/>
        <w:rPr>
          <w:rFonts w:ascii="Sylfaen" w:hAnsi="Sylfaen" w:cs="Times New Roman"/>
        </w:rPr>
      </w:pPr>
      <w:r w:rsidRPr="00477D8F">
        <w:rPr>
          <w:rFonts w:ascii="Sylfaen" w:hAnsi="Sylfaen" w:cs="Times New Roman"/>
          <w:b/>
        </w:rPr>
        <w:lastRenderedPageBreak/>
        <w:t xml:space="preserve">Adopting measures to improve internal efficiency of the education sector to cope with the limited fiscal space in the short run and ensure the adequacy and sustainability of public spending </w:t>
      </w:r>
    </w:p>
    <w:p w14:paraId="0D5B63C9" w14:textId="7604C611"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 xml:space="preserve">Given </w:t>
      </w:r>
      <w:r w:rsidRPr="00477D8F">
        <w:rPr>
          <w:rFonts w:ascii="Sylfaen" w:hAnsi="Sylfaen" w:cs="Times New Roman"/>
        </w:rPr>
        <w:t>the</w:t>
      </w:r>
      <w:r w:rsidRPr="00477D8F">
        <w:rPr>
          <w:rFonts w:ascii="Sylfaen" w:hAnsi="Sylfaen"/>
        </w:rPr>
        <w:t xml:space="preserve"> financial resource constraints under which the public sector is operating, there is a strong rationale to explore potential efficiency savings, that is, savings arising from more efficient use of resources. The efficiency analysis results indicate that the same services can be provided with 18 percent fewer resources through optimal resource utilization. At the national level, efficiency scores</w:t>
      </w:r>
      <w:r w:rsidRPr="00477D8F">
        <w:rPr>
          <w:rStyle w:val="FootnoteReference"/>
          <w:rFonts w:ascii="Sylfaen" w:hAnsi="Sylfaen"/>
        </w:rPr>
        <w:footnoteReference w:id="3"/>
      </w:r>
      <w:r w:rsidRPr="00477D8F">
        <w:rPr>
          <w:rFonts w:ascii="Sylfaen" w:hAnsi="Sylfaen"/>
        </w:rPr>
        <w:t xml:space="preserve"> stand at 82 percent with large variations by region, implying that some regions and districts have even more potential to optimize resources for greater efficiency. Given the constrained fiscal situation in The Gambia, the government needs to explore any areas of efficiency gain to deal with the challenges and provide consistent service delivery. Potential sources of inefficiencies to be addressed are the unequal distribution of teachers with the right qualification and training mix because teachers’ salaries account for more than 90 percent of the school-level education budget and the variation of nonfinancial school inputs (infrastructure, learning materials, and so on) by school.</w:t>
      </w:r>
    </w:p>
    <w:p w14:paraId="060FD869" w14:textId="0757C612"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The teacher staffing process should be based on a predetermined set of criteria including STR, classrooms, school size, subjects taught, and facilities available at the school level. The current preservice teacher training program and hiring practice should be immediately reconsidered for hiring decisions based on the number and type of teachers needed. The number of teachers is the key driver of the cost of schooling and the growth in the number of teachers during the last five years is more than double the enrollment growth</w:t>
      </w:r>
      <w:r w:rsidR="003B6B43" w:rsidRPr="00477D8F">
        <w:rPr>
          <w:rFonts w:ascii="Sylfaen" w:hAnsi="Sylfaen"/>
        </w:rPr>
        <w:t>;</w:t>
      </w:r>
      <w:r w:rsidRPr="00477D8F">
        <w:rPr>
          <w:rFonts w:ascii="Sylfaen" w:hAnsi="Sylfaen"/>
        </w:rPr>
        <w:t xml:space="preserve"> thus</w:t>
      </w:r>
      <w:r w:rsidR="003B6B43" w:rsidRPr="00477D8F">
        <w:rPr>
          <w:rFonts w:ascii="Sylfaen" w:hAnsi="Sylfaen"/>
        </w:rPr>
        <w:t>,</w:t>
      </w:r>
      <w:r w:rsidRPr="00477D8F">
        <w:rPr>
          <w:rFonts w:ascii="Sylfaen" w:hAnsi="Sylfaen"/>
        </w:rPr>
        <w:t xml:space="preserve"> the STR has been declining and stands below the recommended level of 40:1 at LBS—</w:t>
      </w:r>
      <w:r w:rsidR="003B6B43" w:rsidRPr="00477D8F">
        <w:rPr>
          <w:rFonts w:ascii="Sylfaen" w:hAnsi="Sylfaen"/>
        </w:rPr>
        <w:t xml:space="preserve">for example, </w:t>
      </w:r>
      <w:r w:rsidRPr="00477D8F">
        <w:rPr>
          <w:rFonts w:ascii="Sylfaen" w:hAnsi="Sylfaen"/>
        </w:rPr>
        <w:t>reduced from 41:1 in 2010 to 33:1 in 2015. Therefore, having the right number and qualification mix of teachers would also ensure better management of staff, including better compensation.</w:t>
      </w:r>
    </w:p>
    <w:p w14:paraId="28EDE513" w14:textId="116CCCAD"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 xml:space="preserve">To further improve efficiency and school completion, the government should institute a policy that stipulates a mandatory enrollment age and automatic promotion at least at the primary education level. </w:t>
      </w:r>
      <w:r w:rsidRPr="00477D8F">
        <w:rPr>
          <w:rFonts w:ascii="Sylfaen" w:hAnsi="Sylfaen" w:cs="Times New Roman"/>
        </w:rPr>
        <w:t>Survival</w:t>
      </w:r>
      <w:r w:rsidRPr="00477D8F">
        <w:rPr>
          <w:rFonts w:ascii="Sylfaen" w:hAnsi="Sylfaen"/>
        </w:rPr>
        <w:t xml:space="preserve"> and completion as well as delayed entry remain a key source of internal inefficiency despite the government’s tremendous efforts. For example, about 38 percent of children do not start school at the official school</w:t>
      </w:r>
      <w:r w:rsidR="00C56F62" w:rsidRPr="00477D8F">
        <w:rPr>
          <w:rFonts w:ascii="Sylfaen" w:hAnsi="Sylfaen"/>
        </w:rPr>
        <w:t>-</w:t>
      </w:r>
      <w:r w:rsidRPr="00477D8F">
        <w:rPr>
          <w:rFonts w:ascii="Sylfaen" w:hAnsi="Sylfaen"/>
        </w:rPr>
        <w:t xml:space="preserve">starting age (age 7), and the share of overage children in the last grade of primary reaches 72 percent. From those who started grade 1, only 56 percent survive to </w:t>
      </w:r>
      <w:r w:rsidR="003B6B43" w:rsidRPr="00477D8F">
        <w:rPr>
          <w:rFonts w:ascii="Sylfaen" w:hAnsi="Sylfaen"/>
        </w:rPr>
        <w:t xml:space="preserve">the </w:t>
      </w:r>
      <w:r w:rsidRPr="00477D8F">
        <w:rPr>
          <w:rFonts w:ascii="Sylfaen" w:hAnsi="Sylfaen"/>
        </w:rPr>
        <w:t xml:space="preserve">last grade of primary, 43 percent to </w:t>
      </w:r>
      <w:r w:rsidR="003B6B43" w:rsidRPr="00477D8F">
        <w:rPr>
          <w:rFonts w:ascii="Sylfaen" w:hAnsi="Sylfaen"/>
        </w:rPr>
        <w:t xml:space="preserve">the </w:t>
      </w:r>
      <w:r w:rsidRPr="00477D8F">
        <w:rPr>
          <w:rFonts w:ascii="Sylfaen" w:hAnsi="Sylfaen"/>
        </w:rPr>
        <w:t xml:space="preserve">last grade of lower secondary, and 24 percent to </w:t>
      </w:r>
      <w:r w:rsidR="003B6B43" w:rsidRPr="00477D8F">
        <w:rPr>
          <w:rFonts w:ascii="Sylfaen" w:hAnsi="Sylfaen"/>
        </w:rPr>
        <w:t xml:space="preserve">the </w:t>
      </w:r>
      <w:r w:rsidRPr="00477D8F">
        <w:rPr>
          <w:rFonts w:ascii="Sylfaen" w:hAnsi="Sylfaen"/>
        </w:rPr>
        <w:t xml:space="preserve">last grade of upper secondary. </w:t>
      </w:r>
    </w:p>
    <w:p w14:paraId="4979D4D5" w14:textId="3319DA18"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 xml:space="preserve">Encouraging ECD programs could increase children’s readiness for primary school, promote learning, help reduce factors that affect internal efficiency (dropout, repetition, and </w:t>
      </w:r>
      <w:r w:rsidRPr="00477D8F">
        <w:rPr>
          <w:rFonts w:ascii="Sylfaen" w:hAnsi="Sylfaen" w:cs="Times New Roman"/>
        </w:rPr>
        <w:t>delayed</w:t>
      </w:r>
      <w:r w:rsidRPr="00477D8F">
        <w:rPr>
          <w:rFonts w:ascii="Sylfaen" w:hAnsi="Sylfaen"/>
        </w:rPr>
        <w:t xml:space="preserve"> entry), and increase the probability of having longer productive lives in the labor market. ECD programs have the potential to strengthen the foundation of the education system, enabling children to transition more easily into primary school. This in turn increases the likelihood of joining LBS on time and therefore reduces the likelihood of dropping out and delayed entry, which are both sources of inefficiency in The Gambia. It also increases the likelihood of joining the labor market earlier</w:t>
      </w:r>
      <w:r w:rsidR="004D1720" w:rsidRPr="00477D8F">
        <w:rPr>
          <w:rFonts w:ascii="Sylfaen" w:hAnsi="Sylfaen"/>
        </w:rPr>
        <w:t>,</w:t>
      </w:r>
      <w:r w:rsidRPr="00477D8F">
        <w:rPr>
          <w:rFonts w:ascii="Sylfaen" w:hAnsi="Sylfaen"/>
        </w:rPr>
        <w:t xml:space="preserve"> which could have a significant cumulative impact on the lifetime income stream of the individual. Although </w:t>
      </w:r>
      <w:r w:rsidRPr="00477D8F">
        <w:rPr>
          <w:rFonts w:ascii="Sylfaen" w:hAnsi="Sylfaen"/>
        </w:rPr>
        <w:lastRenderedPageBreak/>
        <w:t>the government encourages ECD through different initiatives such as ‘annexing’ preschools to preexisting primary schools, the current enrollment is made up mostly of children from wealthier households, the government should therefore expand non-annexed preschools to address the poor communities’ needs.</w:t>
      </w:r>
    </w:p>
    <w:p w14:paraId="61E6BB6E" w14:textId="0B46691F"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To provide sustainable quality education for all children, the education budget should be increased in the medium to long term. As it currently stands, public investment in education in The Gambia is at 3.2 percent of GDP compared with the recommended level of 4–6 percent</w:t>
      </w:r>
      <w:r w:rsidRPr="00477D8F">
        <w:rPr>
          <w:rFonts w:ascii="Sylfaen" w:hAnsi="Sylfaen"/>
          <w:vertAlign w:val="superscript"/>
        </w:rPr>
        <w:footnoteReference w:id="4"/>
      </w:r>
      <w:r w:rsidRPr="00477D8F">
        <w:rPr>
          <w:rFonts w:ascii="Sylfaen" w:hAnsi="Sylfaen"/>
          <w:vertAlign w:val="superscript"/>
        </w:rPr>
        <w:t xml:space="preserve"> </w:t>
      </w:r>
      <w:r w:rsidRPr="00477D8F">
        <w:rPr>
          <w:rFonts w:ascii="Sylfaen" w:hAnsi="Sylfaen"/>
        </w:rPr>
        <w:t xml:space="preserve">and the SSA average of 4.6 percent, which is far below the levels recommended to effectuate any real change to the sector. Although education spending as a share of total public spending stands at 20.4 percent (education receives the highest share of the budget in the country), education spending as a share of spending is low because the total public spending as a share of GDP is low (15 percent). This is also one of the key reasons why the post-basic education level relies heavily on household funding and most children from the bottom 40 percent are excluded from the system. </w:t>
      </w:r>
    </w:p>
    <w:p w14:paraId="6BB152CF" w14:textId="7932B0DF"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cs="Times New Roman"/>
        </w:rPr>
      </w:pPr>
      <w:r w:rsidRPr="00477D8F">
        <w:rPr>
          <w:rFonts w:ascii="Sylfaen" w:hAnsi="Sylfaen"/>
        </w:rPr>
        <w:t>The government should use the unit cost as an instrument in the preparation of policies and associated budgets for effective utilization of funding. To ensure sustainability of the education budget, the unit cost should be a key tool used in the planning process, which is not the case currently. The cost of educating a child in The Gambia is high relative to many SSA countries and has been on an increasing trend—</w:t>
      </w:r>
      <w:r w:rsidRPr="00477D8F">
        <w:rPr>
          <w:rFonts w:ascii="Sylfaen" w:hAnsi="Sylfaen" w:cs="Times New Roman"/>
        </w:rPr>
        <w:t>from</w:t>
      </w:r>
      <w:r w:rsidRPr="00477D8F">
        <w:rPr>
          <w:rFonts w:ascii="Sylfaen" w:hAnsi="Sylfaen"/>
        </w:rPr>
        <w:t xml:space="preserve"> example, at the basic education level, the unit cost grew by 34 percent between 2011 and 2015 while the corresponding growth rates for senior secondary and postsecondary education level were 73 percent and 110 percent, respectively. Similarly, </w:t>
      </w:r>
      <w:r w:rsidRPr="00477D8F">
        <w:rPr>
          <w:rFonts w:ascii="Sylfaen" w:hAnsi="Sylfaen" w:cs="Times New Roman"/>
          <w:bCs/>
        </w:rPr>
        <w:t>The Gambia spends the equivalent of 15 percent of GDP per capita on each student at the primary level</w:t>
      </w:r>
      <w:r w:rsidR="003802F9" w:rsidRPr="00477D8F">
        <w:rPr>
          <w:rFonts w:ascii="Sylfaen" w:hAnsi="Sylfaen" w:cs="Times New Roman"/>
          <w:bCs/>
        </w:rPr>
        <w:t>,</w:t>
      </w:r>
      <w:r w:rsidRPr="00477D8F">
        <w:rPr>
          <w:rFonts w:ascii="Sylfaen" w:hAnsi="Sylfaen" w:cs="Times New Roman"/>
          <w:bCs/>
        </w:rPr>
        <w:t xml:space="preserve"> which is higher than the SSA average (13 percent)</w:t>
      </w:r>
      <w:r w:rsidR="003802F9" w:rsidRPr="00477D8F">
        <w:rPr>
          <w:rFonts w:ascii="Sylfaen" w:hAnsi="Sylfaen" w:cs="Times New Roman"/>
          <w:bCs/>
        </w:rPr>
        <w:t>,</w:t>
      </w:r>
      <w:r w:rsidRPr="00477D8F">
        <w:rPr>
          <w:rFonts w:ascii="Sylfaen" w:hAnsi="Sylfaen" w:cs="Times New Roman"/>
          <w:bCs/>
        </w:rPr>
        <w:t xml:space="preserve"> and spends about 27 percent at the secondary level</w:t>
      </w:r>
      <w:r w:rsidR="003802F9" w:rsidRPr="00477D8F">
        <w:rPr>
          <w:rFonts w:ascii="Sylfaen" w:hAnsi="Sylfaen" w:cs="Times New Roman"/>
          <w:bCs/>
        </w:rPr>
        <w:t>,</w:t>
      </w:r>
      <w:r w:rsidRPr="00477D8F">
        <w:rPr>
          <w:rFonts w:ascii="Sylfaen" w:hAnsi="Sylfaen" w:cs="Times New Roman"/>
          <w:bCs/>
        </w:rPr>
        <w:t xml:space="preserve"> which is slightly above the SSA average (22 percent)</w:t>
      </w:r>
      <w:r w:rsidR="00DE1AFB" w:rsidRPr="00477D8F">
        <w:rPr>
          <w:rFonts w:ascii="Sylfaen" w:hAnsi="Sylfaen" w:cs="Times New Roman"/>
          <w:bCs/>
        </w:rPr>
        <w:t>.</w:t>
      </w:r>
      <w:r w:rsidRPr="00477D8F">
        <w:rPr>
          <w:rFonts w:ascii="Sylfaen" w:hAnsi="Sylfaen"/>
        </w:rPr>
        <w:t xml:space="preserve"> Increasing the unit cost might not be sustainable given the fiscal constraints facing the country and the large number of out-of-school children who still need to be accommodated into the system.</w:t>
      </w:r>
    </w:p>
    <w:p w14:paraId="0CC2C5F7" w14:textId="28B84AF5" w:rsidR="00D855E6" w:rsidRPr="00477D8F" w:rsidRDefault="00D855E6" w:rsidP="00D855E6">
      <w:pPr>
        <w:keepNext/>
        <w:spacing w:before="240" w:after="240" w:line="240" w:lineRule="auto"/>
        <w:jc w:val="both"/>
        <w:rPr>
          <w:rFonts w:ascii="Sylfaen" w:hAnsi="Sylfaen" w:cs="Times New Roman"/>
          <w:b/>
        </w:rPr>
      </w:pPr>
      <w:r w:rsidRPr="00477D8F">
        <w:rPr>
          <w:rFonts w:ascii="Sylfaen" w:hAnsi="Sylfaen" w:cs="Times New Roman"/>
          <w:b/>
        </w:rPr>
        <w:t xml:space="preserve">Ensuring public resources serve to improve equity through relevant intervention instruments </w:t>
      </w:r>
    </w:p>
    <w:p w14:paraId="27314476" w14:textId="657219BB"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 xml:space="preserve">Pro-poor education policy intervention programs focusing on marginalized communities should be instrumented. Provision of financial support or vouchers for children from poor families would make school more affordable and help them overcome other socioeconomic-related barriers. Although the government has implemented several interventions to reduce regional and gender disparities, inequality in access to education remains a challenge across geographical zones and income status, with a </w:t>
      </w:r>
      <w:r w:rsidRPr="00477D8F">
        <w:rPr>
          <w:rFonts w:ascii="Sylfaen" w:hAnsi="Sylfaen" w:cs="Times New Roman"/>
        </w:rPr>
        <w:t>higher</w:t>
      </w:r>
      <w:r w:rsidRPr="00477D8F">
        <w:rPr>
          <w:rFonts w:ascii="Sylfaen" w:hAnsi="Sylfaen"/>
        </w:rPr>
        <w:t xml:space="preserve"> incidence of out of school in rural areas, among children from the poorest quintile, and in regions 4–6. The cost of education remains unaffordable for the poorest, especially at the postsecondary level, given the high unit cost. More targeted intervention</w:t>
      </w:r>
      <w:r w:rsidR="001E1F70" w:rsidRPr="00477D8F">
        <w:rPr>
          <w:rFonts w:ascii="Sylfaen" w:hAnsi="Sylfaen"/>
        </w:rPr>
        <w:t>s</w:t>
      </w:r>
      <w:r w:rsidRPr="00477D8F">
        <w:rPr>
          <w:rFonts w:ascii="Sylfaen" w:hAnsi="Sylfaen"/>
        </w:rPr>
        <w:t xml:space="preserve"> such as conditional cash transfers (CCTs) should be employed to encourage parents to send their children to school or school feeding programs to target children from poor families, rural areas, and remote regions, as poverty is one of the key factors that hinder school participation.</w:t>
      </w:r>
    </w:p>
    <w:p w14:paraId="281C3165" w14:textId="74E48395"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lastRenderedPageBreak/>
        <w:t xml:space="preserve">The government should consider employing incentives such as girls’ scholarship or special community grant to make school environment conducive for girls and increase their completion of adequate level of education. The availability of adequate school inputs and favorable learning environments are </w:t>
      </w:r>
      <w:r w:rsidRPr="00477D8F">
        <w:rPr>
          <w:rFonts w:ascii="Sylfaen" w:hAnsi="Sylfaen" w:cs="Times New Roman"/>
        </w:rPr>
        <w:t>key</w:t>
      </w:r>
      <w:r w:rsidRPr="00477D8F">
        <w:rPr>
          <w:rFonts w:ascii="Sylfaen" w:hAnsi="Sylfaen"/>
        </w:rPr>
        <w:t xml:space="preserve"> for ensuring girls’ educational attainment and learning outcomes. As such, it is crucial that appropriate funds be earmarked to make the learning environment conducive to educational achievement. The disparities in the availability of adequate school infrastructures, including location of schools, are adversely linked to learning outcomes in The Gambia and affect the various school levels differently where girls tend to be affected the most</w:t>
      </w:r>
      <w:r w:rsidR="001E1F70" w:rsidRPr="00477D8F">
        <w:rPr>
          <w:rFonts w:ascii="Sylfaen" w:hAnsi="Sylfaen"/>
        </w:rPr>
        <w:t>,</w:t>
      </w:r>
      <w:r w:rsidRPr="00477D8F">
        <w:rPr>
          <w:rFonts w:ascii="Sylfaen" w:hAnsi="Sylfaen"/>
        </w:rPr>
        <w:t xml:space="preserve"> as observed for PCR. For example, in most of the remote regions, particularly region 5, there are overcrowded classrooms, poor classroom conditions, and limited separate toilet and water facilities and girls are the most affected group within the region. These regions also tend to have low learning outcomes.</w:t>
      </w:r>
    </w:p>
    <w:p w14:paraId="5C9FB0F4" w14:textId="7D98E496" w:rsidR="00D855E6" w:rsidRPr="00477D8F" w:rsidRDefault="00D855E6" w:rsidP="00D855E6">
      <w:pPr>
        <w:keepNext/>
        <w:spacing w:before="240" w:after="240" w:line="240" w:lineRule="auto"/>
        <w:jc w:val="both"/>
        <w:rPr>
          <w:rFonts w:ascii="Sylfaen" w:hAnsi="Sylfaen" w:cs="Times New Roman"/>
          <w:b/>
        </w:rPr>
      </w:pPr>
      <w:r w:rsidRPr="00477D8F">
        <w:rPr>
          <w:rFonts w:ascii="Sylfaen" w:hAnsi="Sylfaen" w:cs="Times New Roman"/>
          <w:b/>
        </w:rPr>
        <w:t>Improving capacity building to better evaluate service delivery, learning outcomes, and foster a resilient education system</w:t>
      </w:r>
    </w:p>
    <w:p w14:paraId="7554627E" w14:textId="7A8853D8"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 xml:space="preserve">Improve the budget elaboration and preparation process to clearly reflect each level of education and the sectoral priorities of the government, especially with respect to the attainment of the SDGs. The budget preparation and elaboration process needs to reflect the sectoral priorities both at the allocation and at the execution stage. The current budget nomenclature is not aligned with the government’s education priorities and goals and does not allow an effective monitoring and evaluation (M&amp;E) of the policy outcomes. For example, the budget code for some preprimary, primary, and lower secondary items are combined, even though each level of education has a specific target to achieve as outlined in the sector strategy. Furthermore, the nonalignment of the budget to the sector targets makes it difficult to raise local and international resources to achieve global targets such as the SDGs or even allow timely M&amp;E of the effectiveness the programs. Therefore, it is important to have a budget that allows a breakdown of all levels of education separately. </w:t>
      </w:r>
    </w:p>
    <w:p w14:paraId="41538485" w14:textId="4B0934C0"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 xml:space="preserve">The government should develop standardized learning instruments for better assessment and evaluation of learning outcomes over time. The Gambia should establish a standardized assessment at all levels of education to allow for comparability of results across time following elaboration of assessments based on the international standard. Appropriate instruments are missing to evaluate progress on learning outcomes over time—the existing instruments such as </w:t>
      </w:r>
      <w:r w:rsidRPr="00477D8F">
        <w:rPr>
          <w:rFonts w:ascii="Sylfaen" w:hAnsi="Sylfaen" w:cs="Times New Roman"/>
        </w:rPr>
        <w:t xml:space="preserve">National Assessment Test (NAT), Gambia Basic Education Certificate Examination (GABECE), and the West African Secondary School Certificate Examinations (WASSCE) </w:t>
      </w:r>
      <w:r w:rsidRPr="00477D8F">
        <w:rPr>
          <w:rFonts w:ascii="Sylfaen" w:hAnsi="Sylfaen"/>
        </w:rPr>
        <w:t xml:space="preserve">are not adequate to assess learning outcomes over time. A standardized learning assessment system is key to ensuring consistent and reliable evaluation of learning outcomes. In addition, it is important to allocate an appropriate share of the budget (at least 20 percent) to non-salary school level to provide sufficient school inputs and learning materials for better learning outcomes. LBSs are most affected by the shortage of school inputs and infrastructure. Given that spending on this level of education benefits the poor the most, increasing the share of non-salary funding at the school level will have a positive effect on the quality of education and the added benefit of improving the inequitable distribution of resources as well. </w:t>
      </w:r>
    </w:p>
    <w:p w14:paraId="3C0FA8D3" w14:textId="26E79BA3"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Strengthen school development plan committees and other types of community-level grassroots mobilization to create awareness o</w:t>
      </w:r>
      <w:r w:rsidR="00114EDF" w:rsidRPr="00477D8F">
        <w:rPr>
          <w:rFonts w:ascii="Sylfaen" w:hAnsi="Sylfaen"/>
          <w:bCs/>
        </w:rPr>
        <w:t>n</w:t>
      </w:r>
      <w:r w:rsidRPr="00477D8F">
        <w:rPr>
          <w:rFonts w:ascii="Sylfaen" w:hAnsi="Sylfaen"/>
        </w:rPr>
        <w:t xml:space="preserve"> education, including developing sensitization campaigns for communities where participation in conventional public schools is low. This could be combined </w:t>
      </w:r>
      <w:r w:rsidRPr="00477D8F">
        <w:rPr>
          <w:rFonts w:ascii="Sylfaen" w:hAnsi="Sylfaen"/>
        </w:rPr>
        <w:lastRenderedPageBreak/>
        <w:t>with exploring opportunities to meet community demand while at the same time focusing on clear learning outcomes and equity measures. This may include provision of inputs (school feeding) and/or incorporation of religious instruction in exchange for commitments to provide the official curriculum and continued engagement with the community.</w:t>
      </w:r>
    </w:p>
    <w:p w14:paraId="3FCC7D92" w14:textId="1DF314E6"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cs="Times New Roman"/>
        </w:rPr>
      </w:pPr>
      <w:r w:rsidRPr="00477D8F">
        <w:rPr>
          <w:rFonts w:ascii="Sylfaen" w:hAnsi="Sylfaen"/>
        </w:rPr>
        <w:t>Enhance public-private partnerships (PPPs) focusing on marginalized populations in addition to the current partnership in Madrassah schools.</w:t>
      </w:r>
      <w:r w:rsidRPr="00477D8F">
        <w:rPr>
          <w:rStyle w:val="FootnoteReference"/>
          <w:rFonts w:ascii="Sylfaen" w:hAnsi="Sylfaen"/>
        </w:rPr>
        <w:footnoteReference w:id="5"/>
      </w:r>
      <w:r w:rsidRPr="00477D8F">
        <w:rPr>
          <w:rFonts w:ascii="Sylfaen" w:hAnsi="Sylfaen"/>
        </w:rPr>
        <w:t xml:space="preserve"> Given that local private schools are more culture and community oriented, there are clear benefits from extending conventional private participation where the out-of-school issue is critical and providing additional support to integrate more Madrassah schools under the AMANA </w:t>
      </w:r>
      <w:r w:rsidRPr="00477D8F">
        <w:rPr>
          <w:rFonts w:ascii="Sylfaen" w:hAnsi="Sylfaen" w:cs="Times New Roman"/>
        </w:rPr>
        <w:t>system</w:t>
      </w:r>
      <w:r w:rsidRPr="00477D8F">
        <w:rPr>
          <w:rFonts w:ascii="Sylfaen" w:hAnsi="Sylfaen"/>
        </w:rPr>
        <w:t>. This can be done, for example, by providing grants to private schools to enroll children from poor households and communities where the out-of-school incidence is high.</w:t>
      </w:r>
    </w:p>
    <w:p w14:paraId="22FA187E" w14:textId="1ADE6ADA"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 xml:space="preserve">Strengthen the </w:t>
      </w:r>
      <w:r w:rsidRPr="00477D8F">
        <w:rPr>
          <w:rFonts w:ascii="Sylfaen" w:hAnsi="Sylfaen"/>
          <w:bCs/>
        </w:rPr>
        <w:t>Education Management Information System</w:t>
      </w:r>
      <w:r w:rsidRPr="00477D8F">
        <w:rPr>
          <w:rFonts w:ascii="Sylfaen" w:hAnsi="Sylfaen"/>
        </w:rPr>
        <w:t xml:space="preserve"> (EMIS) capacity by providing adequate technical and financial resources to produce reliable and consistent data for policy making and to ensure that all necessary indicators such as non-teaching staff are being captured in the data collected. The postsecondary-level EMIS in particular requires further </w:t>
      </w:r>
      <w:r w:rsidRPr="00477D8F">
        <w:rPr>
          <w:rFonts w:ascii="Sylfaen" w:hAnsi="Sylfaen" w:cs="Times New Roman"/>
        </w:rPr>
        <w:t>advancement</w:t>
      </w:r>
      <w:r w:rsidRPr="00477D8F">
        <w:rPr>
          <w:rFonts w:ascii="Sylfaen" w:hAnsi="Sylfaen"/>
        </w:rPr>
        <w:t>. Further, although the EMIS database is well developed in the MoBSE, it does not capture adequate staff information to assess other dimensions of efficiency such as share of non-teaching staff at both the MoBSE and the MoHERST. The availability of adequate and systematically collected data on all facets of education, including non-teaching staff, is key to ensure sound M&amp;E and inform data-driven decision making.</w:t>
      </w:r>
    </w:p>
    <w:p w14:paraId="6F8A5411" w14:textId="61B5EBE9" w:rsidR="00D855E6" w:rsidRPr="00477D8F" w:rsidRDefault="00D855E6" w:rsidP="00D855E6">
      <w:pPr>
        <w:keepNext/>
        <w:spacing w:before="240" w:after="240" w:line="240" w:lineRule="auto"/>
        <w:jc w:val="both"/>
        <w:rPr>
          <w:rFonts w:ascii="Sylfaen" w:hAnsi="Sylfaen" w:cs="Times New Roman"/>
          <w:b/>
        </w:rPr>
      </w:pPr>
      <w:r w:rsidRPr="00477D8F">
        <w:rPr>
          <w:rFonts w:ascii="Sylfaen" w:hAnsi="Sylfaen" w:cs="Times New Roman"/>
          <w:b/>
        </w:rPr>
        <w:t xml:space="preserve">Improving the human capital development of the labor force through adequate provision of second chance education programs and raising the educational attainment among those who may have failed to complete their studies or who have never been to school </w:t>
      </w:r>
    </w:p>
    <w:p w14:paraId="28C7F628" w14:textId="00F420A0"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 xml:space="preserve">Develop an appropriate distribution of the budget based on preset criteria and sector priorities to provide consistent and productive service delivery at all levels of education. This requires strategic planning of skills needed and an effective budget allocation to the correct levels of education to develop such skills. The increase in the human capital stock of the country would enable The Gambia to better meet the needs of the sectors and align the education sector with the evolving labor demand needs. The private </w:t>
      </w:r>
      <w:r w:rsidRPr="00477D8F">
        <w:rPr>
          <w:rFonts w:ascii="Sylfaen" w:hAnsi="Sylfaen" w:cs="Times New Roman"/>
        </w:rPr>
        <w:t>returns</w:t>
      </w:r>
      <w:r w:rsidRPr="00477D8F">
        <w:rPr>
          <w:rFonts w:ascii="Sylfaen" w:hAnsi="Sylfaen"/>
        </w:rPr>
        <w:t xml:space="preserve"> to education are positive for all levels of education and more educated people tend to work for the public sector. However, the working-age population, on average, has not completed primary education (having an average of 3.7 years of schooling) and about 58 percent of them have no formal education. This has significant implications on The Gambia’s economic growth and global competitiveness. Given that the country depends </w:t>
      </w:r>
      <w:r w:rsidR="00114EDF" w:rsidRPr="00477D8F">
        <w:rPr>
          <w:rFonts w:ascii="Sylfaen" w:hAnsi="Sylfaen"/>
        </w:rPr>
        <w:t xml:space="preserve">heavily </w:t>
      </w:r>
      <w:r w:rsidRPr="00477D8F">
        <w:rPr>
          <w:rFonts w:ascii="Sylfaen" w:hAnsi="Sylfaen"/>
        </w:rPr>
        <w:t>on the services sector which requires skills, the country should increase investment in human capital for economic growth to better compete in the global economy.</w:t>
      </w:r>
    </w:p>
    <w:p w14:paraId="1A3B1840" w14:textId="309437F3" w:rsidR="00D855E6" w:rsidRPr="00477D8F" w:rsidRDefault="00D855E6" w:rsidP="00D855E6">
      <w:pPr>
        <w:pStyle w:val="ListParagraph"/>
        <w:numPr>
          <w:ilvl w:val="0"/>
          <w:numId w:val="26"/>
        </w:numPr>
        <w:spacing w:before="240" w:after="0" w:line="240" w:lineRule="auto"/>
        <w:ind w:left="0" w:firstLine="0"/>
        <w:contextualSpacing w:val="0"/>
        <w:jc w:val="both"/>
        <w:rPr>
          <w:rFonts w:ascii="Sylfaen" w:hAnsi="Sylfaen"/>
        </w:rPr>
      </w:pPr>
      <w:r w:rsidRPr="00477D8F">
        <w:rPr>
          <w:rFonts w:ascii="Sylfaen" w:hAnsi="Sylfaen"/>
        </w:rPr>
        <w:t xml:space="preserve">The government should consider the expansion of alternative learning programs to provide second chance </w:t>
      </w:r>
      <w:r w:rsidRPr="00477D8F">
        <w:rPr>
          <w:rFonts w:ascii="Sylfaen" w:hAnsi="Sylfaen" w:cs="Times New Roman"/>
        </w:rPr>
        <w:t>education</w:t>
      </w:r>
      <w:r w:rsidRPr="00477D8F">
        <w:rPr>
          <w:rFonts w:ascii="Sylfaen" w:hAnsi="Sylfaen"/>
        </w:rPr>
        <w:t xml:space="preserve"> for parents and youth, giving them the opportunity to overcome educational and lifetime living standard gaps. Adequate provision of basic education opportunities for parents could have positive effects, not only in raising their own education level but also in motivating them to send their own children to school</w:t>
      </w:r>
      <w:r w:rsidR="00114EDF" w:rsidRPr="00477D8F">
        <w:rPr>
          <w:rFonts w:ascii="Sylfaen" w:hAnsi="Sylfaen"/>
        </w:rPr>
        <w:t>,</w:t>
      </w:r>
      <w:r w:rsidRPr="00477D8F">
        <w:rPr>
          <w:rFonts w:ascii="Sylfaen" w:hAnsi="Sylfaen"/>
        </w:rPr>
        <w:t xml:space="preserve"> and </w:t>
      </w:r>
      <w:r w:rsidR="00114EDF" w:rsidRPr="00477D8F">
        <w:rPr>
          <w:rFonts w:ascii="Sylfaen" w:hAnsi="Sylfaen"/>
        </w:rPr>
        <w:t xml:space="preserve">could </w:t>
      </w:r>
      <w:r w:rsidRPr="00477D8F">
        <w:rPr>
          <w:rFonts w:ascii="Sylfaen" w:hAnsi="Sylfaen"/>
        </w:rPr>
        <w:t xml:space="preserve">gradually narrow the inequality gap and cultural barriers. For </w:t>
      </w:r>
      <w:r w:rsidRPr="00477D8F">
        <w:rPr>
          <w:rFonts w:ascii="Sylfaen" w:hAnsi="Sylfaen"/>
        </w:rPr>
        <w:lastRenderedPageBreak/>
        <w:t xml:space="preserve">example, given that the out-of-school issue is most pressing in the remote regions, where poverty rates are higher, parents are less educated, religious factors are high, and resources are sparser, funds could be dedicated to increasing the public provision of schooling. </w:t>
      </w:r>
    </w:p>
    <w:p w14:paraId="681E202C" w14:textId="425442CA" w:rsidR="00D855E6" w:rsidRPr="00477D8F" w:rsidRDefault="00D855E6" w:rsidP="00D855E6">
      <w:pPr>
        <w:keepNext/>
        <w:spacing w:before="240" w:after="240" w:line="240" w:lineRule="auto"/>
        <w:rPr>
          <w:rFonts w:ascii="Sylfaen" w:hAnsi="Sylfaen"/>
          <w:color w:val="5B9BD5" w:themeColor="accent1"/>
          <w:sz w:val="24"/>
          <w:szCs w:val="24"/>
        </w:rPr>
      </w:pPr>
      <w:r w:rsidRPr="00477D8F">
        <w:rPr>
          <w:rFonts w:ascii="Sylfaen" w:hAnsi="Sylfaen"/>
          <w:color w:val="5B9BD5" w:themeColor="accent1"/>
          <w:sz w:val="24"/>
          <w:szCs w:val="24"/>
        </w:rPr>
        <w:t xml:space="preserve">Matrix for </w:t>
      </w:r>
      <w:r w:rsidR="00451B1B" w:rsidRPr="00477D8F">
        <w:rPr>
          <w:rFonts w:ascii="Sylfaen" w:hAnsi="Sylfaen"/>
          <w:color w:val="5B9BD5" w:themeColor="accent1"/>
          <w:sz w:val="24"/>
          <w:szCs w:val="24"/>
        </w:rPr>
        <w:t>policy recommendations</w:t>
      </w:r>
    </w:p>
    <w:p w14:paraId="66C5186A" w14:textId="656AE12C" w:rsidR="00D855E6" w:rsidRPr="00477D8F" w:rsidRDefault="00AD6395" w:rsidP="00D855E6">
      <w:pPr>
        <w:pStyle w:val="ListParagraph"/>
        <w:numPr>
          <w:ilvl w:val="0"/>
          <w:numId w:val="26"/>
        </w:numPr>
        <w:spacing w:before="240" w:after="240" w:line="240" w:lineRule="auto"/>
        <w:ind w:left="0" w:firstLine="0"/>
        <w:contextualSpacing w:val="0"/>
        <w:jc w:val="both"/>
        <w:rPr>
          <w:rFonts w:ascii="Sylfaen" w:hAnsi="Sylfaen" w:cs="Times New Roman"/>
        </w:rPr>
      </w:pPr>
      <w:r w:rsidRPr="00477D8F">
        <w:rPr>
          <w:rFonts w:ascii="Sylfaen" w:hAnsi="Sylfaen" w:cs="Times New Roman"/>
        </w:rPr>
        <w:fldChar w:fldCharType="begin"/>
      </w:r>
      <w:r w:rsidRPr="00477D8F">
        <w:rPr>
          <w:rFonts w:ascii="Sylfaen" w:eastAsiaTheme="majorEastAsia" w:hAnsi="Sylfaen" w:cstheme="majorBidi"/>
          <w:bCs/>
        </w:rPr>
        <w:instrText xml:space="preserve"> REF _Ref496883512 \h </w:instrText>
      </w:r>
      <w:r w:rsidRPr="00477D8F">
        <w:rPr>
          <w:rFonts w:ascii="Sylfaen" w:hAnsi="Sylfaen" w:cs="Times New Roman"/>
        </w:rPr>
        <w:instrText xml:space="preserve"> \* MERGEFORMAT </w:instrText>
      </w:r>
      <w:r w:rsidRPr="00477D8F">
        <w:rPr>
          <w:rFonts w:ascii="Sylfaen" w:hAnsi="Sylfaen" w:cs="Times New Roman"/>
        </w:rPr>
      </w:r>
      <w:r w:rsidRPr="00477D8F">
        <w:rPr>
          <w:rFonts w:ascii="Sylfaen" w:hAnsi="Sylfaen" w:cs="Times New Roman"/>
        </w:rPr>
        <w:fldChar w:fldCharType="separate"/>
      </w:r>
      <w:r w:rsidRPr="00477D8F">
        <w:rPr>
          <w:rFonts w:ascii="Sylfaen" w:hAnsi="Sylfaen"/>
        </w:rPr>
        <w:t>Table E.</w:t>
      </w:r>
      <w:r w:rsidRPr="00477D8F">
        <w:rPr>
          <w:rFonts w:ascii="Sylfaen" w:hAnsi="Sylfaen"/>
          <w:noProof/>
        </w:rPr>
        <w:t>1</w:t>
      </w:r>
      <w:r w:rsidRPr="00477D8F">
        <w:rPr>
          <w:rFonts w:ascii="Sylfaen" w:hAnsi="Sylfaen" w:cs="Times New Roman"/>
        </w:rPr>
        <w:fldChar w:fldCharType="end"/>
      </w:r>
      <w:r w:rsidRPr="00477D8F">
        <w:rPr>
          <w:rFonts w:ascii="Sylfaen" w:hAnsi="Sylfaen" w:cs="Times New Roman"/>
        </w:rPr>
        <w:t xml:space="preserve"> </w:t>
      </w:r>
      <w:r w:rsidR="00D855E6" w:rsidRPr="00477D8F">
        <w:rPr>
          <w:rFonts w:ascii="Sylfaen" w:eastAsiaTheme="majorEastAsia" w:hAnsi="Sylfaen" w:cstheme="majorBidi"/>
          <w:bCs/>
        </w:rPr>
        <w:t>summarizes</w:t>
      </w:r>
      <w:r w:rsidR="00D855E6" w:rsidRPr="00477D8F">
        <w:rPr>
          <w:rFonts w:ascii="Sylfaen" w:hAnsi="Sylfaen" w:cs="Times New Roman"/>
        </w:rPr>
        <w:t xml:space="preserve"> the policy recommendations put forth, highlighting sequencing of actions (steps) for effective implementation of the recommendations to improve both equity and efficiency. The matrix also suggests a time line for the policy action where some recommendations require immediate action but may require a longer time to be effectively completed. In this matrix, it was assumed that activities indicated as ‘short term’ are the ones that can be implemented in the next 1–2 years, medium term is 3–5 years, and long term is more than 5 years.</w:t>
      </w:r>
    </w:p>
    <w:p w14:paraId="324691F2" w14:textId="0F86DFEB" w:rsidR="00D855E6" w:rsidRPr="00477D8F" w:rsidRDefault="00AD6395" w:rsidP="00AD6395">
      <w:pPr>
        <w:pStyle w:val="Caption1"/>
      </w:pPr>
      <w:bookmarkStart w:id="11" w:name="_Ref496883512"/>
      <w:bookmarkStart w:id="12" w:name="_Toc497170684"/>
      <w:r w:rsidRPr="00477D8F">
        <w:t>Table E.</w:t>
      </w:r>
      <w:r w:rsidR="002E5BDF" w:rsidRPr="00477D8F">
        <w:fldChar w:fldCharType="begin"/>
      </w:r>
      <w:r w:rsidR="002E5BDF" w:rsidRPr="00477D8F">
        <w:instrText xml:space="preserve"> SEQ Table_E. \* ARABIC </w:instrText>
      </w:r>
      <w:r w:rsidR="002E5BDF" w:rsidRPr="00477D8F">
        <w:fldChar w:fldCharType="separate"/>
      </w:r>
      <w:r w:rsidRPr="00477D8F">
        <w:rPr>
          <w:noProof/>
        </w:rPr>
        <w:t>1</w:t>
      </w:r>
      <w:r w:rsidR="002E5BDF" w:rsidRPr="00477D8F">
        <w:rPr>
          <w:noProof/>
        </w:rPr>
        <w:fldChar w:fldCharType="end"/>
      </w:r>
      <w:bookmarkEnd w:id="11"/>
      <w:r w:rsidRPr="00477D8F">
        <w:t xml:space="preserve">: </w:t>
      </w:r>
      <w:r w:rsidR="00E702DC" w:rsidRPr="00477D8F">
        <w:t>Matrix for p</w:t>
      </w:r>
      <w:r w:rsidR="00D855E6" w:rsidRPr="00477D8F">
        <w:t>olicy recommendations</w:t>
      </w:r>
      <w:bookmarkEnd w:id="12"/>
    </w:p>
    <w:tbl>
      <w:tblPr>
        <w:tblW w:w="946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9"/>
        <w:gridCol w:w="1439"/>
        <w:gridCol w:w="4350"/>
        <w:gridCol w:w="1096"/>
        <w:gridCol w:w="1403"/>
      </w:tblGrid>
      <w:tr w:rsidR="00D855E6" w:rsidRPr="00477D8F" w14:paraId="1A7E31F3" w14:textId="77777777" w:rsidTr="005309E0">
        <w:trPr>
          <w:trHeight w:val="300"/>
          <w:tblHeader/>
        </w:trPr>
        <w:tc>
          <w:tcPr>
            <w:tcW w:w="1179" w:type="dxa"/>
            <w:shd w:val="clear" w:color="000000" w:fill="FFFFFF"/>
            <w:vAlign w:val="center"/>
            <w:hideMark/>
          </w:tcPr>
          <w:p w14:paraId="5859B8EB" w14:textId="77777777" w:rsidR="00D855E6" w:rsidRPr="00477D8F" w:rsidRDefault="00D855E6" w:rsidP="00D31914">
            <w:pPr>
              <w:spacing w:after="0" w:line="240" w:lineRule="auto"/>
              <w:jc w:val="center"/>
              <w:rPr>
                <w:rFonts w:ascii="Sylfaen" w:eastAsia="Times New Roman" w:hAnsi="Sylfaen" w:cs="Calibri"/>
                <w:b/>
                <w:color w:val="000000"/>
                <w:sz w:val="20"/>
                <w:szCs w:val="20"/>
              </w:rPr>
            </w:pPr>
            <w:r w:rsidRPr="00477D8F">
              <w:rPr>
                <w:rFonts w:ascii="Sylfaen" w:eastAsia="Times New Roman" w:hAnsi="Sylfaen" w:cs="Calibri"/>
                <w:b/>
                <w:color w:val="000000"/>
                <w:sz w:val="20"/>
                <w:szCs w:val="20"/>
              </w:rPr>
              <w:t>Area/Issue</w:t>
            </w:r>
          </w:p>
        </w:tc>
        <w:tc>
          <w:tcPr>
            <w:tcW w:w="1439" w:type="dxa"/>
            <w:shd w:val="clear" w:color="000000" w:fill="FFFFFF"/>
            <w:vAlign w:val="center"/>
            <w:hideMark/>
          </w:tcPr>
          <w:p w14:paraId="0517FE92" w14:textId="77777777" w:rsidR="00D855E6" w:rsidRPr="00477D8F" w:rsidRDefault="00D855E6" w:rsidP="00D31914">
            <w:pPr>
              <w:spacing w:after="0" w:line="240" w:lineRule="auto"/>
              <w:jc w:val="center"/>
              <w:rPr>
                <w:rFonts w:ascii="Sylfaen" w:eastAsia="Times New Roman" w:hAnsi="Sylfaen" w:cs="Calibri"/>
                <w:b/>
                <w:color w:val="000000"/>
                <w:sz w:val="20"/>
                <w:szCs w:val="20"/>
              </w:rPr>
            </w:pPr>
            <w:r w:rsidRPr="00477D8F">
              <w:rPr>
                <w:rFonts w:ascii="Sylfaen" w:eastAsia="Times New Roman" w:hAnsi="Sylfaen" w:cs="Calibri"/>
                <w:b/>
                <w:color w:val="000000"/>
                <w:sz w:val="20"/>
                <w:szCs w:val="20"/>
              </w:rPr>
              <w:t>Policy</w:t>
            </w:r>
          </w:p>
        </w:tc>
        <w:tc>
          <w:tcPr>
            <w:tcW w:w="4350" w:type="dxa"/>
            <w:shd w:val="clear" w:color="000000" w:fill="FFFFFF"/>
            <w:vAlign w:val="center"/>
            <w:hideMark/>
          </w:tcPr>
          <w:p w14:paraId="048DC96F" w14:textId="77777777" w:rsidR="00D855E6" w:rsidRPr="00477D8F" w:rsidRDefault="00D855E6" w:rsidP="00D31914">
            <w:pPr>
              <w:spacing w:after="0" w:line="240" w:lineRule="auto"/>
              <w:jc w:val="center"/>
              <w:rPr>
                <w:rFonts w:ascii="Sylfaen" w:eastAsia="Times New Roman" w:hAnsi="Sylfaen" w:cs="Calibri"/>
                <w:b/>
                <w:color w:val="000000"/>
                <w:sz w:val="20"/>
                <w:szCs w:val="20"/>
              </w:rPr>
            </w:pPr>
            <w:r w:rsidRPr="00477D8F">
              <w:rPr>
                <w:rFonts w:ascii="Sylfaen" w:eastAsia="Times New Roman" w:hAnsi="Sylfaen" w:cs="Calibri"/>
                <w:b/>
                <w:color w:val="000000"/>
                <w:sz w:val="20"/>
                <w:szCs w:val="20"/>
              </w:rPr>
              <w:t>Action</w:t>
            </w:r>
          </w:p>
        </w:tc>
        <w:tc>
          <w:tcPr>
            <w:tcW w:w="1096" w:type="dxa"/>
            <w:shd w:val="clear" w:color="000000" w:fill="FFFFFF"/>
            <w:vAlign w:val="center"/>
            <w:hideMark/>
          </w:tcPr>
          <w:p w14:paraId="4E75691C" w14:textId="77777777" w:rsidR="00D855E6" w:rsidRPr="00477D8F" w:rsidRDefault="00D855E6" w:rsidP="00D31914">
            <w:pPr>
              <w:spacing w:after="0" w:line="240" w:lineRule="auto"/>
              <w:jc w:val="center"/>
              <w:rPr>
                <w:rFonts w:ascii="Sylfaen" w:eastAsia="Times New Roman" w:hAnsi="Sylfaen" w:cs="Calibri"/>
                <w:b/>
                <w:color w:val="000000"/>
                <w:sz w:val="20"/>
                <w:szCs w:val="20"/>
              </w:rPr>
            </w:pPr>
            <w:r w:rsidRPr="00477D8F">
              <w:rPr>
                <w:rFonts w:ascii="Sylfaen" w:eastAsia="Times New Roman" w:hAnsi="Sylfaen" w:cs="Calibri"/>
                <w:b/>
                <w:color w:val="000000"/>
                <w:sz w:val="20"/>
                <w:szCs w:val="20"/>
              </w:rPr>
              <w:t>Timeline</w:t>
            </w:r>
          </w:p>
        </w:tc>
        <w:tc>
          <w:tcPr>
            <w:tcW w:w="1403" w:type="dxa"/>
            <w:shd w:val="clear" w:color="000000" w:fill="FFFFFF"/>
            <w:vAlign w:val="center"/>
            <w:hideMark/>
          </w:tcPr>
          <w:p w14:paraId="094E4372" w14:textId="77777777" w:rsidR="00D855E6" w:rsidRPr="00477D8F" w:rsidRDefault="00D855E6" w:rsidP="00D31914">
            <w:pPr>
              <w:spacing w:after="0" w:line="240" w:lineRule="auto"/>
              <w:jc w:val="center"/>
              <w:rPr>
                <w:rFonts w:ascii="Sylfaen" w:eastAsia="Times New Roman" w:hAnsi="Sylfaen" w:cs="Calibri"/>
                <w:b/>
                <w:color w:val="000000"/>
                <w:sz w:val="20"/>
                <w:szCs w:val="20"/>
              </w:rPr>
            </w:pPr>
            <w:r w:rsidRPr="00477D8F">
              <w:rPr>
                <w:rFonts w:ascii="Sylfaen" w:eastAsia="Times New Roman" w:hAnsi="Sylfaen" w:cs="Calibri"/>
                <w:b/>
                <w:color w:val="000000"/>
                <w:sz w:val="20"/>
                <w:szCs w:val="20"/>
              </w:rPr>
              <w:t>Responsible Unit</w:t>
            </w:r>
          </w:p>
        </w:tc>
      </w:tr>
      <w:tr w:rsidR="00D855E6" w:rsidRPr="00477D8F" w14:paraId="62A8AAE1" w14:textId="77777777" w:rsidTr="00FB50FA">
        <w:trPr>
          <w:cantSplit/>
          <w:trHeight w:val="20"/>
        </w:trPr>
        <w:tc>
          <w:tcPr>
            <w:tcW w:w="1179" w:type="dxa"/>
            <w:vMerge w:val="restart"/>
            <w:shd w:val="clear" w:color="000000" w:fill="FFFFFF"/>
            <w:textDirection w:val="btLr"/>
            <w:vAlign w:val="center"/>
            <w:hideMark/>
          </w:tcPr>
          <w:p w14:paraId="764F0054" w14:textId="77777777" w:rsidR="00D855E6" w:rsidRPr="00477D8F" w:rsidRDefault="00D855E6" w:rsidP="00D31914">
            <w:pPr>
              <w:spacing w:after="0" w:line="240" w:lineRule="auto"/>
              <w:jc w:val="center"/>
              <w:rPr>
                <w:rFonts w:ascii="Sylfaen" w:eastAsia="Times New Roman" w:hAnsi="Sylfaen" w:cs="Calibri"/>
                <w:color w:val="000000"/>
                <w:sz w:val="20"/>
                <w:szCs w:val="20"/>
              </w:rPr>
            </w:pPr>
            <w:r w:rsidRPr="00477D8F">
              <w:rPr>
                <w:rFonts w:ascii="Sylfaen" w:eastAsia="Times New Roman" w:hAnsi="Sylfaen" w:cs="Calibri"/>
                <w:color w:val="000000"/>
                <w:sz w:val="20"/>
                <w:szCs w:val="20"/>
              </w:rPr>
              <w:t xml:space="preserve">Improve efficiency to ensure sustainability </w:t>
            </w:r>
          </w:p>
        </w:tc>
        <w:tc>
          <w:tcPr>
            <w:tcW w:w="1439" w:type="dxa"/>
            <w:vMerge w:val="restart"/>
            <w:shd w:val="clear" w:color="000000" w:fill="FFFFFF"/>
            <w:hideMark/>
          </w:tcPr>
          <w:p w14:paraId="4FCC9A8A"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 xml:space="preserve">Ensure staff utilization is optimized </w:t>
            </w:r>
          </w:p>
        </w:tc>
        <w:tc>
          <w:tcPr>
            <w:tcW w:w="4350" w:type="dxa"/>
            <w:shd w:val="clear" w:color="auto" w:fill="auto"/>
            <w:noWrap/>
            <w:hideMark/>
          </w:tcPr>
          <w:p w14:paraId="77517C11" w14:textId="162443C6"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Audit staff and determine the actual number and subject mix of teachers in place</w:t>
            </w:r>
            <w:r w:rsidR="00A65437" w:rsidRPr="00477D8F">
              <w:rPr>
                <w:rFonts w:ascii="Sylfaen" w:hAnsi="Sylfaen"/>
                <w:color w:val="000000" w:themeColor="text1"/>
                <w:sz w:val="20"/>
                <w:szCs w:val="20"/>
              </w:rPr>
              <w:t>.</w:t>
            </w:r>
          </w:p>
        </w:tc>
        <w:tc>
          <w:tcPr>
            <w:tcW w:w="1096" w:type="dxa"/>
            <w:vMerge w:val="restart"/>
            <w:shd w:val="clear" w:color="000000" w:fill="FFFFFF"/>
            <w:hideMark/>
          </w:tcPr>
          <w:p w14:paraId="0C119383"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Short term</w:t>
            </w:r>
          </w:p>
        </w:tc>
        <w:tc>
          <w:tcPr>
            <w:tcW w:w="1403" w:type="dxa"/>
            <w:vMerge w:val="restart"/>
            <w:shd w:val="clear" w:color="000000" w:fill="FFFFFF"/>
            <w:hideMark/>
          </w:tcPr>
          <w:p w14:paraId="1954BB78"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 xml:space="preserve">MoBSE, MoHERST </w:t>
            </w:r>
          </w:p>
        </w:tc>
      </w:tr>
      <w:tr w:rsidR="00D855E6" w:rsidRPr="00477D8F" w14:paraId="7CEF727D" w14:textId="77777777" w:rsidTr="00FB50FA">
        <w:trPr>
          <w:cantSplit/>
          <w:trHeight w:val="20"/>
        </w:trPr>
        <w:tc>
          <w:tcPr>
            <w:tcW w:w="1179" w:type="dxa"/>
            <w:vMerge/>
            <w:vAlign w:val="center"/>
            <w:hideMark/>
          </w:tcPr>
          <w:p w14:paraId="7BB07418"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hideMark/>
          </w:tcPr>
          <w:p w14:paraId="3B62AE50"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4350" w:type="dxa"/>
            <w:shd w:val="clear" w:color="auto" w:fill="auto"/>
            <w:noWrap/>
            <w:hideMark/>
          </w:tcPr>
          <w:p w14:paraId="53C5F4A0" w14:textId="3998DE4D"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 xml:space="preserve">Ensure equal distribution of teachers based on a predetermined set of criteria including STR, classrooms, school size, subjects taught, and facilities available at </w:t>
            </w:r>
            <w:r w:rsidR="003C3074" w:rsidRPr="00477D8F">
              <w:rPr>
                <w:rFonts w:ascii="Sylfaen" w:hAnsi="Sylfaen"/>
                <w:color w:val="000000" w:themeColor="text1"/>
                <w:sz w:val="20"/>
                <w:szCs w:val="20"/>
              </w:rPr>
              <w:t xml:space="preserve">the </w:t>
            </w:r>
            <w:r w:rsidRPr="00477D8F">
              <w:rPr>
                <w:rFonts w:ascii="Sylfaen" w:hAnsi="Sylfaen"/>
                <w:color w:val="000000" w:themeColor="text1"/>
                <w:sz w:val="20"/>
                <w:szCs w:val="20"/>
              </w:rPr>
              <w:t>school level</w:t>
            </w:r>
            <w:r w:rsidR="00A65437" w:rsidRPr="00477D8F">
              <w:rPr>
                <w:rFonts w:ascii="Sylfaen" w:hAnsi="Sylfaen"/>
                <w:color w:val="000000" w:themeColor="text1"/>
                <w:sz w:val="20"/>
                <w:szCs w:val="20"/>
              </w:rPr>
              <w:t>.</w:t>
            </w:r>
          </w:p>
        </w:tc>
        <w:tc>
          <w:tcPr>
            <w:tcW w:w="1096" w:type="dxa"/>
            <w:vMerge/>
            <w:hideMark/>
          </w:tcPr>
          <w:p w14:paraId="6C46757D"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1403" w:type="dxa"/>
            <w:vMerge/>
            <w:hideMark/>
          </w:tcPr>
          <w:p w14:paraId="661634AB" w14:textId="77777777" w:rsidR="00D855E6" w:rsidRPr="00477D8F" w:rsidRDefault="00D855E6" w:rsidP="00FB50FA">
            <w:pPr>
              <w:spacing w:after="0" w:line="240" w:lineRule="auto"/>
              <w:rPr>
                <w:rFonts w:ascii="Sylfaen" w:eastAsia="Times New Roman" w:hAnsi="Sylfaen" w:cs="Calibri"/>
                <w:color w:val="000000"/>
                <w:sz w:val="20"/>
                <w:szCs w:val="20"/>
              </w:rPr>
            </w:pPr>
          </w:p>
        </w:tc>
      </w:tr>
      <w:tr w:rsidR="00D855E6" w:rsidRPr="00477D8F" w14:paraId="46936E59" w14:textId="77777777" w:rsidTr="00FB50FA">
        <w:trPr>
          <w:trHeight w:val="20"/>
        </w:trPr>
        <w:tc>
          <w:tcPr>
            <w:tcW w:w="1179" w:type="dxa"/>
            <w:vMerge/>
            <w:vAlign w:val="center"/>
            <w:hideMark/>
          </w:tcPr>
          <w:p w14:paraId="0908149B"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val="restart"/>
            <w:shd w:val="clear" w:color="000000" w:fill="FFFFFF"/>
            <w:hideMark/>
          </w:tcPr>
          <w:p w14:paraId="160B4711"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rPr>
              <w:t xml:space="preserve">Improve internal efficiency </w:t>
            </w:r>
          </w:p>
        </w:tc>
        <w:tc>
          <w:tcPr>
            <w:tcW w:w="4350" w:type="dxa"/>
            <w:shd w:val="clear" w:color="auto" w:fill="auto"/>
            <w:noWrap/>
            <w:hideMark/>
          </w:tcPr>
          <w:p w14:paraId="49B218F6" w14:textId="38950DA2"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Enforce mandatory enrollment age to reduce internal efficiency and increase completion</w:t>
            </w:r>
            <w:r w:rsidR="00A65437" w:rsidRPr="00477D8F">
              <w:rPr>
                <w:rFonts w:ascii="Sylfaen" w:hAnsi="Sylfaen"/>
                <w:color w:val="000000" w:themeColor="text1"/>
                <w:sz w:val="20"/>
                <w:szCs w:val="20"/>
              </w:rPr>
              <w:t>.</w:t>
            </w:r>
          </w:p>
        </w:tc>
        <w:tc>
          <w:tcPr>
            <w:tcW w:w="1096" w:type="dxa"/>
            <w:vMerge w:val="restart"/>
            <w:shd w:val="clear" w:color="000000" w:fill="FFFFFF"/>
            <w:hideMark/>
          </w:tcPr>
          <w:p w14:paraId="708EBF96" w14:textId="1CE2C92D"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rPr>
              <w:t> </w:t>
            </w:r>
            <w:r w:rsidRPr="00477D8F">
              <w:rPr>
                <w:rFonts w:ascii="Sylfaen" w:eastAsia="Times New Roman" w:hAnsi="Sylfaen" w:cs="Calibri"/>
                <w:color w:val="000000" w:themeColor="text1"/>
                <w:sz w:val="20"/>
                <w:szCs w:val="20"/>
              </w:rPr>
              <w:t>Short term</w:t>
            </w:r>
          </w:p>
        </w:tc>
        <w:tc>
          <w:tcPr>
            <w:tcW w:w="1403" w:type="dxa"/>
            <w:vMerge w:val="restart"/>
            <w:shd w:val="clear" w:color="000000" w:fill="FFFFFF"/>
            <w:hideMark/>
          </w:tcPr>
          <w:p w14:paraId="7821DFCB" w14:textId="5C803370"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rPr>
              <w:t> </w:t>
            </w:r>
            <w:r w:rsidR="00EA609F" w:rsidRPr="00477D8F">
              <w:rPr>
                <w:rFonts w:ascii="Sylfaen" w:eastAsia="Times New Roman" w:hAnsi="Sylfaen" w:cs="Calibri"/>
                <w:color w:val="000000" w:themeColor="text1"/>
                <w:sz w:val="20"/>
                <w:szCs w:val="20"/>
              </w:rPr>
              <w:t>MoBSE</w:t>
            </w:r>
          </w:p>
        </w:tc>
      </w:tr>
      <w:tr w:rsidR="00D855E6" w:rsidRPr="00477D8F" w14:paraId="125D8FBA" w14:textId="77777777" w:rsidTr="00FB50FA">
        <w:trPr>
          <w:trHeight w:val="20"/>
        </w:trPr>
        <w:tc>
          <w:tcPr>
            <w:tcW w:w="1179" w:type="dxa"/>
            <w:vMerge/>
            <w:vAlign w:val="center"/>
            <w:hideMark/>
          </w:tcPr>
          <w:p w14:paraId="20FD3310"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hideMark/>
          </w:tcPr>
          <w:p w14:paraId="2C9CA16A"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4350" w:type="dxa"/>
            <w:shd w:val="clear" w:color="auto" w:fill="auto"/>
            <w:noWrap/>
            <w:hideMark/>
          </w:tcPr>
          <w:p w14:paraId="0FE9269E" w14:textId="4938DBA3"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Institute automatic promotion at least within the primary education level to allow children to progress through the system with adequate support</w:t>
            </w:r>
            <w:r w:rsidR="00A65437" w:rsidRPr="00477D8F">
              <w:rPr>
                <w:rFonts w:ascii="Sylfaen" w:hAnsi="Sylfaen"/>
                <w:color w:val="000000" w:themeColor="text1"/>
                <w:sz w:val="20"/>
                <w:szCs w:val="20"/>
              </w:rPr>
              <w:t>.</w:t>
            </w:r>
          </w:p>
        </w:tc>
        <w:tc>
          <w:tcPr>
            <w:tcW w:w="1096" w:type="dxa"/>
            <w:vMerge/>
            <w:shd w:val="clear" w:color="000000" w:fill="FFFFFF"/>
            <w:hideMark/>
          </w:tcPr>
          <w:p w14:paraId="7E7B3D55"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1403" w:type="dxa"/>
            <w:vMerge/>
            <w:shd w:val="clear" w:color="000000" w:fill="FFFFFF"/>
            <w:hideMark/>
          </w:tcPr>
          <w:p w14:paraId="58ECE016" w14:textId="77777777" w:rsidR="00D855E6" w:rsidRPr="00477D8F" w:rsidRDefault="00D855E6" w:rsidP="00FB50FA">
            <w:pPr>
              <w:spacing w:after="0" w:line="240" w:lineRule="auto"/>
              <w:rPr>
                <w:rFonts w:ascii="Sylfaen" w:eastAsia="Times New Roman" w:hAnsi="Sylfaen" w:cs="Calibri"/>
                <w:color w:val="000000"/>
                <w:sz w:val="20"/>
                <w:szCs w:val="20"/>
              </w:rPr>
            </w:pPr>
          </w:p>
        </w:tc>
      </w:tr>
      <w:tr w:rsidR="00D855E6" w:rsidRPr="00477D8F" w14:paraId="2E0E3E70" w14:textId="77777777" w:rsidTr="00FB50FA">
        <w:trPr>
          <w:trHeight w:val="20"/>
        </w:trPr>
        <w:tc>
          <w:tcPr>
            <w:tcW w:w="1179" w:type="dxa"/>
            <w:vMerge/>
            <w:vAlign w:val="center"/>
            <w:hideMark/>
          </w:tcPr>
          <w:p w14:paraId="2A5F7CFB"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hideMark/>
          </w:tcPr>
          <w:p w14:paraId="2C4A7BAE"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4350" w:type="dxa"/>
            <w:shd w:val="clear" w:color="000000" w:fill="FFFFFF"/>
            <w:hideMark/>
          </w:tcPr>
          <w:p w14:paraId="40779B87" w14:textId="5F64E701"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Encourage ECD programs to increase children’s readiness for primary school</w:t>
            </w:r>
            <w:r w:rsidR="00A65437" w:rsidRPr="00477D8F">
              <w:rPr>
                <w:rFonts w:ascii="Sylfaen" w:hAnsi="Sylfaen"/>
                <w:color w:val="000000" w:themeColor="text1"/>
                <w:sz w:val="20"/>
                <w:szCs w:val="20"/>
              </w:rPr>
              <w:t>;</w:t>
            </w:r>
            <w:r w:rsidRPr="00477D8F">
              <w:rPr>
                <w:rFonts w:ascii="Sylfaen" w:hAnsi="Sylfaen"/>
                <w:color w:val="000000" w:themeColor="text1"/>
                <w:sz w:val="20"/>
                <w:szCs w:val="20"/>
              </w:rPr>
              <w:t xml:space="preserve"> promote learning abilities</w:t>
            </w:r>
            <w:r w:rsidR="00A65437" w:rsidRPr="00477D8F">
              <w:rPr>
                <w:rFonts w:ascii="Sylfaen" w:hAnsi="Sylfaen"/>
                <w:color w:val="000000" w:themeColor="text1"/>
                <w:sz w:val="20"/>
                <w:szCs w:val="20"/>
              </w:rPr>
              <w:t>.</w:t>
            </w:r>
          </w:p>
        </w:tc>
        <w:tc>
          <w:tcPr>
            <w:tcW w:w="1096" w:type="dxa"/>
            <w:vMerge/>
            <w:shd w:val="clear" w:color="000000" w:fill="FFFFFF"/>
            <w:hideMark/>
          </w:tcPr>
          <w:p w14:paraId="4796514D"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1403" w:type="dxa"/>
            <w:vMerge/>
            <w:shd w:val="clear" w:color="000000" w:fill="FFFFFF"/>
            <w:hideMark/>
          </w:tcPr>
          <w:p w14:paraId="6CB9C6D8" w14:textId="77777777" w:rsidR="00D855E6" w:rsidRPr="00477D8F" w:rsidRDefault="00D855E6" w:rsidP="00FB50FA">
            <w:pPr>
              <w:spacing w:after="0" w:line="240" w:lineRule="auto"/>
              <w:rPr>
                <w:rFonts w:ascii="Sylfaen" w:eastAsia="Times New Roman" w:hAnsi="Sylfaen" w:cs="Calibri"/>
                <w:color w:val="000000"/>
                <w:sz w:val="20"/>
                <w:szCs w:val="20"/>
              </w:rPr>
            </w:pPr>
          </w:p>
        </w:tc>
      </w:tr>
      <w:tr w:rsidR="00D855E6" w:rsidRPr="00477D8F" w14:paraId="1DDFEA9B" w14:textId="77777777" w:rsidTr="00FB50FA">
        <w:trPr>
          <w:trHeight w:val="20"/>
        </w:trPr>
        <w:tc>
          <w:tcPr>
            <w:tcW w:w="1179" w:type="dxa"/>
            <w:vMerge/>
            <w:vAlign w:val="center"/>
            <w:hideMark/>
          </w:tcPr>
          <w:p w14:paraId="737E0CCD"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val="restart"/>
            <w:shd w:val="clear" w:color="000000" w:fill="FFFFFF"/>
            <w:hideMark/>
          </w:tcPr>
          <w:p w14:paraId="45BE0491"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Ensure sustainability of public funding</w:t>
            </w:r>
          </w:p>
        </w:tc>
        <w:tc>
          <w:tcPr>
            <w:tcW w:w="4350" w:type="dxa"/>
            <w:shd w:val="clear" w:color="000000" w:fill="FFFFFF"/>
            <w:hideMark/>
          </w:tcPr>
          <w:p w14:paraId="25C1FE54" w14:textId="2BE1B304"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Use unit cost as an instrument in the preparation of the education sector budget</w:t>
            </w:r>
            <w:r w:rsidR="00A65437" w:rsidRPr="00477D8F">
              <w:rPr>
                <w:rFonts w:ascii="Sylfaen" w:hAnsi="Sylfaen"/>
                <w:color w:val="000000" w:themeColor="text1"/>
                <w:sz w:val="20"/>
                <w:szCs w:val="20"/>
              </w:rPr>
              <w:t>.</w:t>
            </w:r>
          </w:p>
        </w:tc>
        <w:tc>
          <w:tcPr>
            <w:tcW w:w="1096" w:type="dxa"/>
            <w:vMerge w:val="restart"/>
            <w:shd w:val="clear" w:color="000000" w:fill="FFFFFF"/>
            <w:hideMark/>
          </w:tcPr>
          <w:p w14:paraId="1E469337"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Short term</w:t>
            </w:r>
          </w:p>
        </w:tc>
        <w:tc>
          <w:tcPr>
            <w:tcW w:w="1403" w:type="dxa"/>
            <w:vMerge w:val="restart"/>
            <w:shd w:val="clear" w:color="000000" w:fill="FFFFFF"/>
            <w:hideMark/>
          </w:tcPr>
          <w:p w14:paraId="148A6F63"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MoFEA, MoBSE, MoHERST and PMO</w:t>
            </w:r>
          </w:p>
        </w:tc>
      </w:tr>
      <w:tr w:rsidR="00D855E6" w:rsidRPr="00477D8F" w14:paraId="6AD23C79" w14:textId="77777777" w:rsidTr="00FB50FA">
        <w:trPr>
          <w:trHeight w:val="20"/>
        </w:trPr>
        <w:tc>
          <w:tcPr>
            <w:tcW w:w="1179" w:type="dxa"/>
            <w:vMerge/>
            <w:vAlign w:val="center"/>
            <w:hideMark/>
          </w:tcPr>
          <w:p w14:paraId="3237F448"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hideMark/>
          </w:tcPr>
          <w:p w14:paraId="27A33BEF"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4350" w:type="dxa"/>
            <w:shd w:val="clear" w:color="000000" w:fill="FFFFFF"/>
            <w:hideMark/>
          </w:tcPr>
          <w:p w14:paraId="3C3F0821" w14:textId="3CFEE954"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 xml:space="preserve">Base teacher staffing on a predetermined set of criteria including STR, classrooms, school size, subjects taught, and facilities available at </w:t>
            </w:r>
            <w:r w:rsidR="003C3074" w:rsidRPr="00477D8F">
              <w:rPr>
                <w:rFonts w:ascii="Sylfaen" w:hAnsi="Sylfaen"/>
                <w:color w:val="000000" w:themeColor="text1"/>
                <w:sz w:val="20"/>
                <w:szCs w:val="20"/>
              </w:rPr>
              <w:t xml:space="preserve">the </w:t>
            </w:r>
            <w:r w:rsidRPr="00477D8F">
              <w:rPr>
                <w:rFonts w:ascii="Sylfaen" w:hAnsi="Sylfaen"/>
                <w:color w:val="000000" w:themeColor="text1"/>
                <w:sz w:val="20"/>
                <w:szCs w:val="20"/>
              </w:rPr>
              <w:t>school level</w:t>
            </w:r>
            <w:r w:rsidR="00A65437" w:rsidRPr="00477D8F">
              <w:rPr>
                <w:rFonts w:ascii="Sylfaen" w:hAnsi="Sylfaen"/>
                <w:color w:val="000000" w:themeColor="text1"/>
                <w:sz w:val="20"/>
                <w:szCs w:val="20"/>
              </w:rPr>
              <w:t>.</w:t>
            </w:r>
          </w:p>
        </w:tc>
        <w:tc>
          <w:tcPr>
            <w:tcW w:w="1096" w:type="dxa"/>
            <w:vMerge/>
            <w:hideMark/>
          </w:tcPr>
          <w:p w14:paraId="5927BEB1"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1403" w:type="dxa"/>
            <w:vMerge/>
            <w:hideMark/>
          </w:tcPr>
          <w:p w14:paraId="64CB6AEF" w14:textId="77777777" w:rsidR="00D855E6" w:rsidRPr="00477D8F" w:rsidRDefault="00D855E6" w:rsidP="00FB50FA">
            <w:pPr>
              <w:spacing w:after="0" w:line="240" w:lineRule="auto"/>
              <w:rPr>
                <w:rFonts w:ascii="Sylfaen" w:eastAsia="Times New Roman" w:hAnsi="Sylfaen" w:cs="Calibri"/>
                <w:color w:val="000000"/>
                <w:sz w:val="20"/>
                <w:szCs w:val="20"/>
              </w:rPr>
            </w:pPr>
          </w:p>
        </w:tc>
      </w:tr>
      <w:tr w:rsidR="00D855E6" w:rsidRPr="00477D8F" w14:paraId="03B0BCD0" w14:textId="77777777" w:rsidTr="00FB50FA">
        <w:trPr>
          <w:cantSplit/>
          <w:trHeight w:val="20"/>
        </w:trPr>
        <w:tc>
          <w:tcPr>
            <w:tcW w:w="1179" w:type="dxa"/>
            <w:vMerge w:val="restart"/>
            <w:shd w:val="clear" w:color="000000" w:fill="FFFFFF"/>
            <w:textDirection w:val="btLr"/>
            <w:vAlign w:val="center"/>
            <w:hideMark/>
          </w:tcPr>
          <w:p w14:paraId="1E66CC25" w14:textId="77777777" w:rsidR="00D855E6" w:rsidRPr="00477D8F" w:rsidRDefault="00D855E6" w:rsidP="00D31914">
            <w:pPr>
              <w:spacing w:after="0" w:line="240" w:lineRule="auto"/>
              <w:jc w:val="center"/>
              <w:rPr>
                <w:rFonts w:ascii="Sylfaen" w:eastAsia="Times New Roman" w:hAnsi="Sylfaen" w:cs="Calibri"/>
                <w:color w:val="000000"/>
                <w:sz w:val="20"/>
                <w:szCs w:val="20"/>
              </w:rPr>
            </w:pPr>
            <w:r w:rsidRPr="00477D8F">
              <w:rPr>
                <w:rFonts w:ascii="Sylfaen" w:eastAsia="Times New Roman" w:hAnsi="Sylfaen" w:cs="Calibri"/>
                <w:color w:val="000000"/>
                <w:sz w:val="20"/>
                <w:szCs w:val="20"/>
              </w:rPr>
              <w:t>Equity</w:t>
            </w:r>
          </w:p>
        </w:tc>
        <w:tc>
          <w:tcPr>
            <w:tcW w:w="1439" w:type="dxa"/>
            <w:vMerge w:val="restart"/>
            <w:shd w:val="clear" w:color="000000" w:fill="FFFFFF"/>
            <w:hideMark/>
          </w:tcPr>
          <w:p w14:paraId="68B2675A"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Improve equity in access</w:t>
            </w:r>
          </w:p>
        </w:tc>
        <w:tc>
          <w:tcPr>
            <w:tcW w:w="4350" w:type="dxa"/>
            <w:shd w:val="clear" w:color="000000" w:fill="FFFFFF"/>
            <w:hideMark/>
          </w:tcPr>
          <w:p w14:paraId="1F33E594" w14:textId="5A687F13"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Institute pro-poor education policy intervention programs focusing on marginalized communities by providing financial support or vouchers for children from poor families</w:t>
            </w:r>
            <w:r w:rsidR="00A65437" w:rsidRPr="00477D8F">
              <w:rPr>
                <w:rFonts w:ascii="Sylfaen" w:hAnsi="Sylfaen"/>
                <w:color w:val="000000" w:themeColor="text1"/>
                <w:sz w:val="20"/>
                <w:szCs w:val="20"/>
              </w:rPr>
              <w:t>.</w:t>
            </w:r>
            <w:r w:rsidRPr="00477D8F">
              <w:rPr>
                <w:rFonts w:ascii="Sylfaen" w:hAnsi="Sylfaen"/>
                <w:color w:val="000000" w:themeColor="text1"/>
                <w:sz w:val="20"/>
                <w:szCs w:val="20"/>
              </w:rPr>
              <w:t xml:space="preserve"> </w:t>
            </w:r>
          </w:p>
        </w:tc>
        <w:tc>
          <w:tcPr>
            <w:tcW w:w="1096" w:type="dxa"/>
            <w:vMerge w:val="restart"/>
            <w:shd w:val="clear" w:color="000000" w:fill="FFFFFF"/>
            <w:hideMark/>
          </w:tcPr>
          <w:p w14:paraId="24FB183D"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Short to medium term</w:t>
            </w:r>
          </w:p>
        </w:tc>
        <w:tc>
          <w:tcPr>
            <w:tcW w:w="1403" w:type="dxa"/>
            <w:vMerge w:val="restart"/>
            <w:shd w:val="clear" w:color="000000" w:fill="FFFFFF"/>
            <w:hideMark/>
          </w:tcPr>
          <w:p w14:paraId="4FDD9BD9"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lang w:val="fr-FR"/>
              </w:rPr>
              <w:t>MoFEA, MoBSE</w:t>
            </w:r>
          </w:p>
        </w:tc>
      </w:tr>
      <w:tr w:rsidR="00D855E6" w:rsidRPr="00477D8F" w14:paraId="7DEB5D3D" w14:textId="77777777" w:rsidTr="00FB50FA">
        <w:trPr>
          <w:trHeight w:val="20"/>
        </w:trPr>
        <w:tc>
          <w:tcPr>
            <w:tcW w:w="1179" w:type="dxa"/>
            <w:vMerge/>
            <w:vAlign w:val="center"/>
            <w:hideMark/>
          </w:tcPr>
          <w:p w14:paraId="2E481709"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hideMark/>
          </w:tcPr>
          <w:p w14:paraId="1EA872D6"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4350" w:type="dxa"/>
            <w:shd w:val="clear" w:color="000000" w:fill="FFFFFF"/>
            <w:hideMark/>
          </w:tcPr>
          <w:p w14:paraId="3F4A48EB" w14:textId="1A4A1ECC" w:rsidR="00D855E6" w:rsidRPr="00477D8F" w:rsidRDefault="00A65437"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Conduct m</w:t>
            </w:r>
            <w:r w:rsidR="00D855E6" w:rsidRPr="00477D8F">
              <w:rPr>
                <w:rFonts w:ascii="Sylfaen" w:hAnsi="Sylfaen"/>
                <w:color w:val="000000" w:themeColor="text1"/>
                <w:sz w:val="20"/>
                <w:szCs w:val="20"/>
              </w:rPr>
              <w:t>obilization campaigns to generate awareness for education, including for communities to overcome social and cultural barriers</w:t>
            </w:r>
            <w:r w:rsidRPr="00477D8F">
              <w:rPr>
                <w:rFonts w:ascii="Sylfaen" w:hAnsi="Sylfaen"/>
                <w:color w:val="000000" w:themeColor="text1"/>
                <w:sz w:val="20"/>
                <w:szCs w:val="20"/>
              </w:rPr>
              <w:t>.</w:t>
            </w:r>
          </w:p>
        </w:tc>
        <w:tc>
          <w:tcPr>
            <w:tcW w:w="1096" w:type="dxa"/>
            <w:vMerge/>
            <w:hideMark/>
          </w:tcPr>
          <w:p w14:paraId="1FDC3CA9"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1403" w:type="dxa"/>
            <w:vMerge/>
            <w:hideMark/>
          </w:tcPr>
          <w:p w14:paraId="5F0FD857" w14:textId="77777777" w:rsidR="00D855E6" w:rsidRPr="00477D8F" w:rsidRDefault="00D855E6" w:rsidP="00FB50FA">
            <w:pPr>
              <w:spacing w:after="0" w:line="240" w:lineRule="auto"/>
              <w:rPr>
                <w:rFonts w:ascii="Sylfaen" w:eastAsia="Times New Roman" w:hAnsi="Sylfaen" w:cs="Calibri"/>
                <w:color w:val="000000"/>
                <w:sz w:val="20"/>
                <w:szCs w:val="20"/>
              </w:rPr>
            </w:pPr>
          </w:p>
        </w:tc>
      </w:tr>
      <w:tr w:rsidR="00D855E6" w:rsidRPr="00477D8F" w14:paraId="64BB97B9" w14:textId="77777777" w:rsidTr="00FB50FA">
        <w:trPr>
          <w:trHeight w:val="20"/>
        </w:trPr>
        <w:tc>
          <w:tcPr>
            <w:tcW w:w="1179" w:type="dxa"/>
            <w:vMerge/>
            <w:vAlign w:val="center"/>
            <w:hideMark/>
          </w:tcPr>
          <w:p w14:paraId="4964F2FB"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val="restart"/>
            <w:shd w:val="clear" w:color="000000" w:fill="FFFFFF"/>
            <w:hideMark/>
          </w:tcPr>
          <w:p w14:paraId="40CA70E8" w14:textId="288C4570"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rPr>
              <w:t>Ensure girls complete adequate level of education </w:t>
            </w:r>
          </w:p>
        </w:tc>
        <w:tc>
          <w:tcPr>
            <w:tcW w:w="4350" w:type="dxa"/>
            <w:shd w:val="clear" w:color="000000" w:fill="FFFFFF"/>
            <w:hideMark/>
          </w:tcPr>
          <w:p w14:paraId="315A5970" w14:textId="37DF37ED"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Provide adequate school inputs and favorable learning environments to ensure girls’ educational attainment</w:t>
            </w:r>
            <w:r w:rsidR="00A65437" w:rsidRPr="00477D8F">
              <w:rPr>
                <w:rFonts w:ascii="Sylfaen" w:hAnsi="Sylfaen"/>
                <w:color w:val="000000" w:themeColor="text1"/>
                <w:sz w:val="20"/>
                <w:szCs w:val="20"/>
              </w:rPr>
              <w:t>.</w:t>
            </w:r>
          </w:p>
        </w:tc>
        <w:tc>
          <w:tcPr>
            <w:tcW w:w="1096" w:type="dxa"/>
            <w:vMerge w:val="restart"/>
            <w:shd w:val="clear" w:color="000000" w:fill="FFFFFF"/>
            <w:hideMark/>
          </w:tcPr>
          <w:p w14:paraId="7225D967"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Short to medium term</w:t>
            </w:r>
            <w:r w:rsidRPr="00477D8F">
              <w:rPr>
                <w:rFonts w:ascii="Sylfaen" w:eastAsia="Times New Roman" w:hAnsi="Sylfaen" w:cs="Calibri"/>
                <w:color w:val="000000"/>
                <w:sz w:val="20"/>
                <w:szCs w:val="20"/>
              </w:rPr>
              <w:t> </w:t>
            </w:r>
          </w:p>
        </w:tc>
        <w:tc>
          <w:tcPr>
            <w:tcW w:w="1403" w:type="dxa"/>
            <w:vMerge w:val="restart"/>
            <w:shd w:val="clear" w:color="000000" w:fill="FFFFFF"/>
            <w:hideMark/>
          </w:tcPr>
          <w:p w14:paraId="238948D3"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lang w:val="fr-FR"/>
              </w:rPr>
              <w:t>MoBSE</w:t>
            </w:r>
          </w:p>
        </w:tc>
      </w:tr>
      <w:tr w:rsidR="00D855E6" w:rsidRPr="00477D8F" w14:paraId="7D86428D" w14:textId="77777777" w:rsidTr="00FB50FA">
        <w:trPr>
          <w:trHeight w:val="20"/>
        </w:trPr>
        <w:tc>
          <w:tcPr>
            <w:tcW w:w="1179" w:type="dxa"/>
            <w:vMerge/>
            <w:vAlign w:val="center"/>
            <w:hideMark/>
          </w:tcPr>
          <w:p w14:paraId="0BB88294"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shd w:val="clear" w:color="000000" w:fill="FFFFFF"/>
            <w:hideMark/>
          </w:tcPr>
          <w:p w14:paraId="40763099"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4350" w:type="dxa"/>
            <w:shd w:val="clear" w:color="000000" w:fill="FFFFFF"/>
            <w:hideMark/>
          </w:tcPr>
          <w:p w14:paraId="11332657" w14:textId="26336209"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Provide target intervention for girls such as girls</w:t>
            </w:r>
            <w:r w:rsidR="00114EDF" w:rsidRPr="00477D8F">
              <w:rPr>
                <w:rFonts w:ascii="Sylfaen" w:hAnsi="Sylfaen"/>
                <w:color w:val="000000" w:themeColor="text1"/>
                <w:sz w:val="20"/>
                <w:szCs w:val="20"/>
              </w:rPr>
              <w:t>’</w:t>
            </w:r>
            <w:r w:rsidRPr="00477D8F">
              <w:rPr>
                <w:rFonts w:ascii="Sylfaen" w:hAnsi="Sylfaen"/>
                <w:color w:val="000000" w:themeColor="text1"/>
                <w:sz w:val="20"/>
                <w:szCs w:val="20"/>
              </w:rPr>
              <w:t xml:space="preserve"> scholarship in target grades</w:t>
            </w:r>
            <w:r w:rsidR="00A65437" w:rsidRPr="00477D8F">
              <w:rPr>
                <w:rFonts w:ascii="Sylfaen" w:hAnsi="Sylfaen"/>
                <w:color w:val="000000" w:themeColor="text1"/>
                <w:sz w:val="20"/>
                <w:szCs w:val="20"/>
              </w:rPr>
              <w:t>.</w:t>
            </w:r>
          </w:p>
        </w:tc>
        <w:tc>
          <w:tcPr>
            <w:tcW w:w="1096" w:type="dxa"/>
            <w:vMerge/>
            <w:hideMark/>
          </w:tcPr>
          <w:p w14:paraId="72529964"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1403" w:type="dxa"/>
            <w:vMerge/>
            <w:shd w:val="clear" w:color="000000" w:fill="FFFFFF"/>
            <w:hideMark/>
          </w:tcPr>
          <w:p w14:paraId="65D37D99" w14:textId="77777777" w:rsidR="00D855E6" w:rsidRPr="00477D8F" w:rsidRDefault="00D855E6" w:rsidP="00FB50FA">
            <w:pPr>
              <w:spacing w:after="0" w:line="240" w:lineRule="auto"/>
              <w:rPr>
                <w:rFonts w:ascii="Sylfaen" w:eastAsia="Times New Roman" w:hAnsi="Sylfaen" w:cs="Calibri"/>
                <w:color w:val="000000"/>
                <w:sz w:val="20"/>
                <w:szCs w:val="20"/>
              </w:rPr>
            </w:pPr>
          </w:p>
        </w:tc>
      </w:tr>
      <w:tr w:rsidR="00D855E6" w:rsidRPr="00477D8F" w14:paraId="0C4D9211" w14:textId="77777777" w:rsidTr="00FB50FA">
        <w:trPr>
          <w:trHeight w:val="20"/>
        </w:trPr>
        <w:tc>
          <w:tcPr>
            <w:tcW w:w="1179" w:type="dxa"/>
            <w:vMerge w:val="restart"/>
            <w:shd w:val="clear" w:color="000000" w:fill="FFFFFF"/>
            <w:textDirection w:val="btLr"/>
            <w:vAlign w:val="center"/>
            <w:hideMark/>
          </w:tcPr>
          <w:p w14:paraId="22B4119D" w14:textId="77777777" w:rsidR="00D855E6" w:rsidRPr="00477D8F" w:rsidRDefault="00D855E6" w:rsidP="00D31914">
            <w:pPr>
              <w:spacing w:after="0" w:line="240" w:lineRule="auto"/>
              <w:jc w:val="center"/>
              <w:rPr>
                <w:rFonts w:ascii="Sylfaen" w:eastAsia="Times New Roman" w:hAnsi="Sylfaen" w:cs="Calibri"/>
                <w:color w:val="000000"/>
                <w:sz w:val="20"/>
                <w:szCs w:val="20"/>
              </w:rPr>
            </w:pPr>
            <w:r w:rsidRPr="00477D8F">
              <w:rPr>
                <w:rFonts w:ascii="Sylfaen" w:eastAsia="Times New Roman" w:hAnsi="Sylfaen" w:cs="Calibri"/>
                <w:color w:val="000000"/>
                <w:sz w:val="20"/>
                <w:szCs w:val="20"/>
              </w:rPr>
              <w:t>Capacity</w:t>
            </w:r>
          </w:p>
        </w:tc>
        <w:tc>
          <w:tcPr>
            <w:tcW w:w="1439" w:type="dxa"/>
            <w:vMerge w:val="restart"/>
            <w:shd w:val="clear" w:color="000000" w:fill="FFFFFF"/>
            <w:hideMark/>
          </w:tcPr>
          <w:p w14:paraId="71146735"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Ensure adequate funding to improve learning environment</w:t>
            </w:r>
          </w:p>
        </w:tc>
        <w:tc>
          <w:tcPr>
            <w:tcW w:w="4350" w:type="dxa"/>
            <w:shd w:val="clear" w:color="auto" w:fill="auto"/>
            <w:noWrap/>
            <w:hideMark/>
          </w:tcPr>
          <w:p w14:paraId="36C85EC8" w14:textId="1D8A6468"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Improve the budget elaboration and preparation process to clearly reflect each level of education and the sectoral priorities of the government</w:t>
            </w:r>
            <w:r w:rsidR="00A65437" w:rsidRPr="00477D8F">
              <w:rPr>
                <w:rFonts w:ascii="Sylfaen" w:hAnsi="Sylfaen"/>
                <w:color w:val="000000" w:themeColor="text1"/>
                <w:sz w:val="20"/>
                <w:szCs w:val="20"/>
              </w:rPr>
              <w:t>.</w:t>
            </w:r>
            <w:r w:rsidRPr="00477D8F">
              <w:rPr>
                <w:rFonts w:ascii="Sylfaen" w:hAnsi="Sylfaen"/>
                <w:color w:val="000000" w:themeColor="text1"/>
                <w:sz w:val="20"/>
                <w:szCs w:val="20"/>
              </w:rPr>
              <w:t xml:space="preserve"> </w:t>
            </w:r>
          </w:p>
        </w:tc>
        <w:tc>
          <w:tcPr>
            <w:tcW w:w="1096" w:type="dxa"/>
            <w:shd w:val="clear" w:color="000000" w:fill="FFFFFF"/>
            <w:hideMark/>
          </w:tcPr>
          <w:p w14:paraId="3FE8E251"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rPr>
              <w:t> </w:t>
            </w:r>
            <w:r w:rsidRPr="00477D8F">
              <w:rPr>
                <w:rFonts w:ascii="Sylfaen" w:eastAsia="Times New Roman" w:hAnsi="Sylfaen" w:cs="Calibri"/>
                <w:color w:val="000000" w:themeColor="text1"/>
                <w:sz w:val="20"/>
                <w:szCs w:val="20"/>
              </w:rPr>
              <w:t>Short to medium term</w:t>
            </w:r>
            <w:r w:rsidRPr="00477D8F">
              <w:rPr>
                <w:rFonts w:ascii="Sylfaen" w:eastAsia="Times New Roman" w:hAnsi="Sylfaen" w:cs="Calibri"/>
                <w:color w:val="000000"/>
                <w:sz w:val="20"/>
                <w:szCs w:val="20"/>
              </w:rPr>
              <w:t> </w:t>
            </w:r>
          </w:p>
        </w:tc>
        <w:tc>
          <w:tcPr>
            <w:tcW w:w="1403" w:type="dxa"/>
            <w:vMerge w:val="restart"/>
            <w:shd w:val="clear" w:color="000000" w:fill="FFFFFF"/>
            <w:hideMark/>
          </w:tcPr>
          <w:p w14:paraId="638BFBF3"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lang w:val="fr-FR"/>
              </w:rPr>
              <w:t>MoFEA, MoBSE, MoHERST</w:t>
            </w:r>
          </w:p>
        </w:tc>
      </w:tr>
      <w:tr w:rsidR="00D855E6" w:rsidRPr="00477D8F" w14:paraId="13FBA5F8" w14:textId="77777777" w:rsidTr="00FB50FA">
        <w:trPr>
          <w:trHeight w:val="20"/>
        </w:trPr>
        <w:tc>
          <w:tcPr>
            <w:tcW w:w="1179" w:type="dxa"/>
            <w:vMerge/>
            <w:vAlign w:val="center"/>
            <w:hideMark/>
          </w:tcPr>
          <w:p w14:paraId="16E94229"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hideMark/>
          </w:tcPr>
          <w:p w14:paraId="0D9BEA47"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4350" w:type="dxa"/>
            <w:shd w:val="clear" w:color="000000" w:fill="FFFFFF"/>
            <w:hideMark/>
          </w:tcPr>
          <w:p w14:paraId="31774EEE" w14:textId="77777777"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Ensure appropriate funds are earmarked to ensure the learning environment is conducive to educational achievement.</w:t>
            </w:r>
          </w:p>
        </w:tc>
        <w:tc>
          <w:tcPr>
            <w:tcW w:w="1096" w:type="dxa"/>
            <w:vMerge w:val="restart"/>
            <w:shd w:val="clear" w:color="000000" w:fill="FFFFFF"/>
            <w:hideMark/>
          </w:tcPr>
          <w:p w14:paraId="491BCF96"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Medium term</w:t>
            </w:r>
          </w:p>
        </w:tc>
        <w:tc>
          <w:tcPr>
            <w:tcW w:w="1403" w:type="dxa"/>
            <w:vMerge/>
            <w:shd w:val="clear" w:color="000000" w:fill="FFFFFF"/>
            <w:hideMark/>
          </w:tcPr>
          <w:p w14:paraId="4AF78023" w14:textId="77777777" w:rsidR="00D855E6" w:rsidRPr="00477D8F" w:rsidRDefault="00D855E6" w:rsidP="00FB50FA">
            <w:pPr>
              <w:spacing w:after="0" w:line="240" w:lineRule="auto"/>
              <w:rPr>
                <w:rFonts w:ascii="Sylfaen" w:eastAsia="Times New Roman" w:hAnsi="Sylfaen" w:cs="Calibri"/>
                <w:color w:val="000000"/>
                <w:sz w:val="20"/>
                <w:szCs w:val="20"/>
              </w:rPr>
            </w:pPr>
          </w:p>
        </w:tc>
      </w:tr>
      <w:tr w:rsidR="00D855E6" w:rsidRPr="00477D8F" w14:paraId="72E9F398" w14:textId="77777777" w:rsidTr="00FB50FA">
        <w:trPr>
          <w:trHeight w:val="20"/>
        </w:trPr>
        <w:tc>
          <w:tcPr>
            <w:tcW w:w="1179" w:type="dxa"/>
            <w:vMerge/>
            <w:vAlign w:val="center"/>
            <w:hideMark/>
          </w:tcPr>
          <w:p w14:paraId="381ADA1C"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hideMark/>
          </w:tcPr>
          <w:p w14:paraId="792E34CB"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4350" w:type="dxa"/>
            <w:shd w:val="clear" w:color="000000" w:fill="FFFFFF"/>
            <w:hideMark/>
          </w:tcPr>
          <w:p w14:paraId="7CAC3AAA" w14:textId="09715B7D"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Increase spending on education to the international benchmark while targeting the challenging areas</w:t>
            </w:r>
            <w:r w:rsidR="00A65437" w:rsidRPr="00477D8F">
              <w:rPr>
                <w:rFonts w:ascii="Sylfaen" w:hAnsi="Sylfaen"/>
                <w:color w:val="000000" w:themeColor="text1"/>
                <w:sz w:val="20"/>
                <w:szCs w:val="20"/>
              </w:rPr>
              <w:t>.</w:t>
            </w:r>
          </w:p>
        </w:tc>
        <w:tc>
          <w:tcPr>
            <w:tcW w:w="1096" w:type="dxa"/>
            <w:vMerge/>
            <w:hideMark/>
          </w:tcPr>
          <w:p w14:paraId="765393C0"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1403" w:type="dxa"/>
            <w:vMerge/>
            <w:hideMark/>
          </w:tcPr>
          <w:p w14:paraId="7F5820A9" w14:textId="77777777" w:rsidR="00D855E6" w:rsidRPr="00477D8F" w:rsidRDefault="00D855E6" w:rsidP="00FB50FA">
            <w:pPr>
              <w:spacing w:after="0" w:line="240" w:lineRule="auto"/>
              <w:rPr>
                <w:rFonts w:ascii="Sylfaen" w:eastAsia="Times New Roman" w:hAnsi="Sylfaen" w:cs="Calibri"/>
                <w:color w:val="000000"/>
                <w:sz w:val="20"/>
                <w:szCs w:val="20"/>
              </w:rPr>
            </w:pPr>
          </w:p>
        </w:tc>
      </w:tr>
      <w:tr w:rsidR="00D855E6" w:rsidRPr="00477D8F" w14:paraId="441C3C76" w14:textId="77777777" w:rsidTr="00FB50FA">
        <w:trPr>
          <w:cantSplit/>
          <w:trHeight w:val="20"/>
        </w:trPr>
        <w:tc>
          <w:tcPr>
            <w:tcW w:w="1179" w:type="dxa"/>
            <w:vMerge/>
            <w:vAlign w:val="center"/>
            <w:hideMark/>
          </w:tcPr>
          <w:p w14:paraId="14330655"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val="restart"/>
            <w:shd w:val="clear" w:color="000000" w:fill="FFFFFF"/>
            <w:hideMark/>
          </w:tcPr>
          <w:p w14:paraId="0486A4F4"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Ensure sustainability services delivery</w:t>
            </w:r>
          </w:p>
        </w:tc>
        <w:tc>
          <w:tcPr>
            <w:tcW w:w="4350" w:type="dxa"/>
            <w:shd w:val="clear" w:color="auto" w:fill="auto"/>
            <w:noWrap/>
            <w:hideMark/>
          </w:tcPr>
          <w:p w14:paraId="3C72CF5A" w14:textId="5CCF7C76"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 xml:space="preserve">Strengthen school development plan committees and other types of community-level grassroots mobilization to create awareness of education, including developing sensitization campaigns for communities where participation in conventional public schools are low. </w:t>
            </w:r>
          </w:p>
        </w:tc>
        <w:tc>
          <w:tcPr>
            <w:tcW w:w="1096" w:type="dxa"/>
            <w:vMerge w:val="restart"/>
            <w:shd w:val="clear" w:color="000000" w:fill="FFFFFF"/>
            <w:hideMark/>
          </w:tcPr>
          <w:p w14:paraId="1B8977B4"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Medium term</w:t>
            </w:r>
          </w:p>
        </w:tc>
        <w:tc>
          <w:tcPr>
            <w:tcW w:w="1403" w:type="dxa"/>
            <w:vMerge w:val="restart"/>
            <w:shd w:val="clear" w:color="000000" w:fill="FFFFFF"/>
            <w:hideMark/>
          </w:tcPr>
          <w:p w14:paraId="03C1FD3A"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lang w:val="fr-FR"/>
              </w:rPr>
              <w:t>MoBSE, MoHERST</w:t>
            </w:r>
          </w:p>
        </w:tc>
      </w:tr>
      <w:tr w:rsidR="00D855E6" w:rsidRPr="00477D8F" w14:paraId="0CD937B4" w14:textId="77777777" w:rsidTr="00FB50FA">
        <w:trPr>
          <w:cantSplit/>
          <w:trHeight w:val="20"/>
        </w:trPr>
        <w:tc>
          <w:tcPr>
            <w:tcW w:w="1179" w:type="dxa"/>
            <w:vMerge/>
            <w:vAlign w:val="center"/>
            <w:hideMark/>
          </w:tcPr>
          <w:p w14:paraId="0A486305"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hideMark/>
          </w:tcPr>
          <w:p w14:paraId="160B7CBA"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4350" w:type="dxa"/>
            <w:shd w:val="clear" w:color="auto" w:fill="auto"/>
            <w:noWrap/>
            <w:hideMark/>
          </w:tcPr>
          <w:p w14:paraId="51BCB11A" w14:textId="10D21F2F"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 xml:space="preserve">Enhance PPP focusing on marginalized populations in addition to the current partnership in Madrassah schools. </w:t>
            </w:r>
          </w:p>
        </w:tc>
        <w:tc>
          <w:tcPr>
            <w:tcW w:w="1096" w:type="dxa"/>
            <w:vMerge/>
            <w:hideMark/>
          </w:tcPr>
          <w:p w14:paraId="4EE321DD"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1403" w:type="dxa"/>
            <w:vMerge/>
            <w:shd w:val="clear" w:color="000000" w:fill="FFFFFF"/>
            <w:hideMark/>
          </w:tcPr>
          <w:p w14:paraId="7A96F8F1" w14:textId="77777777" w:rsidR="00D855E6" w:rsidRPr="00477D8F" w:rsidRDefault="00D855E6" w:rsidP="00FB50FA">
            <w:pPr>
              <w:spacing w:after="0" w:line="240" w:lineRule="auto"/>
              <w:rPr>
                <w:rFonts w:ascii="Sylfaen" w:eastAsia="Times New Roman" w:hAnsi="Sylfaen" w:cs="Calibri"/>
                <w:color w:val="000000"/>
                <w:sz w:val="20"/>
                <w:szCs w:val="20"/>
              </w:rPr>
            </w:pPr>
          </w:p>
        </w:tc>
      </w:tr>
      <w:tr w:rsidR="00D855E6" w:rsidRPr="00477D8F" w14:paraId="53847564" w14:textId="77777777" w:rsidTr="00FB50FA">
        <w:trPr>
          <w:cantSplit/>
          <w:trHeight w:val="20"/>
        </w:trPr>
        <w:tc>
          <w:tcPr>
            <w:tcW w:w="1179" w:type="dxa"/>
            <w:vMerge/>
            <w:vAlign w:val="center"/>
            <w:hideMark/>
          </w:tcPr>
          <w:p w14:paraId="043ABB80"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val="restart"/>
            <w:shd w:val="clear" w:color="000000" w:fill="FFFFFF"/>
            <w:hideMark/>
          </w:tcPr>
          <w:p w14:paraId="5C37DF6F"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rPr>
              <w:t>Improve the M&amp;E</w:t>
            </w:r>
          </w:p>
        </w:tc>
        <w:tc>
          <w:tcPr>
            <w:tcW w:w="4350" w:type="dxa"/>
            <w:shd w:val="clear" w:color="000000" w:fill="FFFFFF"/>
            <w:hideMark/>
          </w:tcPr>
          <w:p w14:paraId="66839F88" w14:textId="015120ED"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Establish a standardized evaluation system, which would allow for comparability of results across time and would also be linked to assessment of learning</w:t>
            </w:r>
            <w:r w:rsidR="00A65437" w:rsidRPr="00477D8F">
              <w:rPr>
                <w:rFonts w:ascii="Sylfaen" w:hAnsi="Sylfaen"/>
                <w:color w:val="000000" w:themeColor="text1"/>
                <w:sz w:val="20"/>
                <w:szCs w:val="20"/>
              </w:rPr>
              <w:t>.</w:t>
            </w:r>
          </w:p>
        </w:tc>
        <w:tc>
          <w:tcPr>
            <w:tcW w:w="1096" w:type="dxa"/>
            <w:vMerge w:val="restart"/>
            <w:shd w:val="clear" w:color="000000" w:fill="FFFFFF"/>
            <w:hideMark/>
          </w:tcPr>
          <w:p w14:paraId="628C080F"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Medium term</w:t>
            </w:r>
          </w:p>
        </w:tc>
        <w:tc>
          <w:tcPr>
            <w:tcW w:w="1403" w:type="dxa"/>
            <w:vMerge w:val="restart"/>
            <w:shd w:val="clear" w:color="000000" w:fill="FFFFFF"/>
            <w:hideMark/>
          </w:tcPr>
          <w:p w14:paraId="6A7CDF03" w14:textId="4F8006B5"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lang w:val="fr-FR"/>
              </w:rPr>
              <w:t>MoBSE</w:t>
            </w:r>
            <w:r w:rsidR="00EA609F" w:rsidRPr="00477D8F">
              <w:rPr>
                <w:rFonts w:ascii="Sylfaen" w:eastAsia="Times New Roman" w:hAnsi="Sylfaen" w:cs="Calibri"/>
                <w:color w:val="000000"/>
                <w:sz w:val="20"/>
                <w:szCs w:val="20"/>
                <w:lang w:val="fr-FR"/>
              </w:rPr>
              <w:t xml:space="preserve">, </w:t>
            </w:r>
            <w:r w:rsidRPr="00477D8F">
              <w:rPr>
                <w:rFonts w:ascii="Sylfaen" w:eastAsia="Times New Roman" w:hAnsi="Sylfaen" w:cs="Calibri"/>
                <w:color w:val="000000"/>
                <w:sz w:val="20"/>
                <w:szCs w:val="20"/>
                <w:lang w:val="fr-FR"/>
              </w:rPr>
              <w:t>MoHERST</w:t>
            </w:r>
          </w:p>
        </w:tc>
      </w:tr>
      <w:tr w:rsidR="00D855E6" w:rsidRPr="00477D8F" w14:paraId="67DD83B7" w14:textId="77777777" w:rsidTr="00FB50FA">
        <w:trPr>
          <w:cantSplit/>
          <w:trHeight w:val="20"/>
        </w:trPr>
        <w:tc>
          <w:tcPr>
            <w:tcW w:w="1179" w:type="dxa"/>
            <w:vMerge/>
            <w:vAlign w:val="center"/>
            <w:hideMark/>
          </w:tcPr>
          <w:p w14:paraId="1B986E79"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vMerge/>
            <w:hideMark/>
          </w:tcPr>
          <w:p w14:paraId="41D2D613"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4350" w:type="dxa"/>
            <w:shd w:val="clear" w:color="000000" w:fill="FFFFFF"/>
            <w:hideMark/>
          </w:tcPr>
          <w:p w14:paraId="506B60A2" w14:textId="6803152E"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Strengthen the EMIS capacity to enable better M&amp;E</w:t>
            </w:r>
            <w:r w:rsidR="00A65437" w:rsidRPr="00477D8F">
              <w:rPr>
                <w:rFonts w:ascii="Sylfaen" w:hAnsi="Sylfaen"/>
                <w:color w:val="000000" w:themeColor="text1"/>
                <w:sz w:val="20"/>
                <w:szCs w:val="20"/>
              </w:rPr>
              <w:t>,</w:t>
            </w:r>
            <w:r w:rsidRPr="00477D8F">
              <w:rPr>
                <w:rFonts w:ascii="Sylfaen" w:hAnsi="Sylfaen"/>
                <w:color w:val="000000" w:themeColor="text1"/>
                <w:sz w:val="20"/>
                <w:szCs w:val="20"/>
              </w:rPr>
              <w:t xml:space="preserve"> particularly at the postsecondary level</w:t>
            </w:r>
            <w:r w:rsidR="00A65437" w:rsidRPr="00477D8F">
              <w:rPr>
                <w:rFonts w:ascii="Sylfaen" w:hAnsi="Sylfaen"/>
                <w:color w:val="000000" w:themeColor="text1"/>
                <w:sz w:val="20"/>
                <w:szCs w:val="20"/>
              </w:rPr>
              <w:t>.</w:t>
            </w:r>
          </w:p>
        </w:tc>
        <w:tc>
          <w:tcPr>
            <w:tcW w:w="1096" w:type="dxa"/>
            <w:vMerge/>
            <w:hideMark/>
          </w:tcPr>
          <w:p w14:paraId="4266F680" w14:textId="77777777" w:rsidR="00D855E6" w:rsidRPr="00477D8F" w:rsidRDefault="00D855E6" w:rsidP="00FB50FA">
            <w:pPr>
              <w:spacing w:after="0" w:line="240" w:lineRule="auto"/>
              <w:rPr>
                <w:rFonts w:ascii="Sylfaen" w:eastAsia="Times New Roman" w:hAnsi="Sylfaen" w:cs="Calibri"/>
                <w:color w:val="000000"/>
                <w:sz w:val="20"/>
                <w:szCs w:val="20"/>
              </w:rPr>
            </w:pPr>
          </w:p>
        </w:tc>
        <w:tc>
          <w:tcPr>
            <w:tcW w:w="1403" w:type="dxa"/>
            <w:vMerge/>
            <w:hideMark/>
          </w:tcPr>
          <w:p w14:paraId="030B6991" w14:textId="77777777" w:rsidR="00D855E6" w:rsidRPr="00477D8F" w:rsidRDefault="00D855E6" w:rsidP="00FB50FA">
            <w:pPr>
              <w:spacing w:after="0" w:line="240" w:lineRule="auto"/>
              <w:rPr>
                <w:rFonts w:ascii="Sylfaen" w:eastAsia="Times New Roman" w:hAnsi="Sylfaen" w:cs="Calibri"/>
                <w:color w:val="000000"/>
                <w:sz w:val="20"/>
                <w:szCs w:val="20"/>
              </w:rPr>
            </w:pPr>
          </w:p>
        </w:tc>
      </w:tr>
      <w:tr w:rsidR="00D855E6" w:rsidRPr="00477D8F" w14:paraId="4778BD84" w14:textId="77777777" w:rsidTr="00FB50FA">
        <w:trPr>
          <w:cantSplit/>
          <w:trHeight w:val="20"/>
        </w:trPr>
        <w:tc>
          <w:tcPr>
            <w:tcW w:w="1179" w:type="dxa"/>
            <w:vMerge w:val="restart"/>
            <w:shd w:val="clear" w:color="000000" w:fill="FFFFFF"/>
            <w:textDirection w:val="btLr"/>
            <w:vAlign w:val="center"/>
            <w:hideMark/>
          </w:tcPr>
          <w:p w14:paraId="3812EB7C" w14:textId="2193DD02" w:rsidR="00D855E6" w:rsidRPr="00477D8F" w:rsidRDefault="00D855E6" w:rsidP="00D31914">
            <w:pPr>
              <w:spacing w:after="0" w:line="240" w:lineRule="auto"/>
              <w:jc w:val="center"/>
              <w:rPr>
                <w:rFonts w:ascii="Sylfaen" w:eastAsia="Times New Roman" w:hAnsi="Sylfaen" w:cs="Calibri"/>
                <w:color w:val="000000"/>
                <w:sz w:val="20"/>
                <w:szCs w:val="20"/>
              </w:rPr>
            </w:pPr>
            <w:r w:rsidRPr="00477D8F">
              <w:rPr>
                <w:rFonts w:ascii="Sylfaen" w:eastAsia="Times New Roman" w:hAnsi="Sylfaen" w:cs="Calibri"/>
                <w:color w:val="000000"/>
                <w:sz w:val="20"/>
                <w:szCs w:val="20"/>
              </w:rPr>
              <w:t xml:space="preserve">Skills and </w:t>
            </w:r>
            <w:r w:rsidR="00951052" w:rsidRPr="00477D8F">
              <w:rPr>
                <w:rFonts w:ascii="Sylfaen" w:eastAsia="Times New Roman" w:hAnsi="Sylfaen" w:cs="Calibri"/>
                <w:color w:val="000000"/>
                <w:sz w:val="20"/>
                <w:szCs w:val="20"/>
              </w:rPr>
              <w:t>h</w:t>
            </w:r>
            <w:r w:rsidRPr="00477D8F">
              <w:rPr>
                <w:rFonts w:ascii="Sylfaen" w:eastAsia="Times New Roman" w:hAnsi="Sylfaen" w:cs="Calibri"/>
                <w:color w:val="000000"/>
                <w:sz w:val="20"/>
                <w:szCs w:val="20"/>
              </w:rPr>
              <w:t>uman capital development</w:t>
            </w:r>
          </w:p>
        </w:tc>
        <w:tc>
          <w:tcPr>
            <w:tcW w:w="1439" w:type="dxa"/>
            <w:shd w:val="clear" w:color="000000" w:fill="FFFFFF"/>
            <w:hideMark/>
          </w:tcPr>
          <w:p w14:paraId="48E0C305"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Improve the educational attainment of labor force</w:t>
            </w:r>
          </w:p>
        </w:tc>
        <w:tc>
          <w:tcPr>
            <w:tcW w:w="4350" w:type="dxa"/>
            <w:shd w:val="clear" w:color="000000" w:fill="FFFFFF"/>
            <w:hideMark/>
          </w:tcPr>
          <w:p w14:paraId="71A681E3" w14:textId="77777777"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Expansion of alternative learning programs to provide second chance education for parents and youth</w:t>
            </w:r>
          </w:p>
        </w:tc>
        <w:tc>
          <w:tcPr>
            <w:tcW w:w="1096" w:type="dxa"/>
            <w:shd w:val="clear" w:color="000000" w:fill="FFFFFF"/>
            <w:hideMark/>
          </w:tcPr>
          <w:p w14:paraId="1BD1D0F6"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themeColor="text1"/>
                <w:sz w:val="20"/>
                <w:szCs w:val="20"/>
              </w:rPr>
              <w:t>Medium term</w:t>
            </w:r>
          </w:p>
        </w:tc>
        <w:tc>
          <w:tcPr>
            <w:tcW w:w="1403" w:type="dxa"/>
            <w:shd w:val="clear" w:color="000000" w:fill="FFFFFF"/>
            <w:hideMark/>
          </w:tcPr>
          <w:p w14:paraId="5B4A2BA2"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lang w:val="fr-FR"/>
              </w:rPr>
              <w:t>MoBSE, MoHERST</w:t>
            </w:r>
          </w:p>
        </w:tc>
      </w:tr>
      <w:tr w:rsidR="00D855E6" w:rsidRPr="00477D8F" w14:paraId="1A544316" w14:textId="77777777" w:rsidTr="00FB50FA">
        <w:trPr>
          <w:cantSplit/>
          <w:trHeight w:val="20"/>
        </w:trPr>
        <w:tc>
          <w:tcPr>
            <w:tcW w:w="1179" w:type="dxa"/>
            <w:vMerge/>
            <w:vAlign w:val="center"/>
            <w:hideMark/>
          </w:tcPr>
          <w:p w14:paraId="7E0B5EB8" w14:textId="77777777" w:rsidR="00D855E6" w:rsidRPr="00477D8F" w:rsidRDefault="00D855E6" w:rsidP="00D31914">
            <w:pPr>
              <w:spacing w:after="0" w:line="240" w:lineRule="auto"/>
              <w:rPr>
                <w:rFonts w:ascii="Sylfaen" w:eastAsia="Times New Roman" w:hAnsi="Sylfaen" w:cs="Calibri"/>
                <w:color w:val="000000"/>
                <w:sz w:val="20"/>
                <w:szCs w:val="20"/>
              </w:rPr>
            </w:pPr>
          </w:p>
        </w:tc>
        <w:tc>
          <w:tcPr>
            <w:tcW w:w="1439" w:type="dxa"/>
            <w:shd w:val="clear" w:color="000000" w:fill="FFFFFF"/>
            <w:hideMark/>
          </w:tcPr>
          <w:p w14:paraId="153DBD05" w14:textId="59506E03"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rPr>
              <w:t>Ali</w:t>
            </w:r>
            <w:r w:rsidR="00A65437" w:rsidRPr="00477D8F">
              <w:rPr>
                <w:rFonts w:ascii="Sylfaen" w:eastAsia="Times New Roman" w:hAnsi="Sylfaen" w:cs="Calibri"/>
                <w:color w:val="000000"/>
                <w:sz w:val="20"/>
                <w:szCs w:val="20"/>
              </w:rPr>
              <w:t>g</w:t>
            </w:r>
            <w:r w:rsidRPr="00477D8F">
              <w:rPr>
                <w:rFonts w:ascii="Sylfaen" w:eastAsia="Times New Roman" w:hAnsi="Sylfaen" w:cs="Calibri"/>
                <w:color w:val="000000"/>
                <w:sz w:val="20"/>
                <w:szCs w:val="20"/>
              </w:rPr>
              <w:t>n education sector policy with National Development Plan</w:t>
            </w:r>
          </w:p>
        </w:tc>
        <w:tc>
          <w:tcPr>
            <w:tcW w:w="4350" w:type="dxa"/>
            <w:shd w:val="clear" w:color="000000" w:fill="FFFFFF"/>
            <w:hideMark/>
          </w:tcPr>
          <w:p w14:paraId="7C892C2C" w14:textId="7D993CEE" w:rsidR="00D855E6" w:rsidRPr="00477D8F" w:rsidRDefault="00D855E6" w:rsidP="00A65437">
            <w:pPr>
              <w:pStyle w:val="ListParagraph"/>
              <w:numPr>
                <w:ilvl w:val="0"/>
                <w:numId w:val="31"/>
              </w:numPr>
              <w:tabs>
                <w:tab w:val="left" w:pos="252"/>
              </w:tabs>
              <w:spacing w:after="0" w:line="240" w:lineRule="auto"/>
              <w:ind w:left="0" w:firstLine="0"/>
              <w:contextualSpacing w:val="0"/>
              <w:rPr>
                <w:rFonts w:ascii="Sylfaen" w:hAnsi="Sylfaen"/>
                <w:color w:val="000000" w:themeColor="text1"/>
                <w:sz w:val="20"/>
                <w:szCs w:val="20"/>
              </w:rPr>
            </w:pPr>
            <w:r w:rsidRPr="00477D8F">
              <w:rPr>
                <w:rFonts w:ascii="Sylfaen" w:hAnsi="Sylfaen"/>
                <w:color w:val="000000" w:themeColor="text1"/>
                <w:sz w:val="20"/>
                <w:szCs w:val="20"/>
              </w:rPr>
              <w:t>Develop an appropriate distribution of the budget based on preset criteria and sector priorities to provide consistent and productive service delivery in all levels of education</w:t>
            </w:r>
            <w:r w:rsidR="00A65437" w:rsidRPr="00477D8F">
              <w:rPr>
                <w:rFonts w:ascii="Sylfaen" w:hAnsi="Sylfaen"/>
                <w:color w:val="000000" w:themeColor="text1"/>
                <w:sz w:val="20"/>
                <w:szCs w:val="20"/>
              </w:rPr>
              <w:t>.</w:t>
            </w:r>
          </w:p>
        </w:tc>
        <w:tc>
          <w:tcPr>
            <w:tcW w:w="1096" w:type="dxa"/>
            <w:shd w:val="clear" w:color="auto" w:fill="auto"/>
            <w:noWrap/>
            <w:hideMark/>
          </w:tcPr>
          <w:p w14:paraId="35709F80" w14:textId="77777777"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rPr>
              <w:t> Long term</w:t>
            </w:r>
          </w:p>
        </w:tc>
        <w:tc>
          <w:tcPr>
            <w:tcW w:w="1403" w:type="dxa"/>
            <w:shd w:val="clear" w:color="auto" w:fill="auto"/>
            <w:noWrap/>
            <w:hideMark/>
          </w:tcPr>
          <w:p w14:paraId="0745C2F1" w14:textId="18753A40" w:rsidR="00D855E6" w:rsidRPr="00477D8F" w:rsidRDefault="00D855E6" w:rsidP="00FB50FA">
            <w:pPr>
              <w:spacing w:after="0" w:line="240" w:lineRule="auto"/>
              <w:rPr>
                <w:rFonts w:ascii="Sylfaen" w:eastAsia="Times New Roman" w:hAnsi="Sylfaen" w:cs="Calibri"/>
                <w:color w:val="000000"/>
                <w:sz w:val="20"/>
                <w:szCs w:val="20"/>
              </w:rPr>
            </w:pPr>
            <w:r w:rsidRPr="00477D8F">
              <w:rPr>
                <w:rFonts w:ascii="Sylfaen" w:eastAsia="Times New Roman" w:hAnsi="Sylfaen" w:cs="Calibri"/>
                <w:color w:val="000000"/>
                <w:sz w:val="20"/>
                <w:szCs w:val="20"/>
              </w:rPr>
              <w:t>MoBSE</w:t>
            </w:r>
            <w:r w:rsidR="00EA609F" w:rsidRPr="00477D8F">
              <w:rPr>
                <w:rFonts w:ascii="Sylfaen" w:eastAsia="Times New Roman" w:hAnsi="Sylfaen" w:cs="Calibri"/>
                <w:color w:val="000000"/>
                <w:sz w:val="20"/>
                <w:szCs w:val="20"/>
              </w:rPr>
              <w:t xml:space="preserve">, </w:t>
            </w:r>
            <w:r w:rsidRPr="00477D8F">
              <w:rPr>
                <w:rFonts w:ascii="Sylfaen" w:eastAsia="Times New Roman" w:hAnsi="Sylfaen" w:cs="Calibri"/>
                <w:color w:val="000000"/>
                <w:sz w:val="20"/>
                <w:szCs w:val="20"/>
              </w:rPr>
              <w:t>MoHERST</w:t>
            </w:r>
            <w:r w:rsidR="00EA609F" w:rsidRPr="00477D8F">
              <w:rPr>
                <w:rFonts w:ascii="Sylfaen" w:eastAsia="Times New Roman" w:hAnsi="Sylfaen" w:cs="Calibri"/>
                <w:color w:val="000000"/>
                <w:sz w:val="20"/>
                <w:szCs w:val="20"/>
              </w:rPr>
              <w:t xml:space="preserve">, </w:t>
            </w:r>
            <w:r w:rsidRPr="00477D8F">
              <w:rPr>
                <w:rFonts w:ascii="Sylfaen" w:eastAsia="Times New Roman" w:hAnsi="Sylfaen" w:cs="Calibri"/>
                <w:color w:val="000000"/>
                <w:sz w:val="20"/>
                <w:szCs w:val="20"/>
              </w:rPr>
              <w:t>MoFEA</w:t>
            </w:r>
          </w:p>
        </w:tc>
      </w:tr>
    </w:tbl>
    <w:p w14:paraId="146688CD" w14:textId="2D9E6AED" w:rsidR="005A79E3" w:rsidRPr="00477D8F" w:rsidRDefault="00D855E6" w:rsidP="00ED0E68">
      <w:pPr>
        <w:pStyle w:val="Heading1"/>
      </w:pPr>
      <w:r w:rsidRPr="00477D8F">
        <w:rPr>
          <w:rFonts w:cs="Times New Roman"/>
        </w:rPr>
        <w:br w:type="page"/>
      </w:r>
      <w:bookmarkStart w:id="13" w:name="_Toc497171846"/>
      <w:r w:rsidR="005B18F6" w:rsidRPr="00477D8F">
        <w:lastRenderedPageBreak/>
        <w:t>Introduction</w:t>
      </w:r>
      <w:bookmarkEnd w:id="13"/>
    </w:p>
    <w:p w14:paraId="3C9AE6AE" w14:textId="6EF266B9" w:rsidR="005C4D59" w:rsidRPr="00477D8F" w:rsidRDefault="005C4D59" w:rsidP="005C4D59">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rPr>
        <w:t>The Gambia is a low</w:t>
      </w:r>
      <w:r w:rsidR="002205F9" w:rsidRPr="00477D8F">
        <w:rPr>
          <w:rFonts w:ascii="Sylfaen" w:hAnsi="Sylfaen" w:cs="Times New Roman"/>
        </w:rPr>
        <w:t>-</w:t>
      </w:r>
      <w:r w:rsidRPr="00477D8F">
        <w:rPr>
          <w:rFonts w:ascii="Sylfaen" w:hAnsi="Sylfaen" w:cs="Times New Roman"/>
        </w:rPr>
        <w:t xml:space="preserve">income country with a real </w:t>
      </w:r>
      <w:r w:rsidR="00A502E9" w:rsidRPr="00477D8F">
        <w:rPr>
          <w:rFonts w:ascii="Sylfaen" w:hAnsi="Sylfaen"/>
        </w:rPr>
        <w:t>gross domestic product (</w:t>
      </w:r>
      <w:r w:rsidRPr="00477D8F">
        <w:rPr>
          <w:rFonts w:ascii="Sylfaen" w:hAnsi="Sylfaen" w:cs="Times New Roman"/>
        </w:rPr>
        <w:t>GDP</w:t>
      </w:r>
      <w:r w:rsidR="00A502E9" w:rsidRPr="00477D8F">
        <w:rPr>
          <w:rFonts w:ascii="Sylfaen" w:hAnsi="Sylfaen" w:cs="Times New Roman"/>
        </w:rPr>
        <w:t>)</w:t>
      </w:r>
      <w:r w:rsidRPr="00477D8F">
        <w:rPr>
          <w:rFonts w:ascii="Sylfaen" w:hAnsi="Sylfaen" w:cs="Times New Roman"/>
        </w:rPr>
        <w:t xml:space="preserve"> per capita of US$</w:t>
      </w:r>
      <w:r w:rsidR="00DB6671" w:rsidRPr="00477D8F">
        <w:rPr>
          <w:rFonts w:ascii="Sylfaen" w:hAnsi="Sylfaen" w:cs="Times New Roman"/>
        </w:rPr>
        <w:t>472</w:t>
      </w:r>
      <w:r w:rsidRPr="00477D8F">
        <w:rPr>
          <w:rFonts w:ascii="Sylfaen" w:hAnsi="Sylfaen" w:cs="Times New Roman"/>
        </w:rPr>
        <w:t xml:space="preserve"> and an estimated population of 1.9 million </w:t>
      </w:r>
      <w:r w:rsidR="005E5E54" w:rsidRPr="00477D8F">
        <w:rPr>
          <w:rFonts w:ascii="Sylfaen" w:hAnsi="Sylfaen" w:cs="Times New Roman"/>
        </w:rPr>
        <w:t xml:space="preserve">in </w:t>
      </w:r>
      <w:r w:rsidRPr="00477D8F">
        <w:rPr>
          <w:rFonts w:ascii="Sylfaen" w:hAnsi="Sylfaen" w:cs="Times New Roman"/>
        </w:rPr>
        <w:t>2015</w:t>
      </w:r>
      <w:r w:rsidR="002205F9" w:rsidRPr="00477D8F">
        <w:rPr>
          <w:rFonts w:ascii="Sylfaen" w:hAnsi="Sylfaen" w:cs="Times New Roman"/>
        </w:rPr>
        <w:t>.</w:t>
      </w:r>
      <w:r w:rsidR="005E5E54" w:rsidRPr="00477D8F">
        <w:rPr>
          <w:rStyle w:val="FootnoteReference"/>
          <w:rFonts w:ascii="Sylfaen" w:hAnsi="Sylfaen" w:cs="Times New Roman"/>
        </w:rPr>
        <w:footnoteReference w:id="6"/>
      </w:r>
      <w:r w:rsidRPr="00477D8F">
        <w:rPr>
          <w:rFonts w:ascii="Sylfaen" w:hAnsi="Sylfaen" w:cs="Times New Roman"/>
        </w:rPr>
        <w:t xml:space="preserve"> The Gambia’s economy mostly depends on the services sector, especially tourism, which compose</w:t>
      </w:r>
      <w:r w:rsidR="00901C73" w:rsidRPr="00477D8F">
        <w:rPr>
          <w:rFonts w:ascii="Sylfaen" w:hAnsi="Sylfaen" w:cs="Times New Roman"/>
        </w:rPr>
        <w:t>s</w:t>
      </w:r>
      <w:r w:rsidRPr="00477D8F">
        <w:rPr>
          <w:rFonts w:ascii="Sylfaen" w:hAnsi="Sylfaen" w:cs="Times New Roman"/>
        </w:rPr>
        <w:t xml:space="preserve"> the largest share of Gambia’s GDP (65.5 percent), followed by agriculture (22.8 percent) and industry (11.8 percent).</w:t>
      </w:r>
      <w:r w:rsidR="00272695" w:rsidRPr="00477D8F">
        <w:rPr>
          <w:rFonts w:ascii="Sylfaen" w:hAnsi="Sylfaen" w:cs="Times New Roman"/>
        </w:rPr>
        <w:t xml:space="preserve"> </w:t>
      </w:r>
      <w:r w:rsidRPr="00477D8F">
        <w:rPr>
          <w:rFonts w:ascii="Sylfaen" w:hAnsi="Sylfaen" w:cs="Times New Roman"/>
        </w:rPr>
        <w:t>During the past five years</w:t>
      </w:r>
      <w:r w:rsidR="00071FAA" w:rsidRPr="00477D8F">
        <w:rPr>
          <w:rFonts w:ascii="Sylfaen" w:hAnsi="Sylfaen" w:cs="Times New Roman"/>
        </w:rPr>
        <w:t>,</w:t>
      </w:r>
      <w:r w:rsidRPr="00477D8F">
        <w:rPr>
          <w:rFonts w:ascii="Sylfaen" w:hAnsi="Sylfaen" w:cs="Times New Roman"/>
        </w:rPr>
        <w:t xml:space="preserve"> the country has experienced several economic and political shocks. These included the droughts that reduced agricultural productivity in 2011 and 2014, the regional Ebola virus disease outbreak in 2014 </w:t>
      </w:r>
      <w:r w:rsidR="00071FAA" w:rsidRPr="00477D8F">
        <w:rPr>
          <w:rFonts w:ascii="Sylfaen" w:hAnsi="Sylfaen" w:cs="Times New Roman"/>
        </w:rPr>
        <w:t>that</w:t>
      </w:r>
      <w:r w:rsidRPr="00477D8F">
        <w:rPr>
          <w:rFonts w:ascii="Sylfaen" w:hAnsi="Sylfaen" w:cs="Times New Roman"/>
        </w:rPr>
        <w:t xml:space="preserve"> affected the services sector, and macro instability largely due to the political instability</w:t>
      </w:r>
      <w:r w:rsidR="00EF613B" w:rsidRPr="00477D8F">
        <w:rPr>
          <w:rFonts w:ascii="Sylfaen" w:hAnsi="Sylfaen" w:cs="Times New Roman"/>
        </w:rPr>
        <w:t xml:space="preserve"> preceding the presidential election </w:t>
      </w:r>
      <w:r w:rsidRPr="00477D8F">
        <w:rPr>
          <w:rFonts w:ascii="Sylfaen" w:hAnsi="Sylfaen" w:cs="Times New Roman"/>
        </w:rPr>
        <w:t>including the currency paging.</w:t>
      </w:r>
      <w:r w:rsidR="00272695" w:rsidRPr="00477D8F">
        <w:rPr>
          <w:rFonts w:ascii="Sylfaen" w:hAnsi="Sylfaen" w:cs="Times New Roman"/>
        </w:rPr>
        <w:t xml:space="preserve"> </w:t>
      </w:r>
      <w:r w:rsidRPr="00477D8F">
        <w:rPr>
          <w:rFonts w:ascii="Sylfaen" w:hAnsi="Sylfaen" w:cs="Times New Roman"/>
        </w:rPr>
        <w:t>The poverty rate has remained unchanged between 2010 and 2015, with about 48 percent of the population living below poverty line.</w:t>
      </w:r>
      <w:r w:rsidR="00272695" w:rsidRPr="00477D8F">
        <w:rPr>
          <w:rFonts w:ascii="Sylfaen" w:hAnsi="Sylfaen" w:cs="Times New Roman"/>
        </w:rPr>
        <w:t xml:space="preserve"> </w:t>
      </w:r>
      <w:r w:rsidRPr="00477D8F">
        <w:rPr>
          <w:rFonts w:ascii="Sylfaen" w:hAnsi="Sylfaen" w:cs="Times New Roman"/>
        </w:rPr>
        <w:t xml:space="preserve">The Gambia also experienced high population growth (approximately 3.2 percent against the </w:t>
      </w:r>
      <w:r w:rsidR="00FD0FF5" w:rsidRPr="00477D8F">
        <w:rPr>
          <w:rFonts w:ascii="Sylfaen" w:eastAsia="Times New Roman" w:hAnsi="Sylfaen" w:cs="Times New Roman"/>
          <w:bCs/>
          <w:color w:val="000000"/>
        </w:rPr>
        <w:t>Sub-Saharan Africa</w:t>
      </w:r>
      <w:r w:rsidR="00FD0FF5" w:rsidRPr="00477D8F">
        <w:rPr>
          <w:rFonts w:ascii="Sylfaen" w:hAnsi="Sylfaen" w:cs="Times New Roman"/>
        </w:rPr>
        <w:t xml:space="preserve"> </w:t>
      </w:r>
      <w:r w:rsidR="00F97B39" w:rsidRPr="00477D8F">
        <w:rPr>
          <w:rFonts w:ascii="Sylfaen" w:hAnsi="Sylfaen" w:cs="Times New Roman"/>
        </w:rPr>
        <w:t>[</w:t>
      </w:r>
      <w:r w:rsidRPr="00477D8F">
        <w:rPr>
          <w:rFonts w:ascii="Sylfaen" w:hAnsi="Sylfaen" w:cs="Times New Roman"/>
        </w:rPr>
        <w:t>SSA</w:t>
      </w:r>
      <w:r w:rsidR="00F97B39" w:rsidRPr="00477D8F">
        <w:rPr>
          <w:rFonts w:ascii="Sylfaen" w:hAnsi="Sylfaen" w:cs="Times New Roman"/>
        </w:rPr>
        <w:t>]</w:t>
      </w:r>
      <w:r w:rsidRPr="00477D8F">
        <w:rPr>
          <w:rFonts w:ascii="Sylfaen" w:hAnsi="Sylfaen" w:cs="Times New Roman"/>
        </w:rPr>
        <w:t xml:space="preserve"> average of 2.4 percent). Due in part to the high population growth, in absolute terms, the number of the poor grew from 0.79 million in 2010 to 0.93 million in 2015. Overall, based on the </w:t>
      </w:r>
      <w:r w:rsidR="002A7F47" w:rsidRPr="00477D8F">
        <w:rPr>
          <w:rFonts w:ascii="Sylfaen" w:eastAsia="Times New Roman" w:hAnsi="Sylfaen" w:cs="Times New Roman"/>
          <w:bCs/>
          <w:color w:val="000000"/>
        </w:rPr>
        <w:t>Human Development Index</w:t>
      </w:r>
      <w:r w:rsidR="002A7F47" w:rsidRPr="00477D8F">
        <w:rPr>
          <w:rFonts w:ascii="Sylfaen" w:hAnsi="Sylfaen" w:cs="Times New Roman"/>
        </w:rPr>
        <w:t xml:space="preserve"> (</w:t>
      </w:r>
      <w:r w:rsidRPr="00477D8F">
        <w:rPr>
          <w:rFonts w:ascii="Sylfaen" w:hAnsi="Sylfaen" w:cs="Times New Roman"/>
        </w:rPr>
        <w:t>HDI</w:t>
      </w:r>
      <w:r w:rsidR="002A7F47" w:rsidRPr="00477D8F">
        <w:rPr>
          <w:rFonts w:ascii="Sylfaen" w:hAnsi="Sylfaen" w:cs="Times New Roman"/>
        </w:rPr>
        <w:t>)</w:t>
      </w:r>
      <w:r w:rsidR="005401BB" w:rsidRPr="00477D8F">
        <w:rPr>
          <w:rFonts w:ascii="Sylfaen" w:hAnsi="Sylfaen" w:cs="Times New Roman"/>
        </w:rPr>
        <w:t>—</w:t>
      </w:r>
      <w:r w:rsidRPr="00477D8F">
        <w:rPr>
          <w:rFonts w:ascii="Sylfaen" w:hAnsi="Sylfaen" w:cs="Times New Roman"/>
        </w:rPr>
        <w:t xml:space="preserve">which </w:t>
      </w:r>
      <w:r w:rsidR="005401BB" w:rsidRPr="00477D8F">
        <w:rPr>
          <w:rFonts w:ascii="Sylfaen" w:hAnsi="Sylfaen" w:cs="Times New Roman"/>
        </w:rPr>
        <w:t xml:space="preserve">comprises </w:t>
      </w:r>
      <w:r w:rsidRPr="00477D8F">
        <w:rPr>
          <w:rFonts w:ascii="Sylfaen" w:hAnsi="Sylfaen" w:cs="Times New Roman"/>
        </w:rPr>
        <w:t>economic, health</w:t>
      </w:r>
      <w:r w:rsidR="005401BB" w:rsidRPr="00477D8F">
        <w:rPr>
          <w:rFonts w:ascii="Sylfaen" w:hAnsi="Sylfaen" w:cs="Times New Roman"/>
        </w:rPr>
        <w:t>,</w:t>
      </w:r>
      <w:r w:rsidRPr="00477D8F">
        <w:rPr>
          <w:rFonts w:ascii="Sylfaen" w:hAnsi="Sylfaen" w:cs="Times New Roman"/>
        </w:rPr>
        <w:t xml:space="preserve"> and education measures</w:t>
      </w:r>
      <w:r w:rsidR="005401BB" w:rsidRPr="00477D8F">
        <w:rPr>
          <w:rFonts w:ascii="Sylfaen" w:hAnsi="Sylfaen" w:cs="Times New Roman"/>
        </w:rPr>
        <w:t>—</w:t>
      </w:r>
      <w:r w:rsidRPr="00477D8F">
        <w:rPr>
          <w:rFonts w:ascii="Sylfaen" w:hAnsi="Sylfaen" w:cs="Times New Roman"/>
        </w:rPr>
        <w:t>The Gambia ranks 173 out of 188 countries</w:t>
      </w:r>
      <w:r w:rsidR="00DB6671" w:rsidRPr="00477D8F">
        <w:rPr>
          <w:rFonts w:ascii="Sylfaen" w:hAnsi="Sylfaen" w:cs="Times New Roman"/>
        </w:rPr>
        <w:t xml:space="preserve"> in 2015</w:t>
      </w:r>
      <w:r w:rsidRPr="00477D8F">
        <w:rPr>
          <w:rFonts w:ascii="Sylfaen" w:hAnsi="Sylfaen" w:cs="Times New Roman"/>
        </w:rPr>
        <w:t xml:space="preserve">. </w:t>
      </w:r>
    </w:p>
    <w:p w14:paraId="4BEFC655" w14:textId="21275DFE" w:rsidR="005C4D59" w:rsidRPr="00477D8F" w:rsidRDefault="005C4D59" w:rsidP="00272695">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 xml:space="preserve">The government’s commitment to education has been historically strong and </w:t>
      </w:r>
      <w:r w:rsidR="00D31E5B" w:rsidRPr="00477D8F">
        <w:rPr>
          <w:rFonts w:ascii="Sylfaen" w:hAnsi="Sylfaen"/>
        </w:rPr>
        <w:t xml:space="preserve">it has </w:t>
      </w:r>
      <w:r w:rsidRPr="00477D8F">
        <w:rPr>
          <w:rFonts w:ascii="Sylfaen" w:hAnsi="Sylfaen"/>
        </w:rPr>
        <w:t>embarked on a series of key initiatives to increase access and improve the quality of education. However, despite these commendable efforts and some improvement over time</w:t>
      </w:r>
      <w:r w:rsidR="00406FA9" w:rsidRPr="00477D8F">
        <w:rPr>
          <w:rFonts w:ascii="Sylfaen" w:hAnsi="Sylfaen"/>
        </w:rPr>
        <w:t>,</w:t>
      </w:r>
      <w:r w:rsidRPr="00477D8F">
        <w:rPr>
          <w:rStyle w:val="FootnoteReference"/>
          <w:rFonts w:ascii="Sylfaen" w:hAnsi="Sylfaen"/>
        </w:rPr>
        <w:footnoteReference w:id="7"/>
      </w:r>
      <w:r w:rsidRPr="00477D8F">
        <w:rPr>
          <w:rFonts w:ascii="Sylfaen" w:hAnsi="Sylfaen"/>
        </w:rPr>
        <w:t xml:space="preserve"> key sector performance indicators remain low. </w:t>
      </w:r>
      <w:r w:rsidRPr="00477D8F">
        <w:rPr>
          <w:rFonts w:ascii="Sylfaen" w:hAnsi="Sylfaen" w:cs="Times New Roman"/>
        </w:rPr>
        <w:t xml:space="preserve">The main challenges impeding the performance of the education sector include the following: </w:t>
      </w:r>
    </w:p>
    <w:p w14:paraId="48988A0A" w14:textId="4C8F04A1" w:rsidR="005C4D59" w:rsidRPr="00477D8F" w:rsidRDefault="005C4D59" w:rsidP="00D31E5B">
      <w:pPr>
        <w:pStyle w:val="ListParagraph"/>
        <w:numPr>
          <w:ilvl w:val="0"/>
          <w:numId w:val="35"/>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t>Access to all levels of education has remained stagnant</w:t>
      </w:r>
      <w:r w:rsidR="00E87ADC" w:rsidRPr="00477D8F">
        <w:rPr>
          <w:rFonts w:ascii="Sylfaen" w:hAnsi="Sylfaen" w:cs="Times New Roman"/>
        </w:rPr>
        <w:t xml:space="preserve"> although enrollment numbers are increasing due to high population growth</w:t>
      </w:r>
      <w:r w:rsidRPr="00477D8F">
        <w:rPr>
          <w:rFonts w:ascii="Sylfaen" w:hAnsi="Sylfaen" w:cs="Times New Roman"/>
        </w:rPr>
        <w:t xml:space="preserve">. This includes access to </w:t>
      </w:r>
      <w:r w:rsidR="00BE7A1E" w:rsidRPr="00477D8F">
        <w:rPr>
          <w:rFonts w:ascii="Sylfaen" w:hAnsi="Sylfaen" w:cs="Times New Roman"/>
        </w:rPr>
        <w:t>post primary</w:t>
      </w:r>
      <w:r w:rsidRPr="00477D8F">
        <w:rPr>
          <w:rFonts w:ascii="Sylfaen" w:hAnsi="Sylfaen" w:cs="Times New Roman"/>
        </w:rPr>
        <w:t xml:space="preserve"> education</w:t>
      </w:r>
      <w:r w:rsidR="00A12E03" w:rsidRPr="00477D8F">
        <w:rPr>
          <w:rFonts w:ascii="Sylfaen" w:hAnsi="Sylfaen" w:cs="Times New Roman"/>
        </w:rPr>
        <w:t>,</w:t>
      </w:r>
      <w:r w:rsidRPr="00477D8F">
        <w:rPr>
          <w:rFonts w:ascii="Sylfaen" w:hAnsi="Sylfaen" w:cs="Times New Roman"/>
        </w:rPr>
        <w:t xml:space="preserve"> which is low </w:t>
      </w:r>
      <w:r w:rsidR="00E25227" w:rsidRPr="00477D8F">
        <w:rPr>
          <w:rFonts w:ascii="Sylfaen" w:hAnsi="Sylfaen" w:cs="Times New Roman"/>
        </w:rPr>
        <w:t xml:space="preserve">despite </w:t>
      </w:r>
      <w:r w:rsidRPr="00477D8F">
        <w:rPr>
          <w:rFonts w:ascii="Sylfaen" w:hAnsi="Sylfaen" w:cs="Times New Roman"/>
        </w:rPr>
        <w:t xml:space="preserve">an increase in the actual number of students enrolled due to the high population growth. </w:t>
      </w:r>
    </w:p>
    <w:p w14:paraId="1EF46F56" w14:textId="6C76897A" w:rsidR="005C4D59" w:rsidRPr="00477D8F" w:rsidRDefault="005C4D59" w:rsidP="00D31E5B">
      <w:pPr>
        <w:pStyle w:val="ListParagraph"/>
        <w:numPr>
          <w:ilvl w:val="0"/>
          <w:numId w:val="35"/>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t xml:space="preserve">The universal primary education </w:t>
      </w:r>
      <w:r w:rsidR="0052614F" w:rsidRPr="00477D8F">
        <w:rPr>
          <w:rFonts w:ascii="Sylfaen" w:hAnsi="Sylfaen" w:cs="Times New Roman"/>
        </w:rPr>
        <w:t>(</w:t>
      </w:r>
      <w:r w:rsidR="0088768F" w:rsidRPr="00477D8F">
        <w:rPr>
          <w:rFonts w:ascii="Sylfaen" w:hAnsi="Sylfaen" w:cs="Times New Roman"/>
        </w:rPr>
        <w:t>Millennium Development Goal [</w:t>
      </w:r>
      <w:r w:rsidRPr="00477D8F">
        <w:rPr>
          <w:rFonts w:ascii="Sylfaen" w:hAnsi="Sylfaen" w:cs="Times New Roman"/>
        </w:rPr>
        <w:t>MDG</w:t>
      </w:r>
      <w:r w:rsidR="0088768F" w:rsidRPr="00477D8F">
        <w:rPr>
          <w:rFonts w:ascii="Sylfaen" w:hAnsi="Sylfaen" w:cs="Times New Roman"/>
        </w:rPr>
        <w:t>]</w:t>
      </w:r>
      <w:r w:rsidRPr="00477D8F">
        <w:rPr>
          <w:rFonts w:ascii="Sylfaen" w:hAnsi="Sylfaen" w:cs="Times New Roman"/>
        </w:rPr>
        <w:t xml:space="preserve"> #2) has not been achieved—as of 2015, the primary completion rate </w:t>
      </w:r>
      <w:r w:rsidR="00CE1D38" w:rsidRPr="00477D8F">
        <w:rPr>
          <w:rFonts w:ascii="Sylfaen" w:hAnsi="Sylfaen" w:cs="Times New Roman"/>
        </w:rPr>
        <w:t>(</w:t>
      </w:r>
      <w:r w:rsidR="00CE1D38" w:rsidRPr="00477D8F">
        <w:rPr>
          <w:rFonts w:ascii="Sylfaen" w:eastAsia="Times New Roman" w:hAnsi="Sylfaen" w:cs="Times New Roman"/>
          <w:color w:val="000000"/>
        </w:rPr>
        <w:t>PCR)</w:t>
      </w:r>
      <w:r w:rsidR="00CE1D38" w:rsidRPr="00477D8F">
        <w:rPr>
          <w:rFonts w:ascii="Sylfaen" w:hAnsi="Sylfaen" w:cs="Times New Roman"/>
        </w:rPr>
        <w:t xml:space="preserve"> </w:t>
      </w:r>
      <w:r w:rsidRPr="00477D8F">
        <w:rPr>
          <w:rFonts w:ascii="Sylfaen" w:hAnsi="Sylfaen" w:cs="Times New Roman"/>
        </w:rPr>
        <w:t>was 74 percent, although it is important to note that gender parity has been attained.</w:t>
      </w:r>
      <w:r w:rsidR="00272695" w:rsidRPr="00477D8F">
        <w:rPr>
          <w:rFonts w:ascii="Sylfaen" w:hAnsi="Sylfaen" w:cs="Times New Roman"/>
        </w:rPr>
        <w:t xml:space="preserve"> </w:t>
      </w:r>
    </w:p>
    <w:p w14:paraId="225FF795" w14:textId="77777777" w:rsidR="005C4D59" w:rsidRPr="00477D8F" w:rsidRDefault="005C4D59" w:rsidP="00D31E5B">
      <w:pPr>
        <w:pStyle w:val="ListParagraph"/>
        <w:numPr>
          <w:ilvl w:val="0"/>
          <w:numId w:val="35"/>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t xml:space="preserve">Disparities in access to education across geographic areas and social economic groups remain high, and there has been no improvement between 2010 and 2015. </w:t>
      </w:r>
    </w:p>
    <w:p w14:paraId="56A9D197" w14:textId="18C9C852" w:rsidR="005C4D59" w:rsidRPr="00477D8F" w:rsidRDefault="005C4D59" w:rsidP="00D31E5B">
      <w:pPr>
        <w:pStyle w:val="ListParagraph"/>
        <w:numPr>
          <w:ilvl w:val="0"/>
          <w:numId w:val="35"/>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t>About one</w:t>
      </w:r>
      <w:r w:rsidR="00BB61FE" w:rsidRPr="00477D8F">
        <w:rPr>
          <w:rFonts w:ascii="Sylfaen" w:hAnsi="Sylfaen" w:cs="Times New Roman"/>
        </w:rPr>
        <w:t>-</w:t>
      </w:r>
      <w:r w:rsidRPr="00477D8F">
        <w:rPr>
          <w:rFonts w:ascii="Sylfaen" w:hAnsi="Sylfaen" w:cs="Times New Roman"/>
        </w:rPr>
        <w:t>third of primary</w:t>
      </w:r>
      <w:r w:rsidR="000B615F" w:rsidRPr="00477D8F">
        <w:rPr>
          <w:rFonts w:ascii="Sylfaen" w:hAnsi="Sylfaen" w:cs="Times New Roman"/>
        </w:rPr>
        <w:t>-</w:t>
      </w:r>
      <w:r w:rsidRPr="00477D8F">
        <w:rPr>
          <w:rFonts w:ascii="Sylfaen" w:hAnsi="Sylfaen" w:cs="Times New Roman"/>
        </w:rPr>
        <w:t>school</w:t>
      </w:r>
      <w:r w:rsidR="00BB61FE" w:rsidRPr="00477D8F">
        <w:rPr>
          <w:rFonts w:ascii="Sylfaen" w:hAnsi="Sylfaen" w:cs="Times New Roman"/>
        </w:rPr>
        <w:t>-</w:t>
      </w:r>
      <w:r w:rsidRPr="00477D8F">
        <w:rPr>
          <w:rFonts w:ascii="Sylfaen" w:hAnsi="Sylfaen" w:cs="Times New Roman"/>
        </w:rPr>
        <w:t>age children are out</w:t>
      </w:r>
      <w:r w:rsidR="00BB61FE" w:rsidRPr="00477D8F">
        <w:rPr>
          <w:rFonts w:ascii="Sylfaen" w:hAnsi="Sylfaen" w:cs="Times New Roman"/>
        </w:rPr>
        <w:t xml:space="preserve"> </w:t>
      </w:r>
      <w:r w:rsidRPr="00477D8F">
        <w:rPr>
          <w:rFonts w:ascii="Sylfaen" w:hAnsi="Sylfaen" w:cs="Times New Roman"/>
        </w:rPr>
        <w:t>of</w:t>
      </w:r>
      <w:r w:rsidR="00BB61FE" w:rsidRPr="00477D8F">
        <w:rPr>
          <w:rFonts w:ascii="Sylfaen" w:hAnsi="Sylfaen" w:cs="Times New Roman"/>
        </w:rPr>
        <w:t xml:space="preserve"> </w:t>
      </w:r>
      <w:r w:rsidRPr="00477D8F">
        <w:rPr>
          <w:rFonts w:ascii="Sylfaen" w:hAnsi="Sylfaen" w:cs="Times New Roman"/>
        </w:rPr>
        <w:t>school</w:t>
      </w:r>
      <w:r w:rsidR="00BB61FE" w:rsidRPr="00477D8F">
        <w:rPr>
          <w:rFonts w:ascii="Sylfaen" w:hAnsi="Sylfaen" w:cs="Times New Roman"/>
        </w:rPr>
        <w:t>,</w:t>
      </w:r>
      <w:r w:rsidRPr="00477D8F">
        <w:rPr>
          <w:rFonts w:ascii="Sylfaen" w:hAnsi="Sylfaen" w:cs="Times New Roman"/>
        </w:rPr>
        <w:t xml:space="preserve"> which disproportionately affects some regions (principally </w:t>
      </w:r>
      <w:r w:rsidR="000D0CC4" w:rsidRPr="00477D8F">
        <w:rPr>
          <w:rFonts w:ascii="Sylfaen" w:hAnsi="Sylfaen" w:cs="Times New Roman"/>
        </w:rPr>
        <w:t>r</w:t>
      </w:r>
      <w:r w:rsidRPr="00477D8F">
        <w:rPr>
          <w:rFonts w:ascii="Sylfaen" w:hAnsi="Sylfaen" w:cs="Times New Roman"/>
        </w:rPr>
        <w:t xml:space="preserve">egion 5 and </w:t>
      </w:r>
      <w:r w:rsidR="000D0CC4" w:rsidRPr="00477D8F">
        <w:rPr>
          <w:rFonts w:ascii="Sylfaen" w:hAnsi="Sylfaen" w:cs="Times New Roman"/>
        </w:rPr>
        <w:t>r</w:t>
      </w:r>
      <w:r w:rsidRPr="00477D8F">
        <w:rPr>
          <w:rFonts w:ascii="Sylfaen" w:hAnsi="Sylfaen" w:cs="Times New Roman"/>
        </w:rPr>
        <w:t>egion 6). Furthermore, the out</w:t>
      </w:r>
      <w:r w:rsidR="00BB61FE" w:rsidRPr="00477D8F">
        <w:rPr>
          <w:rFonts w:ascii="Sylfaen" w:hAnsi="Sylfaen" w:cs="Times New Roman"/>
        </w:rPr>
        <w:t>-</w:t>
      </w:r>
      <w:r w:rsidRPr="00477D8F">
        <w:rPr>
          <w:rFonts w:ascii="Sylfaen" w:hAnsi="Sylfaen" w:cs="Times New Roman"/>
        </w:rPr>
        <w:t>of</w:t>
      </w:r>
      <w:r w:rsidR="00BB61FE" w:rsidRPr="00477D8F">
        <w:rPr>
          <w:rFonts w:ascii="Sylfaen" w:hAnsi="Sylfaen" w:cs="Times New Roman"/>
        </w:rPr>
        <w:t>-</w:t>
      </w:r>
      <w:r w:rsidRPr="00477D8F">
        <w:rPr>
          <w:rFonts w:ascii="Sylfaen" w:hAnsi="Sylfaen" w:cs="Times New Roman"/>
        </w:rPr>
        <w:t xml:space="preserve">school rate has grown between 2010 and 2015. </w:t>
      </w:r>
    </w:p>
    <w:p w14:paraId="4BDA6C1D" w14:textId="22D188CE" w:rsidR="005C4D59" w:rsidRPr="00477D8F" w:rsidRDefault="005C4D59" w:rsidP="00D31E5B">
      <w:pPr>
        <w:pStyle w:val="ListParagraph"/>
        <w:numPr>
          <w:ilvl w:val="0"/>
          <w:numId w:val="35"/>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t>The cultural and religious barriers to formal school</w:t>
      </w:r>
      <w:r w:rsidR="00901C73" w:rsidRPr="00477D8F">
        <w:rPr>
          <w:rFonts w:ascii="Sylfaen" w:hAnsi="Sylfaen" w:cs="Times New Roman"/>
        </w:rPr>
        <w:t>s</w:t>
      </w:r>
      <w:r w:rsidRPr="00477D8F">
        <w:rPr>
          <w:rFonts w:ascii="Sylfaen" w:hAnsi="Sylfaen" w:cs="Times New Roman"/>
        </w:rPr>
        <w:t xml:space="preserve"> are difficult to overcome and the integration of the </w:t>
      </w:r>
      <w:r w:rsidR="00E80A69" w:rsidRPr="00477D8F">
        <w:rPr>
          <w:rFonts w:ascii="Sylfaen" w:hAnsi="Sylfaen" w:cs="Times New Roman"/>
        </w:rPr>
        <w:t>Madrassah</w:t>
      </w:r>
      <w:r w:rsidRPr="00477D8F">
        <w:rPr>
          <w:rFonts w:ascii="Sylfaen" w:hAnsi="Sylfaen" w:cs="Times New Roman"/>
        </w:rPr>
        <w:t xml:space="preserve"> schools is still a </w:t>
      </w:r>
      <w:r w:rsidR="00E87ADC" w:rsidRPr="00477D8F">
        <w:rPr>
          <w:rFonts w:ascii="Sylfaen" w:hAnsi="Sylfaen" w:cs="Times New Roman"/>
        </w:rPr>
        <w:t>key</w:t>
      </w:r>
      <w:r w:rsidRPr="00477D8F">
        <w:rPr>
          <w:rFonts w:ascii="Sylfaen" w:hAnsi="Sylfaen" w:cs="Times New Roman"/>
        </w:rPr>
        <w:t xml:space="preserve"> challenge</w:t>
      </w:r>
      <w:r w:rsidR="00E87ADC" w:rsidRPr="00477D8F">
        <w:rPr>
          <w:rFonts w:ascii="Sylfaen" w:hAnsi="Sylfaen" w:cs="Times New Roman"/>
        </w:rPr>
        <w:t>.</w:t>
      </w:r>
    </w:p>
    <w:p w14:paraId="157281B5" w14:textId="1016A891" w:rsidR="005C4D59" w:rsidRPr="00477D8F" w:rsidRDefault="005C4D59" w:rsidP="00D31E5B">
      <w:pPr>
        <w:pStyle w:val="ListParagraph"/>
        <w:numPr>
          <w:ilvl w:val="0"/>
          <w:numId w:val="35"/>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lastRenderedPageBreak/>
        <w:t>Post-school opportunities are severely limited for youth, and more than half of the working</w:t>
      </w:r>
      <w:r w:rsidR="00BB61FE" w:rsidRPr="00477D8F">
        <w:rPr>
          <w:rFonts w:ascii="Sylfaen" w:hAnsi="Sylfaen" w:cs="Times New Roman"/>
        </w:rPr>
        <w:t>-</w:t>
      </w:r>
      <w:r w:rsidRPr="00477D8F">
        <w:rPr>
          <w:rFonts w:ascii="Sylfaen" w:hAnsi="Sylfaen" w:cs="Times New Roman"/>
        </w:rPr>
        <w:t xml:space="preserve">age population has no formal education (58 percent). </w:t>
      </w:r>
    </w:p>
    <w:p w14:paraId="1004A4DA" w14:textId="4575B674" w:rsidR="00854201" w:rsidRPr="00477D8F" w:rsidRDefault="00854201" w:rsidP="00D31E5B">
      <w:pPr>
        <w:pStyle w:val="ListParagraph"/>
        <w:numPr>
          <w:ilvl w:val="0"/>
          <w:numId w:val="35"/>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t xml:space="preserve">Although learning outcomes </w:t>
      </w:r>
      <w:r w:rsidR="00E87ADC" w:rsidRPr="00477D8F">
        <w:rPr>
          <w:rFonts w:ascii="Sylfaen" w:hAnsi="Sylfaen" w:cs="Times New Roman"/>
        </w:rPr>
        <w:t>are</w:t>
      </w:r>
      <w:r w:rsidRPr="00477D8F">
        <w:rPr>
          <w:rFonts w:ascii="Sylfaen" w:hAnsi="Sylfaen" w:cs="Times New Roman"/>
        </w:rPr>
        <w:t xml:space="preserve"> improving, </w:t>
      </w:r>
      <w:r w:rsidR="00E87ADC" w:rsidRPr="00477D8F">
        <w:rPr>
          <w:rFonts w:ascii="Sylfaen" w:hAnsi="Sylfaen" w:cs="Times New Roman"/>
        </w:rPr>
        <w:t xml:space="preserve">the existing learning </w:t>
      </w:r>
      <w:r w:rsidRPr="00477D8F">
        <w:rPr>
          <w:rFonts w:ascii="Sylfaen" w:hAnsi="Sylfaen" w:cs="Times New Roman"/>
        </w:rPr>
        <w:t xml:space="preserve">instruments such as </w:t>
      </w:r>
      <w:r w:rsidR="00BB61FE" w:rsidRPr="00477D8F">
        <w:rPr>
          <w:rFonts w:ascii="Sylfaen" w:hAnsi="Sylfaen" w:cs="Times New Roman"/>
        </w:rPr>
        <w:t>National Assessment Test (</w:t>
      </w:r>
      <w:r w:rsidRPr="00477D8F">
        <w:rPr>
          <w:rFonts w:ascii="Sylfaen" w:hAnsi="Sylfaen" w:cs="Times New Roman"/>
        </w:rPr>
        <w:t>NAT</w:t>
      </w:r>
      <w:r w:rsidR="00BB61FE" w:rsidRPr="00477D8F">
        <w:rPr>
          <w:rFonts w:ascii="Sylfaen" w:hAnsi="Sylfaen" w:cs="Times New Roman"/>
        </w:rPr>
        <w:t>)</w:t>
      </w:r>
      <w:r w:rsidRPr="00477D8F">
        <w:rPr>
          <w:rFonts w:ascii="Sylfaen" w:hAnsi="Sylfaen" w:cs="Times New Roman"/>
        </w:rPr>
        <w:t xml:space="preserve">, </w:t>
      </w:r>
      <w:r w:rsidR="00621110" w:rsidRPr="00477D8F">
        <w:rPr>
          <w:rFonts w:ascii="Sylfaen" w:eastAsia="Times New Roman" w:hAnsi="Sylfaen" w:cs="Times New Roman"/>
          <w:bCs/>
          <w:color w:val="000000"/>
        </w:rPr>
        <w:t>Gambia Basic Education Certificate Examination</w:t>
      </w:r>
      <w:r w:rsidR="00621110" w:rsidRPr="00477D8F">
        <w:rPr>
          <w:rFonts w:ascii="Sylfaen" w:hAnsi="Sylfaen" w:cs="Times New Roman"/>
        </w:rPr>
        <w:t xml:space="preserve"> (</w:t>
      </w:r>
      <w:r w:rsidRPr="00477D8F">
        <w:rPr>
          <w:rFonts w:ascii="Sylfaen" w:hAnsi="Sylfaen" w:cs="Times New Roman"/>
        </w:rPr>
        <w:t>GABECE</w:t>
      </w:r>
      <w:r w:rsidR="00621110" w:rsidRPr="00477D8F">
        <w:rPr>
          <w:rFonts w:ascii="Sylfaen" w:hAnsi="Sylfaen" w:cs="Times New Roman"/>
        </w:rPr>
        <w:t>)</w:t>
      </w:r>
      <w:r w:rsidR="000655E0" w:rsidRPr="00477D8F">
        <w:rPr>
          <w:rFonts w:ascii="Sylfaen" w:hAnsi="Sylfaen" w:cs="Times New Roman"/>
        </w:rPr>
        <w:t>,</w:t>
      </w:r>
      <w:r w:rsidRPr="00477D8F">
        <w:rPr>
          <w:rFonts w:ascii="Sylfaen" w:hAnsi="Sylfaen" w:cs="Times New Roman"/>
        </w:rPr>
        <w:t xml:space="preserve"> and </w:t>
      </w:r>
      <w:r w:rsidR="00A75A8A" w:rsidRPr="00477D8F">
        <w:rPr>
          <w:rFonts w:ascii="Sylfaen" w:hAnsi="Sylfaen" w:cs="Times New Roman"/>
        </w:rPr>
        <w:t>West African Secondary School Certificate Examinations (</w:t>
      </w:r>
      <w:r w:rsidRPr="00477D8F">
        <w:rPr>
          <w:rFonts w:ascii="Sylfaen" w:hAnsi="Sylfaen" w:cs="Times New Roman"/>
        </w:rPr>
        <w:t>WASSCE</w:t>
      </w:r>
      <w:r w:rsidR="00A75A8A" w:rsidRPr="00477D8F">
        <w:rPr>
          <w:rFonts w:ascii="Sylfaen" w:hAnsi="Sylfaen" w:cs="Times New Roman"/>
        </w:rPr>
        <w:t>)</w:t>
      </w:r>
      <w:r w:rsidRPr="00477D8F">
        <w:rPr>
          <w:rFonts w:ascii="Sylfaen" w:hAnsi="Sylfaen" w:cs="Times New Roman"/>
        </w:rPr>
        <w:t xml:space="preserve"> lack key essential elements to measure progress over</w:t>
      </w:r>
      <w:r w:rsidR="00BB61FE" w:rsidRPr="00477D8F">
        <w:rPr>
          <w:rFonts w:ascii="Sylfaen" w:hAnsi="Sylfaen" w:cs="Times New Roman"/>
        </w:rPr>
        <w:t xml:space="preserve"> </w:t>
      </w:r>
      <w:r w:rsidRPr="00477D8F">
        <w:rPr>
          <w:rFonts w:ascii="Sylfaen" w:hAnsi="Sylfaen" w:cs="Times New Roman"/>
        </w:rPr>
        <w:t>time.</w:t>
      </w:r>
      <w:r w:rsidR="00272695" w:rsidRPr="00477D8F">
        <w:rPr>
          <w:rFonts w:ascii="Sylfaen" w:hAnsi="Sylfaen" w:cs="Times New Roman"/>
        </w:rPr>
        <w:t xml:space="preserve"> </w:t>
      </w:r>
    </w:p>
    <w:p w14:paraId="1D34E915" w14:textId="2D749B73" w:rsidR="00854201" w:rsidRPr="00477D8F" w:rsidRDefault="00854201" w:rsidP="00D31E5B">
      <w:pPr>
        <w:pStyle w:val="ListParagraph"/>
        <w:numPr>
          <w:ilvl w:val="0"/>
          <w:numId w:val="35"/>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t xml:space="preserve">Resources are profoundly limited and the government faced tremendous </w:t>
      </w:r>
      <w:r w:rsidR="00062F8A" w:rsidRPr="00477D8F">
        <w:rPr>
          <w:rFonts w:ascii="Sylfaen" w:hAnsi="Sylfaen" w:cs="Times New Roman"/>
        </w:rPr>
        <w:t xml:space="preserve">financial </w:t>
      </w:r>
      <w:r w:rsidRPr="00477D8F">
        <w:rPr>
          <w:rFonts w:ascii="Sylfaen" w:hAnsi="Sylfaen" w:cs="Times New Roman"/>
        </w:rPr>
        <w:t>challenges</w:t>
      </w:r>
      <w:r w:rsidR="00062F8A" w:rsidRPr="00477D8F">
        <w:rPr>
          <w:rFonts w:ascii="Sylfaen" w:hAnsi="Sylfaen" w:cs="Times New Roman"/>
        </w:rPr>
        <w:t>, although it has managed to pay teacher salaries on time.</w:t>
      </w:r>
      <w:r w:rsidR="004732F8" w:rsidRPr="00477D8F">
        <w:rPr>
          <w:rFonts w:ascii="Sylfaen" w:hAnsi="Sylfaen" w:cs="Times New Roman"/>
        </w:rPr>
        <w:t xml:space="preserve"> </w:t>
      </w:r>
      <w:r w:rsidRPr="00477D8F">
        <w:rPr>
          <w:rFonts w:ascii="Sylfaen" w:hAnsi="Sylfaen" w:cs="Times New Roman"/>
        </w:rPr>
        <w:t>Despite the government’s pledge to overcome such challenges, the limited fiscal space</w:t>
      </w:r>
      <w:r w:rsidR="00653C6C" w:rsidRPr="00477D8F">
        <w:rPr>
          <w:rFonts w:ascii="Sylfaen" w:hAnsi="Sylfaen" w:cs="Times New Roman"/>
        </w:rPr>
        <w:t xml:space="preserve"> and</w:t>
      </w:r>
      <w:r w:rsidRPr="00477D8F">
        <w:rPr>
          <w:rFonts w:ascii="Sylfaen" w:hAnsi="Sylfaen" w:cs="Times New Roman"/>
        </w:rPr>
        <w:t xml:space="preserve"> the uncertainty of the macroeconomic environment and donor support highlight the need to identify areas of improvement in efficiency and effectiveness of service delivery. The issue of linking inputs to outputs and outcomes to ensure value for money is especially important.</w:t>
      </w:r>
      <w:r w:rsidR="00272695" w:rsidRPr="00477D8F">
        <w:rPr>
          <w:rFonts w:ascii="Sylfaen" w:hAnsi="Sylfaen" w:cs="Times New Roman"/>
        </w:rPr>
        <w:t xml:space="preserve"> </w:t>
      </w:r>
    </w:p>
    <w:p w14:paraId="11DE92B7" w14:textId="226A09CD" w:rsidR="00854201" w:rsidRPr="00477D8F" w:rsidRDefault="00854201" w:rsidP="00854201">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rPr>
        <w:t>In light of the challenges outlined above, the main objectives of this PER are to (</w:t>
      </w:r>
      <w:r w:rsidR="009E1011" w:rsidRPr="00477D8F">
        <w:rPr>
          <w:rFonts w:ascii="Sylfaen" w:hAnsi="Sylfaen" w:cs="Times New Roman"/>
        </w:rPr>
        <w:t>a</w:t>
      </w:r>
      <w:r w:rsidRPr="00477D8F">
        <w:rPr>
          <w:rFonts w:ascii="Sylfaen" w:hAnsi="Sylfaen" w:cs="Times New Roman"/>
        </w:rPr>
        <w:t>) assess the adequacy and sustainability of public spending in the education sector; (</w:t>
      </w:r>
      <w:r w:rsidR="00D72518" w:rsidRPr="00477D8F">
        <w:rPr>
          <w:rFonts w:ascii="Sylfaen" w:hAnsi="Sylfaen" w:cs="Times New Roman"/>
        </w:rPr>
        <w:t>b</w:t>
      </w:r>
      <w:r w:rsidRPr="00477D8F">
        <w:rPr>
          <w:rFonts w:ascii="Sylfaen" w:hAnsi="Sylfaen" w:cs="Times New Roman"/>
        </w:rPr>
        <w:t>) assess the effectiveness and efficiency of spending; (</w:t>
      </w:r>
      <w:r w:rsidR="00D72518" w:rsidRPr="00477D8F">
        <w:rPr>
          <w:rFonts w:ascii="Sylfaen" w:hAnsi="Sylfaen" w:cs="Times New Roman"/>
        </w:rPr>
        <w:t>c</w:t>
      </w:r>
      <w:r w:rsidRPr="00477D8F">
        <w:rPr>
          <w:rFonts w:ascii="Sylfaen" w:hAnsi="Sylfaen" w:cs="Times New Roman"/>
        </w:rPr>
        <w:t>) evaluate the equity of public expenditures and affordability of schooling for the poor; (</w:t>
      </w:r>
      <w:r w:rsidR="00D72518" w:rsidRPr="00477D8F">
        <w:rPr>
          <w:rFonts w:ascii="Sylfaen" w:hAnsi="Sylfaen" w:cs="Times New Roman"/>
        </w:rPr>
        <w:t>d</w:t>
      </w:r>
      <w:r w:rsidRPr="00477D8F">
        <w:rPr>
          <w:rFonts w:ascii="Sylfaen" w:hAnsi="Sylfaen" w:cs="Times New Roman"/>
        </w:rPr>
        <w:t>) provide policy recommendations to feed into the preparation of the new sectoral plan and the management of public expenditure in the sector; (</w:t>
      </w:r>
      <w:r w:rsidR="00D72518" w:rsidRPr="00477D8F">
        <w:rPr>
          <w:rFonts w:ascii="Sylfaen" w:hAnsi="Sylfaen" w:cs="Times New Roman"/>
        </w:rPr>
        <w:t>e</w:t>
      </w:r>
      <w:r w:rsidRPr="00477D8F">
        <w:rPr>
          <w:rFonts w:ascii="Sylfaen" w:hAnsi="Sylfaen" w:cs="Times New Roman"/>
        </w:rPr>
        <w:t>) support capacity</w:t>
      </w:r>
      <w:r w:rsidR="00B84CFD" w:rsidRPr="00477D8F">
        <w:rPr>
          <w:rFonts w:ascii="Sylfaen" w:hAnsi="Sylfaen" w:cs="Times New Roman"/>
        </w:rPr>
        <w:t>-</w:t>
      </w:r>
      <w:r w:rsidRPr="00477D8F">
        <w:rPr>
          <w:rFonts w:ascii="Sylfaen" w:hAnsi="Sylfaen" w:cs="Times New Roman"/>
        </w:rPr>
        <w:t>building and training plans; and (</w:t>
      </w:r>
      <w:r w:rsidR="00D72518" w:rsidRPr="00477D8F">
        <w:rPr>
          <w:rFonts w:ascii="Sylfaen" w:hAnsi="Sylfaen" w:cs="Times New Roman"/>
        </w:rPr>
        <w:t>f</w:t>
      </w:r>
      <w:r w:rsidRPr="00477D8F">
        <w:rPr>
          <w:rFonts w:ascii="Sylfaen" w:hAnsi="Sylfaen" w:cs="Times New Roman"/>
        </w:rPr>
        <w:t>) provide input for new projects, the country National Development Plan</w:t>
      </w:r>
      <w:r w:rsidR="00E44F54" w:rsidRPr="00477D8F">
        <w:rPr>
          <w:rFonts w:ascii="Sylfaen" w:hAnsi="Sylfaen" w:cs="Times New Roman"/>
        </w:rPr>
        <w:t>,</w:t>
      </w:r>
      <w:r w:rsidRPr="00477D8F">
        <w:rPr>
          <w:rFonts w:ascii="Sylfaen" w:hAnsi="Sylfaen" w:cs="Times New Roman"/>
        </w:rPr>
        <w:t xml:space="preserve"> and any upcoming World Bank report such as the Country Diagnostic Study. As such</w:t>
      </w:r>
      <w:r w:rsidR="00E44F54" w:rsidRPr="00477D8F">
        <w:rPr>
          <w:rFonts w:ascii="Sylfaen" w:hAnsi="Sylfaen" w:cs="Times New Roman"/>
        </w:rPr>
        <w:t>,</w:t>
      </w:r>
      <w:r w:rsidRPr="00477D8F">
        <w:rPr>
          <w:rFonts w:ascii="Sylfaen" w:hAnsi="Sylfaen" w:cs="Times New Roman"/>
        </w:rPr>
        <w:t xml:space="preserve"> the PER focuses on an in-depth analysis of how the education sector is financed</w:t>
      </w:r>
      <w:r w:rsidR="00B84CFD" w:rsidRPr="00477D8F">
        <w:rPr>
          <w:rFonts w:ascii="Sylfaen" w:hAnsi="Sylfaen" w:cs="Times New Roman"/>
        </w:rPr>
        <w:t>,</w:t>
      </w:r>
      <w:r w:rsidRPr="00477D8F">
        <w:rPr>
          <w:rFonts w:ascii="Sylfaen" w:hAnsi="Sylfaen" w:cs="Times New Roman"/>
        </w:rPr>
        <w:t xml:space="preserve"> with particular attention given to the effectiveness, efficiency, equity, affordability, and sustainability of the sector’s public spending in preprimary, primary, lower secondary, upper secondary</w:t>
      </w:r>
      <w:r w:rsidR="00C0219D" w:rsidRPr="00477D8F">
        <w:rPr>
          <w:rFonts w:ascii="Sylfaen" w:hAnsi="Sylfaen" w:cs="Times New Roman"/>
        </w:rPr>
        <w:t>,</w:t>
      </w:r>
      <w:r w:rsidRPr="00477D8F">
        <w:rPr>
          <w:rFonts w:ascii="Sylfaen" w:hAnsi="Sylfaen" w:cs="Times New Roman"/>
        </w:rPr>
        <w:t xml:space="preserve"> and higher education. The </w:t>
      </w:r>
      <w:r w:rsidR="009A2AAB" w:rsidRPr="00477D8F">
        <w:rPr>
          <w:rFonts w:ascii="Sylfaen" w:eastAsia="Times New Roman" w:hAnsi="Sylfaen" w:cs="Times New Roman"/>
          <w:bCs/>
          <w:color w:val="000000"/>
        </w:rPr>
        <w:t>Technical and Vocational Education Training</w:t>
      </w:r>
      <w:r w:rsidR="009A2AAB" w:rsidRPr="00477D8F">
        <w:rPr>
          <w:rFonts w:ascii="Sylfaen" w:hAnsi="Sylfaen" w:cs="Times New Roman"/>
        </w:rPr>
        <w:t xml:space="preserve"> (</w:t>
      </w:r>
      <w:r w:rsidRPr="00477D8F">
        <w:rPr>
          <w:rFonts w:ascii="Sylfaen" w:hAnsi="Sylfaen" w:cs="Times New Roman"/>
        </w:rPr>
        <w:t>TVET</w:t>
      </w:r>
      <w:r w:rsidR="009A2AAB" w:rsidRPr="00477D8F">
        <w:rPr>
          <w:rFonts w:ascii="Sylfaen" w:hAnsi="Sylfaen" w:cs="Times New Roman"/>
        </w:rPr>
        <w:t>)</w:t>
      </w:r>
      <w:r w:rsidRPr="00477D8F">
        <w:rPr>
          <w:rFonts w:ascii="Sylfaen" w:hAnsi="Sylfaen" w:cs="Times New Roman"/>
        </w:rPr>
        <w:t xml:space="preserve"> subsector is considered part </w:t>
      </w:r>
      <w:r w:rsidR="00E87ADC" w:rsidRPr="00477D8F">
        <w:rPr>
          <w:rFonts w:ascii="Sylfaen" w:hAnsi="Sylfaen" w:cs="Times New Roman"/>
        </w:rPr>
        <w:t xml:space="preserve">of </w:t>
      </w:r>
      <w:r w:rsidRPr="00477D8F">
        <w:rPr>
          <w:rFonts w:ascii="Sylfaen" w:hAnsi="Sylfaen" w:cs="Times New Roman"/>
        </w:rPr>
        <w:t>the postsecondary education system, given that there is no separate line</w:t>
      </w:r>
      <w:r w:rsidR="00E25227" w:rsidRPr="00477D8F">
        <w:rPr>
          <w:rFonts w:ascii="Sylfaen" w:hAnsi="Sylfaen" w:cs="Times New Roman"/>
        </w:rPr>
        <w:t xml:space="preserve"> </w:t>
      </w:r>
      <w:r w:rsidRPr="00477D8F">
        <w:rPr>
          <w:rFonts w:ascii="Sylfaen" w:hAnsi="Sylfaen" w:cs="Times New Roman"/>
        </w:rPr>
        <w:t>ministry and program due to the nascent postsecondary education system in the country.</w:t>
      </w:r>
    </w:p>
    <w:p w14:paraId="1447DF10" w14:textId="5906CC5F" w:rsidR="005F4940" w:rsidRPr="00477D8F" w:rsidRDefault="00854201" w:rsidP="004732F8">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rPr>
        <w:t>This is the first</w:t>
      </w:r>
      <w:r w:rsidR="00E87ADC" w:rsidRPr="00477D8F">
        <w:rPr>
          <w:rFonts w:ascii="Sylfaen" w:hAnsi="Sylfaen" w:cs="Times New Roman"/>
        </w:rPr>
        <w:t xml:space="preserve"> </w:t>
      </w:r>
      <w:r w:rsidRPr="00477D8F">
        <w:rPr>
          <w:rFonts w:ascii="Sylfaen" w:hAnsi="Sylfaen" w:cs="Times New Roman"/>
        </w:rPr>
        <w:t xml:space="preserve">PER of the education sector in The Gambia supported by development partners and some of the findings and recommendations of the 2011 Education Sector Country Status Report (CSR) were used as a reference point. </w:t>
      </w:r>
      <w:r w:rsidR="00653A1B" w:rsidRPr="00477D8F">
        <w:rPr>
          <w:rFonts w:ascii="Sylfaen" w:hAnsi="Sylfaen" w:cs="Times New Roman"/>
        </w:rPr>
        <w:t xml:space="preserve">Relevant to the PER focus areas, the </w:t>
      </w:r>
      <w:r w:rsidR="00E87ADC" w:rsidRPr="00477D8F">
        <w:rPr>
          <w:rFonts w:ascii="Sylfaen" w:hAnsi="Sylfaen" w:cs="Times New Roman"/>
        </w:rPr>
        <w:t>following</w:t>
      </w:r>
      <w:r w:rsidRPr="00477D8F">
        <w:rPr>
          <w:rFonts w:ascii="Sylfaen" w:hAnsi="Sylfaen" w:cs="Times New Roman"/>
        </w:rPr>
        <w:t xml:space="preserve"> </w:t>
      </w:r>
      <w:r w:rsidR="00653A1B" w:rsidRPr="00477D8F">
        <w:rPr>
          <w:rFonts w:ascii="Sylfaen" w:hAnsi="Sylfaen" w:cs="Times New Roman"/>
        </w:rPr>
        <w:t xml:space="preserve">are the main </w:t>
      </w:r>
      <w:r w:rsidRPr="00477D8F">
        <w:rPr>
          <w:rFonts w:ascii="Sylfaen" w:hAnsi="Sylfaen" w:cs="Times New Roman"/>
        </w:rPr>
        <w:t xml:space="preserve">findings and recommendations </w:t>
      </w:r>
      <w:r w:rsidR="00DB6671" w:rsidRPr="00477D8F">
        <w:rPr>
          <w:rFonts w:ascii="Sylfaen" w:hAnsi="Sylfaen" w:cs="Times New Roman"/>
        </w:rPr>
        <w:t xml:space="preserve">of </w:t>
      </w:r>
      <w:r w:rsidR="005F4940" w:rsidRPr="00477D8F">
        <w:rPr>
          <w:rFonts w:ascii="Sylfaen" w:hAnsi="Sylfaen" w:cs="Times New Roman"/>
        </w:rPr>
        <w:t>the CSR.</w:t>
      </w:r>
    </w:p>
    <w:p w14:paraId="4C6D2F8D" w14:textId="57B02279" w:rsidR="005F4940" w:rsidRPr="00477D8F" w:rsidRDefault="005F4940" w:rsidP="005F4940">
      <w:pPr>
        <w:pStyle w:val="ListParagraph"/>
        <w:numPr>
          <w:ilvl w:val="0"/>
          <w:numId w:val="36"/>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t>T</w:t>
      </w:r>
      <w:r w:rsidR="00854201" w:rsidRPr="00477D8F">
        <w:rPr>
          <w:rFonts w:ascii="Sylfaen" w:hAnsi="Sylfaen" w:cs="Times New Roman"/>
        </w:rPr>
        <w:t xml:space="preserve">he education sector budget allocation </w:t>
      </w:r>
      <w:r w:rsidR="00653A1B" w:rsidRPr="00477D8F">
        <w:rPr>
          <w:rFonts w:ascii="Sylfaen" w:hAnsi="Sylfaen" w:cs="Times New Roman"/>
        </w:rPr>
        <w:t>was</w:t>
      </w:r>
      <w:r w:rsidR="00854201" w:rsidRPr="00477D8F">
        <w:rPr>
          <w:rFonts w:ascii="Sylfaen" w:hAnsi="Sylfaen" w:cs="Times New Roman"/>
        </w:rPr>
        <w:t xml:space="preserve"> low a</w:t>
      </w:r>
      <w:r w:rsidR="00001DE4" w:rsidRPr="00477D8F">
        <w:rPr>
          <w:rFonts w:ascii="Sylfaen" w:hAnsi="Sylfaen" w:cs="Times New Roman"/>
        </w:rPr>
        <w:t>nd below the recom</w:t>
      </w:r>
      <w:r w:rsidRPr="00477D8F">
        <w:rPr>
          <w:rFonts w:ascii="Sylfaen" w:hAnsi="Sylfaen" w:cs="Times New Roman"/>
        </w:rPr>
        <w:t>mended levels.</w:t>
      </w:r>
    </w:p>
    <w:p w14:paraId="3F65E191" w14:textId="42E0B6C7" w:rsidR="005F4940" w:rsidRPr="00477D8F" w:rsidRDefault="005F4940" w:rsidP="005F4940">
      <w:pPr>
        <w:pStyle w:val="ListParagraph"/>
        <w:numPr>
          <w:ilvl w:val="0"/>
          <w:numId w:val="36"/>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t>T</w:t>
      </w:r>
      <w:r w:rsidR="00854201" w:rsidRPr="00477D8F">
        <w:rPr>
          <w:rFonts w:ascii="Sylfaen" w:hAnsi="Sylfaen" w:cs="Times New Roman"/>
        </w:rPr>
        <w:t xml:space="preserve">he functional allocation of budget </w:t>
      </w:r>
      <w:r w:rsidR="00653A1B" w:rsidRPr="00477D8F">
        <w:rPr>
          <w:rFonts w:ascii="Sylfaen" w:hAnsi="Sylfaen" w:cs="Times New Roman"/>
        </w:rPr>
        <w:t>did</w:t>
      </w:r>
      <w:r w:rsidR="00854201" w:rsidRPr="00477D8F">
        <w:rPr>
          <w:rFonts w:ascii="Sylfaen" w:hAnsi="Sylfaen" w:cs="Times New Roman"/>
        </w:rPr>
        <w:t xml:space="preserve"> not favor post</w:t>
      </w:r>
      <w:r w:rsidR="00793AAA" w:rsidRPr="00477D8F">
        <w:rPr>
          <w:rFonts w:ascii="Sylfaen" w:hAnsi="Sylfaen" w:cs="Times New Roman"/>
        </w:rPr>
        <w:t>-</w:t>
      </w:r>
      <w:r w:rsidR="00854201" w:rsidRPr="00477D8F">
        <w:rPr>
          <w:rFonts w:ascii="Sylfaen" w:hAnsi="Sylfaen" w:cs="Times New Roman"/>
        </w:rPr>
        <w:t>basic education levels and an increase of budget allocation to the post</w:t>
      </w:r>
      <w:r w:rsidR="00793AAA" w:rsidRPr="00477D8F">
        <w:rPr>
          <w:rFonts w:ascii="Sylfaen" w:hAnsi="Sylfaen" w:cs="Times New Roman"/>
        </w:rPr>
        <w:t>-</w:t>
      </w:r>
      <w:r w:rsidR="00854201" w:rsidRPr="00477D8F">
        <w:rPr>
          <w:rFonts w:ascii="Sylfaen" w:hAnsi="Sylfaen" w:cs="Times New Roman"/>
        </w:rPr>
        <w:t xml:space="preserve">basic education subsector </w:t>
      </w:r>
      <w:r w:rsidR="00001DE4" w:rsidRPr="00477D8F">
        <w:rPr>
          <w:rFonts w:ascii="Sylfaen" w:hAnsi="Sylfaen" w:cs="Times New Roman"/>
        </w:rPr>
        <w:t>was</w:t>
      </w:r>
      <w:r w:rsidRPr="00477D8F">
        <w:rPr>
          <w:rFonts w:ascii="Sylfaen" w:hAnsi="Sylfaen" w:cs="Times New Roman"/>
        </w:rPr>
        <w:t xml:space="preserve"> recommended.</w:t>
      </w:r>
    </w:p>
    <w:p w14:paraId="2BD52EF3" w14:textId="64D542C4" w:rsidR="005F4940" w:rsidRPr="00477D8F" w:rsidRDefault="005F4940" w:rsidP="005F4940">
      <w:pPr>
        <w:pStyle w:val="ListParagraph"/>
        <w:numPr>
          <w:ilvl w:val="0"/>
          <w:numId w:val="36"/>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t>T</w:t>
      </w:r>
      <w:r w:rsidR="00854201" w:rsidRPr="00477D8F">
        <w:rPr>
          <w:rFonts w:ascii="Sylfaen" w:hAnsi="Sylfaen" w:cs="Times New Roman"/>
        </w:rPr>
        <w:t xml:space="preserve">eachers’ salaries </w:t>
      </w:r>
      <w:r w:rsidR="00001DE4" w:rsidRPr="00477D8F">
        <w:rPr>
          <w:rFonts w:ascii="Sylfaen" w:hAnsi="Sylfaen" w:cs="Times New Roman"/>
        </w:rPr>
        <w:t>were</w:t>
      </w:r>
      <w:r w:rsidR="00854201" w:rsidRPr="00477D8F">
        <w:rPr>
          <w:rFonts w:ascii="Sylfaen" w:hAnsi="Sylfaen" w:cs="Times New Roman"/>
        </w:rPr>
        <w:t xml:space="preserve"> low (2.5 times GDP per capita) as compared to the </w:t>
      </w:r>
      <w:r w:rsidR="00621110" w:rsidRPr="00477D8F">
        <w:rPr>
          <w:rFonts w:ascii="Sylfaen" w:eastAsia="Times New Roman" w:hAnsi="Sylfaen" w:cs="Times New Roman"/>
          <w:bCs/>
          <w:color w:val="000000"/>
        </w:rPr>
        <w:t>fast track initiative</w:t>
      </w:r>
      <w:r w:rsidR="00621110" w:rsidRPr="00477D8F">
        <w:rPr>
          <w:rFonts w:ascii="Sylfaen" w:hAnsi="Sylfaen" w:cs="Times New Roman"/>
        </w:rPr>
        <w:t xml:space="preserve"> (</w:t>
      </w:r>
      <w:r w:rsidR="00854201" w:rsidRPr="00477D8F">
        <w:rPr>
          <w:rFonts w:ascii="Sylfaen" w:hAnsi="Sylfaen" w:cs="Times New Roman"/>
        </w:rPr>
        <w:t>FTI</w:t>
      </w:r>
      <w:r w:rsidR="00621110" w:rsidRPr="00477D8F">
        <w:rPr>
          <w:rFonts w:ascii="Sylfaen" w:hAnsi="Sylfaen" w:cs="Times New Roman"/>
        </w:rPr>
        <w:t>)</w:t>
      </w:r>
      <w:r w:rsidR="00854201" w:rsidRPr="00477D8F">
        <w:rPr>
          <w:rFonts w:ascii="Sylfaen" w:hAnsi="Sylfaen" w:cs="Times New Roman"/>
        </w:rPr>
        <w:t xml:space="preserve"> benchmark (3.5 times GDP per capita); therefore</w:t>
      </w:r>
      <w:r w:rsidR="00B84CFD" w:rsidRPr="00477D8F">
        <w:rPr>
          <w:rFonts w:ascii="Sylfaen" w:hAnsi="Sylfaen" w:cs="Times New Roman"/>
        </w:rPr>
        <w:t>,</w:t>
      </w:r>
      <w:r w:rsidR="00854201" w:rsidRPr="00477D8F">
        <w:rPr>
          <w:rFonts w:ascii="Sylfaen" w:hAnsi="Sylfaen" w:cs="Times New Roman"/>
        </w:rPr>
        <w:t xml:space="preserve"> it is recommended to inc</w:t>
      </w:r>
      <w:r w:rsidRPr="00477D8F">
        <w:rPr>
          <w:rFonts w:ascii="Sylfaen" w:hAnsi="Sylfaen" w:cs="Times New Roman"/>
        </w:rPr>
        <w:t>rease the salaries of teachers.</w:t>
      </w:r>
    </w:p>
    <w:p w14:paraId="34B449AF" w14:textId="41D0D49F" w:rsidR="005F4940" w:rsidRPr="00477D8F" w:rsidRDefault="005F4940" w:rsidP="005F4940">
      <w:pPr>
        <w:pStyle w:val="ListParagraph"/>
        <w:numPr>
          <w:ilvl w:val="0"/>
          <w:numId w:val="36"/>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t>D</w:t>
      </w:r>
      <w:r w:rsidR="00854201" w:rsidRPr="00477D8F">
        <w:rPr>
          <w:rFonts w:ascii="Sylfaen" w:hAnsi="Sylfaen" w:cs="Times New Roman"/>
        </w:rPr>
        <w:t xml:space="preserve">espite the free tuition policy, high cost of education </w:t>
      </w:r>
      <w:r w:rsidR="00001DE4" w:rsidRPr="00477D8F">
        <w:rPr>
          <w:rFonts w:ascii="Sylfaen" w:hAnsi="Sylfaen" w:cs="Times New Roman"/>
        </w:rPr>
        <w:t>was</w:t>
      </w:r>
      <w:r w:rsidR="00854201" w:rsidRPr="00477D8F">
        <w:rPr>
          <w:rFonts w:ascii="Sylfaen" w:hAnsi="Sylfaen" w:cs="Times New Roman"/>
        </w:rPr>
        <w:t xml:space="preserve"> one of the principal reasons cited for not attending school, and households </w:t>
      </w:r>
      <w:r w:rsidR="00647FC0" w:rsidRPr="00477D8F">
        <w:rPr>
          <w:rFonts w:ascii="Sylfaen" w:hAnsi="Sylfaen" w:cs="Times New Roman"/>
        </w:rPr>
        <w:t>we</w:t>
      </w:r>
      <w:r w:rsidR="00854201" w:rsidRPr="00477D8F">
        <w:rPr>
          <w:rFonts w:ascii="Sylfaen" w:hAnsi="Sylfaen" w:cs="Times New Roman"/>
        </w:rPr>
        <w:t>re the largest contr</w:t>
      </w:r>
      <w:r w:rsidRPr="00477D8F">
        <w:rPr>
          <w:rFonts w:ascii="Sylfaen" w:hAnsi="Sylfaen" w:cs="Times New Roman"/>
        </w:rPr>
        <w:t>ibutor to the education sector.</w:t>
      </w:r>
    </w:p>
    <w:p w14:paraId="4997E7E9" w14:textId="3CED9AA7" w:rsidR="005F4940" w:rsidRPr="00477D8F" w:rsidRDefault="005F4940" w:rsidP="005F4940">
      <w:pPr>
        <w:pStyle w:val="ListParagraph"/>
        <w:numPr>
          <w:ilvl w:val="0"/>
          <w:numId w:val="36"/>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lastRenderedPageBreak/>
        <w:t>D</w:t>
      </w:r>
      <w:r w:rsidR="00854201" w:rsidRPr="00477D8F">
        <w:rPr>
          <w:rFonts w:ascii="Sylfaen" w:hAnsi="Sylfaen" w:cs="Times New Roman"/>
        </w:rPr>
        <w:t xml:space="preserve">ata on postsecondary education </w:t>
      </w:r>
      <w:r w:rsidR="00001DE4" w:rsidRPr="00477D8F">
        <w:rPr>
          <w:rFonts w:ascii="Sylfaen" w:hAnsi="Sylfaen" w:cs="Times New Roman"/>
        </w:rPr>
        <w:t>w</w:t>
      </w:r>
      <w:r w:rsidR="00647FC0" w:rsidRPr="00477D8F">
        <w:rPr>
          <w:rFonts w:ascii="Sylfaen" w:hAnsi="Sylfaen" w:cs="Times New Roman"/>
        </w:rPr>
        <w:t>ere</w:t>
      </w:r>
      <w:r w:rsidR="00854201" w:rsidRPr="00477D8F">
        <w:rPr>
          <w:rFonts w:ascii="Sylfaen" w:hAnsi="Sylfaen" w:cs="Times New Roman"/>
        </w:rPr>
        <w:t xml:space="preserve"> inconsistent. A functioning </w:t>
      </w:r>
      <w:r w:rsidR="00621110" w:rsidRPr="00477D8F">
        <w:rPr>
          <w:rFonts w:ascii="Sylfaen" w:hAnsi="Sylfaen" w:cs="Times New Roman"/>
          <w:bCs/>
        </w:rPr>
        <w:t>Education Management Information System</w:t>
      </w:r>
      <w:r w:rsidR="00621110" w:rsidRPr="00477D8F">
        <w:rPr>
          <w:rFonts w:ascii="Sylfaen" w:hAnsi="Sylfaen" w:cs="Times New Roman"/>
        </w:rPr>
        <w:t xml:space="preserve"> (</w:t>
      </w:r>
      <w:r w:rsidR="00854201" w:rsidRPr="00477D8F">
        <w:rPr>
          <w:rFonts w:ascii="Sylfaen" w:hAnsi="Sylfaen" w:cs="Times New Roman"/>
        </w:rPr>
        <w:t>EMIS</w:t>
      </w:r>
      <w:r w:rsidR="00621110" w:rsidRPr="00477D8F">
        <w:rPr>
          <w:rFonts w:ascii="Sylfaen" w:hAnsi="Sylfaen" w:cs="Times New Roman"/>
        </w:rPr>
        <w:t>)</w:t>
      </w:r>
      <w:r w:rsidR="00854201" w:rsidRPr="00477D8F">
        <w:rPr>
          <w:rFonts w:ascii="Sylfaen" w:hAnsi="Sylfaen" w:cs="Times New Roman"/>
        </w:rPr>
        <w:t xml:space="preserve"> covering this subsector </w:t>
      </w:r>
      <w:r w:rsidR="00001DE4" w:rsidRPr="00477D8F">
        <w:rPr>
          <w:rFonts w:ascii="Sylfaen" w:hAnsi="Sylfaen" w:cs="Times New Roman"/>
        </w:rPr>
        <w:t>was</w:t>
      </w:r>
      <w:r w:rsidR="00854201" w:rsidRPr="00477D8F">
        <w:rPr>
          <w:rFonts w:ascii="Sylfaen" w:hAnsi="Sylfaen" w:cs="Times New Roman"/>
        </w:rPr>
        <w:t xml:space="preserve"> highly recommended </w:t>
      </w:r>
      <w:r w:rsidRPr="00477D8F">
        <w:rPr>
          <w:rFonts w:ascii="Sylfaen" w:hAnsi="Sylfaen" w:cs="Times New Roman"/>
        </w:rPr>
        <w:t>to improve the data system.</w:t>
      </w:r>
    </w:p>
    <w:p w14:paraId="33683F02" w14:textId="0252CA1E" w:rsidR="00854201" w:rsidRPr="00477D8F" w:rsidRDefault="005F4940" w:rsidP="005F4940">
      <w:pPr>
        <w:pStyle w:val="ListParagraph"/>
        <w:numPr>
          <w:ilvl w:val="0"/>
          <w:numId w:val="36"/>
        </w:numPr>
        <w:autoSpaceDE w:val="0"/>
        <w:autoSpaceDN w:val="0"/>
        <w:adjustRightInd w:val="0"/>
        <w:spacing w:before="240" w:after="0" w:line="240" w:lineRule="auto"/>
        <w:contextualSpacing w:val="0"/>
        <w:jc w:val="both"/>
        <w:rPr>
          <w:rFonts w:ascii="Sylfaen" w:hAnsi="Sylfaen" w:cs="Times New Roman"/>
        </w:rPr>
      </w:pPr>
      <w:r w:rsidRPr="00477D8F">
        <w:rPr>
          <w:rFonts w:ascii="Sylfaen" w:hAnsi="Sylfaen" w:cs="Times New Roman"/>
        </w:rPr>
        <w:t>L</w:t>
      </w:r>
      <w:r w:rsidR="00854201" w:rsidRPr="00477D8F">
        <w:rPr>
          <w:rFonts w:ascii="Sylfaen" w:hAnsi="Sylfaen" w:cs="Times New Roman"/>
        </w:rPr>
        <w:t xml:space="preserve">earning outcomes </w:t>
      </w:r>
      <w:r w:rsidR="00001DE4" w:rsidRPr="00477D8F">
        <w:rPr>
          <w:rFonts w:ascii="Sylfaen" w:hAnsi="Sylfaen" w:cs="Times New Roman"/>
        </w:rPr>
        <w:t>were</w:t>
      </w:r>
      <w:r w:rsidR="00854201" w:rsidRPr="00477D8F">
        <w:rPr>
          <w:rFonts w:ascii="Sylfaen" w:hAnsi="Sylfaen" w:cs="Times New Roman"/>
        </w:rPr>
        <w:t xml:space="preserve"> low and the assessment instruments </w:t>
      </w:r>
      <w:r w:rsidR="00001DE4" w:rsidRPr="00477D8F">
        <w:rPr>
          <w:rFonts w:ascii="Sylfaen" w:hAnsi="Sylfaen" w:cs="Times New Roman"/>
        </w:rPr>
        <w:t>were</w:t>
      </w:r>
      <w:r w:rsidR="00854201" w:rsidRPr="00477D8F">
        <w:rPr>
          <w:rFonts w:ascii="Sylfaen" w:hAnsi="Sylfaen" w:cs="Times New Roman"/>
        </w:rPr>
        <w:t xml:space="preserve"> not adequate to measure them</w:t>
      </w:r>
      <w:r w:rsidR="00647FC0" w:rsidRPr="00477D8F">
        <w:rPr>
          <w:rFonts w:ascii="Sylfaen" w:hAnsi="Sylfaen" w:cs="Times New Roman"/>
        </w:rPr>
        <w:t>;</w:t>
      </w:r>
      <w:r w:rsidR="00854201" w:rsidRPr="00477D8F">
        <w:rPr>
          <w:rFonts w:ascii="Sylfaen" w:hAnsi="Sylfaen" w:cs="Times New Roman"/>
        </w:rPr>
        <w:t xml:space="preserve"> the development of quality instruments for comparable measurements and a benchmark system to enable education quality assessment over</w:t>
      </w:r>
      <w:r w:rsidR="00741D59" w:rsidRPr="00477D8F">
        <w:rPr>
          <w:rFonts w:ascii="Sylfaen" w:hAnsi="Sylfaen" w:cs="Times New Roman"/>
        </w:rPr>
        <w:t xml:space="preserve"> </w:t>
      </w:r>
      <w:r w:rsidR="00854201" w:rsidRPr="00477D8F">
        <w:rPr>
          <w:rFonts w:ascii="Sylfaen" w:hAnsi="Sylfaen" w:cs="Times New Roman"/>
        </w:rPr>
        <w:t xml:space="preserve">time </w:t>
      </w:r>
      <w:r w:rsidR="00001DE4" w:rsidRPr="00477D8F">
        <w:rPr>
          <w:rFonts w:ascii="Sylfaen" w:hAnsi="Sylfaen" w:cs="Times New Roman"/>
        </w:rPr>
        <w:t>were</w:t>
      </w:r>
      <w:r w:rsidR="00854201" w:rsidRPr="00477D8F">
        <w:rPr>
          <w:rFonts w:ascii="Sylfaen" w:hAnsi="Sylfaen" w:cs="Times New Roman"/>
        </w:rPr>
        <w:t xml:space="preserve"> recommended. </w:t>
      </w:r>
    </w:p>
    <w:p w14:paraId="4145F1E3" w14:textId="28757B32" w:rsidR="00854201" w:rsidRPr="00477D8F" w:rsidRDefault="00854201" w:rsidP="00ED0E68">
      <w:pPr>
        <w:pStyle w:val="Heading2"/>
      </w:pPr>
      <w:bookmarkStart w:id="14" w:name="_Toc497171847"/>
      <w:r w:rsidRPr="00477D8F">
        <w:t xml:space="preserve">Data and </w:t>
      </w:r>
      <w:r w:rsidR="008F4CC6" w:rsidRPr="00477D8F">
        <w:t>l</w:t>
      </w:r>
      <w:r w:rsidRPr="00477D8F">
        <w:t xml:space="preserve">imitations and </w:t>
      </w:r>
      <w:r w:rsidR="008F4CC6" w:rsidRPr="00477D8F">
        <w:t>m</w:t>
      </w:r>
      <w:r w:rsidRPr="00477D8F">
        <w:t>ethodology</w:t>
      </w:r>
      <w:bookmarkEnd w:id="14"/>
      <w:r w:rsidRPr="00477D8F">
        <w:t xml:space="preserve"> </w:t>
      </w:r>
    </w:p>
    <w:p w14:paraId="24266746" w14:textId="0F7B6191" w:rsidR="00854201" w:rsidRPr="00477D8F" w:rsidRDefault="00854201" w:rsidP="004732F8">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rPr>
        <w:t xml:space="preserve">The quantitative data analysis is based on a mix of survey and administrative data from multiple sources. Overall, The Gambia has substantial administrative data as well as two comparable household surveys, conducted in a </w:t>
      </w:r>
      <w:r w:rsidR="00C579EF" w:rsidRPr="00477D8F">
        <w:rPr>
          <w:rFonts w:ascii="Sylfaen" w:hAnsi="Sylfaen" w:cs="Times New Roman"/>
        </w:rPr>
        <w:t>five</w:t>
      </w:r>
      <w:r w:rsidRPr="00477D8F">
        <w:rPr>
          <w:rFonts w:ascii="Sylfaen" w:hAnsi="Sylfaen" w:cs="Times New Roman"/>
        </w:rPr>
        <w:t>-year interval (2010 and 2015), that were used for the analysis. However, there were two major limitations: (</w:t>
      </w:r>
      <w:r w:rsidR="00C579EF" w:rsidRPr="00477D8F">
        <w:rPr>
          <w:rFonts w:ascii="Sylfaen" w:hAnsi="Sylfaen" w:cs="Times New Roman"/>
        </w:rPr>
        <w:t>a</w:t>
      </w:r>
      <w:r w:rsidRPr="00477D8F">
        <w:rPr>
          <w:rFonts w:ascii="Sylfaen" w:hAnsi="Sylfaen" w:cs="Times New Roman"/>
        </w:rPr>
        <w:t>) the current budget nomenclature did not allow tracking of the budget allocation at the regional level, and it could not be disaggregated by level of education for non-salary spending and (</w:t>
      </w:r>
      <w:r w:rsidR="00C579EF" w:rsidRPr="00477D8F">
        <w:rPr>
          <w:rFonts w:ascii="Sylfaen" w:hAnsi="Sylfaen" w:cs="Times New Roman"/>
        </w:rPr>
        <w:t>b</w:t>
      </w:r>
      <w:r w:rsidRPr="00477D8F">
        <w:rPr>
          <w:rFonts w:ascii="Sylfaen" w:hAnsi="Sylfaen" w:cs="Times New Roman"/>
        </w:rPr>
        <w:t xml:space="preserve">) </w:t>
      </w:r>
      <w:r w:rsidR="00C579EF" w:rsidRPr="00477D8F">
        <w:rPr>
          <w:rFonts w:ascii="Sylfaen" w:hAnsi="Sylfaen" w:cs="Times New Roman"/>
        </w:rPr>
        <w:t xml:space="preserve">the </w:t>
      </w:r>
      <w:r w:rsidR="0052614F" w:rsidRPr="00477D8F">
        <w:rPr>
          <w:rFonts w:ascii="Sylfaen" w:hAnsi="Sylfaen" w:cs="Times New Roman"/>
        </w:rPr>
        <w:t>Ministry of Higher Education, Research, Science and Technology (</w:t>
      </w:r>
      <w:r w:rsidRPr="00477D8F">
        <w:rPr>
          <w:rFonts w:ascii="Sylfaen" w:hAnsi="Sylfaen" w:cs="Times New Roman"/>
        </w:rPr>
        <w:t>MoHERST</w:t>
      </w:r>
      <w:r w:rsidR="0052614F" w:rsidRPr="00477D8F">
        <w:rPr>
          <w:rFonts w:ascii="Sylfaen" w:hAnsi="Sylfaen" w:cs="Times New Roman"/>
        </w:rPr>
        <w:t>)</w:t>
      </w:r>
      <w:r w:rsidRPr="00477D8F">
        <w:rPr>
          <w:rFonts w:ascii="Sylfaen" w:hAnsi="Sylfaen" w:cs="Times New Roman"/>
        </w:rPr>
        <w:t xml:space="preserve"> collected data only on admission</w:t>
      </w:r>
      <w:r w:rsidR="00653A1B" w:rsidRPr="00477D8F">
        <w:rPr>
          <w:rFonts w:ascii="Sylfaen" w:hAnsi="Sylfaen" w:cs="Times New Roman"/>
        </w:rPr>
        <w:t xml:space="preserve"> of students (no enrollment number) and data </w:t>
      </w:r>
      <w:r w:rsidR="00C579EF" w:rsidRPr="00477D8F">
        <w:rPr>
          <w:rFonts w:ascii="Sylfaen" w:hAnsi="Sylfaen" w:cs="Times New Roman"/>
        </w:rPr>
        <w:t xml:space="preserve">of </w:t>
      </w:r>
      <w:r w:rsidR="00653A1B" w:rsidRPr="00477D8F">
        <w:rPr>
          <w:rFonts w:ascii="Sylfaen" w:hAnsi="Sylfaen" w:cs="Times New Roman"/>
        </w:rPr>
        <w:t>non-teaching staff are also missing for both ministries.</w:t>
      </w:r>
      <w:r w:rsidRPr="00477D8F">
        <w:rPr>
          <w:rFonts w:ascii="Sylfaen" w:hAnsi="Sylfaen" w:cs="Times New Roman"/>
        </w:rPr>
        <w:t xml:space="preserve"> While the availability of other surveys, such as the living standards household surveys, helped bridge the data gap in higher education, the data collection capacity of the higher education system is </w:t>
      </w:r>
      <w:r w:rsidR="00B84CFD" w:rsidRPr="00477D8F">
        <w:rPr>
          <w:rFonts w:ascii="Sylfaen" w:hAnsi="Sylfaen" w:cs="Times New Roman"/>
        </w:rPr>
        <w:t xml:space="preserve">inadequate </w:t>
      </w:r>
      <w:r w:rsidRPr="00477D8F">
        <w:rPr>
          <w:rFonts w:ascii="Sylfaen" w:hAnsi="Sylfaen" w:cs="Times New Roman"/>
        </w:rPr>
        <w:t>and needs to be prioritized and strengthened. The main data sources used to conduct the analysis were (a) the 2010 and 2015 IHS</w:t>
      </w:r>
      <w:r w:rsidR="00B84CFD" w:rsidRPr="00477D8F">
        <w:rPr>
          <w:rFonts w:ascii="Sylfaen" w:hAnsi="Sylfaen" w:cs="Times New Roman"/>
        </w:rPr>
        <w:t>,</w:t>
      </w:r>
      <w:r w:rsidRPr="00477D8F">
        <w:rPr>
          <w:rFonts w:ascii="Sylfaen" w:hAnsi="Sylfaen" w:cs="Times New Roman"/>
        </w:rPr>
        <w:t xml:space="preserve"> as mentioned</w:t>
      </w:r>
      <w:r w:rsidR="00C579EF" w:rsidRPr="00477D8F">
        <w:rPr>
          <w:rFonts w:ascii="Sylfaen" w:hAnsi="Sylfaen" w:cs="Times New Roman"/>
        </w:rPr>
        <w:t xml:space="preserve"> earlier</w:t>
      </w:r>
      <w:r w:rsidRPr="00477D8F">
        <w:rPr>
          <w:rFonts w:ascii="Sylfaen" w:hAnsi="Sylfaen" w:cs="Times New Roman"/>
        </w:rPr>
        <w:t>; (b) the EMIS for 2010</w:t>
      </w:r>
      <w:r w:rsidR="00C579EF" w:rsidRPr="00477D8F">
        <w:rPr>
          <w:rFonts w:ascii="Sylfaen" w:hAnsi="Sylfaen" w:cs="Times New Roman"/>
        </w:rPr>
        <w:t>–</w:t>
      </w:r>
      <w:r w:rsidRPr="00477D8F">
        <w:rPr>
          <w:rFonts w:ascii="Sylfaen" w:hAnsi="Sylfaen" w:cs="Times New Roman"/>
        </w:rPr>
        <w:t>2015</w:t>
      </w:r>
      <w:r w:rsidR="00CF4E9C" w:rsidRPr="00477D8F">
        <w:rPr>
          <w:rStyle w:val="FootnoteReference"/>
          <w:rFonts w:ascii="Sylfaen" w:hAnsi="Sylfaen" w:cs="Times New Roman"/>
        </w:rPr>
        <w:footnoteReference w:id="8"/>
      </w:r>
      <w:r w:rsidRPr="00477D8F">
        <w:rPr>
          <w:rFonts w:ascii="Sylfaen" w:hAnsi="Sylfaen" w:cs="Times New Roman"/>
        </w:rPr>
        <w:t xml:space="preserve"> from the </w:t>
      </w:r>
      <w:r w:rsidR="0052614F" w:rsidRPr="00477D8F">
        <w:rPr>
          <w:rFonts w:ascii="Sylfaen" w:hAnsi="Sylfaen" w:cs="Times New Roman"/>
          <w:bCs/>
        </w:rPr>
        <w:t>Ministry of Basic and Secondary Education</w:t>
      </w:r>
      <w:r w:rsidR="0052614F" w:rsidRPr="00477D8F">
        <w:rPr>
          <w:rFonts w:ascii="Sylfaen" w:hAnsi="Sylfaen" w:cs="Times New Roman"/>
        </w:rPr>
        <w:t xml:space="preserve"> (</w:t>
      </w:r>
      <w:r w:rsidR="006F3F34" w:rsidRPr="00477D8F">
        <w:rPr>
          <w:rFonts w:ascii="Sylfaen" w:hAnsi="Sylfaen" w:cs="Times New Roman"/>
        </w:rPr>
        <w:t>M</w:t>
      </w:r>
      <w:r w:rsidR="00E80A69" w:rsidRPr="00477D8F">
        <w:rPr>
          <w:rFonts w:ascii="Sylfaen" w:hAnsi="Sylfaen" w:cs="Times New Roman"/>
        </w:rPr>
        <w:t>oBSE</w:t>
      </w:r>
      <w:r w:rsidR="0052614F" w:rsidRPr="00477D8F">
        <w:rPr>
          <w:rFonts w:ascii="Sylfaen" w:hAnsi="Sylfaen" w:cs="Times New Roman"/>
        </w:rPr>
        <w:t>)</w:t>
      </w:r>
      <w:r w:rsidRPr="00477D8F">
        <w:rPr>
          <w:rFonts w:ascii="Sylfaen" w:hAnsi="Sylfaen" w:cs="Times New Roman"/>
        </w:rPr>
        <w:t>; (c) budget and payroll data from 20</w:t>
      </w:r>
      <w:r w:rsidR="00CF4E9C" w:rsidRPr="00477D8F">
        <w:rPr>
          <w:rFonts w:ascii="Sylfaen" w:hAnsi="Sylfaen" w:cs="Times New Roman"/>
        </w:rPr>
        <w:t>09</w:t>
      </w:r>
      <w:r w:rsidR="00C579EF" w:rsidRPr="00477D8F">
        <w:rPr>
          <w:rFonts w:ascii="Sylfaen" w:hAnsi="Sylfaen" w:cs="Times New Roman"/>
        </w:rPr>
        <w:t xml:space="preserve"> to </w:t>
      </w:r>
      <w:r w:rsidRPr="00477D8F">
        <w:rPr>
          <w:rFonts w:ascii="Sylfaen" w:hAnsi="Sylfaen" w:cs="Times New Roman"/>
        </w:rPr>
        <w:t xml:space="preserve">2015 from the </w:t>
      </w:r>
      <w:r w:rsidR="00460E41" w:rsidRPr="00477D8F">
        <w:rPr>
          <w:rFonts w:ascii="Sylfaen" w:hAnsi="Sylfaen"/>
          <w:bCs/>
        </w:rPr>
        <w:t>Ministry of Finance and Economic Affairs (</w:t>
      </w:r>
      <w:r w:rsidRPr="00477D8F">
        <w:rPr>
          <w:rFonts w:ascii="Sylfaen" w:hAnsi="Sylfaen" w:cs="Times New Roman"/>
        </w:rPr>
        <w:t>M</w:t>
      </w:r>
      <w:r w:rsidR="00D13371" w:rsidRPr="00477D8F">
        <w:rPr>
          <w:rFonts w:ascii="Sylfaen" w:hAnsi="Sylfaen" w:cs="Times New Roman"/>
        </w:rPr>
        <w:t>o</w:t>
      </w:r>
      <w:r w:rsidRPr="00477D8F">
        <w:rPr>
          <w:rFonts w:ascii="Sylfaen" w:hAnsi="Sylfaen" w:cs="Times New Roman"/>
        </w:rPr>
        <w:t>FEA</w:t>
      </w:r>
      <w:r w:rsidR="00460E41" w:rsidRPr="00477D8F">
        <w:rPr>
          <w:rFonts w:ascii="Sylfaen" w:hAnsi="Sylfaen" w:cs="Times New Roman"/>
        </w:rPr>
        <w:t>)</w:t>
      </w:r>
      <w:r w:rsidRPr="00477D8F">
        <w:rPr>
          <w:rFonts w:ascii="Sylfaen" w:hAnsi="Sylfaen" w:cs="Times New Roman"/>
        </w:rPr>
        <w:t xml:space="preserve">; (d) admission data and staff data from the </w:t>
      </w:r>
      <w:r w:rsidR="00E80A69" w:rsidRPr="00477D8F">
        <w:rPr>
          <w:rFonts w:ascii="Sylfaen" w:hAnsi="Sylfaen" w:cs="Times New Roman"/>
        </w:rPr>
        <w:t>MoHERST</w:t>
      </w:r>
      <w:r w:rsidRPr="00477D8F">
        <w:rPr>
          <w:rFonts w:ascii="Sylfaen" w:hAnsi="Sylfaen" w:cs="Times New Roman"/>
        </w:rPr>
        <w:t>; and (e) learning outcomes data (</w:t>
      </w:r>
      <w:r w:rsidR="006F3F34" w:rsidRPr="00477D8F">
        <w:rPr>
          <w:rFonts w:ascii="Sylfaen" w:hAnsi="Sylfaen" w:cs="Times New Roman"/>
        </w:rPr>
        <w:t xml:space="preserve">Early Grade Reading Assessment and Early Grade Mathematics Assessment </w:t>
      </w:r>
      <w:r w:rsidR="0041742D" w:rsidRPr="00477D8F">
        <w:rPr>
          <w:rFonts w:ascii="Sylfaen" w:hAnsi="Sylfaen" w:cs="Times New Roman"/>
        </w:rPr>
        <w:t>[</w:t>
      </w:r>
      <w:r w:rsidRPr="00477D8F">
        <w:rPr>
          <w:rFonts w:ascii="Sylfaen" w:hAnsi="Sylfaen" w:cs="Times New Roman"/>
        </w:rPr>
        <w:t>EGRA/EGMA</w:t>
      </w:r>
      <w:r w:rsidR="0041742D" w:rsidRPr="00477D8F">
        <w:rPr>
          <w:rFonts w:ascii="Sylfaen" w:hAnsi="Sylfaen" w:cs="Times New Roman"/>
        </w:rPr>
        <w:t>]</w:t>
      </w:r>
      <w:r w:rsidRPr="00477D8F">
        <w:rPr>
          <w:rFonts w:ascii="Sylfaen" w:hAnsi="Sylfaen" w:cs="Times New Roman"/>
        </w:rPr>
        <w:t xml:space="preserve"> </w:t>
      </w:r>
      <w:r w:rsidR="006F3F34" w:rsidRPr="00477D8F">
        <w:rPr>
          <w:rFonts w:ascii="Sylfaen" w:hAnsi="Sylfaen" w:cs="Times New Roman"/>
        </w:rPr>
        <w:t xml:space="preserve">of </w:t>
      </w:r>
      <w:r w:rsidRPr="00477D8F">
        <w:rPr>
          <w:rFonts w:ascii="Sylfaen" w:hAnsi="Sylfaen" w:cs="Times New Roman"/>
        </w:rPr>
        <w:t>grade</w:t>
      </w:r>
      <w:r w:rsidR="00653A1B" w:rsidRPr="00477D8F">
        <w:rPr>
          <w:rFonts w:ascii="Sylfaen" w:hAnsi="Sylfaen" w:cs="Times New Roman"/>
        </w:rPr>
        <w:t>s</w:t>
      </w:r>
      <w:r w:rsidRPr="00477D8F">
        <w:rPr>
          <w:rFonts w:ascii="Sylfaen" w:hAnsi="Sylfaen" w:cs="Times New Roman"/>
        </w:rPr>
        <w:t xml:space="preserve"> 1</w:t>
      </w:r>
      <w:r w:rsidR="0041742D" w:rsidRPr="00477D8F">
        <w:rPr>
          <w:rFonts w:ascii="Sylfaen" w:hAnsi="Sylfaen" w:cs="Times New Roman"/>
        </w:rPr>
        <w:t>–</w:t>
      </w:r>
      <w:r w:rsidRPr="00477D8F">
        <w:rPr>
          <w:rFonts w:ascii="Sylfaen" w:hAnsi="Sylfaen" w:cs="Times New Roman"/>
        </w:rPr>
        <w:t>3</w:t>
      </w:r>
      <w:r w:rsidR="0041742D" w:rsidRPr="00477D8F">
        <w:rPr>
          <w:rFonts w:ascii="Sylfaen" w:hAnsi="Sylfaen" w:cs="Times New Roman"/>
        </w:rPr>
        <w:t>;</w:t>
      </w:r>
      <w:r w:rsidRPr="00477D8F">
        <w:rPr>
          <w:rFonts w:ascii="Sylfaen" w:hAnsi="Sylfaen" w:cs="Times New Roman"/>
        </w:rPr>
        <w:t xml:space="preserve"> NATs of grade</w:t>
      </w:r>
      <w:r w:rsidR="00653A1B" w:rsidRPr="00477D8F">
        <w:rPr>
          <w:rFonts w:ascii="Sylfaen" w:hAnsi="Sylfaen" w:cs="Times New Roman"/>
        </w:rPr>
        <w:t>s</w:t>
      </w:r>
      <w:r w:rsidRPr="00477D8F">
        <w:rPr>
          <w:rFonts w:ascii="Sylfaen" w:hAnsi="Sylfaen" w:cs="Times New Roman"/>
        </w:rPr>
        <w:t xml:space="preserve"> 3,</w:t>
      </w:r>
      <w:r w:rsidR="006F3F34" w:rsidRPr="00477D8F">
        <w:rPr>
          <w:rFonts w:ascii="Sylfaen" w:hAnsi="Sylfaen" w:cs="Times New Roman"/>
        </w:rPr>
        <w:t xml:space="preserve"> </w:t>
      </w:r>
      <w:r w:rsidRPr="00477D8F">
        <w:rPr>
          <w:rFonts w:ascii="Sylfaen" w:hAnsi="Sylfaen" w:cs="Times New Roman"/>
        </w:rPr>
        <w:t>5, and 8</w:t>
      </w:r>
      <w:r w:rsidR="0041742D" w:rsidRPr="00477D8F">
        <w:rPr>
          <w:rFonts w:ascii="Sylfaen" w:hAnsi="Sylfaen" w:cs="Times New Roman"/>
        </w:rPr>
        <w:t>;</w:t>
      </w:r>
      <w:r w:rsidRPr="00477D8F">
        <w:rPr>
          <w:rFonts w:ascii="Sylfaen" w:hAnsi="Sylfaen" w:cs="Times New Roman"/>
        </w:rPr>
        <w:t xml:space="preserve"> </w:t>
      </w:r>
      <w:r w:rsidR="006F3F34" w:rsidRPr="00477D8F">
        <w:rPr>
          <w:rFonts w:ascii="Sylfaen" w:hAnsi="Sylfaen" w:cs="Times New Roman"/>
        </w:rPr>
        <w:t>GABECE of grade 9</w:t>
      </w:r>
      <w:r w:rsidR="0041742D" w:rsidRPr="00477D8F">
        <w:rPr>
          <w:rFonts w:ascii="Sylfaen" w:hAnsi="Sylfaen" w:cs="Times New Roman"/>
        </w:rPr>
        <w:t>;</w:t>
      </w:r>
      <w:r w:rsidR="006F3F34" w:rsidRPr="00477D8F">
        <w:rPr>
          <w:rFonts w:ascii="Sylfaen" w:hAnsi="Sylfaen" w:cs="Times New Roman"/>
        </w:rPr>
        <w:t xml:space="preserve"> and WASSCE</w:t>
      </w:r>
      <w:r w:rsidRPr="00477D8F">
        <w:rPr>
          <w:rFonts w:ascii="Sylfaen" w:hAnsi="Sylfaen" w:cs="Times New Roman"/>
        </w:rPr>
        <w:t xml:space="preserve"> o</w:t>
      </w:r>
      <w:r w:rsidR="006F3F34" w:rsidRPr="00477D8F">
        <w:rPr>
          <w:rFonts w:ascii="Sylfaen" w:hAnsi="Sylfaen" w:cs="Times New Roman"/>
        </w:rPr>
        <w:t>f</w:t>
      </w:r>
      <w:r w:rsidRPr="00477D8F">
        <w:rPr>
          <w:rFonts w:ascii="Sylfaen" w:hAnsi="Sylfaen" w:cs="Times New Roman"/>
        </w:rPr>
        <w:t xml:space="preserve"> grade 12) from the </w:t>
      </w:r>
      <w:r w:rsidR="00CF4E9C" w:rsidRPr="00477D8F">
        <w:rPr>
          <w:rFonts w:ascii="Sylfaen" w:hAnsi="Sylfaen" w:cs="Times New Roman"/>
        </w:rPr>
        <w:t>West African Examination Council (</w:t>
      </w:r>
      <w:r w:rsidR="006F3F34" w:rsidRPr="00477D8F">
        <w:rPr>
          <w:rFonts w:ascii="Sylfaen" w:hAnsi="Sylfaen" w:cs="Times New Roman"/>
        </w:rPr>
        <w:t>WAEC</w:t>
      </w:r>
      <w:r w:rsidR="00CF4E9C" w:rsidRPr="00477D8F">
        <w:rPr>
          <w:rFonts w:ascii="Sylfaen" w:hAnsi="Sylfaen" w:cs="Times New Roman"/>
        </w:rPr>
        <w:t>)</w:t>
      </w:r>
      <w:r w:rsidRPr="00477D8F">
        <w:rPr>
          <w:rFonts w:ascii="Sylfaen" w:hAnsi="Sylfaen" w:cs="Times New Roman"/>
        </w:rPr>
        <w:t>. Several methods were employed in the analyses throughout the report</w:t>
      </w:r>
      <w:r w:rsidR="00B84CFD" w:rsidRPr="00477D8F">
        <w:rPr>
          <w:rFonts w:ascii="Sylfaen" w:hAnsi="Sylfaen" w:cs="Times New Roman"/>
        </w:rPr>
        <w:t>,</w:t>
      </w:r>
      <w:r w:rsidRPr="00477D8F">
        <w:rPr>
          <w:rFonts w:ascii="Sylfaen" w:hAnsi="Sylfaen" w:cs="Times New Roman"/>
        </w:rPr>
        <w:t xml:space="preserve"> including regression analysis to establish the relationship between school inputs and outputs; benefit incidence analysis for equity assessment; data envelopment analysis </w:t>
      </w:r>
      <w:r w:rsidR="00A11E02" w:rsidRPr="00477D8F">
        <w:rPr>
          <w:rFonts w:ascii="Sylfaen" w:hAnsi="Sylfaen" w:cs="Times New Roman"/>
        </w:rPr>
        <w:t>(</w:t>
      </w:r>
      <w:r w:rsidR="00A11E02" w:rsidRPr="00477D8F">
        <w:rPr>
          <w:rFonts w:ascii="Sylfaen" w:eastAsia="Times New Roman" w:hAnsi="Sylfaen" w:cs="Times New Roman"/>
          <w:color w:val="000000"/>
        </w:rPr>
        <w:t>DEA</w:t>
      </w:r>
      <w:r w:rsidR="00A11E02" w:rsidRPr="00477D8F">
        <w:rPr>
          <w:rFonts w:ascii="Sylfaen" w:hAnsi="Sylfaen" w:cs="Times New Roman"/>
        </w:rPr>
        <w:t xml:space="preserve">) </w:t>
      </w:r>
      <w:r w:rsidRPr="00477D8F">
        <w:rPr>
          <w:rFonts w:ascii="Sylfaen" w:hAnsi="Sylfaen" w:cs="Times New Roman"/>
        </w:rPr>
        <w:t>for efficiency; and projection models to estimate the medium</w:t>
      </w:r>
      <w:r w:rsidR="0041742D" w:rsidRPr="00477D8F">
        <w:rPr>
          <w:rFonts w:ascii="Sylfaen" w:hAnsi="Sylfaen" w:cs="Times New Roman"/>
        </w:rPr>
        <w:t>-</w:t>
      </w:r>
      <w:r w:rsidRPr="00477D8F">
        <w:rPr>
          <w:rFonts w:ascii="Sylfaen" w:hAnsi="Sylfaen" w:cs="Times New Roman"/>
        </w:rPr>
        <w:t xml:space="preserve"> to long</w:t>
      </w:r>
      <w:r w:rsidR="0041742D" w:rsidRPr="00477D8F">
        <w:rPr>
          <w:rFonts w:ascii="Sylfaen" w:hAnsi="Sylfaen" w:cs="Times New Roman"/>
        </w:rPr>
        <w:t>-</w:t>
      </w:r>
      <w:r w:rsidRPr="00477D8F">
        <w:rPr>
          <w:rFonts w:ascii="Sylfaen" w:hAnsi="Sylfaen" w:cs="Times New Roman"/>
        </w:rPr>
        <w:t xml:space="preserve">term prospects of access and finance, which are linked to the affordability and sustainability analysis. </w:t>
      </w:r>
    </w:p>
    <w:p w14:paraId="7054B35B" w14:textId="0B5AA037" w:rsidR="00854201" w:rsidRPr="00477D8F" w:rsidRDefault="00854201" w:rsidP="00ED0E68">
      <w:pPr>
        <w:pStyle w:val="Heading2"/>
      </w:pPr>
      <w:bookmarkStart w:id="15" w:name="_Toc497171848"/>
      <w:r w:rsidRPr="00477D8F">
        <w:t xml:space="preserve">Outline of the </w:t>
      </w:r>
      <w:r w:rsidR="008F4CC6" w:rsidRPr="00477D8F">
        <w:t>r</w:t>
      </w:r>
      <w:r w:rsidRPr="00477D8F">
        <w:t>eport</w:t>
      </w:r>
      <w:bookmarkEnd w:id="15"/>
    </w:p>
    <w:p w14:paraId="7C719C79" w14:textId="62A4340D" w:rsidR="00854201" w:rsidRPr="00477D8F" w:rsidRDefault="00854201" w:rsidP="00854201">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rPr>
        <w:t xml:space="preserve">The structure of this report is organized into </w:t>
      </w:r>
      <w:r w:rsidR="00EC391D" w:rsidRPr="00477D8F">
        <w:rPr>
          <w:rFonts w:ascii="Sylfaen" w:hAnsi="Sylfaen" w:cs="Times New Roman"/>
        </w:rPr>
        <w:t xml:space="preserve">10 </w:t>
      </w:r>
      <w:r w:rsidRPr="00477D8F">
        <w:rPr>
          <w:rFonts w:ascii="Sylfaen" w:hAnsi="Sylfaen" w:cs="Times New Roman"/>
        </w:rPr>
        <w:t xml:space="preserve">sections. Following the </w:t>
      </w:r>
      <w:r w:rsidR="00690E6D" w:rsidRPr="00477D8F">
        <w:rPr>
          <w:rFonts w:ascii="Sylfaen" w:hAnsi="Sylfaen" w:cs="Times New Roman"/>
        </w:rPr>
        <w:t>I</w:t>
      </w:r>
      <w:r w:rsidRPr="00477D8F">
        <w:rPr>
          <w:rFonts w:ascii="Sylfaen" w:hAnsi="Sylfaen" w:cs="Times New Roman"/>
        </w:rPr>
        <w:t xml:space="preserve">ntroduction, </w:t>
      </w:r>
      <w:r w:rsidR="00653A1B" w:rsidRPr="00477D8F">
        <w:rPr>
          <w:rFonts w:ascii="Sylfaen" w:hAnsi="Sylfaen" w:cs="Times New Roman"/>
        </w:rPr>
        <w:t>S</w:t>
      </w:r>
      <w:r w:rsidRPr="00477D8F">
        <w:rPr>
          <w:rFonts w:ascii="Sylfaen" w:hAnsi="Sylfaen" w:cs="Times New Roman"/>
        </w:rPr>
        <w:t xml:space="preserve">ection </w:t>
      </w:r>
      <w:r w:rsidR="00690E6D" w:rsidRPr="00477D8F">
        <w:rPr>
          <w:rFonts w:ascii="Sylfaen" w:hAnsi="Sylfaen" w:cs="Times New Roman"/>
        </w:rPr>
        <w:t>II</w:t>
      </w:r>
      <w:r w:rsidRPr="00477D8F">
        <w:rPr>
          <w:rFonts w:ascii="Sylfaen" w:hAnsi="Sylfaen" w:cs="Times New Roman"/>
        </w:rPr>
        <w:t xml:space="preserve"> discusses the country context in terms of demographic </w:t>
      </w:r>
      <w:r w:rsidR="00653A1B" w:rsidRPr="00477D8F">
        <w:rPr>
          <w:rFonts w:ascii="Sylfaen" w:hAnsi="Sylfaen" w:cs="Times New Roman"/>
        </w:rPr>
        <w:t xml:space="preserve">trends and potential </w:t>
      </w:r>
      <w:r w:rsidRPr="00477D8F">
        <w:rPr>
          <w:rFonts w:ascii="Sylfaen" w:hAnsi="Sylfaen" w:cs="Times New Roman"/>
        </w:rPr>
        <w:t xml:space="preserve">dividends and the fiscal space in relation to the increasing social sector demand. Section </w:t>
      </w:r>
      <w:r w:rsidR="00690E6D" w:rsidRPr="00477D8F">
        <w:rPr>
          <w:rFonts w:ascii="Sylfaen" w:hAnsi="Sylfaen" w:cs="Times New Roman"/>
        </w:rPr>
        <w:t>III</w:t>
      </w:r>
      <w:r w:rsidRPr="00477D8F">
        <w:rPr>
          <w:rFonts w:ascii="Sylfaen" w:hAnsi="Sylfaen" w:cs="Times New Roman"/>
        </w:rPr>
        <w:t xml:space="preserve"> provides an overview of the education sector context and structure, together with a chronological order of the education sector’s policies, goals, </w:t>
      </w:r>
      <w:r w:rsidR="00690E6D" w:rsidRPr="00477D8F">
        <w:rPr>
          <w:rFonts w:ascii="Sylfaen" w:hAnsi="Sylfaen" w:cs="Times New Roman"/>
        </w:rPr>
        <w:t xml:space="preserve">and </w:t>
      </w:r>
      <w:r w:rsidRPr="00477D8F">
        <w:rPr>
          <w:rFonts w:ascii="Sylfaen" w:hAnsi="Sylfaen" w:cs="Times New Roman"/>
        </w:rPr>
        <w:t xml:space="preserve">priorities. Section </w:t>
      </w:r>
      <w:r w:rsidR="00690E6D" w:rsidRPr="00477D8F">
        <w:rPr>
          <w:rFonts w:ascii="Sylfaen" w:hAnsi="Sylfaen" w:cs="Times New Roman"/>
        </w:rPr>
        <w:t>IV</w:t>
      </w:r>
      <w:r w:rsidRPr="00477D8F">
        <w:rPr>
          <w:rFonts w:ascii="Sylfaen" w:hAnsi="Sylfaen" w:cs="Times New Roman"/>
        </w:rPr>
        <w:t xml:space="preserve"> analyzes key education sector performance indicators. Section </w:t>
      </w:r>
      <w:r w:rsidR="00690E6D" w:rsidRPr="00477D8F">
        <w:rPr>
          <w:rFonts w:ascii="Sylfaen" w:hAnsi="Sylfaen" w:cs="Times New Roman"/>
        </w:rPr>
        <w:t>V</w:t>
      </w:r>
      <w:r w:rsidRPr="00477D8F">
        <w:rPr>
          <w:rFonts w:ascii="Sylfaen" w:hAnsi="Sylfaen" w:cs="Times New Roman"/>
        </w:rPr>
        <w:t xml:space="preserve"> analyzes the education sector financing such as the budget framework and budget process, main actors, sources of funding, trends in public expenditure</w:t>
      </w:r>
      <w:r w:rsidR="00690E6D" w:rsidRPr="00477D8F">
        <w:rPr>
          <w:rFonts w:ascii="Sylfaen" w:hAnsi="Sylfaen" w:cs="Times New Roman"/>
        </w:rPr>
        <w:t>,</w:t>
      </w:r>
      <w:r w:rsidRPr="00477D8F">
        <w:rPr>
          <w:rFonts w:ascii="Sylfaen" w:hAnsi="Sylfaen" w:cs="Times New Roman"/>
        </w:rPr>
        <w:t xml:space="preserve"> and budget allocation. Section </w:t>
      </w:r>
      <w:r w:rsidR="00690E6D" w:rsidRPr="00477D8F">
        <w:rPr>
          <w:rFonts w:ascii="Sylfaen" w:hAnsi="Sylfaen" w:cs="Times New Roman"/>
        </w:rPr>
        <w:t>VI</w:t>
      </w:r>
      <w:r w:rsidRPr="00477D8F">
        <w:rPr>
          <w:rFonts w:ascii="Sylfaen" w:hAnsi="Sylfaen" w:cs="Times New Roman"/>
        </w:rPr>
        <w:t xml:space="preserve"> assesses the adequacy and sustainability of public spending. Section </w:t>
      </w:r>
      <w:r w:rsidR="00690E6D" w:rsidRPr="00477D8F">
        <w:rPr>
          <w:rFonts w:ascii="Sylfaen" w:hAnsi="Sylfaen" w:cs="Times New Roman"/>
        </w:rPr>
        <w:t>VII</w:t>
      </w:r>
      <w:r w:rsidRPr="00477D8F">
        <w:rPr>
          <w:rFonts w:ascii="Sylfaen" w:hAnsi="Sylfaen" w:cs="Times New Roman"/>
        </w:rPr>
        <w:t xml:space="preserve"> examines education sector management issues focusing on the efficiency and effectiveness of resources utilization. Section </w:t>
      </w:r>
      <w:r w:rsidR="00690E6D" w:rsidRPr="00477D8F">
        <w:rPr>
          <w:rFonts w:ascii="Sylfaen" w:hAnsi="Sylfaen" w:cs="Times New Roman"/>
        </w:rPr>
        <w:t>VIII</w:t>
      </w:r>
      <w:r w:rsidRPr="00477D8F">
        <w:rPr>
          <w:rFonts w:ascii="Sylfaen" w:hAnsi="Sylfaen" w:cs="Times New Roman"/>
        </w:rPr>
        <w:t xml:space="preserve"> examines </w:t>
      </w:r>
      <w:r w:rsidRPr="00477D8F">
        <w:rPr>
          <w:rFonts w:ascii="Sylfaen" w:hAnsi="Sylfaen" w:cs="Times New Roman"/>
        </w:rPr>
        <w:lastRenderedPageBreak/>
        <w:t>equity, affordability</w:t>
      </w:r>
      <w:r w:rsidR="00690E6D" w:rsidRPr="00477D8F">
        <w:rPr>
          <w:rFonts w:ascii="Sylfaen" w:hAnsi="Sylfaen" w:cs="Times New Roman"/>
        </w:rPr>
        <w:t>,</w:t>
      </w:r>
      <w:r w:rsidRPr="00477D8F">
        <w:rPr>
          <w:rFonts w:ascii="Sylfaen" w:hAnsi="Sylfaen" w:cs="Times New Roman"/>
        </w:rPr>
        <w:t xml:space="preserve"> and the role</w:t>
      </w:r>
      <w:r w:rsidR="00653A1B" w:rsidRPr="00477D8F">
        <w:rPr>
          <w:rFonts w:ascii="Sylfaen" w:hAnsi="Sylfaen" w:cs="Times New Roman"/>
        </w:rPr>
        <w:t xml:space="preserve"> of</w:t>
      </w:r>
      <w:r w:rsidRPr="00477D8F">
        <w:rPr>
          <w:rFonts w:ascii="Sylfaen" w:hAnsi="Sylfaen" w:cs="Times New Roman"/>
        </w:rPr>
        <w:t xml:space="preserve"> the government in protecting equity</w:t>
      </w:r>
      <w:r w:rsidR="00EC391D" w:rsidRPr="00477D8F">
        <w:rPr>
          <w:rFonts w:ascii="Sylfaen" w:hAnsi="Sylfaen" w:cs="Times New Roman"/>
        </w:rPr>
        <w:t xml:space="preserve">. </w:t>
      </w:r>
      <w:r w:rsidR="00653A1B" w:rsidRPr="00477D8F">
        <w:rPr>
          <w:rFonts w:ascii="Sylfaen" w:hAnsi="Sylfaen" w:cs="Times New Roman"/>
        </w:rPr>
        <w:t>S</w:t>
      </w:r>
      <w:r w:rsidRPr="00477D8F">
        <w:rPr>
          <w:rFonts w:ascii="Sylfaen" w:hAnsi="Sylfaen" w:cs="Times New Roman"/>
        </w:rPr>
        <w:t xml:space="preserve">ection </w:t>
      </w:r>
      <w:r w:rsidR="00690E6D" w:rsidRPr="00477D8F">
        <w:rPr>
          <w:rFonts w:ascii="Sylfaen" w:hAnsi="Sylfaen" w:cs="Times New Roman"/>
        </w:rPr>
        <w:t>IX</w:t>
      </w:r>
      <w:r w:rsidRPr="00477D8F">
        <w:rPr>
          <w:rFonts w:ascii="Sylfaen" w:hAnsi="Sylfaen" w:cs="Times New Roman"/>
        </w:rPr>
        <w:t xml:space="preserve"> simulates enrollment growth and the associated human and financial needs and provide</w:t>
      </w:r>
      <w:r w:rsidR="00797DAB" w:rsidRPr="00477D8F">
        <w:rPr>
          <w:rFonts w:ascii="Sylfaen" w:hAnsi="Sylfaen" w:cs="Times New Roman"/>
        </w:rPr>
        <w:t>s</w:t>
      </w:r>
      <w:r w:rsidRPr="00477D8F">
        <w:rPr>
          <w:rFonts w:ascii="Sylfaen" w:hAnsi="Sylfaen" w:cs="Times New Roman"/>
        </w:rPr>
        <w:t xml:space="preserve"> projections of the labor force by educational attainment under various scenarios. The analysis is followed by </w:t>
      </w:r>
      <w:r w:rsidR="00DA2C9E" w:rsidRPr="00477D8F">
        <w:rPr>
          <w:rFonts w:ascii="Sylfaen" w:hAnsi="Sylfaen" w:cs="Times New Roman"/>
        </w:rPr>
        <w:t xml:space="preserve">Section X, </w:t>
      </w:r>
      <w:r w:rsidRPr="00477D8F">
        <w:rPr>
          <w:rFonts w:ascii="Sylfaen" w:hAnsi="Sylfaen" w:cs="Times New Roman"/>
        </w:rPr>
        <w:t xml:space="preserve">a summary of the main findings and policy recommendations. The </w:t>
      </w:r>
      <w:r w:rsidR="00690E6D" w:rsidRPr="00477D8F">
        <w:rPr>
          <w:rFonts w:ascii="Sylfaen" w:hAnsi="Sylfaen" w:cs="Times New Roman"/>
        </w:rPr>
        <w:t>a</w:t>
      </w:r>
      <w:r w:rsidRPr="00477D8F">
        <w:rPr>
          <w:rFonts w:ascii="Sylfaen" w:hAnsi="Sylfaen" w:cs="Times New Roman"/>
        </w:rPr>
        <w:t>nnex is divided into four sections</w:t>
      </w:r>
      <w:r w:rsidR="00690E6D" w:rsidRPr="00477D8F">
        <w:rPr>
          <w:rFonts w:ascii="Sylfaen" w:hAnsi="Sylfaen" w:cs="Times New Roman"/>
        </w:rPr>
        <w:t>:</w:t>
      </w:r>
      <w:r w:rsidRPr="00477D8F">
        <w:rPr>
          <w:rFonts w:ascii="Sylfaen" w:hAnsi="Sylfaen" w:cs="Times New Roman"/>
        </w:rPr>
        <w:t xml:space="preserve"> a methodological note, supporting tables, figures, and a section on examples of evaluated interventions.</w:t>
      </w:r>
    </w:p>
    <w:p w14:paraId="2D8CB5E2" w14:textId="77777777" w:rsidR="00854201" w:rsidRPr="00477D8F" w:rsidRDefault="00854201" w:rsidP="00854201">
      <w:pPr>
        <w:autoSpaceDE w:val="0"/>
        <w:autoSpaceDN w:val="0"/>
        <w:adjustRightInd w:val="0"/>
        <w:spacing w:before="240" w:after="0" w:line="240" w:lineRule="auto"/>
        <w:ind w:firstLine="720"/>
        <w:jc w:val="both"/>
        <w:rPr>
          <w:rFonts w:ascii="Sylfaen" w:hAnsi="Sylfaen" w:cs="Times New Roman"/>
        </w:rPr>
      </w:pPr>
      <w:r w:rsidRPr="00477D8F">
        <w:rPr>
          <w:rFonts w:ascii="Sylfaen" w:hAnsi="Sylfaen" w:cs="Times New Roman"/>
        </w:rPr>
        <w:br w:type="page"/>
      </w:r>
    </w:p>
    <w:p w14:paraId="0A2A768C" w14:textId="55A5248E" w:rsidR="00854201" w:rsidRPr="00477D8F" w:rsidRDefault="00854201" w:rsidP="00ED0E68">
      <w:pPr>
        <w:pStyle w:val="Heading1"/>
      </w:pPr>
      <w:bookmarkStart w:id="16" w:name="_Toc483335784"/>
      <w:bookmarkStart w:id="17" w:name="_Toc485111142"/>
      <w:bookmarkStart w:id="18" w:name="_Toc485378323"/>
      <w:bookmarkStart w:id="19" w:name="_Toc497171849"/>
      <w:r w:rsidRPr="00477D8F">
        <w:lastRenderedPageBreak/>
        <w:t>Country Context</w:t>
      </w:r>
      <w:bookmarkEnd w:id="16"/>
      <w:bookmarkEnd w:id="17"/>
      <w:bookmarkEnd w:id="18"/>
      <w:bookmarkEnd w:id="19"/>
    </w:p>
    <w:p w14:paraId="1A128B5D" w14:textId="77777777" w:rsidR="00854201" w:rsidRPr="00477D8F" w:rsidRDefault="00854201" w:rsidP="00ED0E68">
      <w:pPr>
        <w:pStyle w:val="Heading2"/>
      </w:pPr>
      <w:bookmarkStart w:id="20" w:name="_Toc483335785"/>
      <w:bookmarkStart w:id="21" w:name="_Toc485111143"/>
      <w:bookmarkStart w:id="22" w:name="_Toc485378324"/>
      <w:bookmarkStart w:id="23" w:name="_Toc497171850"/>
      <w:r w:rsidRPr="00477D8F">
        <w:t>Economic context</w:t>
      </w:r>
      <w:bookmarkEnd w:id="20"/>
      <w:bookmarkEnd w:id="21"/>
      <w:bookmarkEnd w:id="22"/>
      <w:bookmarkEnd w:id="23"/>
    </w:p>
    <w:p w14:paraId="54793298" w14:textId="12777CA8" w:rsidR="00854201" w:rsidRPr="00477D8F" w:rsidRDefault="00854201" w:rsidP="00854201">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The Gambia has a high incidence of poverty, with 48 percent</w:t>
      </w:r>
      <w:r w:rsidRPr="00477D8F">
        <w:rPr>
          <w:rStyle w:val="FootnoteReference"/>
          <w:rFonts w:ascii="Sylfaen" w:hAnsi="Sylfaen" w:cs="Times New Roman"/>
          <w:b/>
        </w:rPr>
        <w:footnoteReference w:id="9"/>
      </w:r>
      <w:r w:rsidRPr="00477D8F">
        <w:rPr>
          <w:rFonts w:ascii="Sylfaen" w:hAnsi="Sylfaen" w:cs="Times New Roman"/>
          <w:b/>
        </w:rPr>
        <w:t xml:space="preserve"> of the population living under the national poverty line, and an estimated real GDP per capita of US$</w:t>
      </w:r>
      <w:r w:rsidR="00DB6671" w:rsidRPr="00477D8F">
        <w:rPr>
          <w:rFonts w:ascii="Sylfaen" w:hAnsi="Sylfaen" w:cs="Times New Roman"/>
          <w:b/>
        </w:rPr>
        <w:t>472</w:t>
      </w:r>
      <w:r w:rsidRPr="00477D8F">
        <w:rPr>
          <w:rFonts w:ascii="Sylfaen" w:hAnsi="Sylfaen" w:cs="Times New Roman"/>
          <w:b/>
        </w:rPr>
        <w:t xml:space="preserve"> (2015).</w:t>
      </w:r>
      <w:r w:rsidRPr="00477D8F">
        <w:rPr>
          <w:rFonts w:ascii="Sylfaen" w:hAnsi="Sylfaen" w:cs="Times New Roman"/>
        </w:rPr>
        <w:t xml:space="preserve"> Although the country has successfully lowered the poverty incidence from 58 percent in 2003 to 48 percent in 2010, the poverty rate stagnated between 2010 and 2015 and hovers at 48 percent.</w:t>
      </w:r>
      <w:r w:rsidR="00272695" w:rsidRPr="00477D8F">
        <w:rPr>
          <w:rFonts w:ascii="Sylfaen" w:hAnsi="Sylfaen" w:cs="Times New Roman"/>
        </w:rPr>
        <w:t xml:space="preserve"> </w:t>
      </w:r>
      <w:r w:rsidRPr="00477D8F">
        <w:rPr>
          <w:rFonts w:ascii="Sylfaen" w:hAnsi="Sylfaen" w:cs="Times New Roman"/>
        </w:rPr>
        <w:t>The country faces important development challenges as reflected by the relatively low ranking in the HDI in 2015 (173 out of 188 countries) (UNDP 2015). The socioeconomic challenges have been compounded by the severe drought in 2011</w:t>
      </w:r>
      <w:r w:rsidR="00D72C80" w:rsidRPr="00477D8F">
        <w:rPr>
          <w:rFonts w:ascii="Sylfaen" w:hAnsi="Sylfaen" w:cs="Times New Roman"/>
        </w:rPr>
        <w:t>,</w:t>
      </w:r>
      <w:r w:rsidRPr="00477D8F">
        <w:rPr>
          <w:rFonts w:ascii="Sylfaen" w:hAnsi="Sylfaen" w:cs="Times New Roman"/>
        </w:rPr>
        <w:t xml:space="preserve"> which significantly negatively affected the agricultural sector resulting in a contraction of the economy (</w:t>
      </w:r>
      <w:r w:rsidR="00D72C80" w:rsidRPr="00477D8F">
        <w:rPr>
          <w:rFonts w:ascii="Sylfaen" w:hAnsi="Sylfaen" w:cs="Times New Roman"/>
        </w:rPr>
        <w:t>−</w:t>
      </w:r>
      <w:r w:rsidRPr="00477D8F">
        <w:rPr>
          <w:rFonts w:ascii="Sylfaen" w:hAnsi="Sylfaen" w:cs="Times New Roman"/>
        </w:rPr>
        <w:t>4 percent) followed by a slow economic recovery (</w:t>
      </w:r>
      <w:r w:rsidRPr="00477D8F">
        <w:rPr>
          <w:rFonts w:ascii="Sylfaen" w:hAnsi="Sylfaen" w:cs="Times New Roman"/>
        </w:rPr>
        <w:fldChar w:fldCharType="begin"/>
      </w:r>
      <w:r w:rsidRPr="00477D8F">
        <w:rPr>
          <w:rFonts w:ascii="Sylfaen" w:hAnsi="Sylfaen" w:cs="Times New Roman"/>
        </w:rPr>
        <w:instrText xml:space="preserve"> REF _Ref481001412 \h  \* MERGEFORMAT </w:instrText>
      </w:r>
      <w:r w:rsidRPr="00477D8F">
        <w:rPr>
          <w:rFonts w:ascii="Sylfaen" w:hAnsi="Sylfaen" w:cs="Times New Roman"/>
        </w:rPr>
      </w:r>
      <w:r w:rsidRPr="00477D8F">
        <w:rPr>
          <w:rFonts w:ascii="Sylfaen" w:hAnsi="Sylfaen" w:cs="Times New Roman"/>
        </w:rPr>
        <w:fldChar w:fldCharType="separate"/>
      </w:r>
      <w:r w:rsidR="00F800F3" w:rsidRPr="00477D8F">
        <w:rPr>
          <w:rFonts w:ascii="Sylfaen" w:hAnsi="Sylfaen" w:cs="Times New Roman"/>
        </w:rPr>
        <w:t>Table 1</w:t>
      </w:r>
      <w:r w:rsidRPr="00477D8F">
        <w:rPr>
          <w:rFonts w:ascii="Sylfaen" w:hAnsi="Sylfaen" w:cs="Times New Roman"/>
        </w:rPr>
        <w:fldChar w:fldCharType="end"/>
      </w:r>
      <w:r w:rsidRPr="00477D8F">
        <w:rPr>
          <w:rFonts w:ascii="Sylfaen" w:hAnsi="Sylfaen" w:cs="Times New Roman"/>
        </w:rPr>
        <w:t xml:space="preserve">). </w:t>
      </w:r>
    </w:p>
    <w:p w14:paraId="033178E7" w14:textId="29BC93D4" w:rsidR="00272695" w:rsidRPr="00477D8F" w:rsidRDefault="00854201" w:rsidP="00601A0A">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 xml:space="preserve">The Gambia is facing a serious financial crisis. </w:t>
      </w:r>
      <w:r w:rsidRPr="00477D8F">
        <w:rPr>
          <w:rFonts w:ascii="Sylfaen" w:hAnsi="Sylfaen" w:cs="Times New Roman"/>
        </w:rPr>
        <w:t>Overvaluing the Dalasi policy by pegging the exchange rate against the U</w:t>
      </w:r>
      <w:r w:rsidR="00D72C80" w:rsidRPr="00477D8F">
        <w:rPr>
          <w:rFonts w:ascii="Sylfaen" w:hAnsi="Sylfaen" w:cs="Times New Roman"/>
        </w:rPr>
        <w:t>.</w:t>
      </w:r>
      <w:r w:rsidRPr="00477D8F">
        <w:rPr>
          <w:rFonts w:ascii="Sylfaen" w:hAnsi="Sylfaen" w:cs="Times New Roman"/>
        </w:rPr>
        <w:t>S</w:t>
      </w:r>
      <w:r w:rsidR="00D72C80" w:rsidRPr="00477D8F">
        <w:rPr>
          <w:rFonts w:ascii="Sylfaen" w:hAnsi="Sylfaen" w:cs="Times New Roman"/>
        </w:rPr>
        <w:t>. dollar</w:t>
      </w:r>
      <w:r w:rsidRPr="00477D8F">
        <w:rPr>
          <w:rFonts w:ascii="Sylfaen" w:hAnsi="Sylfaen" w:cs="Times New Roman"/>
        </w:rPr>
        <w:t xml:space="preserve"> and other currencies, together with the Ebola crisis in the neighboring countries</w:t>
      </w:r>
      <w:r w:rsidR="00593C3D" w:rsidRPr="00477D8F">
        <w:rPr>
          <w:rFonts w:ascii="Sylfaen" w:hAnsi="Sylfaen" w:cs="Times New Roman"/>
        </w:rPr>
        <w:t>,</w:t>
      </w:r>
      <w:r w:rsidRPr="00477D8F">
        <w:rPr>
          <w:rFonts w:ascii="Sylfaen" w:hAnsi="Sylfaen" w:cs="Times New Roman"/>
        </w:rPr>
        <w:t xml:space="preserve"> ha</w:t>
      </w:r>
      <w:r w:rsidR="00D45551" w:rsidRPr="00477D8F">
        <w:rPr>
          <w:rFonts w:ascii="Sylfaen" w:hAnsi="Sylfaen" w:cs="Times New Roman"/>
        </w:rPr>
        <w:t>s</w:t>
      </w:r>
      <w:r w:rsidRPr="00477D8F">
        <w:rPr>
          <w:rFonts w:ascii="Sylfaen" w:hAnsi="Sylfaen" w:cs="Times New Roman"/>
        </w:rPr>
        <w:t xml:space="preserve"> led to severe fiscal constraints. The Gambian economy is largely dependent on tourism and its agricultural sector. Although no Ebola cases were found in The Gambia, the 2014</w:t>
      </w:r>
      <w:r w:rsidR="00D45551" w:rsidRPr="00477D8F">
        <w:rPr>
          <w:rFonts w:ascii="Sylfaen" w:hAnsi="Sylfaen" w:cs="Times New Roman"/>
        </w:rPr>
        <w:t>–20</w:t>
      </w:r>
      <w:r w:rsidRPr="00477D8F">
        <w:rPr>
          <w:rFonts w:ascii="Sylfaen" w:hAnsi="Sylfaen" w:cs="Times New Roman"/>
        </w:rPr>
        <w:t>15 tourism earnings were estimated to experience a 60 percent reduction due to tourists avoiding the entire West Africa</w:t>
      </w:r>
      <w:r w:rsidR="00D45551" w:rsidRPr="00477D8F">
        <w:rPr>
          <w:rFonts w:ascii="Sylfaen" w:hAnsi="Sylfaen" w:cs="Times New Roman"/>
        </w:rPr>
        <w:t>n</w:t>
      </w:r>
      <w:r w:rsidRPr="00477D8F">
        <w:rPr>
          <w:rFonts w:ascii="Sylfaen" w:hAnsi="Sylfaen" w:cs="Times New Roman"/>
        </w:rPr>
        <w:t xml:space="preserve"> region. This has had a tremendous impact on the country’s GDP as services compose the largest share (65.5 percent) of The Gambia’s GDP</w:t>
      </w:r>
      <w:r w:rsidR="00593C3D" w:rsidRPr="00477D8F">
        <w:rPr>
          <w:rFonts w:ascii="Sylfaen" w:hAnsi="Sylfaen" w:cs="Times New Roman"/>
        </w:rPr>
        <w:t>,</w:t>
      </w:r>
      <w:r w:rsidRPr="00477D8F">
        <w:rPr>
          <w:rFonts w:ascii="Sylfaen" w:hAnsi="Sylfaen" w:cs="Times New Roman"/>
        </w:rPr>
        <w:t xml:space="preserve"> followed by agriculture (22.8 percent) and industry (11.8 percent). Combined with the substantial fall in crop production due to delayed rains in 2014</w:t>
      </w:r>
      <w:r w:rsidR="00D4248B" w:rsidRPr="00477D8F">
        <w:rPr>
          <w:rFonts w:ascii="Sylfaen" w:hAnsi="Sylfaen" w:cs="Times New Roman"/>
        </w:rPr>
        <w:t>,</w:t>
      </w:r>
      <w:r w:rsidRPr="00477D8F">
        <w:rPr>
          <w:rStyle w:val="FootnoteReference"/>
          <w:rFonts w:ascii="Sylfaen" w:hAnsi="Sylfaen" w:cs="Times New Roman"/>
        </w:rPr>
        <w:footnoteReference w:id="10"/>
      </w:r>
      <w:r w:rsidRPr="00477D8F">
        <w:rPr>
          <w:rFonts w:ascii="Sylfaen" w:hAnsi="Sylfaen" w:cs="Times New Roman"/>
        </w:rPr>
        <w:t xml:space="preserve"> the impact of the regional Ebola outbreak led to a contraction of the economy with real GDP growth of 0.9 percent in 2014 (</w:t>
      </w:r>
      <w:r w:rsidRPr="00477D8F">
        <w:rPr>
          <w:rFonts w:ascii="Sylfaen" w:hAnsi="Sylfaen" w:cs="Times New Roman"/>
        </w:rPr>
        <w:fldChar w:fldCharType="begin"/>
      </w:r>
      <w:r w:rsidRPr="00477D8F">
        <w:rPr>
          <w:rFonts w:ascii="Sylfaen" w:hAnsi="Sylfaen" w:cs="Times New Roman"/>
        </w:rPr>
        <w:instrText xml:space="preserve"> REF _Ref481001412 \h  \* MERGEFORMAT </w:instrText>
      </w:r>
      <w:r w:rsidRPr="00477D8F">
        <w:rPr>
          <w:rFonts w:ascii="Sylfaen" w:hAnsi="Sylfaen" w:cs="Times New Roman"/>
        </w:rPr>
      </w:r>
      <w:r w:rsidRPr="00477D8F">
        <w:rPr>
          <w:rFonts w:ascii="Sylfaen" w:hAnsi="Sylfaen" w:cs="Times New Roman"/>
        </w:rPr>
        <w:fldChar w:fldCharType="separate"/>
      </w:r>
      <w:r w:rsidR="00F800F3" w:rsidRPr="00477D8F">
        <w:rPr>
          <w:rFonts w:ascii="Sylfaen" w:hAnsi="Sylfaen" w:cs="Times New Roman"/>
        </w:rPr>
        <w:t>Table 1</w:t>
      </w:r>
      <w:r w:rsidRPr="00477D8F">
        <w:rPr>
          <w:rFonts w:ascii="Sylfaen" w:hAnsi="Sylfaen" w:cs="Times New Roman"/>
        </w:rPr>
        <w:fldChar w:fldCharType="end"/>
      </w:r>
      <w:r w:rsidRPr="00477D8F">
        <w:rPr>
          <w:rFonts w:ascii="Sylfaen" w:hAnsi="Sylfaen" w:cs="Times New Roman"/>
        </w:rPr>
        <w:t>). The fragile medium</w:t>
      </w:r>
      <w:r w:rsidR="00001232" w:rsidRPr="00477D8F">
        <w:rPr>
          <w:rFonts w:ascii="Sylfaen" w:hAnsi="Sylfaen" w:cs="Times New Roman"/>
        </w:rPr>
        <w:t>-</w:t>
      </w:r>
      <w:r w:rsidRPr="00477D8F">
        <w:rPr>
          <w:rFonts w:ascii="Sylfaen" w:hAnsi="Sylfaen" w:cs="Times New Roman"/>
        </w:rPr>
        <w:t xml:space="preserve"> and long</w:t>
      </w:r>
      <w:r w:rsidR="00001232" w:rsidRPr="00477D8F">
        <w:rPr>
          <w:rFonts w:ascii="Sylfaen" w:hAnsi="Sylfaen" w:cs="Times New Roman"/>
        </w:rPr>
        <w:t>-</w:t>
      </w:r>
      <w:r w:rsidRPr="00477D8F">
        <w:rPr>
          <w:rFonts w:ascii="Sylfaen" w:hAnsi="Sylfaen" w:cs="Times New Roman"/>
        </w:rPr>
        <w:t xml:space="preserve">term fiscal outlook highlights the public spending limitations facing all sectors of the economy, including education, and emphasizes the need to better understand the efficiency of public spending, and subsequently, potential efficiency gains </w:t>
      </w:r>
      <w:r w:rsidR="00001232" w:rsidRPr="00477D8F">
        <w:rPr>
          <w:rFonts w:ascii="Sylfaen" w:hAnsi="Sylfaen" w:cs="Times New Roman"/>
        </w:rPr>
        <w:t xml:space="preserve">that </w:t>
      </w:r>
      <w:r w:rsidRPr="00477D8F">
        <w:rPr>
          <w:rFonts w:ascii="Sylfaen" w:hAnsi="Sylfaen" w:cs="Times New Roman"/>
        </w:rPr>
        <w:t xml:space="preserve">could help achieve the sector goals without adding to the fiscal burden. </w:t>
      </w:r>
    </w:p>
    <w:p w14:paraId="787DAAA3" w14:textId="68504369" w:rsidR="000B3367" w:rsidRPr="00477D8F" w:rsidRDefault="000B3367" w:rsidP="00BA3270">
      <w:pPr>
        <w:pStyle w:val="Caption1"/>
      </w:pPr>
      <w:bookmarkStart w:id="24" w:name="_Ref481001412"/>
      <w:bookmarkStart w:id="25" w:name="_Toc482650032"/>
      <w:bookmarkStart w:id="26" w:name="_Toc497171843"/>
      <w:r w:rsidRPr="00477D8F">
        <w:t xml:space="preserve">Table </w:t>
      </w:r>
      <w:r w:rsidR="002E5BDF" w:rsidRPr="00477D8F">
        <w:fldChar w:fldCharType="begin"/>
      </w:r>
      <w:r w:rsidR="002E5BDF" w:rsidRPr="00477D8F">
        <w:instrText xml:space="preserve"> SEQ Table \* ARABIC </w:instrText>
      </w:r>
      <w:r w:rsidR="002E5BDF" w:rsidRPr="00477D8F">
        <w:fldChar w:fldCharType="separate"/>
      </w:r>
      <w:r w:rsidRPr="00477D8F">
        <w:t>1</w:t>
      </w:r>
      <w:r w:rsidR="002E5BDF" w:rsidRPr="00477D8F">
        <w:fldChar w:fldCharType="end"/>
      </w:r>
      <w:bookmarkEnd w:id="24"/>
      <w:r w:rsidRPr="00477D8F">
        <w:t>: Key macroeconomic indicators</w:t>
      </w:r>
      <w:bookmarkEnd w:id="25"/>
      <w:bookmarkEnd w:id="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55"/>
        <w:gridCol w:w="720"/>
        <w:gridCol w:w="630"/>
        <w:gridCol w:w="630"/>
        <w:gridCol w:w="810"/>
        <w:gridCol w:w="810"/>
        <w:gridCol w:w="720"/>
        <w:gridCol w:w="900"/>
        <w:gridCol w:w="720"/>
        <w:gridCol w:w="720"/>
        <w:gridCol w:w="720"/>
        <w:gridCol w:w="715"/>
      </w:tblGrid>
      <w:tr w:rsidR="00E3504F" w:rsidRPr="00477D8F" w14:paraId="3E1EF840" w14:textId="77777777" w:rsidTr="00305B32">
        <w:trPr>
          <w:tblHeader/>
        </w:trPr>
        <w:tc>
          <w:tcPr>
            <w:tcW w:w="1255" w:type="dxa"/>
            <w:shd w:val="clear" w:color="auto" w:fill="auto"/>
            <w:noWrap/>
            <w:vAlign w:val="center"/>
            <w:hideMark/>
          </w:tcPr>
          <w:p w14:paraId="4EB99A63" w14:textId="525325BF" w:rsidR="000B3367" w:rsidRPr="00477D8F" w:rsidRDefault="000B3367" w:rsidP="002000E9">
            <w:pPr>
              <w:spacing w:after="0" w:line="200" w:lineRule="exact"/>
              <w:jc w:val="center"/>
              <w:rPr>
                <w:rFonts w:ascii="Sylfaen" w:eastAsia="Times New Roman" w:hAnsi="Sylfaen" w:cs="Calibri"/>
                <w:b/>
                <w:color w:val="000000"/>
                <w:sz w:val="18"/>
                <w:szCs w:val="18"/>
              </w:rPr>
            </w:pPr>
          </w:p>
        </w:tc>
        <w:tc>
          <w:tcPr>
            <w:tcW w:w="720" w:type="dxa"/>
            <w:shd w:val="clear" w:color="auto" w:fill="auto"/>
            <w:noWrap/>
            <w:vAlign w:val="center"/>
            <w:hideMark/>
          </w:tcPr>
          <w:p w14:paraId="4164984A" w14:textId="77777777" w:rsidR="000B3367" w:rsidRPr="00477D8F" w:rsidRDefault="000B3367" w:rsidP="002000E9">
            <w:pPr>
              <w:spacing w:after="0" w:line="200" w:lineRule="exact"/>
              <w:jc w:val="center"/>
              <w:rPr>
                <w:rFonts w:ascii="Sylfaen" w:eastAsia="Times New Roman" w:hAnsi="Sylfaen" w:cs="Arial"/>
                <w:b/>
                <w:color w:val="000000"/>
                <w:sz w:val="18"/>
                <w:szCs w:val="18"/>
              </w:rPr>
            </w:pPr>
            <w:r w:rsidRPr="00477D8F">
              <w:rPr>
                <w:rFonts w:ascii="Sylfaen" w:eastAsia="Times New Roman" w:hAnsi="Sylfaen" w:cs="Arial"/>
                <w:b/>
                <w:color w:val="000000"/>
                <w:sz w:val="18"/>
                <w:szCs w:val="18"/>
              </w:rPr>
              <w:t>2010</w:t>
            </w:r>
          </w:p>
        </w:tc>
        <w:tc>
          <w:tcPr>
            <w:tcW w:w="630" w:type="dxa"/>
            <w:shd w:val="clear" w:color="auto" w:fill="auto"/>
            <w:noWrap/>
            <w:vAlign w:val="center"/>
            <w:hideMark/>
          </w:tcPr>
          <w:p w14:paraId="4B331DEF" w14:textId="77777777" w:rsidR="000B3367" w:rsidRPr="00477D8F" w:rsidRDefault="000B3367" w:rsidP="002000E9">
            <w:pPr>
              <w:spacing w:after="0" w:line="200" w:lineRule="exact"/>
              <w:jc w:val="center"/>
              <w:rPr>
                <w:rFonts w:ascii="Sylfaen" w:eastAsia="Times New Roman" w:hAnsi="Sylfaen" w:cs="Arial"/>
                <w:b/>
                <w:color w:val="000000"/>
                <w:sz w:val="18"/>
                <w:szCs w:val="18"/>
              </w:rPr>
            </w:pPr>
            <w:r w:rsidRPr="00477D8F">
              <w:rPr>
                <w:rFonts w:ascii="Sylfaen" w:eastAsia="Times New Roman" w:hAnsi="Sylfaen" w:cs="Arial"/>
                <w:b/>
                <w:color w:val="000000"/>
                <w:sz w:val="18"/>
                <w:szCs w:val="18"/>
              </w:rPr>
              <w:t>2011</w:t>
            </w:r>
          </w:p>
        </w:tc>
        <w:tc>
          <w:tcPr>
            <w:tcW w:w="630" w:type="dxa"/>
            <w:shd w:val="clear" w:color="auto" w:fill="auto"/>
            <w:noWrap/>
            <w:vAlign w:val="center"/>
            <w:hideMark/>
          </w:tcPr>
          <w:p w14:paraId="03102581" w14:textId="77777777" w:rsidR="000B3367" w:rsidRPr="00477D8F" w:rsidRDefault="000B3367" w:rsidP="002000E9">
            <w:pPr>
              <w:spacing w:after="0" w:line="200" w:lineRule="exact"/>
              <w:jc w:val="center"/>
              <w:rPr>
                <w:rFonts w:ascii="Sylfaen" w:eastAsia="Times New Roman" w:hAnsi="Sylfaen" w:cs="Arial"/>
                <w:b/>
                <w:color w:val="000000"/>
                <w:sz w:val="18"/>
                <w:szCs w:val="18"/>
              </w:rPr>
            </w:pPr>
            <w:r w:rsidRPr="00477D8F">
              <w:rPr>
                <w:rFonts w:ascii="Sylfaen" w:eastAsia="Times New Roman" w:hAnsi="Sylfaen" w:cs="Arial"/>
                <w:b/>
                <w:color w:val="000000"/>
                <w:sz w:val="18"/>
                <w:szCs w:val="18"/>
              </w:rPr>
              <w:t>2012</w:t>
            </w:r>
          </w:p>
        </w:tc>
        <w:tc>
          <w:tcPr>
            <w:tcW w:w="810" w:type="dxa"/>
            <w:shd w:val="clear" w:color="auto" w:fill="auto"/>
            <w:noWrap/>
            <w:vAlign w:val="center"/>
            <w:hideMark/>
          </w:tcPr>
          <w:p w14:paraId="1D7B8AE0" w14:textId="77777777" w:rsidR="000B3367" w:rsidRPr="00477D8F" w:rsidRDefault="000B3367" w:rsidP="002000E9">
            <w:pPr>
              <w:spacing w:after="0" w:line="200" w:lineRule="exact"/>
              <w:jc w:val="center"/>
              <w:rPr>
                <w:rFonts w:ascii="Sylfaen" w:eastAsia="Times New Roman" w:hAnsi="Sylfaen" w:cs="Arial"/>
                <w:b/>
                <w:color w:val="000000"/>
                <w:sz w:val="18"/>
                <w:szCs w:val="18"/>
              </w:rPr>
            </w:pPr>
            <w:r w:rsidRPr="00477D8F">
              <w:rPr>
                <w:rFonts w:ascii="Sylfaen" w:eastAsia="Times New Roman" w:hAnsi="Sylfaen" w:cs="Arial"/>
                <w:b/>
                <w:color w:val="000000"/>
                <w:sz w:val="18"/>
                <w:szCs w:val="18"/>
              </w:rPr>
              <w:t>2013</w:t>
            </w:r>
          </w:p>
        </w:tc>
        <w:tc>
          <w:tcPr>
            <w:tcW w:w="810" w:type="dxa"/>
            <w:shd w:val="clear" w:color="auto" w:fill="auto"/>
            <w:noWrap/>
            <w:vAlign w:val="center"/>
            <w:hideMark/>
          </w:tcPr>
          <w:p w14:paraId="278B7205" w14:textId="77777777" w:rsidR="000B3367" w:rsidRPr="00477D8F" w:rsidRDefault="000B3367" w:rsidP="002000E9">
            <w:pPr>
              <w:spacing w:after="0" w:line="200" w:lineRule="exact"/>
              <w:jc w:val="center"/>
              <w:rPr>
                <w:rFonts w:ascii="Sylfaen" w:eastAsia="Times New Roman" w:hAnsi="Sylfaen" w:cs="Arial"/>
                <w:b/>
                <w:color w:val="000000"/>
                <w:sz w:val="18"/>
                <w:szCs w:val="18"/>
              </w:rPr>
            </w:pPr>
            <w:r w:rsidRPr="00477D8F">
              <w:rPr>
                <w:rFonts w:ascii="Sylfaen" w:eastAsia="Times New Roman" w:hAnsi="Sylfaen" w:cs="Arial"/>
                <w:b/>
                <w:color w:val="000000"/>
                <w:sz w:val="18"/>
                <w:szCs w:val="18"/>
              </w:rPr>
              <w:t>2014</w:t>
            </w:r>
          </w:p>
        </w:tc>
        <w:tc>
          <w:tcPr>
            <w:tcW w:w="720" w:type="dxa"/>
            <w:shd w:val="clear" w:color="auto" w:fill="auto"/>
            <w:noWrap/>
            <w:vAlign w:val="center"/>
            <w:hideMark/>
          </w:tcPr>
          <w:p w14:paraId="2BA1EE9A" w14:textId="77777777" w:rsidR="000B3367" w:rsidRPr="00477D8F" w:rsidRDefault="000B3367" w:rsidP="002000E9">
            <w:pPr>
              <w:spacing w:after="0" w:line="200" w:lineRule="exact"/>
              <w:jc w:val="center"/>
              <w:rPr>
                <w:rFonts w:ascii="Sylfaen" w:eastAsia="Times New Roman" w:hAnsi="Sylfaen" w:cs="Arial"/>
                <w:b/>
                <w:color w:val="000000"/>
                <w:sz w:val="18"/>
                <w:szCs w:val="18"/>
              </w:rPr>
            </w:pPr>
            <w:r w:rsidRPr="00477D8F">
              <w:rPr>
                <w:rFonts w:ascii="Sylfaen" w:eastAsia="Times New Roman" w:hAnsi="Sylfaen" w:cs="Arial"/>
                <w:b/>
                <w:color w:val="000000"/>
                <w:sz w:val="18"/>
                <w:szCs w:val="18"/>
              </w:rPr>
              <w:t>2015</w:t>
            </w:r>
          </w:p>
        </w:tc>
        <w:tc>
          <w:tcPr>
            <w:tcW w:w="900" w:type="dxa"/>
            <w:shd w:val="clear" w:color="auto" w:fill="auto"/>
            <w:noWrap/>
            <w:vAlign w:val="center"/>
            <w:hideMark/>
          </w:tcPr>
          <w:p w14:paraId="7E4B5A0A" w14:textId="77777777" w:rsidR="000B3367" w:rsidRPr="00477D8F" w:rsidRDefault="000B3367" w:rsidP="002000E9">
            <w:pPr>
              <w:spacing w:after="0" w:line="200" w:lineRule="exact"/>
              <w:jc w:val="center"/>
              <w:rPr>
                <w:rFonts w:ascii="Sylfaen" w:eastAsia="Times New Roman" w:hAnsi="Sylfaen" w:cs="Arial"/>
                <w:b/>
                <w:color w:val="000000"/>
                <w:sz w:val="18"/>
                <w:szCs w:val="18"/>
              </w:rPr>
            </w:pPr>
            <w:r w:rsidRPr="00477D8F">
              <w:rPr>
                <w:rFonts w:ascii="Sylfaen" w:eastAsia="Times New Roman" w:hAnsi="Sylfaen" w:cs="Arial"/>
                <w:b/>
                <w:color w:val="000000"/>
                <w:sz w:val="18"/>
                <w:szCs w:val="18"/>
              </w:rPr>
              <w:t>2016e</w:t>
            </w:r>
          </w:p>
        </w:tc>
        <w:tc>
          <w:tcPr>
            <w:tcW w:w="720" w:type="dxa"/>
            <w:shd w:val="clear" w:color="auto" w:fill="auto"/>
            <w:noWrap/>
            <w:vAlign w:val="center"/>
            <w:hideMark/>
          </w:tcPr>
          <w:p w14:paraId="2BCA3881" w14:textId="77777777" w:rsidR="000B3367" w:rsidRPr="00477D8F" w:rsidRDefault="000B3367" w:rsidP="002000E9">
            <w:pPr>
              <w:spacing w:after="0" w:line="200" w:lineRule="exact"/>
              <w:jc w:val="center"/>
              <w:rPr>
                <w:rFonts w:ascii="Sylfaen" w:eastAsia="Times New Roman" w:hAnsi="Sylfaen" w:cs="Arial"/>
                <w:b/>
                <w:color w:val="000000"/>
                <w:sz w:val="18"/>
                <w:szCs w:val="18"/>
              </w:rPr>
            </w:pPr>
            <w:r w:rsidRPr="00477D8F">
              <w:rPr>
                <w:rFonts w:ascii="Sylfaen" w:eastAsia="Times New Roman" w:hAnsi="Sylfaen" w:cs="Arial"/>
                <w:b/>
                <w:color w:val="000000"/>
                <w:sz w:val="18"/>
                <w:szCs w:val="18"/>
              </w:rPr>
              <w:t>2017f</w:t>
            </w:r>
          </w:p>
        </w:tc>
        <w:tc>
          <w:tcPr>
            <w:tcW w:w="720" w:type="dxa"/>
            <w:shd w:val="clear" w:color="auto" w:fill="auto"/>
            <w:noWrap/>
            <w:vAlign w:val="center"/>
            <w:hideMark/>
          </w:tcPr>
          <w:p w14:paraId="07E684E8" w14:textId="77777777" w:rsidR="000B3367" w:rsidRPr="00477D8F" w:rsidRDefault="000B3367" w:rsidP="002000E9">
            <w:pPr>
              <w:spacing w:after="0" w:line="200" w:lineRule="exact"/>
              <w:jc w:val="center"/>
              <w:rPr>
                <w:rFonts w:ascii="Sylfaen" w:eastAsia="Times New Roman" w:hAnsi="Sylfaen" w:cs="Arial"/>
                <w:b/>
                <w:color w:val="000000"/>
                <w:sz w:val="18"/>
                <w:szCs w:val="18"/>
              </w:rPr>
            </w:pPr>
            <w:r w:rsidRPr="00477D8F">
              <w:rPr>
                <w:rFonts w:ascii="Sylfaen" w:eastAsia="Times New Roman" w:hAnsi="Sylfaen" w:cs="Arial"/>
                <w:b/>
                <w:color w:val="000000"/>
                <w:sz w:val="18"/>
                <w:szCs w:val="18"/>
              </w:rPr>
              <w:t>2018f</w:t>
            </w:r>
          </w:p>
        </w:tc>
        <w:tc>
          <w:tcPr>
            <w:tcW w:w="720" w:type="dxa"/>
            <w:shd w:val="clear" w:color="auto" w:fill="auto"/>
            <w:noWrap/>
            <w:vAlign w:val="center"/>
            <w:hideMark/>
          </w:tcPr>
          <w:p w14:paraId="31857C2B" w14:textId="77777777" w:rsidR="000B3367" w:rsidRPr="00477D8F" w:rsidRDefault="000B3367" w:rsidP="002000E9">
            <w:pPr>
              <w:spacing w:after="0" w:line="200" w:lineRule="exact"/>
              <w:jc w:val="center"/>
              <w:rPr>
                <w:rFonts w:ascii="Sylfaen" w:eastAsia="Times New Roman" w:hAnsi="Sylfaen" w:cs="Arial"/>
                <w:b/>
                <w:color w:val="000000"/>
                <w:sz w:val="18"/>
                <w:szCs w:val="18"/>
              </w:rPr>
            </w:pPr>
            <w:r w:rsidRPr="00477D8F">
              <w:rPr>
                <w:rFonts w:ascii="Sylfaen" w:eastAsia="Times New Roman" w:hAnsi="Sylfaen" w:cs="Arial"/>
                <w:b/>
                <w:color w:val="000000"/>
                <w:sz w:val="18"/>
                <w:szCs w:val="18"/>
              </w:rPr>
              <w:t>2019f</w:t>
            </w:r>
          </w:p>
        </w:tc>
        <w:tc>
          <w:tcPr>
            <w:tcW w:w="715" w:type="dxa"/>
            <w:shd w:val="clear" w:color="auto" w:fill="auto"/>
            <w:noWrap/>
            <w:vAlign w:val="center"/>
            <w:hideMark/>
          </w:tcPr>
          <w:p w14:paraId="68F946D3" w14:textId="77777777" w:rsidR="000B3367" w:rsidRPr="00477D8F" w:rsidRDefault="000B3367" w:rsidP="002000E9">
            <w:pPr>
              <w:spacing w:after="0" w:line="200" w:lineRule="exact"/>
              <w:jc w:val="center"/>
              <w:rPr>
                <w:rFonts w:ascii="Sylfaen" w:eastAsia="Times New Roman" w:hAnsi="Sylfaen" w:cs="Arial"/>
                <w:b/>
                <w:color w:val="000000"/>
                <w:sz w:val="18"/>
                <w:szCs w:val="18"/>
              </w:rPr>
            </w:pPr>
            <w:r w:rsidRPr="00477D8F">
              <w:rPr>
                <w:rFonts w:ascii="Sylfaen" w:eastAsia="Times New Roman" w:hAnsi="Sylfaen" w:cs="Arial"/>
                <w:b/>
                <w:color w:val="000000"/>
                <w:sz w:val="18"/>
                <w:szCs w:val="18"/>
              </w:rPr>
              <w:t>2020f</w:t>
            </w:r>
          </w:p>
        </w:tc>
      </w:tr>
      <w:tr w:rsidR="00E3504F" w:rsidRPr="00477D8F" w14:paraId="2F84A77D" w14:textId="77777777" w:rsidTr="00305B32">
        <w:tc>
          <w:tcPr>
            <w:tcW w:w="1255" w:type="dxa"/>
            <w:shd w:val="clear" w:color="auto" w:fill="auto"/>
            <w:noWrap/>
            <w:hideMark/>
          </w:tcPr>
          <w:p w14:paraId="452682CC" w14:textId="77777777" w:rsidR="000B3367" w:rsidRPr="00477D8F" w:rsidRDefault="000B3367" w:rsidP="002000E9">
            <w:pPr>
              <w:spacing w:after="0" w:line="200" w:lineRule="exact"/>
              <w:rPr>
                <w:rFonts w:ascii="Sylfaen" w:eastAsia="Times New Roman" w:hAnsi="Sylfaen" w:cs="Arial"/>
                <w:color w:val="000000"/>
                <w:sz w:val="18"/>
                <w:szCs w:val="18"/>
              </w:rPr>
            </w:pPr>
            <w:r w:rsidRPr="00477D8F">
              <w:rPr>
                <w:rFonts w:ascii="Sylfaen" w:eastAsia="Times New Roman" w:hAnsi="Sylfaen" w:cs="Arial"/>
                <w:color w:val="000000"/>
                <w:sz w:val="18"/>
                <w:szCs w:val="18"/>
              </w:rPr>
              <w:t>Nominal GDP (millions of GMD)</w:t>
            </w:r>
          </w:p>
        </w:tc>
        <w:tc>
          <w:tcPr>
            <w:tcW w:w="720" w:type="dxa"/>
            <w:shd w:val="clear" w:color="auto" w:fill="auto"/>
            <w:noWrap/>
            <w:hideMark/>
          </w:tcPr>
          <w:p w14:paraId="717493E3"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26,662</w:t>
            </w:r>
          </w:p>
        </w:tc>
        <w:tc>
          <w:tcPr>
            <w:tcW w:w="630" w:type="dxa"/>
            <w:shd w:val="clear" w:color="auto" w:fill="auto"/>
            <w:noWrap/>
            <w:hideMark/>
          </w:tcPr>
          <w:p w14:paraId="205A6C1E"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26,465</w:t>
            </w:r>
          </w:p>
        </w:tc>
        <w:tc>
          <w:tcPr>
            <w:tcW w:w="630" w:type="dxa"/>
            <w:shd w:val="clear" w:color="auto" w:fill="auto"/>
            <w:noWrap/>
            <w:hideMark/>
          </w:tcPr>
          <w:p w14:paraId="47F29017"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29,191</w:t>
            </w:r>
          </w:p>
        </w:tc>
        <w:tc>
          <w:tcPr>
            <w:tcW w:w="810" w:type="dxa"/>
            <w:shd w:val="clear" w:color="auto" w:fill="auto"/>
            <w:noWrap/>
            <w:hideMark/>
          </w:tcPr>
          <w:p w14:paraId="3F8EB05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32,324</w:t>
            </w:r>
          </w:p>
        </w:tc>
        <w:tc>
          <w:tcPr>
            <w:tcW w:w="810" w:type="dxa"/>
            <w:shd w:val="clear" w:color="auto" w:fill="auto"/>
            <w:noWrap/>
            <w:hideMark/>
          </w:tcPr>
          <w:p w14:paraId="6010390C"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34,774</w:t>
            </w:r>
          </w:p>
        </w:tc>
        <w:tc>
          <w:tcPr>
            <w:tcW w:w="720" w:type="dxa"/>
            <w:shd w:val="clear" w:color="auto" w:fill="auto"/>
            <w:noWrap/>
            <w:hideMark/>
          </w:tcPr>
          <w:p w14:paraId="69695EB8"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38,581</w:t>
            </w:r>
          </w:p>
        </w:tc>
        <w:tc>
          <w:tcPr>
            <w:tcW w:w="900" w:type="dxa"/>
            <w:shd w:val="clear" w:color="auto" w:fill="auto"/>
            <w:noWrap/>
            <w:hideMark/>
          </w:tcPr>
          <w:p w14:paraId="0A639F20"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42,252</w:t>
            </w:r>
          </w:p>
        </w:tc>
        <w:tc>
          <w:tcPr>
            <w:tcW w:w="720" w:type="dxa"/>
            <w:shd w:val="clear" w:color="auto" w:fill="auto"/>
            <w:noWrap/>
            <w:hideMark/>
          </w:tcPr>
          <w:p w14:paraId="2ADC3FC8"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47,164</w:t>
            </w:r>
          </w:p>
        </w:tc>
        <w:tc>
          <w:tcPr>
            <w:tcW w:w="720" w:type="dxa"/>
            <w:shd w:val="clear" w:color="auto" w:fill="auto"/>
            <w:noWrap/>
            <w:hideMark/>
          </w:tcPr>
          <w:p w14:paraId="5E879520"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52,403</w:t>
            </w:r>
          </w:p>
        </w:tc>
        <w:tc>
          <w:tcPr>
            <w:tcW w:w="720" w:type="dxa"/>
            <w:shd w:val="clear" w:color="auto" w:fill="auto"/>
            <w:noWrap/>
            <w:hideMark/>
          </w:tcPr>
          <w:p w14:paraId="1270D2AE"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57,789</w:t>
            </w:r>
          </w:p>
        </w:tc>
        <w:tc>
          <w:tcPr>
            <w:tcW w:w="715" w:type="dxa"/>
            <w:shd w:val="clear" w:color="auto" w:fill="auto"/>
            <w:noWrap/>
            <w:hideMark/>
          </w:tcPr>
          <w:p w14:paraId="0D4F1FD3"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63,565</w:t>
            </w:r>
          </w:p>
        </w:tc>
      </w:tr>
      <w:tr w:rsidR="00E3504F" w:rsidRPr="00477D8F" w14:paraId="5B7A1E6E" w14:textId="77777777" w:rsidTr="00305B32">
        <w:tc>
          <w:tcPr>
            <w:tcW w:w="1255" w:type="dxa"/>
            <w:shd w:val="clear" w:color="auto" w:fill="auto"/>
            <w:noWrap/>
            <w:hideMark/>
          </w:tcPr>
          <w:p w14:paraId="0F1A24FB" w14:textId="77777777" w:rsidR="000B3367" w:rsidRPr="00477D8F" w:rsidRDefault="000B3367" w:rsidP="002000E9">
            <w:pPr>
              <w:spacing w:after="0" w:line="200" w:lineRule="exact"/>
              <w:rPr>
                <w:rFonts w:ascii="Sylfaen" w:eastAsia="Times New Roman" w:hAnsi="Sylfaen" w:cs="Arial"/>
                <w:color w:val="000000"/>
                <w:sz w:val="18"/>
                <w:szCs w:val="18"/>
              </w:rPr>
            </w:pPr>
            <w:r w:rsidRPr="00477D8F">
              <w:rPr>
                <w:rFonts w:ascii="Sylfaen" w:eastAsia="Times New Roman" w:hAnsi="Sylfaen" w:cs="Arial"/>
                <w:color w:val="000000"/>
                <w:sz w:val="18"/>
                <w:szCs w:val="18"/>
              </w:rPr>
              <w:t>Real GDP growth (%)</w:t>
            </w:r>
          </w:p>
        </w:tc>
        <w:tc>
          <w:tcPr>
            <w:tcW w:w="720" w:type="dxa"/>
            <w:shd w:val="clear" w:color="auto" w:fill="auto"/>
            <w:noWrap/>
            <w:hideMark/>
          </w:tcPr>
          <w:p w14:paraId="790957FE"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6.5</w:t>
            </w:r>
          </w:p>
        </w:tc>
        <w:tc>
          <w:tcPr>
            <w:tcW w:w="630" w:type="dxa"/>
            <w:shd w:val="clear" w:color="auto" w:fill="auto"/>
            <w:noWrap/>
            <w:hideMark/>
          </w:tcPr>
          <w:p w14:paraId="7681AEEB" w14:textId="7E0B65E1" w:rsidR="000B3367" w:rsidRPr="00477D8F" w:rsidRDefault="001A79A4"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w:t>
            </w:r>
            <w:r w:rsidR="000B3367" w:rsidRPr="00477D8F">
              <w:rPr>
                <w:rFonts w:ascii="Sylfaen" w:eastAsia="Times New Roman" w:hAnsi="Sylfaen" w:cs="Arial"/>
                <w:color w:val="000000"/>
                <w:sz w:val="18"/>
                <w:szCs w:val="18"/>
              </w:rPr>
              <w:t>4.3</w:t>
            </w:r>
          </w:p>
        </w:tc>
        <w:tc>
          <w:tcPr>
            <w:tcW w:w="630" w:type="dxa"/>
            <w:shd w:val="clear" w:color="auto" w:fill="auto"/>
            <w:noWrap/>
            <w:hideMark/>
          </w:tcPr>
          <w:p w14:paraId="6820731E"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5.9</w:t>
            </w:r>
          </w:p>
        </w:tc>
        <w:tc>
          <w:tcPr>
            <w:tcW w:w="810" w:type="dxa"/>
            <w:shd w:val="clear" w:color="auto" w:fill="auto"/>
            <w:noWrap/>
            <w:hideMark/>
          </w:tcPr>
          <w:p w14:paraId="3FED2894"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4.8</w:t>
            </w:r>
          </w:p>
        </w:tc>
        <w:tc>
          <w:tcPr>
            <w:tcW w:w="810" w:type="dxa"/>
            <w:shd w:val="clear" w:color="auto" w:fill="auto"/>
            <w:noWrap/>
            <w:hideMark/>
          </w:tcPr>
          <w:p w14:paraId="083A9813"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0.9</w:t>
            </w:r>
          </w:p>
        </w:tc>
        <w:tc>
          <w:tcPr>
            <w:tcW w:w="720" w:type="dxa"/>
            <w:shd w:val="clear" w:color="auto" w:fill="auto"/>
            <w:noWrap/>
            <w:hideMark/>
          </w:tcPr>
          <w:p w14:paraId="4AE8D05E"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4.3</w:t>
            </w:r>
          </w:p>
        </w:tc>
        <w:tc>
          <w:tcPr>
            <w:tcW w:w="900" w:type="dxa"/>
            <w:shd w:val="clear" w:color="auto" w:fill="auto"/>
            <w:noWrap/>
            <w:hideMark/>
          </w:tcPr>
          <w:p w14:paraId="608E7A37"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2.2</w:t>
            </w:r>
          </w:p>
        </w:tc>
        <w:tc>
          <w:tcPr>
            <w:tcW w:w="720" w:type="dxa"/>
            <w:shd w:val="clear" w:color="auto" w:fill="auto"/>
            <w:noWrap/>
            <w:hideMark/>
          </w:tcPr>
          <w:p w14:paraId="54F3888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3</w:t>
            </w:r>
          </w:p>
        </w:tc>
        <w:tc>
          <w:tcPr>
            <w:tcW w:w="720" w:type="dxa"/>
            <w:shd w:val="clear" w:color="auto" w:fill="auto"/>
            <w:noWrap/>
            <w:hideMark/>
          </w:tcPr>
          <w:p w14:paraId="1DC9F9F1"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3.5</w:t>
            </w:r>
          </w:p>
        </w:tc>
        <w:tc>
          <w:tcPr>
            <w:tcW w:w="720" w:type="dxa"/>
            <w:shd w:val="clear" w:color="auto" w:fill="auto"/>
            <w:noWrap/>
            <w:hideMark/>
          </w:tcPr>
          <w:p w14:paraId="688643ED"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w:t>
            </w:r>
          </w:p>
        </w:tc>
        <w:tc>
          <w:tcPr>
            <w:tcW w:w="715" w:type="dxa"/>
            <w:shd w:val="clear" w:color="auto" w:fill="auto"/>
            <w:noWrap/>
            <w:hideMark/>
          </w:tcPr>
          <w:p w14:paraId="01E8CFD7"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4.5</w:t>
            </w:r>
          </w:p>
        </w:tc>
      </w:tr>
      <w:tr w:rsidR="00E3504F" w:rsidRPr="00477D8F" w14:paraId="1C63D284" w14:textId="77777777" w:rsidTr="00305B32">
        <w:tc>
          <w:tcPr>
            <w:tcW w:w="1255" w:type="dxa"/>
            <w:shd w:val="clear" w:color="auto" w:fill="auto"/>
            <w:noWrap/>
            <w:hideMark/>
          </w:tcPr>
          <w:p w14:paraId="76EE4C0F" w14:textId="77777777" w:rsidR="000B3367" w:rsidRPr="00477D8F" w:rsidRDefault="000B3367" w:rsidP="002000E9">
            <w:pPr>
              <w:spacing w:after="0" w:line="200" w:lineRule="exact"/>
              <w:rPr>
                <w:rFonts w:ascii="Sylfaen" w:eastAsia="Times New Roman" w:hAnsi="Sylfaen" w:cs="Arial"/>
                <w:color w:val="000000"/>
                <w:sz w:val="18"/>
                <w:szCs w:val="18"/>
              </w:rPr>
            </w:pPr>
            <w:r w:rsidRPr="00477D8F">
              <w:rPr>
                <w:rFonts w:ascii="Sylfaen" w:eastAsia="Times New Roman" w:hAnsi="Sylfaen" w:cs="Arial"/>
                <w:color w:val="000000"/>
                <w:sz w:val="18"/>
                <w:szCs w:val="18"/>
              </w:rPr>
              <w:t>GDP per capita (US$)</w:t>
            </w:r>
          </w:p>
        </w:tc>
        <w:tc>
          <w:tcPr>
            <w:tcW w:w="720" w:type="dxa"/>
            <w:shd w:val="clear" w:color="auto" w:fill="auto"/>
            <w:noWrap/>
            <w:hideMark/>
          </w:tcPr>
          <w:p w14:paraId="2EE8D416"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563</w:t>
            </w:r>
          </w:p>
        </w:tc>
        <w:tc>
          <w:tcPr>
            <w:tcW w:w="630" w:type="dxa"/>
            <w:shd w:val="clear" w:color="auto" w:fill="auto"/>
            <w:noWrap/>
            <w:hideMark/>
          </w:tcPr>
          <w:p w14:paraId="351D148D"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517</w:t>
            </w:r>
          </w:p>
        </w:tc>
        <w:tc>
          <w:tcPr>
            <w:tcW w:w="630" w:type="dxa"/>
            <w:shd w:val="clear" w:color="auto" w:fill="auto"/>
            <w:noWrap/>
            <w:hideMark/>
          </w:tcPr>
          <w:p w14:paraId="37AA46C8"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505</w:t>
            </w:r>
          </w:p>
        </w:tc>
        <w:tc>
          <w:tcPr>
            <w:tcW w:w="810" w:type="dxa"/>
            <w:shd w:val="clear" w:color="auto" w:fill="auto"/>
            <w:noWrap/>
            <w:hideMark/>
          </w:tcPr>
          <w:p w14:paraId="1A6A2D2B"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484</w:t>
            </w:r>
          </w:p>
        </w:tc>
        <w:tc>
          <w:tcPr>
            <w:tcW w:w="810" w:type="dxa"/>
            <w:shd w:val="clear" w:color="auto" w:fill="auto"/>
            <w:noWrap/>
            <w:hideMark/>
          </w:tcPr>
          <w:p w14:paraId="76537B2C"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440</w:t>
            </w:r>
          </w:p>
        </w:tc>
        <w:tc>
          <w:tcPr>
            <w:tcW w:w="720" w:type="dxa"/>
            <w:shd w:val="clear" w:color="auto" w:fill="auto"/>
            <w:noWrap/>
            <w:hideMark/>
          </w:tcPr>
          <w:p w14:paraId="7BA93BCB"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472</w:t>
            </w:r>
          </w:p>
        </w:tc>
        <w:tc>
          <w:tcPr>
            <w:tcW w:w="900" w:type="dxa"/>
            <w:shd w:val="clear" w:color="auto" w:fill="auto"/>
            <w:noWrap/>
            <w:hideMark/>
          </w:tcPr>
          <w:p w14:paraId="2667E1D8"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469</w:t>
            </w:r>
          </w:p>
        </w:tc>
        <w:tc>
          <w:tcPr>
            <w:tcW w:w="720" w:type="dxa"/>
            <w:shd w:val="clear" w:color="auto" w:fill="auto"/>
            <w:noWrap/>
            <w:hideMark/>
          </w:tcPr>
          <w:p w14:paraId="7A4FE21F"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490</w:t>
            </w:r>
          </w:p>
        </w:tc>
        <w:tc>
          <w:tcPr>
            <w:tcW w:w="720" w:type="dxa"/>
            <w:shd w:val="clear" w:color="auto" w:fill="auto"/>
            <w:noWrap/>
            <w:hideMark/>
          </w:tcPr>
          <w:p w14:paraId="65A2CA7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503</w:t>
            </w:r>
          </w:p>
        </w:tc>
        <w:tc>
          <w:tcPr>
            <w:tcW w:w="720" w:type="dxa"/>
            <w:shd w:val="clear" w:color="auto" w:fill="auto"/>
            <w:noWrap/>
            <w:hideMark/>
          </w:tcPr>
          <w:p w14:paraId="313E970B"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517</w:t>
            </w:r>
          </w:p>
        </w:tc>
        <w:tc>
          <w:tcPr>
            <w:tcW w:w="715" w:type="dxa"/>
            <w:shd w:val="clear" w:color="auto" w:fill="auto"/>
            <w:noWrap/>
            <w:hideMark/>
          </w:tcPr>
          <w:p w14:paraId="493549F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529</w:t>
            </w:r>
          </w:p>
        </w:tc>
      </w:tr>
      <w:tr w:rsidR="00E3504F" w:rsidRPr="00477D8F" w14:paraId="5BC7EFA7" w14:textId="77777777" w:rsidTr="00305B32">
        <w:tc>
          <w:tcPr>
            <w:tcW w:w="1255" w:type="dxa"/>
            <w:shd w:val="clear" w:color="auto" w:fill="auto"/>
            <w:noWrap/>
            <w:hideMark/>
          </w:tcPr>
          <w:p w14:paraId="3C8FCB80" w14:textId="77777777" w:rsidR="000B3367" w:rsidRPr="00477D8F" w:rsidRDefault="000B3367" w:rsidP="002000E9">
            <w:pPr>
              <w:spacing w:after="0" w:line="200" w:lineRule="exact"/>
              <w:rPr>
                <w:rFonts w:ascii="Sylfaen" w:eastAsia="Times New Roman" w:hAnsi="Sylfaen" w:cs="Arial"/>
                <w:color w:val="000000"/>
                <w:sz w:val="18"/>
                <w:szCs w:val="18"/>
              </w:rPr>
            </w:pPr>
            <w:r w:rsidRPr="00477D8F">
              <w:rPr>
                <w:rFonts w:ascii="Sylfaen" w:eastAsia="Times New Roman" w:hAnsi="Sylfaen" w:cs="Arial"/>
                <w:color w:val="000000"/>
                <w:sz w:val="18"/>
                <w:szCs w:val="18"/>
              </w:rPr>
              <w:t>Revenue (millions of GMD)</w:t>
            </w:r>
          </w:p>
        </w:tc>
        <w:tc>
          <w:tcPr>
            <w:tcW w:w="720" w:type="dxa"/>
            <w:shd w:val="clear" w:color="auto" w:fill="auto"/>
            <w:noWrap/>
            <w:hideMark/>
          </w:tcPr>
          <w:p w14:paraId="737EB428"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5,026</w:t>
            </w:r>
          </w:p>
        </w:tc>
        <w:tc>
          <w:tcPr>
            <w:tcW w:w="630" w:type="dxa"/>
            <w:shd w:val="clear" w:color="auto" w:fill="auto"/>
            <w:noWrap/>
            <w:hideMark/>
          </w:tcPr>
          <w:p w14:paraId="5ED24762"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5,619</w:t>
            </w:r>
          </w:p>
        </w:tc>
        <w:tc>
          <w:tcPr>
            <w:tcW w:w="630" w:type="dxa"/>
            <w:shd w:val="clear" w:color="auto" w:fill="auto"/>
            <w:noWrap/>
            <w:hideMark/>
          </w:tcPr>
          <w:p w14:paraId="44096753"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7,397</w:t>
            </w:r>
          </w:p>
        </w:tc>
        <w:tc>
          <w:tcPr>
            <w:tcW w:w="810" w:type="dxa"/>
            <w:shd w:val="clear" w:color="auto" w:fill="auto"/>
            <w:noWrap/>
            <w:hideMark/>
          </w:tcPr>
          <w:p w14:paraId="37CDA422"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5,980</w:t>
            </w:r>
          </w:p>
        </w:tc>
        <w:tc>
          <w:tcPr>
            <w:tcW w:w="810" w:type="dxa"/>
            <w:shd w:val="clear" w:color="auto" w:fill="auto"/>
            <w:noWrap/>
            <w:hideMark/>
          </w:tcPr>
          <w:p w14:paraId="671E830B"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7,720</w:t>
            </w:r>
          </w:p>
        </w:tc>
        <w:tc>
          <w:tcPr>
            <w:tcW w:w="720" w:type="dxa"/>
            <w:shd w:val="clear" w:color="auto" w:fill="auto"/>
            <w:noWrap/>
            <w:hideMark/>
          </w:tcPr>
          <w:p w14:paraId="18961CE8"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8,333</w:t>
            </w:r>
          </w:p>
        </w:tc>
        <w:tc>
          <w:tcPr>
            <w:tcW w:w="900" w:type="dxa"/>
            <w:shd w:val="clear" w:color="auto" w:fill="auto"/>
            <w:noWrap/>
            <w:hideMark/>
          </w:tcPr>
          <w:p w14:paraId="51DFB6F0"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8,450</w:t>
            </w:r>
          </w:p>
        </w:tc>
        <w:tc>
          <w:tcPr>
            <w:tcW w:w="720" w:type="dxa"/>
            <w:shd w:val="clear" w:color="auto" w:fill="auto"/>
            <w:noWrap/>
            <w:hideMark/>
          </w:tcPr>
          <w:p w14:paraId="0E79FA0B"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10,800</w:t>
            </w:r>
          </w:p>
        </w:tc>
        <w:tc>
          <w:tcPr>
            <w:tcW w:w="720" w:type="dxa"/>
            <w:shd w:val="clear" w:color="auto" w:fill="auto"/>
            <w:noWrap/>
            <w:hideMark/>
          </w:tcPr>
          <w:p w14:paraId="787A3E33"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12,629</w:t>
            </w:r>
          </w:p>
        </w:tc>
        <w:tc>
          <w:tcPr>
            <w:tcW w:w="720" w:type="dxa"/>
            <w:shd w:val="clear" w:color="auto" w:fill="auto"/>
            <w:noWrap/>
            <w:hideMark/>
          </w:tcPr>
          <w:p w14:paraId="04B1324D"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13,869</w:t>
            </w:r>
          </w:p>
        </w:tc>
        <w:tc>
          <w:tcPr>
            <w:tcW w:w="715" w:type="dxa"/>
            <w:shd w:val="clear" w:color="auto" w:fill="auto"/>
            <w:noWrap/>
            <w:hideMark/>
          </w:tcPr>
          <w:p w14:paraId="1CE36C8C"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15,001</w:t>
            </w:r>
          </w:p>
        </w:tc>
      </w:tr>
      <w:tr w:rsidR="00E3504F" w:rsidRPr="00477D8F" w14:paraId="6890E0F9" w14:textId="77777777" w:rsidTr="00305B32">
        <w:tc>
          <w:tcPr>
            <w:tcW w:w="1255" w:type="dxa"/>
            <w:shd w:val="clear" w:color="auto" w:fill="auto"/>
            <w:noWrap/>
            <w:hideMark/>
          </w:tcPr>
          <w:p w14:paraId="2041CDBC" w14:textId="23714D72" w:rsidR="000B3367" w:rsidRPr="00477D8F" w:rsidRDefault="000B3367" w:rsidP="002000E9">
            <w:pPr>
              <w:spacing w:after="0" w:line="200" w:lineRule="exact"/>
              <w:rPr>
                <w:rFonts w:ascii="Sylfaen" w:eastAsia="Times New Roman" w:hAnsi="Sylfaen" w:cs="Arial"/>
                <w:color w:val="000000"/>
                <w:sz w:val="18"/>
                <w:szCs w:val="18"/>
              </w:rPr>
            </w:pPr>
            <w:r w:rsidRPr="00477D8F">
              <w:rPr>
                <w:rFonts w:ascii="Sylfaen" w:eastAsia="Times New Roman" w:hAnsi="Sylfaen" w:cs="Arial"/>
                <w:color w:val="000000"/>
                <w:sz w:val="18"/>
                <w:szCs w:val="18"/>
              </w:rPr>
              <w:t>Tax</w:t>
            </w:r>
          </w:p>
        </w:tc>
        <w:tc>
          <w:tcPr>
            <w:tcW w:w="720" w:type="dxa"/>
            <w:shd w:val="clear" w:color="auto" w:fill="auto"/>
            <w:noWrap/>
            <w:hideMark/>
          </w:tcPr>
          <w:p w14:paraId="177E66A3"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3,528</w:t>
            </w:r>
          </w:p>
        </w:tc>
        <w:tc>
          <w:tcPr>
            <w:tcW w:w="630" w:type="dxa"/>
            <w:shd w:val="clear" w:color="auto" w:fill="auto"/>
            <w:noWrap/>
            <w:hideMark/>
          </w:tcPr>
          <w:p w14:paraId="67343DAD"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3,780</w:t>
            </w:r>
          </w:p>
        </w:tc>
        <w:tc>
          <w:tcPr>
            <w:tcW w:w="630" w:type="dxa"/>
            <w:shd w:val="clear" w:color="auto" w:fill="auto"/>
            <w:noWrap/>
            <w:hideMark/>
          </w:tcPr>
          <w:p w14:paraId="5A2EF41B"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4,221</w:t>
            </w:r>
          </w:p>
        </w:tc>
        <w:tc>
          <w:tcPr>
            <w:tcW w:w="810" w:type="dxa"/>
            <w:shd w:val="clear" w:color="auto" w:fill="auto"/>
            <w:noWrap/>
            <w:hideMark/>
          </w:tcPr>
          <w:p w14:paraId="56579CF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4,590</w:t>
            </w:r>
          </w:p>
        </w:tc>
        <w:tc>
          <w:tcPr>
            <w:tcW w:w="810" w:type="dxa"/>
            <w:shd w:val="clear" w:color="auto" w:fill="auto"/>
            <w:noWrap/>
            <w:hideMark/>
          </w:tcPr>
          <w:p w14:paraId="7A2E159B"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5,529</w:t>
            </w:r>
          </w:p>
        </w:tc>
        <w:tc>
          <w:tcPr>
            <w:tcW w:w="720" w:type="dxa"/>
            <w:shd w:val="clear" w:color="auto" w:fill="auto"/>
            <w:noWrap/>
            <w:hideMark/>
          </w:tcPr>
          <w:p w14:paraId="54FFE600"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6,790</w:t>
            </w:r>
          </w:p>
        </w:tc>
        <w:tc>
          <w:tcPr>
            <w:tcW w:w="900" w:type="dxa"/>
            <w:shd w:val="clear" w:color="auto" w:fill="auto"/>
            <w:noWrap/>
            <w:hideMark/>
          </w:tcPr>
          <w:p w14:paraId="7827703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7,056</w:t>
            </w:r>
          </w:p>
        </w:tc>
        <w:tc>
          <w:tcPr>
            <w:tcW w:w="720" w:type="dxa"/>
            <w:shd w:val="clear" w:color="auto" w:fill="auto"/>
            <w:noWrap/>
            <w:hideMark/>
          </w:tcPr>
          <w:p w14:paraId="1C09664C"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7,169</w:t>
            </w:r>
          </w:p>
        </w:tc>
        <w:tc>
          <w:tcPr>
            <w:tcW w:w="720" w:type="dxa"/>
            <w:shd w:val="clear" w:color="auto" w:fill="auto"/>
            <w:noWrap/>
            <w:hideMark/>
          </w:tcPr>
          <w:p w14:paraId="2FA62396"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8,856</w:t>
            </w:r>
          </w:p>
        </w:tc>
        <w:tc>
          <w:tcPr>
            <w:tcW w:w="720" w:type="dxa"/>
            <w:shd w:val="clear" w:color="auto" w:fill="auto"/>
            <w:noWrap/>
            <w:hideMark/>
          </w:tcPr>
          <w:p w14:paraId="13B01141"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10,171</w:t>
            </w:r>
          </w:p>
        </w:tc>
        <w:tc>
          <w:tcPr>
            <w:tcW w:w="715" w:type="dxa"/>
            <w:shd w:val="clear" w:color="auto" w:fill="auto"/>
            <w:noWrap/>
            <w:hideMark/>
          </w:tcPr>
          <w:p w14:paraId="6492A355"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11,569</w:t>
            </w:r>
          </w:p>
        </w:tc>
      </w:tr>
      <w:tr w:rsidR="00E3504F" w:rsidRPr="00477D8F" w14:paraId="06226EA3" w14:textId="77777777" w:rsidTr="00305B32">
        <w:tc>
          <w:tcPr>
            <w:tcW w:w="1255" w:type="dxa"/>
            <w:shd w:val="clear" w:color="auto" w:fill="auto"/>
            <w:noWrap/>
            <w:hideMark/>
          </w:tcPr>
          <w:p w14:paraId="19139C48" w14:textId="4A0F4D50" w:rsidR="000B3367" w:rsidRPr="00477D8F" w:rsidRDefault="000B3367" w:rsidP="002000E9">
            <w:pPr>
              <w:spacing w:after="0" w:line="200" w:lineRule="exact"/>
              <w:rPr>
                <w:rFonts w:ascii="Sylfaen" w:eastAsia="Times New Roman" w:hAnsi="Sylfaen" w:cs="Arial"/>
                <w:color w:val="000000"/>
                <w:sz w:val="18"/>
                <w:szCs w:val="18"/>
              </w:rPr>
            </w:pPr>
            <w:r w:rsidRPr="00477D8F">
              <w:rPr>
                <w:rFonts w:ascii="Sylfaen" w:eastAsia="Times New Roman" w:hAnsi="Sylfaen" w:cs="Arial"/>
                <w:color w:val="000000"/>
                <w:sz w:val="18"/>
                <w:szCs w:val="18"/>
              </w:rPr>
              <w:t>Grants</w:t>
            </w:r>
          </w:p>
        </w:tc>
        <w:tc>
          <w:tcPr>
            <w:tcW w:w="720" w:type="dxa"/>
            <w:shd w:val="clear" w:color="auto" w:fill="auto"/>
            <w:noWrap/>
            <w:hideMark/>
          </w:tcPr>
          <w:p w14:paraId="205F383F"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1,065</w:t>
            </w:r>
          </w:p>
        </w:tc>
        <w:tc>
          <w:tcPr>
            <w:tcW w:w="630" w:type="dxa"/>
            <w:shd w:val="clear" w:color="auto" w:fill="auto"/>
            <w:noWrap/>
            <w:hideMark/>
          </w:tcPr>
          <w:p w14:paraId="7FFD844D"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1,355</w:t>
            </w:r>
          </w:p>
        </w:tc>
        <w:tc>
          <w:tcPr>
            <w:tcW w:w="630" w:type="dxa"/>
            <w:shd w:val="clear" w:color="auto" w:fill="auto"/>
            <w:noWrap/>
            <w:hideMark/>
          </w:tcPr>
          <w:p w14:paraId="3BC97FC0"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2,611</w:t>
            </w:r>
          </w:p>
        </w:tc>
        <w:tc>
          <w:tcPr>
            <w:tcW w:w="810" w:type="dxa"/>
            <w:shd w:val="clear" w:color="auto" w:fill="auto"/>
            <w:noWrap/>
            <w:hideMark/>
          </w:tcPr>
          <w:p w14:paraId="3C36B34E"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711</w:t>
            </w:r>
          </w:p>
        </w:tc>
        <w:tc>
          <w:tcPr>
            <w:tcW w:w="810" w:type="dxa"/>
            <w:shd w:val="clear" w:color="auto" w:fill="auto"/>
            <w:noWrap/>
            <w:hideMark/>
          </w:tcPr>
          <w:p w14:paraId="198986E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1,287</w:t>
            </w:r>
          </w:p>
        </w:tc>
        <w:tc>
          <w:tcPr>
            <w:tcW w:w="720" w:type="dxa"/>
            <w:shd w:val="clear" w:color="auto" w:fill="auto"/>
            <w:noWrap/>
            <w:hideMark/>
          </w:tcPr>
          <w:p w14:paraId="4C096EBD"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733</w:t>
            </w:r>
          </w:p>
        </w:tc>
        <w:tc>
          <w:tcPr>
            <w:tcW w:w="900" w:type="dxa"/>
            <w:shd w:val="clear" w:color="auto" w:fill="auto"/>
            <w:noWrap/>
            <w:hideMark/>
          </w:tcPr>
          <w:p w14:paraId="20EA1730"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718</w:t>
            </w:r>
          </w:p>
        </w:tc>
        <w:tc>
          <w:tcPr>
            <w:tcW w:w="720" w:type="dxa"/>
            <w:shd w:val="clear" w:color="auto" w:fill="auto"/>
            <w:noWrap/>
            <w:hideMark/>
          </w:tcPr>
          <w:p w14:paraId="4F884DB3"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3,066</w:t>
            </w:r>
          </w:p>
        </w:tc>
        <w:tc>
          <w:tcPr>
            <w:tcW w:w="720" w:type="dxa"/>
            <w:shd w:val="clear" w:color="auto" w:fill="auto"/>
            <w:noWrap/>
            <w:hideMark/>
          </w:tcPr>
          <w:p w14:paraId="3B19ADE2"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3,144</w:t>
            </w:r>
          </w:p>
        </w:tc>
        <w:tc>
          <w:tcPr>
            <w:tcW w:w="720" w:type="dxa"/>
            <w:shd w:val="clear" w:color="auto" w:fill="auto"/>
            <w:noWrap/>
            <w:hideMark/>
          </w:tcPr>
          <w:p w14:paraId="6330997B"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3,005</w:t>
            </w:r>
          </w:p>
        </w:tc>
        <w:tc>
          <w:tcPr>
            <w:tcW w:w="715" w:type="dxa"/>
            <w:shd w:val="clear" w:color="auto" w:fill="auto"/>
            <w:noWrap/>
            <w:hideMark/>
          </w:tcPr>
          <w:p w14:paraId="5A7CF07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2,733</w:t>
            </w:r>
          </w:p>
        </w:tc>
      </w:tr>
      <w:tr w:rsidR="00E3504F" w:rsidRPr="00477D8F" w14:paraId="74FFD262" w14:textId="77777777" w:rsidTr="00305B32">
        <w:tc>
          <w:tcPr>
            <w:tcW w:w="1255" w:type="dxa"/>
            <w:shd w:val="clear" w:color="auto" w:fill="auto"/>
            <w:noWrap/>
            <w:hideMark/>
          </w:tcPr>
          <w:p w14:paraId="71FB0F6B" w14:textId="2A818E89" w:rsidR="000B3367" w:rsidRPr="00477D8F" w:rsidRDefault="000B3367" w:rsidP="002000E9">
            <w:pPr>
              <w:spacing w:after="0" w:line="200" w:lineRule="exact"/>
              <w:rPr>
                <w:rFonts w:ascii="Sylfaen" w:eastAsia="Times New Roman" w:hAnsi="Sylfaen" w:cs="Arial"/>
                <w:color w:val="000000"/>
                <w:sz w:val="18"/>
                <w:szCs w:val="18"/>
              </w:rPr>
            </w:pPr>
            <w:r w:rsidRPr="00477D8F">
              <w:rPr>
                <w:rFonts w:ascii="Sylfaen" w:eastAsia="Times New Roman" w:hAnsi="Sylfaen" w:cs="Arial"/>
                <w:color w:val="000000"/>
                <w:sz w:val="18"/>
                <w:szCs w:val="18"/>
              </w:rPr>
              <w:t>Other revenues</w:t>
            </w:r>
          </w:p>
        </w:tc>
        <w:tc>
          <w:tcPr>
            <w:tcW w:w="720" w:type="dxa"/>
            <w:shd w:val="clear" w:color="auto" w:fill="auto"/>
            <w:noWrap/>
            <w:hideMark/>
          </w:tcPr>
          <w:p w14:paraId="478B8284"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433</w:t>
            </w:r>
          </w:p>
        </w:tc>
        <w:tc>
          <w:tcPr>
            <w:tcW w:w="630" w:type="dxa"/>
            <w:shd w:val="clear" w:color="auto" w:fill="auto"/>
            <w:noWrap/>
            <w:hideMark/>
          </w:tcPr>
          <w:p w14:paraId="4E1AEB87"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484</w:t>
            </w:r>
          </w:p>
        </w:tc>
        <w:tc>
          <w:tcPr>
            <w:tcW w:w="630" w:type="dxa"/>
            <w:shd w:val="clear" w:color="auto" w:fill="auto"/>
            <w:noWrap/>
            <w:hideMark/>
          </w:tcPr>
          <w:p w14:paraId="79CA7142"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565</w:t>
            </w:r>
          </w:p>
        </w:tc>
        <w:tc>
          <w:tcPr>
            <w:tcW w:w="810" w:type="dxa"/>
            <w:shd w:val="clear" w:color="auto" w:fill="auto"/>
            <w:noWrap/>
            <w:hideMark/>
          </w:tcPr>
          <w:p w14:paraId="6667DB4C"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679</w:t>
            </w:r>
          </w:p>
        </w:tc>
        <w:tc>
          <w:tcPr>
            <w:tcW w:w="810" w:type="dxa"/>
            <w:shd w:val="clear" w:color="auto" w:fill="auto"/>
            <w:noWrap/>
            <w:hideMark/>
          </w:tcPr>
          <w:p w14:paraId="3954E939"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904</w:t>
            </w:r>
          </w:p>
        </w:tc>
        <w:tc>
          <w:tcPr>
            <w:tcW w:w="720" w:type="dxa"/>
            <w:shd w:val="clear" w:color="auto" w:fill="auto"/>
            <w:noWrap/>
            <w:hideMark/>
          </w:tcPr>
          <w:p w14:paraId="0983F7CB"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810</w:t>
            </w:r>
          </w:p>
        </w:tc>
        <w:tc>
          <w:tcPr>
            <w:tcW w:w="900" w:type="dxa"/>
            <w:shd w:val="clear" w:color="auto" w:fill="auto"/>
            <w:noWrap/>
            <w:hideMark/>
          </w:tcPr>
          <w:p w14:paraId="26C5D02F"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676</w:t>
            </w:r>
          </w:p>
        </w:tc>
        <w:tc>
          <w:tcPr>
            <w:tcW w:w="720" w:type="dxa"/>
            <w:shd w:val="clear" w:color="auto" w:fill="auto"/>
            <w:noWrap/>
            <w:hideMark/>
          </w:tcPr>
          <w:p w14:paraId="0DD05FB6"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566</w:t>
            </w:r>
          </w:p>
        </w:tc>
        <w:tc>
          <w:tcPr>
            <w:tcW w:w="720" w:type="dxa"/>
            <w:shd w:val="clear" w:color="auto" w:fill="auto"/>
            <w:noWrap/>
            <w:hideMark/>
          </w:tcPr>
          <w:p w14:paraId="0DF48B48"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629</w:t>
            </w:r>
          </w:p>
        </w:tc>
        <w:tc>
          <w:tcPr>
            <w:tcW w:w="720" w:type="dxa"/>
            <w:shd w:val="clear" w:color="auto" w:fill="auto"/>
            <w:noWrap/>
            <w:hideMark/>
          </w:tcPr>
          <w:p w14:paraId="79900B8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693</w:t>
            </w:r>
          </w:p>
        </w:tc>
        <w:tc>
          <w:tcPr>
            <w:tcW w:w="715" w:type="dxa"/>
            <w:shd w:val="clear" w:color="auto" w:fill="auto"/>
            <w:noWrap/>
            <w:hideMark/>
          </w:tcPr>
          <w:p w14:paraId="2617AAC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699</w:t>
            </w:r>
          </w:p>
        </w:tc>
      </w:tr>
      <w:tr w:rsidR="00E3504F" w:rsidRPr="00477D8F" w14:paraId="56D51490" w14:textId="77777777" w:rsidTr="00305B32">
        <w:tc>
          <w:tcPr>
            <w:tcW w:w="1255" w:type="dxa"/>
            <w:shd w:val="clear" w:color="auto" w:fill="auto"/>
            <w:noWrap/>
            <w:hideMark/>
          </w:tcPr>
          <w:p w14:paraId="1536F2FD" w14:textId="77777777" w:rsidR="000B3367" w:rsidRPr="00477D8F" w:rsidRDefault="000B3367" w:rsidP="002000E9">
            <w:pPr>
              <w:spacing w:after="0" w:line="200" w:lineRule="exact"/>
              <w:rPr>
                <w:rFonts w:ascii="Sylfaen" w:eastAsia="Times New Roman" w:hAnsi="Sylfaen" w:cs="Arial"/>
                <w:color w:val="000000"/>
                <w:sz w:val="18"/>
                <w:szCs w:val="18"/>
              </w:rPr>
            </w:pPr>
            <w:r w:rsidRPr="00477D8F">
              <w:rPr>
                <w:rFonts w:ascii="Sylfaen" w:eastAsia="Times New Roman" w:hAnsi="Sylfaen" w:cs="Arial"/>
                <w:color w:val="000000"/>
                <w:sz w:val="18"/>
                <w:szCs w:val="18"/>
              </w:rPr>
              <w:t>Expenditures</w:t>
            </w:r>
          </w:p>
        </w:tc>
        <w:tc>
          <w:tcPr>
            <w:tcW w:w="720" w:type="dxa"/>
            <w:shd w:val="clear" w:color="auto" w:fill="auto"/>
            <w:noWrap/>
            <w:hideMark/>
          </w:tcPr>
          <w:p w14:paraId="78149146"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6,292</w:t>
            </w:r>
          </w:p>
        </w:tc>
        <w:tc>
          <w:tcPr>
            <w:tcW w:w="630" w:type="dxa"/>
            <w:shd w:val="clear" w:color="auto" w:fill="auto"/>
            <w:noWrap/>
            <w:hideMark/>
          </w:tcPr>
          <w:p w14:paraId="48162191"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6,871</w:t>
            </w:r>
          </w:p>
        </w:tc>
        <w:tc>
          <w:tcPr>
            <w:tcW w:w="630" w:type="dxa"/>
            <w:shd w:val="clear" w:color="auto" w:fill="auto"/>
            <w:noWrap/>
            <w:hideMark/>
          </w:tcPr>
          <w:p w14:paraId="14128A53"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8,675</w:t>
            </w:r>
          </w:p>
        </w:tc>
        <w:tc>
          <w:tcPr>
            <w:tcW w:w="810" w:type="dxa"/>
            <w:shd w:val="clear" w:color="auto" w:fill="auto"/>
            <w:noWrap/>
            <w:hideMark/>
          </w:tcPr>
          <w:p w14:paraId="2651530B"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8,760</w:t>
            </w:r>
          </w:p>
        </w:tc>
        <w:tc>
          <w:tcPr>
            <w:tcW w:w="810" w:type="dxa"/>
            <w:shd w:val="clear" w:color="auto" w:fill="auto"/>
            <w:noWrap/>
            <w:hideMark/>
          </w:tcPr>
          <w:p w14:paraId="18EB8C03"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11,128</w:t>
            </w:r>
          </w:p>
        </w:tc>
        <w:tc>
          <w:tcPr>
            <w:tcW w:w="720" w:type="dxa"/>
            <w:shd w:val="clear" w:color="auto" w:fill="auto"/>
            <w:noWrap/>
            <w:hideMark/>
          </w:tcPr>
          <w:p w14:paraId="1F671FB7"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11,459</w:t>
            </w:r>
          </w:p>
        </w:tc>
        <w:tc>
          <w:tcPr>
            <w:tcW w:w="900" w:type="dxa"/>
            <w:shd w:val="clear" w:color="auto" w:fill="auto"/>
            <w:noWrap/>
            <w:hideMark/>
          </w:tcPr>
          <w:p w14:paraId="5238740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12,591</w:t>
            </w:r>
          </w:p>
        </w:tc>
        <w:tc>
          <w:tcPr>
            <w:tcW w:w="720" w:type="dxa"/>
            <w:shd w:val="clear" w:color="auto" w:fill="auto"/>
            <w:noWrap/>
            <w:hideMark/>
          </w:tcPr>
          <w:p w14:paraId="5AC88530"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14,055</w:t>
            </w:r>
          </w:p>
        </w:tc>
        <w:tc>
          <w:tcPr>
            <w:tcW w:w="720" w:type="dxa"/>
            <w:shd w:val="clear" w:color="auto" w:fill="auto"/>
            <w:noWrap/>
            <w:hideMark/>
          </w:tcPr>
          <w:p w14:paraId="59AA6F4F"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14,778</w:t>
            </w:r>
          </w:p>
        </w:tc>
        <w:tc>
          <w:tcPr>
            <w:tcW w:w="720" w:type="dxa"/>
            <w:shd w:val="clear" w:color="auto" w:fill="auto"/>
            <w:noWrap/>
            <w:hideMark/>
          </w:tcPr>
          <w:p w14:paraId="7A7D009D"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14,967</w:t>
            </w:r>
          </w:p>
        </w:tc>
        <w:tc>
          <w:tcPr>
            <w:tcW w:w="715" w:type="dxa"/>
            <w:shd w:val="clear" w:color="auto" w:fill="auto"/>
            <w:noWrap/>
            <w:hideMark/>
          </w:tcPr>
          <w:p w14:paraId="288D7BD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16,145</w:t>
            </w:r>
          </w:p>
        </w:tc>
      </w:tr>
      <w:tr w:rsidR="00E3504F" w:rsidRPr="00477D8F" w14:paraId="0E5065D1" w14:textId="77777777" w:rsidTr="00305B32">
        <w:tc>
          <w:tcPr>
            <w:tcW w:w="1255" w:type="dxa"/>
            <w:shd w:val="clear" w:color="auto" w:fill="auto"/>
            <w:noWrap/>
            <w:hideMark/>
          </w:tcPr>
          <w:p w14:paraId="4782C542" w14:textId="77777777" w:rsidR="000B3367" w:rsidRPr="00477D8F" w:rsidRDefault="000B3367" w:rsidP="002000E9">
            <w:pPr>
              <w:spacing w:after="0" w:line="200" w:lineRule="exact"/>
              <w:rPr>
                <w:rFonts w:ascii="Sylfaen" w:eastAsia="Times New Roman" w:hAnsi="Sylfaen" w:cs="Arial"/>
                <w:color w:val="000000"/>
                <w:sz w:val="18"/>
                <w:szCs w:val="18"/>
              </w:rPr>
            </w:pPr>
            <w:r w:rsidRPr="00477D8F">
              <w:rPr>
                <w:rFonts w:ascii="Sylfaen" w:eastAsia="Times New Roman" w:hAnsi="Sylfaen" w:cs="Arial"/>
                <w:color w:val="000000"/>
                <w:sz w:val="18"/>
                <w:szCs w:val="18"/>
              </w:rPr>
              <w:t>Revenue as % of GDP</w:t>
            </w:r>
          </w:p>
        </w:tc>
        <w:tc>
          <w:tcPr>
            <w:tcW w:w="720" w:type="dxa"/>
            <w:shd w:val="clear" w:color="auto" w:fill="auto"/>
            <w:noWrap/>
            <w:hideMark/>
          </w:tcPr>
          <w:p w14:paraId="7ED652DC"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18.9</w:t>
            </w:r>
          </w:p>
        </w:tc>
        <w:tc>
          <w:tcPr>
            <w:tcW w:w="630" w:type="dxa"/>
            <w:shd w:val="clear" w:color="auto" w:fill="auto"/>
            <w:noWrap/>
            <w:hideMark/>
          </w:tcPr>
          <w:p w14:paraId="7F35B29C"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21.2</w:t>
            </w:r>
          </w:p>
        </w:tc>
        <w:tc>
          <w:tcPr>
            <w:tcW w:w="630" w:type="dxa"/>
            <w:shd w:val="clear" w:color="auto" w:fill="auto"/>
            <w:noWrap/>
            <w:hideMark/>
          </w:tcPr>
          <w:p w14:paraId="4A121211"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25.3</w:t>
            </w:r>
          </w:p>
        </w:tc>
        <w:tc>
          <w:tcPr>
            <w:tcW w:w="810" w:type="dxa"/>
            <w:shd w:val="clear" w:color="auto" w:fill="auto"/>
            <w:noWrap/>
            <w:hideMark/>
          </w:tcPr>
          <w:p w14:paraId="324BF8B5"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18.5</w:t>
            </w:r>
          </w:p>
        </w:tc>
        <w:tc>
          <w:tcPr>
            <w:tcW w:w="810" w:type="dxa"/>
            <w:shd w:val="clear" w:color="auto" w:fill="auto"/>
            <w:noWrap/>
            <w:hideMark/>
          </w:tcPr>
          <w:p w14:paraId="27910C20"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22.2</w:t>
            </w:r>
          </w:p>
        </w:tc>
        <w:tc>
          <w:tcPr>
            <w:tcW w:w="720" w:type="dxa"/>
            <w:shd w:val="clear" w:color="auto" w:fill="auto"/>
            <w:noWrap/>
            <w:hideMark/>
          </w:tcPr>
          <w:p w14:paraId="028AEF56"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21.6</w:t>
            </w:r>
          </w:p>
        </w:tc>
        <w:tc>
          <w:tcPr>
            <w:tcW w:w="900" w:type="dxa"/>
            <w:shd w:val="clear" w:color="auto" w:fill="auto"/>
            <w:noWrap/>
            <w:hideMark/>
          </w:tcPr>
          <w:p w14:paraId="270C6333"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20</w:t>
            </w:r>
          </w:p>
        </w:tc>
        <w:tc>
          <w:tcPr>
            <w:tcW w:w="720" w:type="dxa"/>
            <w:shd w:val="clear" w:color="auto" w:fill="auto"/>
            <w:noWrap/>
            <w:hideMark/>
          </w:tcPr>
          <w:p w14:paraId="214674C5"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22.9</w:t>
            </w:r>
          </w:p>
        </w:tc>
        <w:tc>
          <w:tcPr>
            <w:tcW w:w="720" w:type="dxa"/>
            <w:shd w:val="clear" w:color="auto" w:fill="auto"/>
            <w:noWrap/>
            <w:hideMark/>
          </w:tcPr>
          <w:p w14:paraId="26FA80DC"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24.1</w:t>
            </w:r>
          </w:p>
        </w:tc>
        <w:tc>
          <w:tcPr>
            <w:tcW w:w="720" w:type="dxa"/>
            <w:shd w:val="clear" w:color="auto" w:fill="auto"/>
            <w:noWrap/>
            <w:hideMark/>
          </w:tcPr>
          <w:p w14:paraId="732E42D9"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24</w:t>
            </w:r>
          </w:p>
        </w:tc>
        <w:tc>
          <w:tcPr>
            <w:tcW w:w="715" w:type="dxa"/>
            <w:shd w:val="clear" w:color="auto" w:fill="auto"/>
            <w:noWrap/>
            <w:hideMark/>
          </w:tcPr>
          <w:p w14:paraId="50C7713F"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23.6</w:t>
            </w:r>
          </w:p>
        </w:tc>
      </w:tr>
      <w:tr w:rsidR="00E3504F" w:rsidRPr="00477D8F" w14:paraId="00E9B0DA" w14:textId="77777777" w:rsidTr="00305B32">
        <w:tc>
          <w:tcPr>
            <w:tcW w:w="1255" w:type="dxa"/>
            <w:shd w:val="clear" w:color="auto" w:fill="auto"/>
            <w:noWrap/>
            <w:hideMark/>
          </w:tcPr>
          <w:p w14:paraId="3D5EB3EE" w14:textId="77777777" w:rsidR="000B3367" w:rsidRPr="00477D8F" w:rsidRDefault="000B3367" w:rsidP="002000E9">
            <w:pPr>
              <w:spacing w:after="0" w:line="200" w:lineRule="exact"/>
              <w:rPr>
                <w:rFonts w:ascii="Sylfaen" w:eastAsia="Times New Roman" w:hAnsi="Sylfaen" w:cs="Arial"/>
                <w:color w:val="000000"/>
                <w:sz w:val="18"/>
                <w:szCs w:val="18"/>
              </w:rPr>
            </w:pPr>
            <w:r w:rsidRPr="00477D8F">
              <w:rPr>
                <w:rFonts w:ascii="Sylfaen" w:eastAsia="Times New Roman" w:hAnsi="Sylfaen" w:cs="Arial"/>
                <w:color w:val="000000"/>
                <w:sz w:val="18"/>
                <w:szCs w:val="18"/>
              </w:rPr>
              <w:t>Total expenditure as % of GDP</w:t>
            </w:r>
          </w:p>
        </w:tc>
        <w:tc>
          <w:tcPr>
            <w:tcW w:w="720" w:type="dxa"/>
            <w:shd w:val="clear" w:color="auto" w:fill="auto"/>
            <w:noWrap/>
            <w:hideMark/>
          </w:tcPr>
          <w:p w14:paraId="7529835B"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23.6</w:t>
            </w:r>
          </w:p>
        </w:tc>
        <w:tc>
          <w:tcPr>
            <w:tcW w:w="630" w:type="dxa"/>
            <w:shd w:val="clear" w:color="auto" w:fill="auto"/>
            <w:noWrap/>
            <w:hideMark/>
          </w:tcPr>
          <w:p w14:paraId="54A1285A"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26</w:t>
            </w:r>
          </w:p>
        </w:tc>
        <w:tc>
          <w:tcPr>
            <w:tcW w:w="630" w:type="dxa"/>
            <w:shd w:val="clear" w:color="auto" w:fill="auto"/>
            <w:noWrap/>
            <w:hideMark/>
          </w:tcPr>
          <w:p w14:paraId="4595ECEC"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29.7</w:t>
            </w:r>
          </w:p>
        </w:tc>
        <w:tc>
          <w:tcPr>
            <w:tcW w:w="810" w:type="dxa"/>
            <w:shd w:val="clear" w:color="auto" w:fill="auto"/>
            <w:noWrap/>
            <w:hideMark/>
          </w:tcPr>
          <w:p w14:paraId="23AEE69D"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27.1</w:t>
            </w:r>
          </w:p>
        </w:tc>
        <w:tc>
          <w:tcPr>
            <w:tcW w:w="810" w:type="dxa"/>
            <w:shd w:val="clear" w:color="auto" w:fill="auto"/>
            <w:noWrap/>
            <w:hideMark/>
          </w:tcPr>
          <w:p w14:paraId="07D1D674"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32</w:t>
            </w:r>
          </w:p>
        </w:tc>
        <w:tc>
          <w:tcPr>
            <w:tcW w:w="720" w:type="dxa"/>
            <w:shd w:val="clear" w:color="auto" w:fill="auto"/>
            <w:noWrap/>
            <w:hideMark/>
          </w:tcPr>
          <w:p w14:paraId="181CC336"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29.7</w:t>
            </w:r>
          </w:p>
        </w:tc>
        <w:tc>
          <w:tcPr>
            <w:tcW w:w="900" w:type="dxa"/>
            <w:shd w:val="clear" w:color="auto" w:fill="auto"/>
            <w:noWrap/>
            <w:hideMark/>
          </w:tcPr>
          <w:p w14:paraId="2279A265"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29.8</w:t>
            </w:r>
          </w:p>
        </w:tc>
        <w:tc>
          <w:tcPr>
            <w:tcW w:w="720" w:type="dxa"/>
            <w:shd w:val="clear" w:color="auto" w:fill="auto"/>
            <w:noWrap/>
            <w:hideMark/>
          </w:tcPr>
          <w:p w14:paraId="2F57C3E0"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29.8</w:t>
            </w:r>
          </w:p>
        </w:tc>
        <w:tc>
          <w:tcPr>
            <w:tcW w:w="720" w:type="dxa"/>
            <w:shd w:val="clear" w:color="auto" w:fill="auto"/>
            <w:noWrap/>
            <w:hideMark/>
          </w:tcPr>
          <w:p w14:paraId="55023147"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28.2</w:t>
            </w:r>
          </w:p>
        </w:tc>
        <w:tc>
          <w:tcPr>
            <w:tcW w:w="720" w:type="dxa"/>
            <w:shd w:val="clear" w:color="auto" w:fill="auto"/>
            <w:noWrap/>
            <w:hideMark/>
          </w:tcPr>
          <w:p w14:paraId="502966E1"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25.9</w:t>
            </w:r>
          </w:p>
        </w:tc>
        <w:tc>
          <w:tcPr>
            <w:tcW w:w="715" w:type="dxa"/>
            <w:shd w:val="clear" w:color="auto" w:fill="auto"/>
            <w:noWrap/>
            <w:hideMark/>
          </w:tcPr>
          <w:p w14:paraId="5F5CA9C4" w14:textId="77777777" w:rsidR="000B3367" w:rsidRPr="00477D8F" w:rsidRDefault="000B3367" w:rsidP="002000E9">
            <w:pPr>
              <w:spacing w:after="0" w:line="200" w:lineRule="exact"/>
              <w:jc w:val="center"/>
              <w:rPr>
                <w:rFonts w:ascii="Sylfaen" w:eastAsia="Times New Roman" w:hAnsi="Sylfaen" w:cs="Arial"/>
                <w:color w:val="000000"/>
                <w:sz w:val="18"/>
                <w:szCs w:val="18"/>
              </w:rPr>
            </w:pPr>
            <w:r w:rsidRPr="00477D8F">
              <w:rPr>
                <w:rFonts w:ascii="Sylfaen" w:eastAsia="Times New Roman" w:hAnsi="Sylfaen" w:cs="Arial"/>
                <w:color w:val="000000"/>
                <w:sz w:val="18"/>
                <w:szCs w:val="18"/>
              </w:rPr>
              <w:t>25.4</w:t>
            </w:r>
          </w:p>
        </w:tc>
      </w:tr>
    </w:tbl>
    <w:p w14:paraId="3AF0AD92" w14:textId="427FF598" w:rsidR="000B3367" w:rsidRPr="00477D8F" w:rsidRDefault="000B3367" w:rsidP="008D0342">
      <w:pPr>
        <w:pStyle w:val="Source"/>
      </w:pPr>
      <w:r w:rsidRPr="00477D8F">
        <w:rPr>
          <w:i/>
        </w:rPr>
        <w:lastRenderedPageBreak/>
        <w:t xml:space="preserve">Source: </w:t>
      </w:r>
      <w:r w:rsidRPr="00477D8F">
        <w:t>The Gambia authorities</w:t>
      </w:r>
      <w:r w:rsidR="007A1E82" w:rsidRPr="00477D8F">
        <w:t>,</w:t>
      </w:r>
      <w:r w:rsidRPr="00477D8F">
        <w:t xml:space="preserve"> </w:t>
      </w:r>
      <w:r w:rsidR="002A7F47" w:rsidRPr="00477D8F">
        <w:rPr>
          <w:bCs/>
        </w:rPr>
        <w:t>International Monetary Fund</w:t>
      </w:r>
      <w:r w:rsidR="002A7F47" w:rsidRPr="00477D8F">
        <w:t xml:space="preserve"> (</w:t>
      </w:r>
      <w:r w:rsidRPr="00477D8F">
        <w:t>IMF</w:t>
      </w:r>
      <w:r w:rsidR="002A7F47" w:rsidRPr="00477D8F">
        <w:t>)</w:t>
      </w:r>
      <w:r w:rsidR="007A1E82" w:rsidRPr="00477D8F">
        <w:t>,</w:t>
      </w:r>
      <w:r w:rsidRPr="00477D8F">
        <w:t xml:space="preserve"> and World Bank estimates and projections. April 2017</w:t>
      </w:r>
      <w:r w:rsidR="009529A6" w:rsidRPr="00477D8F">
        <w:t>.</w:t>
      </w:r>
    </w:p>
    <w:p w14:paraId="169803E3" w14:textId="29597E34" w:rsidR="005A79E3" w:rsidRPr="00477D8F" w:rsidRDefault="00E200B6" w:rsidP="00B565A5">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 xml:space="preserve">The economic growth in The Gambia experienced several shocks as compared to the average SSA countries and </w:t>
      </w:r>
      <w:r w:rsidR="00DE3A45" w:rsidRPr="00477D8F">
        <w:rPr>
          <w:rFonts w:ascii="Sylfaen" w:hAnsi="Sylfaen"/>
          <w:b/>
        </w:rPr>
        <w:t xml:space="preserve">it </w:t>
      </w:r>
      <w:r w:rsidRPr="00477D8F">
        <w:rPr>
          <w:rFonts w:ascii="Sylfaen" w:hAnsi="Sylfaen"/>
          <w:b/>
        </w:rPr>
        <w:t>tends to be more volatile.</w:t>
      </w:r>
      <w:r w:rsidRPr="00477D8F">
        <w:rPr>
          <w:rFonts w:ascii="Sylfaen" w:hAnsi="Sylfaen"/>
        </w:rPr>
        <w:t xml:space="preserve"> The Gambia’s real GDP growth faced two recessions after 2010</w:t>
      </w:r>
      <w:r w:rsidR="008B446B" w:rsidRPr="00477D8F">
        <w:rPr>
          <w:rFonts w:ascii="Sylfaen" w:hAnsi="Sylfaen"/>
        </w:rPr>
        <w:t>,</w:t>
      </w:r>
      <w:r w:rsidRPr="00477D8F">
        <w:rPr>
          <w:rFonts w:ascii="Sylfaen" w:hAnsi="Sylfaen"/>
        </w:rPr>
        <w:t xml:space="preserve"> which correspond to the crop failure in 2011 and the Ebola </w:t>
      </w:r>
      <w:r w:rsidR="00001DE4" w:rsidRPr="00477D8F">
        <w:rPr>
          <w:rFonts w:ascii="Sylfaen" w:hAnsi="Sylfaen"/>
        </w:rPr>
        <w:t xml:space="preserve">outbreak and another crop failure </w:t>
      </w:r>
      <w:r w:rsidRPr="00477D8F">
        <w:rPr>
          <w:rFonts w:ascii="Sylfaen" w:hAnsi="Sylfaen"/>
        </w:rPr>
        <w:t xml:space="preserve">in 2014, as stated </w:t>
      </w:r>
      <w:r w:rsidR="000D0CC4" w:rsidRPr="00477D8F">
        <w:rPr>
          <w:rFonts w:ascii="Sylfaen" w:hAnsi="Sylfaen"/>
        </w:rPr>
        <w:t>earlier</w:t>
      </w:r>
      <w:r w:rsidRPr="00477D8F">
        <w:rPr>
          <w:rFonts w:ascii="Sylfaen" w:hAnsi="Sylfaen"/>
        </w:rPr>
        <w:t>. During the same period, the SSA’s growth rate remained nearly stable.</w:t>
      </w:r>
      <w:r w:rsidR="00272695" w:rsidRPr="00477D8F">
        <w:rPr>
          <w:rFonts w:ascii="Sylfaen" w:hAnsi="Sylfaen"/>
        </w:rPr>
        <w:t xml:space="preserve"> </w:t>
      </w:r>
      <w:r w:rsidRPr="00477D8F">
        <w:rPr>
          <w:rFonts w:ascii="Sylfaen" w:hAnsi="Sylfaen"/>
        </w:rPr>
        <w:t>However, despite some improvement in economic growth (with some fluctuation in the economic growth due to high population growth), the GDP per capita</w:t>
      </w:r>
      <w:r w:rsidR="00001DE4" w:rsidRPr="00477D8F">
        <w:rPr>
          <w:rFonts w:ascii="Sylfaen" w:hAnsi="Sylfaen"/>
        </w:rPr>
        <w:t xml:space="preserve"> in The Gambia deteriorated until 2015 and </w:t>
      </w:r>
      <w:r w:rsidR="00593C3D" w:rsidRPr="00477D8F">
        <w:rPr>
          <w:rFonts w:ascii="Sylfaen" w:hAnsi="Sylfaen"/>
        </w:rPr>
        <w:t xml:space="preserve">was </w:t>
      </w:r>
      <w:r w:rsidR="00001DE4" w:rsidRPr="00477D8F">
        <w:rPr>
          <w:rFonts w:ascii="Sylfaen" w:hAnsi="Sylfaen"/>
        </w:rPr>
        <w:t>projected to increase thereafter (</w:t>
      </w:r>
      <w:r w:rsidRPr="00477D8F">
        <w:rPr>
          <w:rFonts w:ascii="Sylfaen" w:hAnsi="Sylfaen"/>
        </w:rPr>
        <w:fldChar w:fldCharType="begin"/>
      </w:r>
      <w:r w:rsidRPr="00477D8F">
        <w:rPr>
          <w:rFonts w:ascii="Sylfaen" w:hAnsi="Sylfaen"/>
        </w:rPr>
        <w:instrText xml:space="preserve"> REF _Ref483251614 \h  \* MERGEFORMAT </w:instrText>
      </w:r>
      <w:r w:rsidRPr="00477D8F">
        <w:rPr>
          <w:rFonts w:ascii="Sylfaen" w:hAnsi="Sylfaen"/>
        </w:rPr>
      </w:r>
      <w:r w:rsidRPr="00477D8F">
        <w:rPr>
          <w:rFonts w:ascii="Sylfaen" w:hAnsi="Sylfaen"/>
        </w:rPr>
        <w:fldChar w:fldCharType="separate"/>
      </w:r>
      <w:r w:rsidR="00F800F3" w:rsidRPr="00477D8F">
        <w:rPr>
          <w:rFonts w:ascii="Sylfaen" w:hAnsi="Sylfaen"/>
        </w:rPr>
        <w:t>Figure 1</w:t>
      </w:r>
      <w:r w:rsidRPr="00477D8F">
        <w:rPr>
          <w:rFonts w:ascii="Sylfaen" w:hAnsi="Sylfaen"/>
        </w:rPr>
        <w:fldChar w:fldCharType="end"/>
      </w:r>
      <w:r w:rsidRPr="00477D8F">
        <w:rPr>
          <w:rFonts w:ascii="Sylfaen" w:hAnsi="Sylfaen"/>
        </w:rPr>
        <w:t>).</w:t>
      </w:r>
    </w:p>
    <w:tbl>
      <w:tblPr>
        <w:tblStyle w:val="TableGrid14"/>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159F8" w:rsidRPr="00477D8F" w14:paraId="1F941D56" w14:textId="77777777" w:rsidTr="003D786A">
        <w:trPr>
          <w:trHeight w:val="10"/>
          <w:jc w:val="center"/>
        </w:trPr>
        <w:tc>
          <w:tcPr>
            <w:tcW w:w="9350" w:type="dxa"/>
            <w:hideMark/>
          </w:tcPr>
          <w:p w14:paraId="60D9D382" w14:textId="6E7F7529" w:rsidR="006159F8" w:rsidRPr="00477D8F" w:rsidRDefault="006159F8" w:rsidP="003D786A">
            <w:pPr>
              <w:pStyle w:val="Caption1"/>
              <w:rPr>
                <w:rFonts w:eastAsia="Times New Roman"/>
                <w:color w:val="000000"/>
              </w:rPr>
            </w:pPr>
            <w:bookmarkStart w:id="27" w:name="_Ref483251614"/>
            <w:bookmarkStart w:id="28" w:name="_Toc483335897"/>
            <w:bookmarkStart w:id="29" w:name="_Toc416121781"/>
            <w:bookmarkStart w:id="30" w:name="_Toc497171771"/>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1</w:t>
            </w:r>
            <w:r w:rsidR="002E5BDF" w:rsidRPr="00477D8F">
              <w:rPr>
                <w:noProof/>
              </w:rPr>
              <w:fldChar w:fldCharType="end"/>
            </w:r>
            <w:bookmarkEnd w:id="27"/>
            <w:r w:rsidRPr="00477D8F">
              <w:t xml:space="preserve">: </w:t>
            </w:r>
            <w:r w:rsidR="00E200B6" w:rsidRPr="00477D8F">
              <w:t>Trends</w:t>
            </w:r>
            <w:r w:rsidRPr="00477D8F">
              <w:t xml:space="preserve"> of GDP per capita and real GDP growth, The Gambia and SSA average</w:t>
            </w:r>
            <w:bookmarkEnd w:id="28"/>
            <w:bookmarkEnd w:id="30"/>
          </w:p>
        </w:tc>
      </w:tr>
      <w:tr w:rsidR="006159F8" w:rsidRPr="00477D8F" w14:paraId="09ECAAAE" w14:textId="77777777" w:rsidTr="003D786A">
        <w:trPr>
          <w:trHeight w:val="231"/>
          <w:jc w:val="center"/>
        </w:trPr>
        <w:tc>
          <w:tcPr>
            <w:tcW w:w="9350" w:type="dxa"/>
            <w:hideMark/>
          </w:tcPr>
          <w:p w14:paraId="1036306E" w14:textId="77777777" w:rsidR="006159F8" w:rsidRPr="00477D8F" w:rsidRDefault="005C4D59" w:rsidP="003D786A">
            <w:pPr>
              <w:jc w:val="both"/>
              <w:rPr>
                <w:rFonts w:ascii="Sylfaen" w:hAnsi="Sylfaen"/>
                <w:bCs/>
              </w:rPr>
            </w:pPr>
            <w:r w:rsidRPr="00477D8F">
              <w:rPr>
                <w:rFonts w:ascii="Sylfaen" w:hAnsi="Sylfaen"/>
                <w:noProof/>
              </w:rPr>
              <w:drawing>
                <wp:inline distT="0" distB="0" distL="0" distR="0" wp14:anchorId="4DDAF015" wp14:editId="518CE3DC">
                  <wp:extent cx="5756910" cy="3167481"/>
                  <wp:effectExtent l="0" t="0" r="15240" b="1397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6159F8" w:rsidRPr="00477D8F" w14:paraId="1425776A" w14:textId="77777777" w:rsidTr="003D786A">
        <w:trPr>
          <w:trHeight w:val="296"/>
          <w:jc w:val="center"/>
        </w:trPr>
        <w:tc>
          <w:tcPr>
            <w:tcW w:w="9350" w:type="dxa"/>
            <w:hideMark/>
          </w:tcPr>
          <w:p w14:paraId="575C89F6" w14:textId="61F90FFF" w:rsidR="006159F8" w:rsidRPr="00477D8F" w:rsidRDefault="006159F8" w:rsidP="003D786A">
            <w:pPr>
              <w:pStyle w:val="Source"/>
            </w:pPr>
            <w:r w:rsidRPr="00477D8F">
              <w:rPr>
                <w:i/>
              </w:rPr>
              <w:t>Source:</w:t>
            </w:r>
            <w:r w:rsidR="004732F8" w:rsidRPr="00477D8F">
              <w:t xml:space="preserve"> </w:t>
            </w:r>
            <w:r w:rsidR="005362C1" w:rsidRPr="00477D8F">
              <w:t>World Development Indicator</w:t>
            </w:r>
            <w:r w:rsidR="00D24CFA" w:rsidRPr="00477D8F">
              <w:t>s</w:t>
            </w:r>
            <w:r w:rsidR="005362C1" w:rsidRPr="00477D8F">
              <w:t xml:space="preserve"> (</w:t>
            </w:r>
            <w:r w:rsidRPr="00477D8F">
              <w:t>WDI</w:t>
            </w:r>
            <w:r w:rsidR="005362C1" w:rsidRPr="00477D8F">
              <w:t>)</w:t>
            </w:r>
            <w:r w:rsidR="008D0342" w:rsidRPr="00477D8F">
              <w:t>.</w:t>
            </w:r>
          </w:p>
        </w:tc>
      </w:tr>
    </w:tbl>
    <w:p w14:paraId="76E6BA7B" w14:textId="77777777" w:rsidR="006159F8" w:rsidRPr="00477D8F" w:rsidRDefault="006159F8" w:rsidP="00ED0E68">
      <w:pPr>
        <w:pStyle w:val="Heading2"/>
        <w:rPr>
          <w:b/>
        </w:rPr>
      </w:pPr>
      <w:bookmarkStart w:id="31" w:name="_Toc483335786"/>
      <w:bookmarkStart w:id="32" w:name="_Toc497171851"/>
      <w:r w:rsidRPr="00477D8F">
        <w:t>Demographic context</w:t>
      </w:r>
      <w:bookmarkEnd w:id="31"/>
      <w:bookmarkEnd w:id="32"/>
    </w:p>
    <w:p w14:paraId="26C82671" w14:textId="7FD6FACF" w:rsidR="00272695" w:rsidRPr="00477D8F" w:rsidRDefault="00E532E4" w:rsidP="00B565A5">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The Gambia is one of the smallest countries in Africa</w:t>
      </w:r>
      <w:r w:rsidR="00593C3D" w:rsidRPr="00477D8F">
        <w:rPr>
          <w:rFonts w:ascii="Sylfaen" w:hAnsi="Sylfaen"/>
          <w:b/>
        </w:rPr>
        <w:t>,</w:t>
      </w:r>
      <w:r w:rsidRPr="00477D8F">
        <w:rPr>
          <w:rFonts w:ascii="Sylfaen" w:hAnsi="Sylfaen"/>
          <w:b/>
        </w:rPr>
        <w:t xml:space="preserve"> with an estimated population of 1.9 million,</w:t>
      </w:r>
      <w:r w:rsidR="00E279C4" w:rsidRPr="00477D8F">
        <w:rPr>
          <w:rFonts w:ascii="Sylfaen" w:hAnsi="Sylfaen"/>
          <w:b/>
        </w:rPr>
        <w:t xml:space="preserve"> an average annual growth rate of</w:t>
      </w:r>
      <w:r w:rsidRPr="00477D8F">
        <w:rPr>
          <w:rFonts w:ascii="Sylfaen" w:hAnsi="Sylfaen"/>
          <w:b/>
        </w:rPr>
        <w:t xml:space="preserve"> 3.2 percent</w:t>
      </w:r>
      <w:r w:rsidR="000D0CC4" w:rsidRPr="00477D8F">
        <w:rPr>
          <w:rFonts w:ascii="Sylfaen" w:hAnsi="Sylfaen"/>
          <w:b/>
        </w:rPr>
        <w:t>,</w:t>
      </w:r>
      <w:r w:rsidRPr="00477D8F">
        <w:rPr>
          <w:rStyle w:val="FootnoteReference"/>
          <w:rFonts w:ascii="Sylfaen" w:hAnsi="Sylfaen"/>
          <w:b/>
        </w:rPr>
        <w:footnoteReference w:id="11"/>
      </w:r>
      <w:r w:rsidRPr="00477D8F">
        <w:rPr>
          <w:rFonts w:ascii="Sylfaen" w:hAnsi="Sylfaen"/>
          <w:b/>
        </w:rPr>
        <w:t xml:space="preserve"> an</w:t>
      </w:r>
      <w:r w:rsidR="00E279C4" w:rsidRPr="00477D8F">
        <w:rPr>
          <w:rFonts w:ascii="Sylfaen" w:hAnsi="Sylfaen"/>
          <w:b/>
        </w:rPr>
        <w:t>d a large proportion of youth</w:t>
      </w:r>
      <w:r w:rsidR="000D0CC4" w:rsidRPr="00477D8F">
        <w:rPr>
          <w:rFonts w:ascii="Sylfaen" w:hAnsi="Sylfaen"/>
          <w:b/>
        </w:rPr>
        <w:t>—</w:t>
      </w:r>
      <w:r w:rsidR="00E279C4" w:rsidRPr="00477D8F">
        <w:rPr>
          <w:rFonts w:ascii="Sylfaen" w:hAnsi="Sylfaen"/>
          <w:b/>
        </w:rPr>
        <w:t xml:space="preserve">with </w:t>
      </w:r>
      <w:r w:rsidRPr="00477D8F">
        <w:rPr>
          <w:rFonts w:ascii="Sylfaen" w:hAnsi="Sylfaen"/>
          <w:b/>
        </w:rPr>
        <w:t>thos</w:t>
      </w:r>
      <w:r w:rsidR="00E279C4" w:rsidRPr="00477D8F">
        <w:rPr>
          <w:rFonts w:ascii="Sylfaen" w:hAnsi="Sylfaen"/>
          <w:b/>
        </w:rPr>
        <w:t>e under the age of 25 constituting</w:t>
      </w:r>
      <w:r w:rsidRPr="00477D8F">
        <w:rPr>
          <w:rFonts w:ascii="Sylfaen" w:hAnsi="Sylfaen"/>
          <w:b/>
        </w:rPr>
        <w:t xml:space="preserve"> about 65 percent of the total population (</w:t>
      </w:r>
      <w:r w:rsidRPr="00477D8F">
        <w:rPr>
          <w:rFonts w:ascii="Sylfaen" w:hAnsi="Sylfaen"/>
          <w:b/>
        </w:rPr>
        <w:fldChar w:fldCharType="begin"/>
      </w:r>
      <w:r w:rsidRPr="00477D8F">
        <w:rPr>
          <w:rFonts w:ascii="Sylfaen" w:hAnsi="Sylfaen"/>
          <w:b/>
        </w:rPr>
        <w:instrText xml:space="preserve"> REF _Ref483056331 \h  \* MERGEFORMAT </w:instrText>
      </w:r>
      <w:r w:rsidRPr="00477D8F">
        <w:rPr>
          <w:rFonts w:ascii="Sylfaen" w:hAnsi="Sylfaen"/>
          <w:b/>
        </w:rPr>
      </w:r>
      <w:r w:rsidRPr="00477D8F">
        <w:rPr>
          <w:rFonts w:ascii="Sylfaen" w:hAnsi="Sylfaen"/>
          <w:b/>
        </w:rPr>
        <w:fldChar w:fldCharType="separate"/>
      </w:r>
      <w:r w:rsidR="00F800F3" w:rsidRPr="00477D8F">
        <w:rPr>
          <w:rFonts w:ascii="Sylfaen" w:hAnsi="Sylfaen"/>
          <w:b/>
        </w:rPr>
        <w:t>Figure 2</w:t>
      </w:r>
      <w:r w:rsidRPr="00477D8F">
        <w:rPr>
          <w:rFonts w:ascii="Sylfaen" w:hAnsi="Sylfaen"/>
          <w:b/>
        </w:rPr>
        <w:fldChar w:fldCharType="end"/>
      </w:r>
      <w:r w:rsidRPr="00477D8F">
        <w:rPr>
          <w:rFonts w:ascii="Sylfaen" w:hAnsi="Sylfaen"/>
          <w:b/>
        </w:rPr>
        <w:t>).</w:t>
      </w:r>
      <w:r w:rsidRPr="00477D8F">
        <w:rPr>
          <w:rFonts w:ascii="Sylfaen" w:hAnsi="Sylfaen"/>
        </w:rPr>
        <w:t xml:space="preserve"> </w:t>
      </w:r>
      <w:r w:rsidR="00E279C4" w:rsidRPr="00477D8F">
        <w:rPr>
          <w:rFonts w:ascii="Sylfaen" w:hAnsi="Sylfaen"/>
        </w:rPr>
        <w:t>As a result</w:t>
      </w:r>
      <w:r w:rsidRPr="00477D8F">
        <w:rPr>
          <w:rFonts w:ascii="Sylfaen" w:hAnsi="Sylfaen"/>
        </w:rPr>
        <w:t>, the country has a relatively large school</w:t>
      </w:r>
      <w:r w:rsidR="000D0CC4" w:rsidRPr="00477D8F">
        <w:rPr>
          <w:rFonts w:ascii="Sylfaen" w:hAnsi="Sylfaen"/>
        </w:rPr>
        <w:t>-</w:t>
      </w:r>
      <w:r w:rsidRPr="00477D8F">
        <w:rPr>
          <w:rFonts w:ascii="Sylfaen" w:hAnsi="Sylfaen"/>
        </w:rPr>
        <w:t>age cohort, with an estimated 588,000 school</w:t>
      </w:r>
      <w:r w:rsidR="000D0CC4" w:rsidRPr="00477D8F">
        <w:rPr>
          <w:rFonts w:ascii="Sylfaen" w:hAnsi="Sylfaen"/>
        </w:rPr>
        <w:t>-</w:t>
      </w:r>
      <w:r w:rsidRPr="00477D8F">
        <w:rPr>
          <w:rFonts w:ascii="Sylfaen" w:hAnsi="Sylfaen"/>
        </w:rPr>
        <w:t>age children (7</w:t>
      </w:r>
      <w:r w:rsidR="000D0CC4" w:rsidRPr="00477D8F">
        <w:rPr>
          <w:rFonts w:ascii="Sylfaen" w:hAnsi="Sylfaen"/>
        </w:rPr>
        <w:t>–</w:t>
      </w:r>
      <w:r w:rsidRPr="00477D8F">
        <w:rPr>
          <w:rFonts w:ascii="Sylfaen" w:hAnsi="Sylfaen"/>
        </w:rPr>
        <w:t>18 years) in 2015, which is expected to increase to 831,000 by 2020. Among the school</w:t>
      </w:r>
      <w:r w:rsidR="000D0CC4" w:rsidRPr="00477D8F">
        <w:rPr>
          <w:rFonts w:ascii="Sylfaen" w:hAnsi="Sylfaen"/>
        </w:rPr>
        <w:t>-</w:t>
      </w:r>
      <w:r w:rsidRPr="00477D8F">
        <w:rPr>
          <w:rFonts w:ascii="Sylfaen" w:hAnsi="Sylfaen"/>
        </w:rPr>
        <w:t>age cohort</w:t>
      </w:r>
      <w:r w:rsidR="000D0CC4" w:rsidRPr="00477D8F">
        <w:rPr>
          <w:rFonts w:ascii="Sylfaen" w:hAnsi="Sylfaen"/>
        </w:rPr>
        <w:t>,</w:t>
      </w:r>
      <w:r w:rsidRPr="00477D8F">
        <w:rPr>
          <w:rFonts w:ascii="Sylfaen" w:hAnsi="Sylfaen"/>
        </w:rPr>
        <w:t xml:space="preserve"> 50.2 percent are female. The lower basic education </w:t>
      </w:r>
      <w:r w:rsidR="007C0E54" w:rsidRPr="00477D8F">
        <w:rPr>
          <w:rFonts w:ascii="Sylfaen" w:hAnsi="Sylfaen"/>
        </w:rPr>
        <w:t>(</w:t>
      </w:r>
      <w:r w:rsidR="007C0E54" w:rsidRPr="00477D8F">
        <w:rPr>
          <w:rFonts w:ascii="Sylfaen" w:eastAsia="Times New Roman" w:hAnsi="Sylfaen" w:cs="Times New Roman"/>
          <w:color w:val="000000"/>
        </w:rPr>
        <w:t>LBE)</w:t>
      </w:r>
      <w:r w:rsidR="000D0CC4" w:rsidRPr="00477D8F">
        <w:rPr>
          <w:rFonts w:ascii="Sylfaen" w:hAnsi="Sylfaen"/>
        </w:rPr>
        <w:t>-</w:t>
      </w:r>
      <w:r w:rsidRPr="00477D8F">
        <w:rPr>
          <w:rFonts w:ascii="Sylfaen" w:hAnsi="Sylfaen"/>
        </w:rPr>
        <w:t>age cohort, ages 7</w:t>
      </w:r>
      <w:r w:rsidR="00BB33AF" w:rsidRPr="00477D8F">
        <w:rPr>
          <w:rFonts w:ascii="Sylfaen" w:hAnsi="Sylfaen"/>
        </w:rPr>
        <w:t>–</w:t>
      </w:r>
      <w:r w:rsidRPr="00477D8F">
        <w:rPr>
          <w:rFonts w:ascii="Sylfaen" w:hAnsi="Sylfaen"/>
        </w:rPr>
        <w:t>12, represents the largest subgroup and 2020 projections indicate that this will remain unchanged (</w:t>
      </w:r>
      <w:r w:rsidRPr="00477D8F">
        <w:rPr>
          <w:rFonts w:ascii="Sylfaen" w:hAnsi="Sylfaen"/>
        </w:rPr>
        <w:fldChar w:fldCharType="begin"/>
      </w:r>
      <w:r w:rsidRPr="00477D8F">
        <w:rPr>
          <w:rFonts w:ascii="Sylfaen" w:hAnsi="Sylfaen"/>
        </w:rPr>
        <w:instrText xml:space="preserve"> REF _Ref483056331 \h </w:instrText>
      </w:r>
      <w:r w:rsidR="00212BE2" w:rsidRPr="00477D8F">
        <w:rPr>
          <w:rFonts w:ascii="Sylfaen" w:hAnsi="Sylfaen"/>
        </w:rPr>
        <w:instrText xml:space="preserve"> \* MERGEFORMAT </w:instrText>
      </w:r>
      <w:r w:rsidRPr="00477D8F">
        <w:rPr>
          <w:rFonts w:ascii="Sylfaen" w:hAnsi="Sylfaen"/>
        </w:rPr>
      </w:r>
      <w:r w:rsidRPr="00477D8F">
        <w:rPr>
          <w:rFonts w:ascii="Sylfaen" w:hAnsi="Sylfaen"/>
        </w:rPr>
        <w:fldChar w:fldCharType="separate"/>
      </w:r>
      <w:r w:rsidR="00F800F3" w:rsidRPr="00477D8F">
        <w:rPr>
          <w:rFonts w:ascii="Sylfaen" w:hAnsi="Sylfaen"/>
        </w:rPr>
        <w:t xml:space="preserve">Figure </w:t>
      </w:r>
      <w:r w:rsidR="00F800F3" w:rsidRPr="00477D8F">
        <w:rPr>
          <w:rFonts w:ascii="Sylfaen" w:hAnsi="Sylfaen"/>
          <w:noProof/>
        </w:rPr>
        <w:t>2</w:t>
      </w:r>
      <w:r w:rsidRPr="00477D8F">
        <w:rPr>
          <w:rFonts w:ascii="Sylfaen" w:hAnsi="Sylfaen"/>
        </w:rPr>
        <w:fldChar w:fldCharType="end"/>
      </w:r>
      <w:r w:rsidRPr="00477D8F">
        <w:rPr>
          <w:rFonts w:ascii="Sylfaen" w:hAnsi="Sylfaen"/>
        </w:rPr>
        <w:t xml:space="preserve">). </w:t>
      </w:r>
    </w:p>
    <w:tbl>
      <w:tblPr>
        <w:tblStyle w:val="TableGrid14"/>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159F8" w:rsidRPr="00477D8F" w14:paraId="0852E9A2" w14:textId="77777777" w:rsidTr="003D786A">
        <w:trPr>
          <w:trHeight w:val="10"/>
        </w:trPr>
        <w:tc>
          <w:tcPr>
            <w:tcW w:w="9350" w:type="dxa"/>
            <w:hideMark/>
          </w:tcPr>
          <w:p w14:paraId="41056DD2" w14:textId="1F4B5B22" w:rsidR="006159F8" w:rsidRPr="00477D8F" w:rsidRDefault="006159F8" w:rsidP="003D786A">
            <w:pPr>
              <w:pStyle w:val="Caption1"/>
              <w:rPr>
                <w:rFonts w:eastAsia="Times New Roman"/>
                <w:color w:val="000000"/>
              </w:rPr>
            </w:pPr>
            <w:bookmarkStart w:id="33" w:name="_Ref483056331"/>
            <w:bookmarkStart w:id="34" w:name="_Toc483335898"/>
            <w:bookmarkStart w:id="35" w:name="_Toc497171772"/>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2</w:t>
            </w:r>
            <w:r w:rsidR="002E5BDF" w:rsidRPr="00477D8F">
              <w:rPr>
                <w:noProof/>
              </w:rPr>
              <w:fldChar w:fldCharType="end"/>
            </w:r>
            <w:bookmarkEnd w:id="33"/>
            <w:r w:rsidRPr="00477D8F">
              <w:t>: Demographic 2005</w:t>
            </w:r>
            <w:r w:rsidR="00B771C0" w:rsidRPr="00477D8F">
              <w:t>–</w:t>
            </w:r>
            <w:r w:rsidRPr="00477D8F">
              <w:t>2020: Population pyramid (in thousands) by gender (left); school</w:t>
            </w:r>
            <w:r w:rsidR="00B771C0" w:rsidRPr="00477D8F">
              <w:t>-</w:t>
            </w:r>
            <w:r w:rsidRPr="00477D8F">
              <w:t>age cohort (right)</w:t>
            </w:r>
            <w:bookmarkEnd w:id="34"/>
            <w:bookmarkEnd w:id="35"/>
          </w:p>
        </w:tc>
      </w:tr>
      <w:tr w:rsidR="006159F8" w:rsidRPr="00477D8F" w14:paraId="0BA540F9" w14:textId="77777777" w:rsidTr="003D786A">
        <w:trPr>
          <w:trHeight w:val="231"/>
        </w:trPr>
        <w:tc>
          <w:tcPr>
            <w:tcW w:w="9350" w:type="dxa"/>
            <w:hideMark/>
          </w:tcPr>
          <w:p w14:paraId="6FD9A53E" w14:textId="77777777" w:rsidR="006159F8" w:rsidRPr="00477D8F" w:rsidRDefault="006159F8" w:rsidP="003D786A">
            <w:pPr>
              <w:jc w:val="both"/>
              <w:rPr>
                <w:rFonts w:ascii="Sylfaen" w:hAnsi="Sylfaen"/>
                <w:bCs/>
              </w:rPr>
            </w:pPr>
            <w:r w:rsidRPr="00477D8F">
              <w:rPr>
                <w:rFonts w:ascii="Sylfaen" w:hAnsi="Sylfaen"/>
                <w:noProof/>
              </w:rPr>
              <w:drawing>
                <wp:inline distT="0" distB="0" distL="0" distR="0" wp14:anchorId="24C7B5CB" wp14:editId="1C95EB3D">
                  <wp:extent cx="3000344" cy="2584174"/>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07180" cy="2590062"/>
                          </a:xfrm>
                          <a:prstGeom prst="rect">
                            <a:avLst/>
                          </a:prstGeom>
                          <a:noFill/>
                          <a:ln>
                            <a:noFill/>
                          </a:ln>
                        </pic:spPr>
                      </pic:pic>
                    </a:graphicData>
                  </a:graphic>
                </wp:inline>
              </w:drawing>
            </w:r>
            <w:r w:rsidRPr="00477D8F">
              <w:rPr>
                <w:rFonts w:ascii="Sylfaen" w:hAnsi="Sylfaen"/>
                <w:noProof/>
              </w:rPr>
              <w:drawing>
                <wp:inline distT="0" distB="0" distL="0" distR="0" wp14:anchorId="3E6E495E" wp14:editId="28017C8F">
                  <wp:extent cx="2762250" cy="259080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r w:rsidR="006159F8" w:rsidRPr="00477D8F" w14:paraId="50B29821" w14:textId="77777777" w:rsidTr="003D786A">
        <w:trPr>
          <w:trHeight w:val="296"/>
        </w:trPr>
        <w:tc>
          <w:tcPr>
            <w:tcW w:w="9350" w:type="dxa"/>
            <w:hideMark/>
          </w:tcPr>
          <w:p w14:paraId="5DBA5743" w14:textId="35E30EFA" w:rsidR="006159F8" w:rsidRPr="00477D8F" w:rsidRDefault="006159F8" w:rsidP="003D786A">
            <w:pPr>
              <w:pStyle w:val="Source"/>
              <w:rPr>
                <w:bCs/>
              </w:rPr>
            </w:pPr>
            <w:r w:rsidRPr="00477D8F">
              <w:rPr>
                <w:bCs/>
                <w:i/>
              </w:rPr>
              <w:t>Source:</w:t>
            </w:r>
            <w:r w:rsidRPr="00477D8F">
              <w:rPr>
                <w:bCs/>
              </w:rPr>
              <w:t xml:space="preserve"> </w:t>
            </w:r>
            <w:r w:rsidRPr="00477D8F">
              <w:t>UNPD 20</w:t>
            </w:r>
            <w:r w:rsidR="00C26383" w:rsidRPr="00477D8F">
              <w:t>15</w:t>
            </w:r>
            <w:r w:rsidR="008D0342" w:rsidRPr="00477D8F">
              <w:t>.</w:t>
            </w:r>
          </w:p>
        </w:tc>
      </w:tr>
    </w:tbl>
    <w:p w14:paraId="7857CADD" w14:textId="7C3F9492" w:rsidR="00272695" w:rsidRPr="00477D8F" w:rsidRDefault="00E532E4" w:rsidP="0076525D">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The Gambia’s progress in improving human development, as measured by the HDI</w:t>
      </w:r>
      <w:r w:rsidR="00B771C0" w:rsidRPr="00477D8F">
        <w:rPr>
          <w:rFonts w:ascii="Sylfaen" w:hAnsi="Sylfaen"/>
          <w:b/>
        </w:rPr>
        <w:t>,</w:t>
      </w:r>
      <w:r w:rsidRPr="00477D8F">
        <w:rPr>
          <w:rFonts w:ascii="Sylfaen" w:hAnsi="Sylfaen"/>
          <w:b/>
        </w:rPr>
        <w:t xml:space="preserve"> has been relatively slow compared to the SSA average and it ranks 173 out of 188 countries globally</w:t>
      </w:r>
      <w:r w:rsidR="00B771C0" w:rsidRPr="00477D8F">
        <w:rPr>
          <w:rFonts w:ascii="Sylfaen" w:hAnsi="Sylfaen"/>
          <w:b/>
        </w:rPr>
        <w:t>.</w:t>
      </w:r>
      <w:r w:rsidRPr="00477D8F">
        <w:rPr>
          <w:rFonts w:ascii="Sylfaen" w:hAnsi="Sylfaen"/>
          <w:b/>
        </w:rPr>
        <w:t xml:space="preserve"> </w:t>
      </w:r>
      <w:r w:rsidRPr="00477D8F">
        <w:rPr>
          <w:rFonts w:ascii="Sylfaen" w:hAnsi="Sylfaen"/>
        </w:rPr>
        <w:t>The decomposition of the HDI components reveals that education is a key reason why The Gambia’s HDI score is low. Even though the education component slightly increased from 0.34 to 0.36 between 2010 and 2015, it remain</w:t>
      </w:r>
      <w:r w:rsidR="004F6C71" w:rsidRPr="00477D8F">
        <w:rPr>
          <w:rFonts w:ascii="Sylfaen" w:hAnsi="Sylfaen"/>
        </w:rPr>
        <w:t>ed</w:t>
      </w:r>
      <w:r w:rsidRPr="00477D8F">
        <w:rPr>
          <w:rFonts w:ascii="Sylfaen" w:hAnsi="Sylfaen"/>
        </w:rPr>
        <w:t xml:space="preserve"> lower than the economic component during the same period (</w:t>
      </w:r>
      <w:r w:rsidRPr="00477D8F">
        <w:rPr>
          <w:rFonts w:ascii="Sylfaen" w:hAnsi="Sylfaen"/>
        </w:rPr>
        <w:fldChar w:fldCharType="begin"/>
      </w:r>
      <w:r w:rsidRPr="00477D8F">
        <w:rPr>
          <w:rFonts w:ascii="Sylfaen" w:hAnsi="Sylfaen"/>
        </w:rPr>
        <w:instrText xml:space="preserve"> REF _Ref483055560 \h  \* MERGEFORMAT </w:instrText>
      </w:r>
      <w:r w:rsidRPr="00477D8F">
        <w:rPr>
          <w:rFonts w:ascii="Sylfaen" w:hAnsi="Sylfaen"/>
        </w:rPr>
      </w:r>
      <w:r w:rsidRPr="00477D8F">
        <w:rPr>
          <w:rFonts w:ascii="Sylfaen" w:hAnsi="Sylfaen"/>
        </w:rPr>
        <w:fldChar w:fldCharType="separate"/>
      </w:r>
      <w:r w:rsidR="00F800F3" w:rsidRPr="00477D8F">
        <w:rPr>
          <w:rFonts w:ascii="Sylfaen" w:hAnsi="Sylfaen"/>
        </w:rPr>
        <w:t>Figure 3</w:t>
      </w:r>
      <w:r w:rsidRPr="00477D8F">
        <w:rPr>
          <w:rFonts w:ascii="Sylfaen" w:hAnsi="Sylfaen"/>
        </w:rPr>
        <w:fldChar w:fldCharType="end"/>
      </w:r>
      <w:r w:rsidRPr="00477D8F">
        <w:rPr>
          <w:rFonts w:ascii="Sylfaen" w:hAnsi="Sylfaen"/>
        </w:rPr>
        <w:t xml:space="preserve">). The Gambia was closing the gap with the SSA average before 2000 (from a gap of 0.07 in 1990 to 0.04 in 2000) but since then has seen an increase in the gap (with a gap of 0.06 in 2010 and 0.07 in 2015). If this trend persists, it will be difficult for the country to compete in the </w:t>
      </w:r>
      <w:r w:rsidR="00B771C0" w:rsidRPr="00477D8F">
        <w:rPr>
          <w:rFonts w:ascii="Sylfaen" w:hAnsi="Sylfaen"/>
        </w:rPr>
        <w:t>g</w:t>
      </w:r>
      <w:r w:rsidRPr="00477D8F">
        <w:rPr>
          <w:rFonts w:ascii="Sylfaen" w:hAnsi="Sylfaen"/>
        </w:rPr>
        <w:t xml:space="preserve">lobal economy in general and in the services sector in particular. </w:t>
      </w:r>
    </w:p>
    <w:tbl>
      <w:tblPr>
        <w:tblStyle w:val="TableGrid14"/>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159F8" w:rsidRPr="00477D8F" w14:paraId="50D75637" w14:textId="77777777" w:rsidTr="005A0569">
        <w:trPr>
          <w:cantSplit/>
          <w:trHeight w:val="10"/>
        </w:trPr>
        <w:tc>
          <w:tcPr>
            <w:tcW w:w="9350" w:type="dxa"/>
            <w:hideMark/>
          </w:tcPr>
          <w:p w14:paraId="3F378ADF" w14:textId="49757C9A" w:rsidR="006159F8" w:rsidRPr="00477D8F" w:rsidRDefault="006159F8" w:rsidP="00BA3270">
            <w:pPr>
              <w:pStyle w:val="Caption1"/>
            </w:pPr>
            <w:bookmarkStart w:id="36" w:name="_Ref483055560"/>
            <w:bookmarkStart w:id="37" w:name="_Toc483335899"/>
            <w:bookmarkStart w:id="38" w:name="_Toc497171773"/>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t>3</w:t>
            </w:r>
            <w:r w:rsidR="002E5BDF" w:rsidRPr="00477D8F">
              <w:fldChar w:fldCharType="end"/>
            </w:r>
            <w:bookmarkEnd w:id="36"/>
            <w:r w:rsidRPr="00477D8F">
              <w:t>:</w:t>
            </w:r>
            <w:r w:rsidR="00272695" w:rsidRPr="00477D8F">
              <w:t xml:space="preserve"> </w:t>
            </w:r>
            <w:r w:rsidRPr="00477D8F">
              <w:t>Trends of HDI breakdown by components</w:t>
            </w:r>
            <w:bookmarkEnd w:id="37"/>
            <w:bookmarkEnd w:id="38"/>
          </w:p>
        </w:tc>
      </w:tr>
      <w:tr w:rsidR="006159F8" w:rsidRPr="00477D8F" w14:paraId="33796C50" w14:textId="77777777" w:rsidTr="005A0569">
        <w:trPr>
          <w:cantSplit/>
          <w:trHeight w:val="231"/>
        </w:trPr>
        <w:tc>
          <w:tcPr>
            <w:tcW w:w="9350" w:type="dxa"/>
            <w:hideMark/>
          </w:tcPr>
          <w:p w14:paraId="70136793" w14:textId="77777777" w:rsidR="006159F8" w:rsidRPr="00477D8F" w:rsidRDefault="00576618" w:rsidP="005A0569">
            <w:pPr>
              <w:jc w:val="both"/>
              <w:rPr>
                <w:rFonts w:ascii="Sylfaen" w:hAnsi="Sylfaen"/>
                <w:bCs/>
              </w:rPr>
            </w:pPr>
            <w:r w:rsidRPr="00477D8F">
              <w:rPr>
                <w:rFonts w:ascii="Sylfaen" w:hAnsi="Sylfaen"/>
                <w:noProof/>
              </w:rPr>
              <w:drawing>
                <wp:inline distT="0" distB="0" distL="0" distR="0" wp14:anchorId="5C143285" wp14:editId="0DE2F77B">
                  <wp:extent cx="5943600" cy="2511188"/>
                  <wp:effectExtent l="0" t="0" r="0" b="381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r w:rsidR="006159F8" w:rsidRPr="00477D8F" w14:paraId="435918A1" w14:textId="77777777" w:rsidTr="005A0569">
        <w:trPr>
          <w:cantSplit/>
          <w:trHeight w:val="296"/>
        </w:trPr>
        <w:tc>
          <w:tcPr>
            <w:tcW w:w="9350" w:type="dxa"/>
            <w:hideMark/>
          </w:tcPr>
          <w:p w14:paraId="543D00EB" w14:textId="5E580C7C" w:rsidR="006159F8" w:rsidRPr="00477D8F" w:rsidRDefault="006159F8" w:rsidP="005A0569">
            <w:pPr>
              <w:pStyle w:val="Source"/>
            </w:pPr>
            <w:r w:rsidRPr="00477D8F">
              <w:rPr>
                <w:i/>
              </w:rPr>
              <w:lastRenderedPageBreak/>
              <w:t>Source:</w:t>
            </w:r>
            <w:r w:rsidR="001E47FB" w:rsidRPr="00477D8F">
              <w:t xml:space="preserve"> </w:t>
            </w:r>
            <w:r w:rsidR="00A75A8A" w:rsidRPr="00477D8F">
              <w:t>United Nations Development Programme (</w:t>
            </w:r>
            <w:r w:rsidRPr="00477D8F">
              <w:t>UNDP</w:t>
            </w:r>
            <w:r w:rsidR="00A75A8A" w:rsidRPr="00477D8F">
              <w:t>)</w:t>
            </w:r>
            <w:r w:rsidR="008D0342" w:rsidRPr="00477D8F">
              <w:t>.</w:t>
            </w:r>
          </w:p>
        </w:tc>
      </w:tr>
    </w:tbl>
    <w:p w14:paraId="3A61C5BB" w14:textId="4E10B7A3" w:rsidR="006159F8" w:rsidRPr="00477D8F" w:rsidRDefault="00E532E4" w:rsidP="0076525D">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 xml:space="preserve">Malnutrition poses important challenges in terms of educational outcomes. </w:t>
      </w:r>
      <w:r w:rsidRPr="00477D8F">
        <w:rPr>
          <w:rFonts w:ascii="Sylfaen" w:hAnsi="Sylfaen"/>
        </w:rPr>
        <w:t>The three nutritional indicators for children indicate that the proportion of malnourished children displayed minor improvement between 2005 and 2015 in The Gambia as opposed to the SSA average. Malnutrition</w:t>
      </w:r>
      <w:r w:rsidR="008F189F" w:rsidRPr="00477D8F">
        <w:rPr>
          <w:rStyle w:val="FootnoteReference"/>
          <w:rFonts w:ascii="Sylfaen" w:hAnsi="Sylfaen"/>
        </w:rPr>
        <w:footnoteReference w:id="12"/>
      </w:r>
      <w:r w:rsidRPr="00477D8F">
        <w:rPr>
          <w:rFonts w:ascii="Sylfaen" w:hAnsi="Sylfaen"/>
        </w:rPr>
        <w:t xml:space="preserve"> is not only an indicator of children’s well</w:t>
      </w:r>
      <w:r w:rsidR="005F6C78" w:rsidRPr="00477D8F">
        <w:rPr>
          <w:rFonts w:ascii="Sylfaen" w:hAnsi="Sylfaen"/>
        </w:rPr>
        <w:t>-</w:t>
      </w:r>
      <w:r w:rsidRPr="00477D8F">
        <w:rPr>
          <w:rFonts w:ascii="Sylfaen" w:hAnsi="Sylfaen"/>
        </w:rPr>
        <w:t>being but has also been shown to have an impact on student learning and achievement.</w:t>
      </w:r>
      <w:r w:rsidR="00272695" w:rsidRPr="00477D8F">
        <w:rPr>
          <w:rFonts w:ascii="Sylfaen" w:hAnsi="Sylfaen"/>
        </w:rPr>
        <w:t xml:space="preserve"> </w:t>
      </w:r>
      <w:r w:rsidRPr="00477D8F">
        <w:rPr>
          <w:rFonts w:ascii="Sylfaen" w:hAnsi="Sylfaen"/>
        </w:rPr>
        <w:t xml:space="preserve">Malnutrition remains a hurdle in the country, as </w:t>
      </w:r>
      <w:r w:rsidR="00CC5A9C" w:rsidRPr="00477D8F">
        <w:rPr>
          <w:rFonts w:ascii="Sylfaen" w:hAnsi="Sylfaen"/>
        </w:rPr>
        <w:t>one</w:t>
      </w:r>
      <w:r w:rsidRPr="00477D8F">
        <w:rPr>
          <w:rFonts w:ascii="Sylfaen" w:hAnsi="Sylfaen"/>
        </w:rPr>
        <w:t xml:space="preserve"> in </w:t>
      </w:r>
      <w:r w:rsidR="00CC5A9C" w:rsidRPr="00477D8F">
        <w:rPr>
          <w:rFonts w:ascii="Sylfaen" w:hAnsi="Sylfaen"/>
        </w:rPr>
        <w:t>four</w:t>
      </w:r>
      <w:r w:rsidRPr="00477D8F">
        <w:rPr>
          <w:rFonts w:ascii="Sylfaen" w:hAnsi="Sylfaen"/>
        </w:rPr>
        <w:t xml:space="preserve"> children are stunted (</w:t>
      </w:r>
      <w:r w:rsidRPr="00477D8F">
        <w:rPr>
          <w:rFonts w:ascii="Sylfaen" w:hAnsi="Sylfaen"/>
        </w:rPr>
        <w:fldChar w:fldCharType="begin"/>
      </w:r>
      <w:r w:rsidRPr="00477D8F">
        <w:rPr>
          <w:rFonts w:ascii="Sylfaen" w:hAnsi="Sylfaen"/>
        </w:rPr>
        <w:instrText xml:space="preserve"> REF _Ref483056369 \h  \* MERGEFORMAT </w:instrText>
      </w:r>
      <w:r w:rsidRPr="00477D8F">
        <w:rPr>
          <w:rFonts w:ascii="Sylfaen" w:hAnsi="Sylfaen"/>
        </w:rPr>
      </w:r>
      <w:r w:rsidRPr="00477D8F">
        <w:rPr>
          <w:rFonts w:ascii="Sylfaen" w:hAnsi="Sylfaen"/>
        </w:rPr>
        <w:fldChar w:fldCharType="separate"/>
      </w:r>
      <w:r w:rsidR="00F800F3" w:rsidRPr="00477D8F">
        <w:rPr>
          <w:rFonts w:ascii="Sylfaen" w:hAnsi="Sylfaen"/>
        </w:rPr>
        <w:t>Figure 4</w:t>
      </w:r>
      <w:r w:rsidRPr="00477D8F">
        <w:rPr>
          <w:rFonts w:ascii="Sylfaen" w:hAnsi="Sylfaen"/>
        </w:rPr>
        <w:fldChar w:fldCharType="end"/>
      </w:r>
      <w:r w:rsidRPr="00477D8F">
        <w:rPr>
          <w:rFonts w:ascii="Sylfaen" w:hAnsi="Sylfaen"/>
        </w:rPr>
        <w:t>). Furthermore, severe wasting</w:t>
      </w:r>
      <w:r w:rsidR="00BC1E77" w:rsidRPr="00477D8F">
        <w:rPr>
          <w:rFonts w:ascii="Sylfaen" w:hAnsi="Sylfaen"/>
        </w:rPr>
        <w:t>,</w:t>
      </w:r>
      <w:r w:rsidRPr="00477D8F">
        <w:rPr>
          <w:rFonts w:ascii="Sylfaen" w:hAnsi="Sylfaen"/>
        </w:rPr>
        <w:t xml:space="preserve"> which is the result of acute malnutrition</w:t>
      </w:r>
      <w:r w:rsidR="00BC1E77" w:rsidRPr="00477D8F">
        <w:rPr>
          <w:rFonts w:ascii="Sylfaen" w:hAnsi="Sylfaen"/>
        </w:rPr>
        <w:t>,</w:t>
      </w:r>
      <w:r w:rsidRPr="00477D8F">
        <w:rPr>
          <w:rFonts w:ascii="Sylfaen" w:hAnsi="Sylfaen"/>
        </w:rPr>
        <w:t xml:space="preserve"> is higher in The Gambia than in SSA, on average. This has significant implications for cognitive development and learning outcomes. Therefore, there is a need to establish an integrated approach to early schooling and nutrition to improve educational attainment and consequently reduce the high poverty rate of the country. </w:t>
      </w:r>
    </w:p>
    <w:tbl>
      <w:tblPr>
        <w:tblStyle w:val="TableGrid14"/>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159F8" w:rsidRPr="00477D8F" w14:paraId="07B482BE" w14:textId="77777777" w:rsidTr="00DF77A6">
        <w:trPr>
          <w:trHeight w:val="10"/>
        </w:trPr>
        <w:tc>
          <w:tcPr>
            <w:tcW w:w="9350" w:type="dxa"/>
            <w:hideMark/>
          </w:tcPr>
          <w:p w14:paraId="53EB5F51" w14:textId="2A41D190" w:rsidR="006159F8" w:rsidRPr="00477D8F" w:rsidRDefault="006159F8" w:rsidP="00DF77A6">
            <w:pPr>
              <w:pStyle w:val="Caption1"/>
            </w:pPr>
            <w:bookmarkStart w:id="39" w:name="_Ref483056369"/>
            <w:bookmarkStart w:id="40" w:name="_Toc482650029"/>
            <w:bookmarkStart w:id="41" w:name="_Toc483335900"/>
            <w:bookmarkStart w:id="42" w:name="_Toc497171774"/>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4</w:t>
            </w:r>
            <w:r w:rsidR="002E5BDF" w:rsidRPr="00477D8F">
              <w:rPr>
                <w:noProof/>
              </w:rPr>
              <w:fldChar w:fldCharType="end"/>
            </w:r>
            <w:bookmarkEnd w:id="39"/>
            <w:r w:rsidRPr="00477D8F">
              <w:t>:</w:t>
            </w:r>
            <w:r w:rsidR="00272695" w:rsidRPr="00477D8F">
              <w:t xml:space="preserve"> </w:t>
            </w:r>
            <w:r w:rsidRPr="00477D8F">
              <w:t>Under</w:t>
            </w:r>
            <w:r w:rsidR="00BB33AF" w:rsidRPr="00477D8F">
              <w:t>-</w:t>
            </w:r>
            <w:r w:rsidRPr="00477D8F">
              <w:t>five and infant mortality rates, 2005</w:t>
            </w:r>
            <w:r w:rsidR="00BB33AF" w:rsidRPr="00477D8F">
              <w:t>–</w:t>
            </w:r>
            <w:r w:rsidRPr="00477D8F">
              <w:t>2015</w:t>
            </w:r>
            <w:bookmarkEnd w:id="40"/>
            <w:bookmarkEnd w:id="41"/>
            <w:bookmarkEnd w:id="42"/>
          </w:p>
        </w:tc>
      </w:tr>
      <w:tr w:rsidR="006159F8" w:rsidRPr="00477D8F" w14:paraId="630F1CA8" w14:textId="77777777" w:rsidTr="00DF77A6">
        <w:trPr>
          <w:trHeight w:val="231"/>
        </w:trPr>
        <w:tc>
          <w:tcPr>
            <w:tcW w:w="9350" w:type="dxa"/>
            <w:hideMark/>
          </w:tcPr>
          <w:p w14:paraId="33085E1C" w14:textId="77777777" w:rsidR="006159F8" w:rsidRPr="00477D8F" w:rsidRDefault="00576618" w:rsidP="00DF77A6">
            <w:pPr>
              <w:jc w:val="both"/>
              <w:rPr>
                <w:rFonts w:ascii="Sylfaen" w:hAnsi="Sylfaen"/>
                <w:bCs/>
              </w:rPr>
            </w:pPr>
            <w:r w:rsidRPr="00477D8F">
              <w:rPr>
                <w:rFonts w:ascii="Sylfaen" w:hAnsi="Sylfaen"/>
                <w:noProof/>
              </w:rPr>
              <w:drawing>
                <wp:inline distT="0" distB="0" distL="0" distR="0" wp14:anchorId="573CD105" wp14:editId="532B9484">
                  <wp:extent cx="5813425" cy="1569492"/>
                  <wp:effectExtent l="0" t="0" r="15875" b="1206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r w:rsidR="006159F8" w:rsidRPr="00477D8F" w14:paraId="6F882563" w14:textId="77777777" w:rsidTr="00DF77A6">
        <w:trPr>
          <w:trHeight w:val="296"/>
        </w:trPr>
        <w:tc>
          <w:tcPr>
            <w:tcW w:w="9350" w:type="dxa"/>
            <w:hideMark/>
          </w:tcPr>
          <w:p w14:paraId="55CB339E" w14:textId="099FE172" w:rsidR="006159F8" w:rsidRPr="00477D8F" w:rsidRDefault="006159F8" w:rsidP="00DF77A6">
            <w:pPr>
              <w:pStyle w:val="Source"/>
            </w:pPr>
            <w:r w:rsidRPr="00477D8F">
              <w:rPr>
                <w:i/>
              </w:rPr>
              <w:t>Source:</w:t>
            </w:r>
            <w:r w:rsidR="008D0342" w:rsidRPr="00477D8F">
              <w:rPr>
                <w:i/>
              </w:rPr>
              <w:t xml:space="preserve"> </w:t>
            </w:r>
            <w:r w:rsidR="008D0342" w:rsidRPr="00477D8F">
              <w:t>WDI.</w:t>
            </w:r>
          </w:p>
        </w:tc>
      </w:tr>
    </w:tbl>
    <w:p w14:paraId="550F43DF" w14:textId="77777777" w:rsidR="001F6A75" w:rsidRPr="00477D8F" w:rsidRDefault="001F6A75">
      <w:pPr>
        <w:rPr>
          <w:rFonts w:ascii="Sylfaen" w:hAnsi="Sylfaen"/>
        </w:rPr>
      </w:pPr>
      <w:r w:rsidRPr="00477D8F">
        <w:rPr>
          <w:rFonts w:ascii="Sylfaen" w:hAnsi="Sylfaen"/>
        </w:rPr>
        <w:br w:type="page"/>
      </w:r>
    </w:p>
    <w:p w14:paraId="45AB940F" w14:textId="77777777" w:rsidR="006159F8" w:rsidRPr="00477D8F" w:rsidRDefault="006159F8" w:rsidP="00ED0E68">
      <w:pPr>
        <w:pStyle w:val="Heading1"/>
      </w:pPr>
      <w:bookmarkStart w:id="43" w:name="_Toc483335787"/>
      <w:bookmarkStart w:id="44" w:name="_Toc497171852"/>
      <w:r w:rsidRPr="00477D8F">
        <w:lastRenderedPageBreak/>
        <w:t>Education Sector Context</w:t>
      </w:r>
      <w:bookmarkEnd w:id="43"/>
      <w:bookmarkEnd w:id="44"/>
      <w:r w:rsidRPr="00477D8F">
        <w:t xml:space="preserve"> </w:t>
      </w:r>
    </w:p>
    <w:p w14:paraId="78ACD868" w14:textId="77777777" w:rsidR="006159F8" w:rsidRPr="00477D8F" w:rsidRDefault="006159F8" w:rsidP="00ED0E68">
      <w:pPr>
        <w:pStyle w:val="Heading2"/>
        <w:rPr>
          <w:b/>
        </w:rPr>
      </w:pPr>
      <w:bookmarkStart w:id="45" w:name="_Toc483335788"/>
      <w:bookmarkStart w:id="46" w:name="_Toc497171853"/>
      <w:r w:rsidRPr="00477D8F">
        <w:t>Structure of the system</w:t>
      </w:r>
      <w:bookmarkEnd w:id="45"/>
      <w:bookmarkEnd w:id="46"/>
    </w:p>
    <w:p w14:paraId="19F701C6" w14:textId="705175D8" w:rsidR="00E532E4" w:rsidRPr="00477D8F" w:rsidRDefault="00E532E4" w:rsidP="00E532E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The MoBSE and the MoHERST</w:t>
      </w:r>
      <w:r w:rsidRPr="00477D8F">
        <w:rPr>
          <w:rFonts w:ascii="Sylfaen" w:hAnsi="Sylfaen" w:cs="Times New Roman"/>
        </w:rPr>
        <w:t xml:space="preserve"> </w:t>
      </w:r>
      <w:r w:rsidRPr="00477D8F">
        <w:rPr>
          <w:rFonts w:ascii="Sylfaen" w:hAnsi="Sylfaen" w:cs="Times New Roman"/>
          <w:b/>
        </w:rPr>
        <w:t>manage the public education system.</w:t>
      </w:r>
      <w:r w:rsidRPr="00477D8F">
        <w:rPr>
          <w:rFonts w:ascii="Sylfaen" w:hAnsi="Sylfaen" w:cs="Times New Roman"/>
        </w:rPr>
        <w:t xml:space="preserve"> Until 2007, the management of the public education system at the central level fell under one ministry of education</w:t>
      </w:r>
      <w:r w:rsidR="0033462E" w:rsidRPr="00477D8F">
        <w:rPr>
          <w:rFonts w:ascii="Sylfaen" w:hAnsi="Sylfaen" w:cs="Times New Roman"/>
        </w:rPr>
        <w:t>—</w:t>
      </w:r>
      <w:r w:rsidRPr="00477D8F">
        <w:rPr>
          <w:rFonts w:ascii="Sylfaen" w:hAnsi="Sylfaen" w:cs="Times New Roman"/>
        </w:rPr>
        <w:t>the Department of State for Education (DOSE), which was responsible for basic, senior secondary</w:t>
      </w:r>
      <w:r w:rsidR="0016370B" w:rsidRPr="00477D8F">
        <w:rPr>
          <w:rFonts w:ascii="Sylfaen" w:hAnsi="Sylfaen" w:cs="Times New Roman"/>
        </w:rPr>
        <w:t>,</w:t>
      </w:r>
      <w:r w:rsidRPr="00477D8F">
        <w:rPr>
          <w:rFonts w:ascii="Sylfaen" w:hAnsi="Sylfaen" w:cs="Times New Roman"/>
        </w:rPr>
        <w:t xml:space="preserve"> and higher education. However, the expansion of the responsibilities of DOSE, combined with the need to devote adequate resources to each level of education</w:t>
      </w:r>
      <w:r w:rsidR="00765444" w:rsidRPr="00477D8F">
        <w:rPr>
          <w:rFonts w:ascii="Sylfaen" w:hAnsi="Sylfaen" w:cs="Times New Roman"/>
        </w:rPr>
        <w:t>,</w:t>
      </w:r>
      <w:r w:rsidRPr="00477D8F">
        <w:rPr>
          <w:rFonts w:ascii="Sylfaen" w:hAnsi="Sylfaen" w:cs="Times New Roman"/>
        </w:rPr>
        <w:t xml:space="preserve"> led to a split of the central ministry into two separate entities. </w:t>
      </w:r>
      <w:r w:rsidR="0016370B" w:rsidRPr="00477D8F">
        <w:rPr>
          <w:rFonts w:ascii="Sylfaen" w:hAnsi="Sylfaen" w:cs="Times New Roman"/>
        </w:rPr>
        <w:t xml:space="preserve">The </w:t>
      </w:r>
      <w:r w:rsidRPr="00477D8F">
        <w:rPr>
          <w:rFonts w:ascii="Sylfaen" w:hAnsi="Sylfaen" w:cs="Times New Roman"/>
        </w:rPr>
        <w:t>MoBSE operations are partially decentralized across its six Regional Educational Directorates (RED</w:t>
      </w:r>
      <w:r w:rsidR="0048217E" w:rsidRPr="00477D8F">
        <w:rPr>
          <w:rFonts w:ascii="Sylfaen" w:hAnsi="Sylfaen" w:cs="Times New Roman"/>
        </w:rPr>
        <w:t>s</w:t>
      </w:r>
      <w:r w:rsidRPr="00477D8F">
        <w:rPr>
          <w:rFonts w:ascii="Sylfaen" w:hAnsi="Sylfaen" w:cs="Times New Roman"/>
        </w:rPr>
        <w:t xml:space="preserve">) </w:t>
      </w:r>
      <w:r w:rsidR="0016370B" w:rsidRPr="00477D8F">
        <w:rPr>
          <w:rFonts w:ascii="Sylfaen" w:hAnsi="Sylfaen" w:cs="Times New Roman"/>
        </w:rPr>
        <w:t xml:space="preserve">that </w:t>
      </w:r>
      <w:r w:rsidRPr="00477D8F">
        <w:rPr>
          <w:rFonts w:ascii="Sylfaen" w:hAnsi="Sylfaen" w:cs="Times New Roman"/>
        </w:rPr>
        <w:t>facilitate operational and management issues at the regional levels. However</w:t>
      </w:r>
      <w:r w:rsidR="0016370B" w:rsidRPr="00477D8F">
        <w:rPr>
          <w:rFonts w:ascii="Sylfaen" w:hAnsi="Sylfaen" w:cs="Times New Roman"/>
        </w:rPr>
        <w:t>,</w:t>
      </w:r>
      <w:r w:rsidRPr="00477D8F">
        <w:rPr>
          <w:rFonts w:ascii="Sylfaen" w:hAnsi="Sylfaen" w:cs="Times New Roman"/>
        </w:rPr>
        <w:t xml:space="preserve"> financial management remains largely centralized. </w:t>
      </w:r>
      <w:r w:rsidR="0016370B" w:rsidRPr="00477D8F">
        <w:rPr>
          <w:rFonts w:ascii="Sylfaen" w:hAnsi="Sylfaen" w:cs="Times New Roman"/>
        </w:rPr>
        <w:t xml:space="preserve">The </w:t>
      </w:r>
      <w:r w:rsidRPr="00477D8F">
        <w:rPr>
          <w:rFonts w:ascii="Sylfaen" w:hAnsi="Sylfaen" w:cs="Times New Roman"/>
        </w:rPr>
        <w:t xml:space="preserve">MoHERST, on the other hand, is centralized at all levels of operations. </w:t>
      </w:r>
    </w:p>
    <w:p w14:paraId="340BC34D" w14:textId="30F0E8F4" w:rsidR="00E532E4" w:rsidRPr="00477D8F" w:rsidRDefault="00E532E4" w:rsidP="00E532E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 xml:space="preserve">The two </w:t>
      </w:r>
      <w:r w:rsidR="0016370B" w:rsidRPr="00477D8F">
        <w:rPr>
          <w:rFonts w:ascii="Sylfaen" w:hAnsi="Sylfaen" w:cs="Times New Roman"/>
          <w:b/>
        </w:rPr>
        <w:t>m</w:t>
      </w:r>
      <w:r w:rsidRPr="00477D8F">
        <w:rPr>
          <w:rFonts w:ascii="Sylfaen" w:hAnsi="Sylfaen" w:cs="Times New Roman"/>
          <w:b/>
        </w:rPr>
        <w:t>inistries developed a joint Education Sector Strategic Plan (ESSP 2014</w:t>
      </w:r>
      <w:r w:rsidR="0016370B" w:rsidRPr="00477D8F">
        <w:rPr>
          <w:rFonts w:ascii="Sylfaen" w:hAnsi="Sylfaen" w:cs="Times New Roman"/>
          <w:b/>
        </w:rPr>
        <w:t>–</w:t>
      </w:r>
      <w:r w:rsidRPr="00477D8F">
        <w:rPr>
          <w:rFonts w:ascii="Sylfaen" w:hAnsi="Sylfaen" w:cs="Times New Roman"/>
          <w:b/>
        </w:rPr>
        <w:t>2022)</w:t>
      </w:r>
      <w:r w:rsidR="0016370B" w:rsidRPr="00477D8F">
        <w:rPr>
          <w:rFonts w:ascii="Sylfaen" w:hAnsi="Sylfaen" w:cs="Times New Roman"/>
          <w:b/>
        </w:rPr>
        <w:t>,</w:t>
      </w:r>
      <w:r w:rsidRPr="00477D8F">
        <w:rPr>
          <w:rFonts w:ascii="Sylfaen" w:hAnsi="Sylfaen" w:cs="Times New Roman"/>
          <w:b/>
        </w:rPr>
        <w:t xml:space="preserve"> which outlines the sector</w:t>
      </w:r>
      <w:r w:rsidR="0016370B" w:rsidRPr="00477D8F">
        <w:rPr>
          <w:rFonts w:ascii="Sylfaen" w:hAnsi="Sylfaen" w:cs="Times New Roman"/>
          <w:b/>
        </w:rPr>
        <w:t>’</w:t>
      </w:r>
      <w:r w:rsidRPr="00477D8F">
        <w:rPr>
          <w:rFonts w:ascii="Sylfaen" w:hAnsi="Sylfaen" w:cs="Times New Roman"/>
          <w:b/>
        </w:rPr>
        <w:t xml:space="preserve">s strategies, targets, and priority areas to ensure consistency across all levels of education. </w:t>
      </w:r>
      <w:r w:rsidRPr="00477D8F">
        <w:rPr>
          <w:rFonts w:ascii="Sylfaen" w:hAnsi="Sylfaen" w:cs="Times New Roman"/>
        </w:rPr>
        <w:t>The ESSP is being updated to extend to 2030</w:t>
      </w:r>
      <w:r w:rsidR="005362C1" w:rsidRPr="00477D8F">
        <w:rPr>
          <w:rFonts w:ascii="Sylfaen" w:hAnsi="Sylfaen" w:cs="Times New Roman"/>
        </w:rPr>
        <w:t xml:space="preserve"> to align with the recently ratified </w:t>
      </w:r>
      <w:r w:rsidR="0016370B" w:rsidRPr="00477D8F">
        <w:rPr>
          <w:rFonts w:ascii="Sylfaen" w:hAnsi="Sylfaen" w:cs="Times New Roman"/>
        </w:rPr>
        <w:t>e</w:t>
      </w:r>
      <w:r w:rsidR="005362C1" w:rsidRPr="00477D8F">
        <w:rPr>
          <w:rFonts w:ascii="Sylfaen" w:hAnsi="Sylfaen" w:cs="Times New Roman"/>
        </w:rPr>
        <w:t xml:space="preserve">ducation </w:t>
      </w:r>
      <w:r w:rsidR="0016370B" w:rsidRPr="00477D8F">
        <w:rPr>
          <w:rFonts w:ascii="Sylfaen" w:hAnsi="Sylfaen" w:cs="Times New Roman"/>
        </w:rPr>
        <w:t>p</w:t>
      </w:r>
      <w:r w:rsidR="005362C1" w:rsidRPr="00477D8F">
        <w:rPr>
          <w:rFonts w:ascii="Sylfaen" w:hAnsi="Sylfaen" w:cs="Times New Roman"/>
        </w:rPr>
        <w:t>olicy (2016</w:t>
      </w:r>
      <w:r w:rsidR="0016370B" w:rsidRPr="00477D8F">
        <w:rPr>
          <w:rFonts w:ascii="Sylfaen" w:hAnsi="Sylfaen" w:cs="Times New Roman"/>
        </w:rPr>
        <w:t>–20</w:t>
      </w:r>
      <w:r w:rsidR="005362C1" w:rsidRPr="00477D8F">
        <w:rPr>
          <w:rFonts w:ascii="Sylfaen" w:hAnsi="Sylfaen" w:cs="Times New Roman"/>
        </w:rPr>
        <w:t>30)</w:t>
      </w:r>
      <w:r w:rsidRPr="00477D8F">
        <w:rPr>
          <w:rFonts w:ascii="Sylfaen" w:hAnsi="Sylfaen" w:cs="Times New Roman"/>
        </w:rPr>
        <w:t xml:space="preserve">. The ESSP articulates the implementation of policy priorities for </w:t>
      </w:r>
      <w:r w:rsidR="00FF3968" w:rsidRPr="00477D8F">
        <w:rPr>
          <w:rFonts w:ascii="Sylfaen" w:hAnsi="Sylfaen" w:cs="Times New Roman"/>
        </w:rPr>
        <w:t xml:space="preserve">the </w:t>
      </w:r>
      <w:r w:rsidRPr="00477D8F">
        <w:rPr>
          <w:rFonts w:ascii="Sylfaen" w:hAnsi="Sylfaen" w:cs="Times New Roman"/>
        </w:rPr>
        <w:t xml:space="preserve">MoBSE and </w:t>
      </w:r>
      <w:r w:rsidR="00FF3968" w:rsidRPr="00477D8F">
        <w:rPr>
          <w:rFonts w:ascii="Sylfaen" w:hAnsi="Sylfaen" w:cs="Times New Roman"/>
        </w:rPr>
        <w:t xml:space="preserve">the </w:t>
      </w:r>
      <w:r w:rsidRPr="00477D8F">
        <w:rPr>
          <w:rFonts w:ascii="Sylfaen" w:hAnsi="Sylfaen" w:cs="Times New Roman"/>
        </w:rPr>
        <w:t>MoHERST</w:t>
      </w:r>
      <w:r w:rsidR="00D72BCB" w:rsidRPr="00477D8F">
        <w:rPr>
          <w:rFonts w:ascii="Sylfaen" w:hAnsi="Sylfaen" w:cs="Times New Roman"/>
        </w:rPr>
        <w:t xml:space="preserve"> and</w:t>
      </w:r>
      <w:r w:rsidRPr="00477D8F">
        <w:rPr>
          <w:rFonts w:ascii="Sylfaen" w:hAnsi="Sylfaen" w:cs="Times New Roman"/>
        </w:rPr>
        <w:t xml:space="preserve"> discusses sectorwide issues on education and training and the link between the two </w:t>
      </w:r>
      <w:r w:rsidR="00FF3968" w:rsidRPr="00477D8F">
        <w:rPr>
          <w:rFonts w:ascii="Sylfaen" w:hAnsi="Sylfaen" w:cs="Times New Roman"/>
        </w:rPr>
        <w:t>m</w:t>
      </w:r>
      <w:r w:rsidRPr="00477D8F">
        <w:rPr>
          <w:rFonts w:ascii="Sylfaen" w:hAnsi="Sylfaen" w:cs="Times New Roman"/>
        </w:rPr>
        <w:t>inistries on cross</w:t>
      </w:r>
      <w:r w:rsidR="00FF3968" w:rsidRPr="00477D8F">
        <w:rPr>
          <w:rFonts w:ascii="Sylfaen" w:hAnsi="Sylfaen" w:cs="Times New Roman"/>
        </w:rPr>
        <w:t>-</w:t>
      </w:r>
      <w:r w:rsidRPr="00477D8F">
        <w:rPr>
          <w:rFonts w:ascii="Sylfaen" w:hAnsi="Sylfaen" w:cs="Times New Roman"/>
        </w:rPr>
        <w:t>cutting activities such as teacher training and post-basic</w:t>
      </w:r>
      <w:r w:rsidR="00FF3968" w:rsidRPr="00477D8F">
        <w:rPr>
          <w:rFonts w:ascii="Sylfaen" w:hAnsi="Sylfaen" w:cs="Times New Roman"/>
        </w:rPr>
        <w:t xml:space="preserve"> TVET</w:t>
      </w:r>
      <w:r w:rsidRPr="00477D8F">
        <w:rPr>
          <w:rFonts w:ascii="Sylfaen" w:hAnsi="Sylfaen" w:cs="Times New Roman"/>
        </w:rPr>
        <w:t>. The main policy focus areas are (</w:t>
      </w:r>
      <w:r w:rsidR="00FF3968" w:rsidRPr="00477D8F">
        <w:rPr>
          <w:rFonts w:ascii="Sylfaen" w:hAnsi="Sylfaen" w:cs="Times New Roman"/>
        </w:rPr>
        <w:t>a</w:t>
      </w:r>
      <w:r w:rsidRPr="00477D8F">
        <w:rPr>
          <w:rFonts w:ascii="Sylfaen" w:hAnsi="Sylfaen" w:cs="Times New Roman"/>
        </w:rPr>
        <w:t>) access and equity</w:t>
      </w:r>
      <w:r w:rsidR="00FF3968" w:rsidRPr="00477D8F">
        <w:rPr>
          <w:rFonts w:ascii="Sylfaen" w:hAnsi="Sylfaen" w:cs="Times New Roman"/>
        </w:rPr>
        <w:t>;</w:t>
      </w:r>
      <w:r w:rsidRPr="00477D8F">
        <w:rPr>
          <w:rFonts w:ascii="Sylfaen" w:hAnsi="Sylfaen" w:cs="Times New Roman"/>
        </w:rPr>
        <w:t xml:space="preserve"> (</w:t>
      </w:r>
      <w:r w:rsidR="00FF3968" w:rsidRPr="00477D8F">
        <w:rPr>
          <w:rFonts w:ascii="Sylfaen" w:hAnsi="Sylfaen" w:cs="Times New Roman"/>
        </w:rPr>
        <w:t>b</w:t>
      </w:r>
      <w:r w:rsidRPr="00477D8F">
        <w:rPr>
          <w:rFonts w:ascii="Sylfaen" w:hAnsi="Sylfaen" w:cs="Times New Roman"/>
        </w:rPr>
        <w:t>) quality and relevance</w:t>
      </w:r>
      <w:r w:rsidR="00FF3968" w:rsidRPr="00477D8F">
        <w:rPr>
          <w:rFonts w:ascii="Sylfaen" w:hAnsi="Sylfaen" w:cs="Times New Roman"/>
        </w:rPr>
        <w:t>;</w:t>
      </w:r>
      <w:r w:rsidRPr="00477D8F">
        <w:rPr>
          <w:rFonts w:ascii="Sylfaen" w:hAnsi="Sylfaen" w:cs="Times New Roman"/>
        </w:rPr>
        <w:t xml:space="preserve"> (</w:t>
      </w:r>
      <w:r w:rsidR="00FF3968" w:rsidRPr="00477D8F">
        <w:rPr>
          <w:rFonts w:ascii="Sylfaen" w:hAnsi="Sylfaen" w:cs="Times New Roman"/>
        </w:rPr>
        <w:t>c</w:t>
      </w:r>
      <w:r w:rsidRPr="00477D8F">
        <w:rPr>
          <w:rFonts w:ascii="Sylfaen" w:hAnsi="Sylfaen" w:cs="Times New Roman"/>
        </w:rPr>
        <w:t>) research and development</w:t>
      </w:r>
      <w:r w:rsidR="00FF3968" w:rsidRPr="00477D8F">
        <w:rPr>
          <w:rFonts w:ascii="Sylfaen" w:hAnsi="Sylfaen" w:cs="Times New Roman"/>
        </w:rPr>
        <w:t>;</w:t>
      </w:r>
      <w:r w:rsidRPr="00477D8F">
        <w:rPr>
          <w:rFonts w:ascii="Sylfaen" w:hAnsi="Sylfaen" w:cs="Times New Roman"/>
        </w:rPr>
        <w:t xml:space="preserve"> (</w:t>
      </w:r>
      <w:r w:rsidR="00FF3968" w:rsidRPr="00477D8F">
        <w:rPr>
          <w:rFonts w:ascii="Sylfaen" w:hAnsi="Sylfaen" w:cs="Times New Roman"/>
        </w:rPr>
        <w:t>d</w:t>
      </w:r>
      <w:r w:rsidRPr="00477D8F">
        <w:rPr>
          <w:rFonts w:ascii="Sylfaen" w:hAnsi="Sylfaen" w:cs="Times New Roman"/>
        </w:rPr>
        <w:t>) science, technology</w:t>
      </w:r>
      <w:r w:rsidR="00FF3968" w:rsidRPr="00477D8F">
        <w:rPr>
          <w:rFonts w:ascii="Sylfaen" w:hAnsi="Sylfaen" w:cs="Times New Roman"/>
        </w:rPr>
        <w:t>,</w:t>
      </w:r>
      <w:r w:rsidRPr="00477D8F">
        <w:rPr>
          <w:rFonts w:ascii="Sylfaen" w:hAnsi="Sylfaen" w:cs="Times New Roman"/>
        </w:rPr>
        <w:t xml:space="preserve"> and innovation</w:t>
      </w:r>
      <w:r w:rsidR="00FF3968" w:rsidRPr="00477D8F">
        <w:rPr>
          <w:rFonts w:ascii="Sylfaen" w:hAnsi="Sylfaen" w:cs="Times New Roman"/>
        </w:rPr>
        <w:t>;</w:t>
      </w:r>
      <w:r w:rsidRPr="00477D8F">
        <w:rPr>
          <w:rFonts w:ascii="Sylfaen" w:hAnsi="Sylfaen" w:cs="Times New Roman"/>
        </w:rPr>
        <w:t xml:space="preserve"> and (</w:t>
      </w:r>
      <w:r w:rsidR="00FF3968" w:rsidRPr="00477D8F">
        <w:rPr>
          <w:rFonts w:ascii="Sylfaen" w:hAnsi="Sylfaen" w:cs="Times New Roman"/>
        </w:rPr>
        <w:t>f</w:t>
      </w:r>
      <w:r w:rsidRPr="00477D8F">
        <w:rPr>
          <w:rFonts w:ascii="Sylfaen" w:hAnsi="Sylfaen" w:cs="Times New Roman"/>
        </w:rPr>
        <w:t xml:space="preserve">) sector management. </w:t>
      </w:r>
    </w:p>
    <w:p w14:paraId="721C05E5" w14:textId="56F5738D" w:rsidR="00E33E7B" w:rsidRPr="00477D8F" w:rsidRDefault="00E532E4" w:rsidP="00E33E7B">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b/>
        </w:rPr>
        <w:t>The Gambia’s current formal education system follows a</w:t>
      </w:r>
      <w:r w:rsidR="00FF3968" w:rsidRPr="00477D8F">
        <w:rPr>
          <w:rFonts w:ascii="Sylfaen" w:hAnsi="Sylfaen"/>
          <w:b/>
        </w:rPr>
        <w:t>n</w:t>
      </w:r>
      <w:r w:rsidRPr="00477D8F">
        <w:rPr>
          <w:rFonts w:ascii="Sylfaen" w:hAnsi="Sylfaen"/>
          <w:b/>
        </w:rPr>
        <w:t xml:space="preserve"> </w:t>
      </w:r>
      <w:r w:rsidR="00854201" w:rsidRPr="00477D8F">
        <w:rPr>
          <w:rFonts w:ascii="Sylfaen" w:hAnsi="Sylfaen"/>
          <w:b/>
        </w:rPr>
        <w:t>ECD</w:t>
      </w:r>
      <w:r w:rsidRPr="00477D8F">
        <w:rPr>
          <w:rFonts w:ascii="Sylfaen" w:hAnsi="Sylfaen"/>
          <w:b/>
        </w:rPr>
        <w:t xml:space="preserve">-6-3-3-4 structure of </w:t>
      </w:r>
      <w:r w:rsidR="00621110" w:rsidRPr="00477D8F">
        <w:rPr>
          <w:rFonts w:ascii="Sylfaen" w:hAnsi="Sylfaen"/>
          <w:b/>
          <w:bCs/>
        </w:rPr>
        <w:t>early childhood development</w:t>
      </w:r>
      <w:r w:rsidR="00621110" w:rsidRPr="00477D8F">
        <w:rPr>
          <w:rFonts w:ascii="Sylfaen" w:hAnsi="Sylfaen"/>
          <w:b/>
        </w:rPr>
        <w:t xml:space="preserve"> (</w:t>
      </w:r>
      <w:r w:rsidRPr="00477D8F">
        <w:rPr>
          <w:rFonts w:ascii="Sylfaen" w:hAnsi="Sylfaen"/>
          <w:b/>
        </w:rPr>
        <w:t>ECD</w:t>
      </w:r>
      <w:r w:rsidR="00621110" w:rsidRPr="00477D8F">
        <w:rPr>
          <w:rFonts w:ascii="Sylfaen" w:hAnsi="Sylfaen"/>
          <w:b/>
        </w:rPr>
        <w:t>)</w:t>
      </w:r>
      <w:r w:rsidRPr="00477D8F">
        <w:rPr>
          <w:rFonts w:ascii="Sylfaen" w:hAnsi="Sylfaen"/>
          <w:b/>
        </w:rPr>
        <w:t xml:space="preserve"> covering ages 3</w:t>
      </w:r>
      <w:r w:rsidR="00FF3968" w:rsidRPr="00477D8F">
        <w:rPr>
          <w:rFonts w:ascii="Sylfaen" w:hAnsi="Sylfaen"/>
          <w:b/>
        </w:rPr>
        <w:t>–</w:t>
      </w:r>
      <w:r w:rsidRPr="00477D8F">
        <w:rPr>
          <w:rFonts w:ascii="Sylfaen" w:hAnsi="Sylfaen"/>
          <w:b/>
        </w:rPr>
        <w:t>6, six years of</w:t>
      </w:r>
      <w:r w:rsidRPr="00477D8F">
        <w:rPr>
          <w:rFonts w:ascii="Sylfaen" w:hAnsi="Sylfaen" w:cs="Times New Roman"/>
          <w:b/>
        </w:rPr>
        <w:t xml:space="preserve"> LBE which officially begins at age 7, followed by three years of Upper Basic </w:t>
      </w:r>
      <w:r w:rsidR="00A75A8A" w:rsidRPr="00477D8F">
        <w:rPr>
          <w:rFonts w:ascii="Sylfaen" w:hAnsi="Sylfaen" w:cs="Times New Roman"/>
          <w:b/>
        </w:rPr>
        <w:t>E</w:t>
      </w:r>
      <w:r w:rsidRPr="00477D8F">
        <w:rPr>
          <w:rFonts w:ascii="Sylfaen" w:hAnsi="Sylfaen" w:cs="Times New Roman"/>
          <w:b/>
        </w:rPr>
        <w:t>ducation (UBE).</w:t>
      </w:r>
      <w:r w:rsidRPr="00477D8F">
        <w:rPr>
          <w:rFonts w:ascii="Sylfaen" w:hAnsi="Sylfaen" w:cs="Times New Roman"/>
        </w:rPr>
        <w:t xml:space="preserve"> Together, ECD, LBE</w:t>
      </w:r>
      <w:r w:rsidR="00FF3968" w:rsidRPr="00477D8F">
        <w:rPr>
          <w:rFonts w:ascii="Sylfaen" w:hAnsi="Sylfaen" w:cs="Times New Roman"/>
        </w:rPr>
        <w:t>,</w:t>
      </w:r>
      <w:r w:rsidRPr="00477D8F">
        <w:rPr>
          <w:rFonts w:ascii="Sylfaen" w:hAnsi="Sylfaen" w:cs="Times New Roman"/>
        </w:rPr>
        <w:t xml:space="preserve"> and UBE cover grades 0</w:t>
      </w:r>
      <w:r w:rsidR="00FF3968" w:rsidRPr="00477D8F">
        <w:rPr>
          <w:rFonts w:ascii="Sylfaen" w:hAnsi="Sylfaen" w:cs="Times New Roman"/>
        </w:rPr>
        <w:t>–</w:t>
      </w:r>
      <w:r w:rsidRPr="00477D8F">
        <w:rPr>
          <w:rFonts w:ascii="Sylfaen" w:hAnsi="Sylfaen" w:cs="Times New Roman"/>
        </w:rPr>
        <w:t>9 and constitute the basic education level. This is followed by three years of senior secondary education</w:t>
      </w:r>
      <w:r w:rsidR="00FF3968" w:rsidRPr="00477D8F">
        <w:rPr>
          <w:rFonts w:ascii="Sylfaen" w:hAnsi="Sylfaen" w:cs="Times New Roman"/>
        </w:rPr>
        <w:t xml:space="preserve"> </w:t>
      </w:r>
      <w:r w:rsidR="00FD0FF5" w:rsidRPr="00477D8F">
        <w:rPr>
          <w:rFonts w:ascii="Sylfaen" w:hAnsi="Sylfaen" w:cs="Times New Roman"/>
        </w:rPr>
        <w:t>(</w:t>
      </w:r>
      <w:r w:rsidR="00FD0FF5" w:rsidRPr="00477D8F">
        <w:rPr>
          <w:rFonts w:ascii="Sylfaen" w:eastAsia="Times New Roman" w:hAnsi="Sylfaen" w:cs="Times New Roman"/>
          <w:color w:val="000000"/>
        </w:rPr>
        <w:t>SSE)</w:t>
      </w:r>
      <w:r w:rsidRPr="00477D8F">
        <w:rPr>
          <w:rFonts w:ascii="Sylfaen" w:hAnsi="Sylfaen" w:cs="Times New Roman"/>
        </w:rPr>
        <w:t xml:space="preserve"> and four years of tertiary or higher</w:t>
      </w:r>
      <w:r w:rsidRPr="00477D8F">
        <w:rPr>
          <w:rStyle w:val="FootnoteReference"/>
          <w:rFonts w:ascii="Sylfaen" w:hAnsi="Sylfaen" w:cs="Times New Roman"/>
        </w:rPr>
        <w:footnoteReference w:id="13"/>
      </w:r>
      <w:r w:rsidRPr="00477D8F">
        <w:rPr>
          <w:rFonts w:ascii="Sylfaen" w:hAnsi="Sylfaen" w:cs="Times New Roman"/>
        </w:rPr>
        <w:t xml:space="preserve"> education. The government encourages participation in ECD and has been proactive in expanding access to</w:t>
      </w:r>
      <w:r w:rsidR="00D45C81" w:rsidRPr="00477D8F">
        <w:rPr>
          <w:rFonts w:ascii="Sylfaen" w:hAnsi="Sylfaen" w:cs="Times New Roman"/>
        </w:rPr>
        <w:t xml:space="preserve"> </w:t>
      </w:r>
      <w:r w:rsidR="00D72BCB" w:rsidRPr="00477D8F">
        <w:rPr>
          <w:rFonts w:ascii="Sylfaen" w:hAnsi="Sylfaen" w:cs="Times New Roman"/>
        </w:rPr>
        <w:t xml:space="preserve">the </w:t>
      </w:r>
      <w:r w:rsidR="00BA0611" w:rsidRPr="00477D8F">
        <w:rPr>
          <w:rFonts w:ascii="Sylfaen" w:hAnsi="Sylfaen" w:cs="Times New Roman"/>
        </w:rPr>
        <w:t>ECD target age group</w:t>
      </w:r>
      <w:r w:rsidR="00FF3968" w:rsidRPr="00477D8F">
        <w:rPr>
          <w:rFonts w:ascii="Sylfaen" w:hAnsi="Sylfaen" w:cs="Times New Roman"/>
        </w:rPr>
        <w:t>,</w:t>
      </w:r>
      <w:r w:rsidR="00BA0611" w:rsidRPr="00477D8F">
        <w:rPr>
          <w:rFonts w:ascii="Sylfaen" w:hAnsi="Sylfaen" w:cs="Times New Roman"/>
        </w:rPr>
        <w:t xml:space="preserve"> from 3 to 6 years</w:t>
      </w:r>
      <w:r w:rsidR="00A661BD" w:rsidRPr="00477D8F">
        <w:rPr>
          <w:rFonts w:ascii="Sylfaen" w:hAnsi="Sylfaen" w:cs="Times New Roman"/>
        </w:rPr>
        <w:t>,</w:t>
      </w:r>
      <w:r w:rsidR="00BA0611" w:rsidRPr="00477D8F">
        <w:rPr>
          <w:rFonts w:ascii="Sylfaen" w:hAnsi="Sylfaen" w:cs="Times New Roman"/>
        </w:rPr>
        <w:t xml:space="preserve"> and there are four levels of the ECD programs.</w:t>
      </w:r>
      <w:r w:rsidR="004732F8" w:rsidRPr="00477D8F">
        <w:rPr>
          <w:rFonts w:ascii="Sylfaen" w:hAnsi="Sylfaen" w:cs="Times New Roman"/>
        </w:rPr>
        <w:t xml:space="preserve"> </w:t>
      </w:r>
      <w:r w:rsidR="00E33E7B" w:rsidRPr="00477D8F">
        <w:rPr>
          <w:rFonts w:ascii="Sylfaen" w:hAnsi="Sylfaen"/>
        </w:rPr>
        <w:t xml:space="preserve">Non-tertiary, tertiary, and higher education institutions are equivalent to </w:t>
      </w:r>
      <w:r w:rsidR="00D72BCB" w:rsidRPr="00477D8F">
        <w:rPr>
          <w:rFonts w:ascii="Sylfaen" w:hAnsi="Sylfaen"/>
        </w:rPr>
        <w:t xml:space="preserve">the </w:t>
      </w:r>
      <w:r w:rsidR="00E33E7B" w:rsidRPr="00477D8F">
        <w:rPr>
          <w:rFonts w:ascii="Sylfaen" w:hAnsi="Sylfaen"/>
        </w:rPr>
        <w:t xml:space="preserve">International Standard Classification of Education (ISCED) of </w:t>
      </w:r>
      <w:r w:rsidR="00D72BCB" w:rsidRPr="00477D8F">
        <w:rPr>
          <w:rFonts w:ascii="Sylfaen" w:hAnsi="Sylfaen"/>
        </w:rPr>
        <w:t xml:space="preserve">the </w:t>
      </w:r>
      <w:r w:rsidR="00A75A8A" w:rsidRPr="00477D8F">
        <w:rPr>
          <w:rFonts w:ascii="Sylfaen" w:eastAsia="Times New Roman" w:hAnsi="Sylfaen" w:cs="Times New Roman"/>
          <w:color w:val="000000"/>
        </w:rPr>
        <w:t>UN</w:t>
      </w:r>
      <w:r w:rsidR="008061CB" w:rsidRPr="00477D8F">
        <w:rPr>
          <w:rFonts w:ascii="Sylfaen" w:eastAsia="Times New Roman" w:hAnsi="Sylfaen" w:cs="Times New Roman"/>
          <w:color w:val="000000"/>
        </w:rPr>
        <w:t>ES</w:t>
      </w:r>
      <w:r w:rsidR="00A75A8A" w:rsidRPr="00477D8F">
        <w:rPr>
          <w:rFonts w:ascii="Sylfaen" w:eastAsia="Times New Roman" w:hAnsi="Sylfaen" w:cs="Times New Roman"/>
          <w:color w:val="000000"/>
        </w:rPr>
        <w:t xml:space="preserve">CO </w:t>
      </w:r>
      <w:r w:rsidR="00A75A8A" w:rsidRPr="00477D8F">
        <w:rPr>
          <w:rFonts w:ascii="Sylfaen" w:eastAsia="Times New Roman" w:hAnsi="Sylfaen" w:cs="Times New Roman"/>
          <w:bCs/>
          <w:color w:val="000000"/>
        </w:rPr>
        <w:t>Institute of Statistics</w:t>
      </w:r>
      <w:r w:rsidR="00A75A8A" w:rsidRPr="00477D8F">
        <w:rPr>
          <w:rFonts w:ascii="Sylfaen" w:hAnsi="Sylfaen"/>
        </w:rPr>
        <w:t xml:space="preserve"> (</w:t>
      </w:r>
      <w:r w:rsidR="00E33E7B" w:rsidRPr="00477D8F">
        <w:rPr>
          <w:rFonts w:ascii="Sylfaen" w:hAnsi="Sylfaen"/>
        </w:rPr>
        <w:t>UIS</w:t>
      </w:r>
      <w:r w:rsidR="00A75A8A" w:rsidRPr="00477D8F">
        <w:rPr>
          <w:rFonts w:ascii="Sylfaen" w:hAnsi="Sylfaen"/>
        </w:rPr>
        <w:t>)</w:t>
      </w:r>
      <w:r w:rsidR="00E33E7B" w:rsidRPr="00477D8F">
        <w:rPr>
          <w:rFonts w:ascii="Sylfaen" w:hAnsi="Sylfaen"/>
        </w:rPr>
        <w:t xml:space="preserve"> level</w:t>
      </w:r>
      <w:r w:rsidR="00E527D3" w:rsidRPr="00477D8F">
        <w:rPr>
          <w:rFonts w:ascii="Sylfaen" w:hAnsi="Sylfaen"/>
        </w:rPr>
        <w:t>s</w:t>
      </w:r>
      <w:r w:rsidR="00E33E7B" w:rsidRPr="00477D8F">
        <w:rPr>
          <w:rFonts w:ascii="Sylfaen" w:hAnsi="Sylfaen"/>
        </w:rPr>
        <w:t xml:space="preserve"> 4, 5, and 6 and above</w:t>
      </w:r>
      <w:r w:rsidR="00F22366" w:rsidRPr="00477D8F">
        <w:rPr>
          <w:rFonts w:ascii="Sylfaen" w:hAnsi="Sylfaen"/>
        </w:rPr>
        <w:t>,</w:t>
      </w:r>
      <w:r w:rsidR="00E33E7B" w:rsidRPr="00477D8F">
        <w:rPr>
          <w:rFonts w:ascii="Sylfaen" w:hAnsi="Sylfaen"/>
        </w:rPr>
        <w:t xml:space="preserve"> respectively.</w:t>
      </w:r>
      <w:r w:rsidR="00272695" w:rsidRPr="00477D8F">
        <w:rPr>
          <w:rFonts w:ascii="Sylfaen" w:hAnsi="Sylfaen"/>
        </w:rPr>
        <w:t xml:space="preserve"> </w:t>
      </w:r>
      <w:r w:rsidR="00E33E7B" w:rsidRPr="00477D8F">
        <w:rPr>
          <w:rFonts w:ascii="Sylfaen" w:hAnsi="Sylfaen"/>
        </w:rPr>
        <w:t>Tertiary programs can lead to a degree program of higher education institutions while non-tertiary cannot.</w:t>
      </w:r>
      <w:r w:rsidR="00272695" w:rsidRPr="00477D8F">
        <w:rPr>
          <w:rFonts w:ascii="Sylfaen" w:hAnsi="Sylfaen"/>
        </w:rPr>
        <w:t xml:space="preserve"> </w:t>
      </w:r>
      <w:r w:rsidR="00E33E7B" w:rsidRPr="00477D8F">
        <w:rPr>
          <w:rFonts w:ascii="Sylfaen" w:hAnsi="Sylfaen"/>
        </w:rPr>
        <w:t xml:space="preserve">The length of non-tertiary and tertiary programs </w:t>
      </w:r>
      <w:r w:rsidR="002828F4" w:rsidRPr="00477D8F">
        <w:rPr>
          <w:rFonts w:ascii="Sylfaen" w:hAnsi="Sylfaen"/>
        </w:rPr>
        <w:t>varies</w:t>
      </w:r>
      <w:r w:rsidR="00E33E7B" w:rsidRPr="00477D8F">
        <w:rPr>
          <w:rFonts w:ascii="Sylfaen" w:hAnsi="Sylfaen"/>
        </w:rPr>
        <w:t xml:space="preserve"> from a few months to two or three years.</w:t>
      </w:r>
      <w:r w:rsidR="00272695" w:rsidRPr="00477D8F">
        <w:rPr>
          <w:rFonts w:ascii="Sylfaen" w:hAnsi="Sylfaen"/>
        </w:rPr>
        <w:t xml:space="preserve"> </w:t>
      </w:r>
    </w:p>
    <w:p w14:paraId="4BE3C4B4" w14:textId="30DE3681" w:rsidR="00854201" w:rsidRPr="00477D8F" w:rsidRDefault="00854201" w:rsidP="00854201">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 xml:space="preserve">The current basic education structure was introduced in 2002. </w:t>
      </w:r>
      <w:r w:rsidRPr="00477D8F">
        <w:rPr>
          <w:rFonts w:ascii="Sylfaen" w:hAnsi="Sylfaen" w:cs="Times New Roman"/>
        </w:rPr>
        <w:t xml:space="preserve">It replaced the primary-junior secondary-senior secondary system and effectively phased out the primary cycle examination as well as the </w:t>
      </w:r>
      <w:r w:rsidR="003837E0" w:rsidRPr="00477D8F">
        <w:rPr>
          <w:rFonts w:ascii="Sylfaen" w:hAnsi="Sylfaen" w:cs="Times New Roman"/>
        </w:rPr>
        <w:t>p</w:t>
      </w:r>
      <w:r w:rsidRPr="00477D8F">
        <w:rPr>
          <w:rFonts w:ascii="Sylfaen" w:hAnsi="Sylfaen" w:cs="Times New Roman"/>
        </w:rPr>
        <w:t xml:space="preserve">rimary </w:t>
      </w:r>
      <w:r w:rsidR="003837E0" w:rsidRPr="00477D8F">
        <w:rPr>
          <w:rFonts w:ascii="Sylfaen" w:hAnsi="Sylfaen" w:cs="Times New Roman"/>
        </w:rPr>
        <w:t>s</w:t>
      </w:r>
      <w:r w:rsidRPr="00477D8F">
        <w:rPr>
          <w:rFonts w:ascii="Sylfaen" w:hAnsi="Sylfaen" w:cs="Times New Roman"/>
        </w:rPr>
        <w:t xml:space="preserve">chool </w:t>
      </w:r>
      <w:r w:rsidR="003837E0" w:rsidRPr="00477D8F">
        <w:rPr>
          <w:rFonts w:ascii="Sylfaen" w:hAnsi="Sylfaen" w:cs="Times New Roman"/>
        </w:rPr>
        <w:t>l</w:t>
      </w:r>
      <w:r w:rsidRPr="00477D8F">
        <w:rPr>
          <w:rFonts w:ascii="Sylfaen" w:hAnsi="Sylfaen" w:cs="Times New Roman"/>
        </w:rPr>
        <w:t xml:space="preserve">eaving </w:t>
      </w:r>
      <w:r w:rsidR="003837E0" w:rsidRPr="00477D8F">
        <w:rPr>
          <w:rFonts w:ascii="Sylfaen" w:hAnsi="Sylfaen" w:cs="Times New Roman"/>
        </w:rPr>
        <w:t>c</w:t>
      </w:r>
      <w:r w:rsidRPr="00477D8F">
        <w:rPr>
          <w:rFonts w:ascii="Sylfaen" w:hAnsi="Sylfaen" w:cs="Times New Roman"/>
        </w:rPr>
        <w:t>ertificate. The new structure promotes a unified basic education level with automatic promotion from grade 1 to 9 with continuous assessment at the school level.</w:t>
      </w:r>
      <w:r w:rsidR="00272695" w:rsidRPr="00477D8F">
        <w:rPr>
          <w:rFonts w:ascii="Sylfaen" w:hAnsi="Sylfaen" w:cs="Times New Roman"/>
        </w:rPr>
        <w:t xml:space="preserve"> </w:t>
      </w:r>
      <w:r w:rsidRPr="00477D8F">
        <w:rPr>
          <w:rFonts w:ascii="Sylfaen" w:hAnsi="Sylfaen" w:cs="Times New Roman"/>
        </w:rPr>
        <w:t>Although The Gambia has several national assessment instruments, the assessment system does not allow for evaluation of learning outcomes over</w:t>
      </w:r>
      <w:r w:rsidR="00214646" w:rsidRPr="00477D8F">
        <w:rPr>
          <w:rFonts w:ascii="Sylfaen" w:hAnsi="Sylfaen" w:cs="Times New Roman"/>
        </w:rPr>
        <w:t xml:space="preserve"> </w:t>
      </w:r>
      <w:r w:rsidRPr="00477D8F">
        <w:rPr>
          <w:rFonts w:ascii="Sylfaen" w:hAnsi="Sylfaen" w:cs="Times New Roman"/>
        </w:rPr>
        <w:t>time. There is a need to have instruments that not only measure progress toward learning outcomes but are also comparable over</w:t>
      </w:r>
      <w:r w:rsidR="00214646" w:rsidRPr="00477D8F">
        <w:rPr>
          <w:rFonts w:ascii="Sylfaen" w:hAnsi="Sylfaen" w:cs="Times New Roman"/>
        </w:rPr>
        <w:t xml:space="preserve"> </w:t>
      </w:r>
      <w:r w:rsidRPr="00477D8F">
        <w:rPr>
          <w:rFonts w:ascii="Sylfaen" w:hAnsi="Sylfaen" w:cs="Times New Roman"/>
        </w:rPr>
        <w:t>time.</w:t>
      </w:r>
      <w:r w:rsidR="00272695" w:rsidRPr="00477D8F">
        <w:rPr>
          <w:rFonts w:ascii="Sylfaen" w:hAnsi="Sylfaen" w:cs="Times New Roman"/>
        </w:rPr>
        <w:t xml:space="preserve"> </w:t>
      </w:r>
    </w:p>
    <w:p w14:paraId="3AD12E60" w14:textId="3CCAA121" w:rsidR="004A5F87" w:rsidRPr="00477D8F" w:rsidRDefault="00854201" w:rsidP="00854201">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lastRenderedPageBreak/>
        <w:t>The NAT provides periodical evaluation of performance through the basic education cycle.</w:t>
      </w:r>
      <w:r w:rsidRPr="00477D8F">
        <w:rPr>
          <w:rFonts w:ascii="Sylfaen" w:hAnsi="Sylfaen" w:cs="Times New Roman"/>
        </w:rPr>
        <w:t xml:space="preserve"> It is mandatory in grades 3, 5, and 8 and the results are intended to assess and highlight strong and weak areas of students’ learning in each subject. The end of the basic education cycle is marked by a compulsory examination (GABECE) in 10 subjects</w:t>
      </w:r>
      <w:r w:rsidRPr="00477D8F">
        <w:rPr>
          <w:rStyle w:val="FootnoteReference"/>
          <w:rFonts w:ascii="Sylfaen" w:hAnsi="Sylfaen" w:cs="Times New Roman"/>
        </w:rPr>
        <w:footnoteReference w:id="14"/>
      </w:r>
      <w:r w:rsidR="00272695" w:rsidRPr="00477D8F">
        <w:rPr>
          <w:rFonts w:ascii="Sylfaen" w:hAnsi="Sylfaen" w:cs="Times New Roman"/>
        </w:rPr>
        <w:t xml:space="preserve"> </w:t>
      </w:r>
      <w:r w:rsidRPr="00477D8F">
        <w:rPr>
          <w:rFonts w:ascii="Sylfaen" w:hAnsi="Sylfaen" w:cs="Times New Roman"/>
        </w:rPr>
        <w:t xml:space="preserve">for all students in grade 9. The GABECE is </w:t>
      </w:r>
      <w:r w:rsidR="00007B70" w:rsidRPr="00477D8F">
        <w:rPr>
          <w:rFonts w:ascii="Sylfaen" w:hAnsi="Sylfaen" w:cs="Times New Roman"/>
        </w:rPr>
        <w:t xml:space="preserve">a </w:t>
      </w:r>
      <w:r w:rsidR="008F189F" w:rsidRPr="00477D8F">
        <w:rPr>
          <w:rFonts w:ascii="Sylfaen" w:hAnsi="Sylfaen" w:cs="Times New Roman"/>
        </w:rPr>
        <w:t>crucial high-stakes</w:t>
      </w:r>
      <w:r w:rsidRPr="00477D8F">
        <w:rPr>
          <w:rFonts w:ascii="Sylfaen" w:hAnsi="Sylfaen" w:cs="Times New Roman"/>
        </w:rPr>
        <w:t xml:space="preserve"> exam, as its results are used to determine entry into senior secondary schools</w:t>
      </w:r>
      <w:r w:rsidR="00FD0FF5" w:rsidRPr="00477D8F">
        <w:rPr>
          <w:rFonts w:ascii="Sylfaen" w:hAnsi="Sylfaen" w:cs="Times New Roman"/>
        </w:rPr>
        <w:t xml:space="preserve"> (SSSs)</w:t>
      </w:r>
      <w:r w:rsidRPr="00477D8F">
        <w:rPr>
          <w:rFonts w:ascii="Sylfaen" w:hAnsi="Sylfaen" w:cs="Times New Roman"/>
        </w:rPr>
        <w:t>.</w:t>
      </w:r>
    </w:p>
    <w:p w14:paraId="2E2D0149" w14:textId="6FD56BA9" w:rsidR="008F189F" w:rsidRPr="00477D8F" w:rsidRDefault="00854201" w:rsidP="008F189F">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At the end of the senior secondary cycle, students take the WASSCE (or the International General Certificate of Secondary Education in private schools), the results of which are used to place students in higher and tertiary education.</w:t>
      </w:r>
      <w:r w:rsidRPr="00477D8F">
        <w:rPr>
          <w:rFonts w:ascii="Sylfaen" w:hAnsi="Sylfaen" w:cs="Times New Roman"/>
        </w:rPr>
        <w:t xml:space="preserve"> The public sector is an important service provider of higher and tertiary education in The Gambia, with the University of The Gambia (UTG), The Gambia College, and Gambia Technical Training Institute (GTTI) being the three leading institutions. </w:t>
      </w:r>
    </w:p>
    <w:p w14:paraId="20FB1915" w14:textId="6DEEDEA7" w:rsidR="00272695" w:rsidRPr="00477D8F" w:rsidRDefault="008B2155" w:rsidP="002A4725">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imes New Roman"/>
        </w:rPr>
      </w:pPr>
      <w:r w:rsidRPr="00477D8F">
        <w:rPr>
          <w:rFonts w:ascii="Sylfaen" w:hAnsi="Sylfaen" w:cs="Times New Roman"/>
          <w:b/>
        </w:rPr>
        <w:t xml:space="preserve">Other </w:t>
      </w:r>
      <w:r w:rsidR="00FE4E45" w:rsidRPr="00477D8F">
        <w:rPr>
          <w:rFonts w:ascii="Sylfaen" w:hAnsi="Sylfaen" w:cs="Times New Roman"/>
          <w:b/>
        </w:rPr>
        <w:t>national assessment</w:t>
      </w:r>
      <w:r w:rsidRPr="00477D8F">
        <w:rPr>
          <w:rFonts w:ascii="Sylfaen" w:hAnsi="Sylfaen" w:cs="Times New Roman"/>
          <w:b/>
        </w:rPr>
        <w:t>s</w:t>
      </w:r>
      <w:r w:rsidR="00FE4E45" w:rsidRPr="00477D8F">
        <w:rPr>
          <w:rFonts w:ascii="Sylfaen" w:hAnsi="Sylfaen" w:cs="Times New Roman"/>
          <w:b/>
        </w:rPr>
        <w:t xml:space="preserve"> </w:t>
      </w:r>
      <w:r w:rsidRPr="00477D8F">
        <w:rPr>
          <w:rFonts w:ascii="Sylfaen" w:hAnsi="Sylfaen" w:cs="Times New Roman"/>
          <w:b/>
        </w:rPr>
        <w:t>are</w:t>
      </w:r>
      <w:r w:rsidR="00FE4E45" w:rsidRPr="00477D8F">
        <w:rPr>
          <w:rFonts w:ascii="Sylfaen" w:hAnsi="Sylfaen" w:cs="Times New Roman"/>
          <w:b/>
        </w:rPr>
        <w:t xml:space="preserve"> </w:t>
      </w:r>
      <w:r w:rsidR="00FE4E45" w:rsidRPr="00477D8F">
        <w:rPr>
          <w:rFonts w:ascii="Sylfaen" w:hAnsi="Sylfaen"/>
          <w:b/>
        </w:rPr>
        <w:t>EGRA</w:t>
      </w:r>
      <w:r w:rsidR="00D45C81" w:rsidRPr="00477D8F">
        <w:rPr>
          <w:rFonts w:ascii="Sylfaen" w:hAnsi="Sylfaen"/>
          <w:b/>
        </w:rPr>
        <w:t xml:space="preserve"> and </w:t>
      </w:r>
      <w:r w:rsidR="00FE4E45" w:rsidRPr="00477D8F">
        <w:rPr>
          <w:rFonts w:ascii="Sylfaen" w:hAnsi="Sylfaen"/>
          <w:b/>
        </w:rPr>
        <w:t>EGMA which were introduced in 2007 and 2013</w:t>
      </w:r>
      <w:r w:rsidR="00687E23" w:rsidRPr="00477D8F">
        <w:rPr>
          <w:rFonts w:ascii="Sylfaen" w:hAnsi="Sylfaen"/>
          <w:b/>
        </w:rPr>
        <w:t>,</w:t>
      </w:r>
      <w:r w:rsidR="00FE4E45" w:rsidRPr="00477D8F">
        <w:rPr>
          <w:rFonts w:ascii="Sylfaen" w:hAnsi="Sylfaen"/>
          <w:b/>
        </w:rPr>
        <w:t xml:space="preserve"> respectively, to evaluate the basic literacy and numeracy acquisition in </w:t>
      </w:r>
      <w:r w:rsidR="00687E23" w:rsidRPr="00477D8F">
        <w:rPr>
          <w:rFonts w:ascii="Sylfaen" w:hAnsi="Sylfaen"/>
          <w:b/>
        </w:rPr>
        <w:t>g</w:t>
      </w:r>
      <w:r w:rsidR="00FE4E45" w:rsidRPr="00477D8F">
        <w:rPr>
          <w:rFonts w:ascii="Sylfaen" w:hAnsi="Sylfaen"/>
          <w:b/>
        </w:rPr>
        <w:t>rade</w:t>
      </w:r>
      <w:r w:rsidR="00687E23" w:rsidRPr="00477D8F">
        <w:rPr>
          <w:rFonts w:ascii="Sylfaen" w:hAnsi="Sylfaen"/>
          <w:b/>
        </w:rPr>
        <w:t>s</w:t>
      </w:r>
      <w:r w:rsidR="00FE4E45" w:rsidRPr="00477D8F">
        <w:rPr>
          <w:rFonts w:ascii="Sylfaen" w:hAnsi="Sylfaen"/>
          <w:b/>
        </w:rPr>
        <w:t xml:space="preserve"> 1, 2, and 3.</w:t>
      </w:r>
      <w:r w:rsidR="004732F8" w:rsidRPr="00477D8F">
        <w:rPr>
          <w:rFonts w:ascii="Sylfaen" w:hAnsi="Sylfaen"/>
          <w:b/>
        </w:rPr>
        <w:t xml:space="preserve"> </w:t>
      </w:r>
      <w:r w:rsidR="00FE4E45" w:rsidRPr="00477D8F">
        <w:rPr>
          <w:rFonts w:ascii="Sylfaen" w:hAnsi="Sylfaen"/>
        </w:rPr>
        <w:t>They are administered on the basis of a representative sample of students every year and are designed to measure students’ specific knowledge or skill, thus it is considered a criterion-referenced test. EGRA aims to assess the literacy skills acquired by students and shed</w:t>
      </w:r>
      <w:r w:rsidR="00687E23" w:rsidRPr="00477D8F">
        <w:rPr>
          <w:rFonts w:ascii="Sylfaen" w:hAnsi="Sylfaen"/>
        </w:rPr>
        <w:t>s</w:t>
      </w:r>
      <w:r w:rsidR="00FE4E45" w:rsidRPr="00477D8F">
        <w:rPr>
          <w:rFonts w:ascii="Sylfaen" w:hAnsi="Sylfaen"/>
        </w:rPr>
        <w:t xml:space="preserve"> light on student’s mastery of the curricula. The assessments inform policy makers about the quality of instruction and help</w:t>
      </w:r>
      <w:r w:rsidR="00687E23" w:rsidRPr="00477D8F">
        <w:rPr>
          <w:rFonts w:ascii="Sylfaen" w:hAnsi="Sylfaen"/>
        </w:rPr>
        <w:t xml:space="preserve"> </w:t>
      </w:r>
      <w:r w:rsidR="00FE4E45" w:rsidRPr="00477D8F">
        <w:rPr>
          <w:rFonts w:ascii="Sylfaen" w:hAnsi="Sylfaen"/>
        </w:rPr>
        <w:t>identify needs for corrective measures early in the educational cycle. EGRA and EGMA are individually administered tests, and EGRA covers letter recognition, word reading, oral reading fluency</w:t>
      </w:r>
      <w:r w:rsidR="00687E23" w:rsidRPr="00477D8F">
        <w:rPr>
          <w:rFonts w:ascii="Sylfaen" w:hAnsi="Sylfaen"/>
        </w:rPr>
        <w:t>,</w:t>
      </w:r>
      <w:r w:rsidR="00FE4E45" w:rsidRPr="00477D8F">
        <w:rPr>
          <w:rFonts w:ascii="Sylfaen" w:hAnsi="Sylfaen"/>
        </w:rPr>
        <w:t xml:space="preserve"> and reading comprehension, while EGMA covers number identification, quantity discrimination, shape identification, addition, subtraction</w:t>
      </w:r>
      <w:r w:rsidR="00687E23" w:rsidRPr="00477D8F">
        <w:rPr>
          <w:rFonts w:ascii="Sylfaen" w:hAnsi="Sylfaen"/>
        </w:rPr>
        <w:t>, and so on</w:t>
      </w:r>
      <w:r w:rsidR="00FE4E45" w:rsidRPr="00477D8F">
        <w:rPr>
          <w:rFonts w:ascii="Sylfaen" w:hAnsi="Sylfaen"/>
        </w:rPr>
        <w:t>.</w:t>
      </w:r>
    </w:p>
    <w:tbl>
      <w:tblPr>
        <w:tblStyle w:val="TableGrid14"/>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159F8" w:rsidRPr="00477D8F" w14:paraId="257E460F" w14:textId="77777777" w:rsidTr="00D8321A">
        <w:trPr>
          <w:trHeight w:val="10"/>
        </w:trPr>
        <w:tc>
          <w:tcPr>
            <w:tcW w:w="9350" w:type="dxa"/>
            <w:hideMark/>
          </w:tcPr>
          <w:p w14:paraId="012C8F33" w14:textId="170653F0" w:rsidR="006159F8" w:rsidRPr="00477D8F" w:rsidRDefault="006159F8" w:rsidP="00D8321A">
            <w:pPr>
              <w:pStyle w:val="Caption1"/>
              <w:keepLines/>
            </w:pPr>
            <w:bookmarkStart w:id="47" w:name="_Toc497171775"/>
            <w:r w:rsidRPr="00477D8F">
              <w:rPr>
                <w:bCs/>
              </w:rPr>
              <w:lastRenderedPageBreak/>
              <w:t xml:space="preserve">Figure </w:t>
            </w:r>
            <w:r w:rsidRPr="00477D8F">
              <w:rPr>
                <w:bCs/>
              </w:rPr>
              <w:fldChar w:fldCharType="begin"/>
            </w:r>
            <w:r w:rsidRPr="00477D8F">
              <w:rPr>
                <w:bCs/>
              </w:rPr>
              <w:instrText xml:space="preserve"> SEQ Figure \* ARABIC </w:instrText>
            </w:r>
            <w:r w:rsidRPr="00477D8F">
              <w:rPr>
                <w:bCs/>
              </w:rPr>
              <w:fldChar w:fldCharType="separate"/>
            </w:r>
            <w:r w:rsidR="00F800F3" w:rsidRPr="00477D8F">
              <w:rPr>
                <w:bCs/>
                <w:noProof/>
              </w:rPr>
              <w:t>5</w:t>
            </w:r>
            <w:r w:rsidRPr="00477D8F">
              <w:rPr>
                <w:bCs/>
              </w:rPr>
              <w:fldChar w:fldCharType="end"/>
            </w:r>
            <w:r w:rsidRPr="00477D8F">
              <w:rPr>
                <w:bCs/>
              </w:rPr>
              <w:t>:</w:t>
            </w:r>
            <w:r w:rsidR="00272695" w:rsidRPr="00477D8F">
              <w:t xml:space="preserve"> </w:t>
            </w:r>
            <w:r w:rsidRPr="00477D8F">
              <w:t>The education system in The Gambia</w:t>
            </w:r>
            <w:bookmarkEnd w:id="47"/>
          </w:p>
        </w:tc>
      </w:tr>
      <w:tr w:rsidR="006159F8" w:rsidRPr="00477D8F" w14:paraId="0FF4EC61" w14:textId="77777777" w:rsidTr="00D8321A">
        <w:trPr>
          <w:trHeight w:val="231"/>
        </w:trPr>
        <w:tc>
          <w:tcPr>
            <w:tcW w:w="9350" w:type="dxa"/>
            <w:hideMark/>
          </w:tcPr>
          <w:p w14:paraId="78527F92" w14:textId="6E52CF76" w:rsidR="006159F8" w:rsidRPr="00477D8F" w:rsidRDefault="00C536B4" w:rsidP="00D8321A">
            <w:pPr>
              <w:keepNext/>
              <w:keepLines/>
              <w:jc w:val="both"/>
              <w:rPr>
                <w:rFonts w:ascii="Sylfaen" w:hAnsi="Sylfaen"/>
                <w:bCs/>
              </w:rPr>
            </w:pPr>
            <w:r w:rsidRPr="00477D8F">
              <w:rPr>
                <w:rFonts w:ascii="Sylfaen" w:hAnsi="Sylfaen"/>
                <w:bCs/>
                <w:noProof/>
              </w:rPr>
              <w:drawing>
                <wp:inline distT="0" distB="0" distL="0" distR="0" wp14:anchorId="46B8B895" wp14:editId="45B54913">
                  <wp:extent cx="5711484" cy="5528310"/>
                  <wp:effectExtent l="0" t="0" r="381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3588" cy="5530347"/>
                          </a:xfrm>
                          <a:prstGeom prst="rect">
                            <a:avLst/>
                          </a:prstGeom>
                          <a:noFill/>
                          <a:ln>
                            <a:noFill/>
                          </a:ln>
                        </pic:spPr>
                      </pic:pic>
                    </a:graphicData>
                  </a:graphic>
                </wp:inline>
              </w:drawing>
            </w:r>
          </w:p>
        </w:tc>
      </w:tr>
      <w:tr w:rsidR="006159F8" w:rsidRPr="00477D8F" w14:paraId="6F02392E" w14:textId="77777777" w:rsidTr="00D8321A">
        <w:trPr>
          <w:trHeight w:val="296"/>
        </w:trPr>
        <w:tc>
          <w:tcPr>
            <w:tcW w:w="9350" w:type="dxa"/>
            <w:shd w:val="clear" w:color="auto" w:fill="auto"/>
            <w:hideMark/>
          </w:tcPr>
          <w:p w14:paraId="421D0980" w14:textId="46DCF68F" w:rsidR="006159F8" w:rsidRPr="00477D8F" w:rsidRDefault="006159F8" w:rsidP="00D8321A">
            <w:pPr>
              <w:pStyle w:val="Source"/>
              <w:keepNext/>
              <w:keepLines/>
            </w:pPr>
            <w:r w:rsidRPr="00477D8F">
              <w:rPr>
                <w:i/>
              </w:rPr>
              <w:t>Source</w:t>
            </w:r>
            <w:r w:rsidR="00E532E4" w:rsidRPr="00477D8F">
              <w:rPr>
                <w:i/>
              </w:rPr>
              <w:t>:</w:t>
            </w:r>
            <w:r w:rsidRPr="00477D8F">
              <w:t xml:space="preserve"> </w:t>
            </w:r>
            <w:r w:rsidR="00272695" w:rsidRPr="00477D8F">
              <w:t>MoBSE</w:t>
            </w:r>
            <w:r w:rsidR="00810D67" w:rsidRPr="00477D8F">
              <w:t>.</w:t>
            </w:r>
          </w:p>
        </w:tc>
      </w:tr>
    </w:tbl>
    <w:p w14:paraId="7E86FB15" w14:textId="1709595E" w:rsidR="00E532E4" w:rsidRPr="00477D8F" w:rsidRDefault="00E532E4" w:rsidP="00ED0E68">
      <w:pPr>
        <w:pStyle w:val="Heading2"/>
        <w:rPr>
          <w:b/>
        </w:rPr>
      </w:pPr>
      <w:bookmarkStart w:id="48" w:name="_Toc483335790"/>
      <w:bookmarkStart w:id="49" w:name="_Toc485111148"/>
      <w:bookmarkStart w:id="50" w:name="_Toc497171854"/>
      <w:r w:rsidRPr="00477D8F">
        <w:t>Public-private partnership</w:t>
      </w:r>
      <w:bookmarkEnd w:id="48"/>
      <w:bookmarkEnd w:id="49"/>
      <w:bookmarkEnd w:id="50"/>
    </w:p>
    <w:p w14:paraId="1B5B47F2" w14:textId="0B9A2387" w:rsidR="00E532E4" w:rsidRPr="00477D8F" w:rsidRDefault="00E532E4" w:rsidP="00E532E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In The Gambia, government and grant-aided schools are categorized as public schools whereas private schools comp</w:t>
      </w:r>
      <w:r w:rsidR="007355C6" w:rsidRPr="00477D8F">
        <w:rPr>
          <w:rFonts w:ascii="Sylfaen" w:hAnsi="Sylfaen" w:cs="Times New Roman"/>
          <w:b/>
        </w:rPr>
        <w:t>rise</w:t>
      </w:r>
      <w:r w:rsidRPr="00477D8F">
        <w:rPr>
          <w:rFonts w:ascii="Sylfaen" w:hAnsi="Sylfaen" w:cs="Times New Roman"/>
          <w:b/>
        </w:rPr>
        <w:t xml:space="preserve"> the </w:t>
      </w:r>
      <w:r w:rsidR="00E80A69" w:rsidRPr="00477D8F">
        <w:rPr>
          <w:rFonts w:ascii="Sylfaen" w:hAnsi="Sylfaen" w:cs="Times New Roman"/>
          <w:b/>
        </w:rPr>
        <w:t>Madrassah</w:t>
      </w:r>
      <w:r w:rsidRPr="00477D8F">
        <w:rPr>
          <w:rFonts w:ascii="Sylfaen" w:hAnsi="Sylfaen" w:cs="Times New Roman"/>
          <w:b/>
        </w:rPr>
        <w:t xml:space="preserve"> and private conventional schools.</w:t>
      </w:r>
      <w:r w:rsidR="00272695" w:rsidRPr="00477D8F">
        <w:rPr>
          <w:rFonts w:ascii="Sylfaen" w:hAnsi="Sylfaen" w:cs="Times New Roman"/>
        </w:rPr>
        <w:t xml:space="preserve"> </w:t>
      </w:r>
      <w:r w:rsidRPr="00477D8F">
        <w:rPr>
          <w:rFonts w:ascii="Sylfaen" w:hAnsi="Sylfaen" w:cs="Times New Roman"/>
        </w:rPr>
        <w:t xml:space="preserve">All of the government and grant-aided schools that provide basic and secondary education are principally financed by the </w:t>
      </w:r>
      <w:r w:rsidR="007355C6" w:rsidRPr="00477D8F">
        <w:rPr>
          <w:rFonts w:ascii="Sylfaen" w:hAnsi="Sylfaen" w:cs="Times New Roman"/>
        </w:rPr>
        <w:t>g</w:t>
      </w:r>
      <w:r w:rsidRPr="00477D8F">
        <w:rPr>
          <w:rFonts w:ascii="Sylfaen" w:hAnsi="Sylfaen" w:cs="Times New Roman"/>
        </w:rPr>
        <w:t>overnment. The grant</w:t>
      </w:r>
      <w:r w:rsidR="007355C6" w:rsidRPr="00477D8F">
        <w:rPr>
          <w:rFonts w:ascii="Sylfaen" w:hAnsi="Sylfaen" w:cs="Times New Roman"/>
        </w:rPr>
        <w:t>-</w:t>
      </w:r>
      <w:r w:rsidRPr="00477D8F">
        <w:rPr>
          <w:rFonts w:ascii="Sylfaen" w:hAnsi="Sylfaen" w:cs="Times New Roman"/>
        </w:rPr>
        <w:t xml:space="preserve">aided schools are managed by the </w:t>
      </w:r>
      <w:r w:rsidR="007355C6" w:rsidRPr="00477D8F">
        <w:rPr>
          <w:rFonts w:ascii="Sylfaen" w:hAnsi="Sylfaen" w:cs="Times New Roman"/>
        </w:rPr>
        <w:t>s</w:t>
      </w:r>
      <w:r w:rsidRPr="00477D8F">
        <w:rPr>
          <w:rFonts w:ascii="Sylfaen" w:hAnsi="Sylfaen" w:cs="Times New Roman"/>
        </w:rPr>
        <w:t xml:space="preserve">chool </w:t>
      </w:r>
      <w:r w:rsidR="007355C6" w:rsidRPr="00477D8F">
        <w:rPr>
          <w:rFonts w:ascii="Sylfaen" w:hAnsi="Sylfaen" w:cs="Times New Roman"/>
        </w:rPr>
        <w:t>b</w:t>
      </w:r>
      <w:r w:rsidRPr="00477D8F">
        <w:rPr>
          <w:rFonts w:ascii="Sylfaen" w:hAnsi="Sylfaen" w:cs="Times New Roman"/>
        </w:rPr>
        <w:t xml:space="preserve">oards but the </w:t>
      </w:r>
      <w:r w:rsidR="00A62D29" w:rsidRPr="00477D8F">
        <w:rPr>
          <w:rFonts w:ascii="Sylfaen" w:hAnsi="Sylfaen" w:cs="Times New Roman"/>
        </w:rPr>
        <w:t>g</w:t>
      </w:r>
      <w:r w:rsidRPr="00477D8F">
        <w:rPr>
          <w:rFonts w:ascii="Sylfaen" w:hAnsi="Sylfaen" w:cs="Times New Roman"/>
        </w:rPr>
        <w:t>overnment funds their teachers’ salaries which are similar to teachers’ salaries in the government schools. To ease their integration into the conventional education system—</w:t>
      </w:r>
      <w:r w:rsidR="00A62D29" w:rsidRPr="00477D8F">
        <w:rPr>
          <w:rFonts w:ascii="Sylfaen" w:hAnsi="Sylfaen" w:cs="Times New Roman"/>
        </w:rPr>
        <w:t>that is,</w:t>
      </w:r>
      <w:r w:rsidRPr="00477D8F">
        <w:rPr>
          <w:rFonts w:ascii="Sylfaen" w:hAnsi="Sylfaen" w:cs="Times New Roman"/>
        </w:rPr>
        <w:t xml:space="preserve"> integration using the state curriculum</w:t>
      </w:r>
      <w:r w:rsidR="00AF70CB" w:rsidRPr="00477D8F">
        <w:rPr>
          <w:rFonts w:ascii="Sylfaen" w:hAnsi="Sylfaen" w:cs="Times New Roman"/>
        </w:rPr>
        <w:t>—</w:t>
      </w:r>
      <w:r w:rsidRPr="00477D8F">
        <w:rPr>
          <w:rFonts w:ascii="Sylfaen" w:hAnsi="Sylfaen" w:cs="Times New Roman"/>
        </w:rPr>
        <w:t xml:space="preserve">70 percent of the </w:t>
      </w:r>
      <w:r w:rsidR="00E80A69" w:rsidRPr="00477D8F">
        <w:rPr>
          <w:rFonts w:ascii="Sylfaen" w:hAnsi="Sylfaen" w:cs="Times New Roman"/>
        </w:rPr>
        <w:t>Madrassah</w:t>
      </w:r>
      <w:r w:rsidRPr="00477D8F">
        <w:rPr>
          <w:rFonts w:ascii="Sylfaen" w:hAnsi="Sylfaen" w:cs="Times New Roman"/>
        </w:rPr>
        <w:t xml:space="preserve"> expenditures are sponsored with government subventions</w:t>
      </w:r>
      <w:r w:rsidR="00A47F3E" w:rsidRPr="00477D8F">
        <w:rPr>
          <w:rFonts w:ascii="Sylfaen" w:hAnsi="Sylfaen" w:cs="Times New Roman"/>
        </w:rPr>
        <w:t>.</w:t>
      </w:r>
      <w:r w:rsidR="00BB4644" w:rsidRPr="00477D8F">
        <w:rPr>
          <w:rStyle w:val="FootnoteReference"/>
          <w:rFonts w:ascii="Sylfaen" w:hAnsi="Sylfaen" w:cs="Times New Roman"/>
        </w:rPr>
        <w:footnoteReference w:id="15"/>
      </w:r>
      <w:r w:rsidR="00272695" w:rsidRPr="00477D8F">
        <w:rPr>
          <w:rFonts w:ascii="Sylfaen" w:hAnsi="Sylfaen" w:cs="Times New Roman"/>
        </w:rPr>
        <w:t xml:space="preserve"> </w:t>
      </w:r>
      <w:r w:rsidRPr="00477D8F">
        <w:rPr>
          <w:rFonts w:ascii="Sylfaen" w:hAnsi="Sylfaen" w:cs="Times New Roman"/>
        </w:rPr>
        <w:t xml:space="preserve">Although </w:t>
      </w:r>
      <w:r w:rsidRPr="00477D8F">
        <w:rPr>
          <w:rFonts w:ascii="Sylfaen" w:hAnsi="Sylfaen" w:cs="Times New Roman"/>
        </w:rPr>
        <w:lastRenderedPageBreak/>
        <w:t xml:space="preserve">there is no formal public-private partnership </w:t>
      </w:r>
      <w:r w:rsidR="003D6488" w:rsidRPr="00477D8F">
        <w:rPr>
          <w:rFonts w:ascii="Sylfaen" w:hAnsi="Sylfaen" w:cs="Times New Roman"/>
        </w:rPr>
        <w:t xml:space="preserve">(PPP) </w:t>
      </w:r>
      <w:r w:rsidRPr="00477D8F">
        <w:rPr>
          <w:rFonts w:ascii="Sylfaen" w:hAnsi="Sylfaen" w:cs="Times New Roman"/>
        </w:rPr>
        <w:t xml:space="preserve">with private schools except with the </w:t>
      </w:r>
      <w:r w:rsidR="00E80A69" w:rsidRPr="00477D8F">
        <w:rPr>
          <w:rFonts w:ascii="Sylfaen" w:hAnsi="Sylfaen" w:cs="Times New Roman"/>
        </w:rPr>
        <w:t>Madrassah</w:t>
      </w:r>
      <w:r w:rsidRPr="00477D8F">
        <w:rPr>
          <w:rFonts w:ascii="Sylfaen" w:hAnsi="Sylfaen" w:cs="Times New Roman"/>
        </w:rPr>
        <w:t xml:space="preserve"> schools, the role of nonpublic providers is significant for enrollment, school facilities</w:t>
      </w:r>
      <w:r w:rsidR="00510E18" w:rsidRPr="00477D8F">
        <w:rPr>
          <w:rFonts w:ascii="Sylfaen" w:hAnsi="Sylfaen" w:cs="Times New Roman"/>
        </w:rPr>
        <w:t>,</w:t>
      </w:r>
      <w:r w:rsidRPr="00477D8F">
        <w:rPr>
          <w:rFonts w:ascii="Sylfaen" w:hAnsi="Sylfaen" w:cs="Times New Roman"/>
        </w:rPr>
        <w:t xml:space="preserve"> and teachers’ provision.</w:t>
      </w:r>
      <w:r w:rsidR="00BA0611" w:rsidRPr="00477D8F">
        <w:rPr>
          <w:rFonts w:ascii="Sylfaen" w:hAnsi="Sylfaen" w:cs="Times New Roman"/>
        </w:rPr>
        <w:t xml:space="preserve"> </w:t>
      </w:r>
      <w:r w:rsidRPr="00477D8F">
        <w:rPr>
          <w:rFonts w:ascii="Sylfaen" w:hAnsi="Sylfaen" w:cs="Times New Roman"/>
        </w:rPr>
        <w:t xml:space="preserve">A summary of these key points is provided by level of education </w:t>
      </w:r>
      <w:r w:rsidR="00AF70CB" w:rsidRPr="00477D8F">
        <w:rPr>
          <w:rFonts w:ascii="Sylfaen" w:hAnsi="Sylfaen" w:cs="Times New Roman"/>
        </w:rPr>
        <w:t>in the following section</w:t>
      </w:r>
      <w:r w:rsidRPr="00477D8F">
        <w:rPr>
          <w:rFonts w:ascii="Sylfaen" w:hAnsi="Sylfaen" w:cs="Times New Roman"/>
        </w:rPr>
        <w:t xml:space="preserve">. </w:t>
      </w:r>
    </w:p>
    <w:p w14:paraId="17E3D75F" w14:textId="5C56675C" w:rsidR="00E532E4" w:rsidRPr="00477D8F" w:rsidRDefault="008F189F" w:rsidP="00DA4A36">
      <w:pPr>
        <w:pStyle w:val="Heading3"/>
      </w:pPr>
      <w:r w:rsidRPr="00477D8F">
        <w:t xml:space="preserve">Early </w:t>
      </w:r>
      <w:r w:rsidR="008F4CC6" w:rsidRPr="00477D8F">
        <w:t>c</w:t>
      </w:r>
      <w:r w:rsidRPr="00477D8F">
        <w:t xml:space="preserve">hildhood </w:t>
      </w:r>
      <w:r w:rsidR="008F4CC6" w:rsidRPr="00477D8F">
        <w:t>d</w:t>
      </w:r>
      <w:r w:rsidRPr="00477D8F">
        <w:t>evelopment (ECD)</w:t>
      </w:r>
    </w:p>
    <w:p w14:paraId="5F709BAB" w14:textId="0E222C1F" w:rsidR="00390FD9" w:rsidRPr="00477D8F" w:rsidRDefault="00390FD9" w:rsidP="00390FD9">
      <w:pPr>
        <w:pStyle w:val="ListParagraph"/>
        <w:numPr>
          <w:ilvl w:val="0"/>
          <w:numId w:val="24"/>
        </w:numPr>
        <w:autoSpaceDE w:val="0"/>
        <w:autoSpaceDN w:val="0"/>
        <w:adjustRightInd w:val="0"/>
        <w:spacing w:before="240" w:after="0" w:line="240" w:lineRule="auto"/>
        <w:ind w:left="0" w:firstLine="0"/>
        <w:contextualSpacing w:val="0"/>
        <w:jc w:val="both"/>
        <w:rPr>
          <w:rFonts w:ascii="Sylfaen" w:eastAsia="Sylfaen" w:hAnsi="Sylfaen" w:cs="Sylfaen"/>
        </w:rPr>
      </w:pPr>
      <w:r w:rsidRPr="00477D8F">
        <w:rPr>
          <w:rStyle w:val="Hyperlink2"/>
        </w:rPr>
        <w:t>As of 2015, conventional private centers accounted for the highest share of enrollment in preschool (60.5 percent)</w:t>
      </w:r>
      <w:r w:rsidR="00A07B74" w:rsidRPr="00477D8F">
        <w:rPr>
          <w:rStyle w:val="Hyperlink2"/>
        </w:rPr>
        <w:t>,</w:t>
      </w:r>
      <w:r w:rsidRPr="00477D8F">
        <w:rPr>
          <w:rStyle w:val="Hyperlink2"/>
        </w:rPr>
        <w:t xml:space="preserve"> followed by government schools</w:t>
      </w:r>
      <w:r w:rsidR="00AF70CB" w:rsidRPr="00477D8F">
        <w:rPr>
          <w:rStyle w:val="Hyperlink2"/>
        </w:rPr>
        <w:t>,</w:t>
      </w:r>
      <w:r w:rsidRPr="00477D8F">
        <w:rPr>
          <w:rStyle w:val="Hyperlink2"/>
        </w:rPr>
        <w:t xml:space="preserve"> which accounted for 23.8 percent</w:t>
      </w:r>
      <w:r w:rsidRPr="00477D8F">
        <w:rPr>
          <w:rStyle w:val="Hyperlink1"/>
          <w:rFonts w:ascii="Sylfaen" w:eastAsia="Sylfaen" w:hAnsi="Sylfaen" w:cs="Sylfaen"/>
          <w:b/>
        </w:rPr>
        <w:t xml:space="preserve">. </w:t>
      </w:r>
      <w:r w:rsidRPr="00477D8F">
        <w:rPr>
          <w:rStyle w:val="Hyperlink1"/>
          <w:rFonts w:ascii="Sylfaen" w:eastAsia="Sylfaen" w:hAnsi="Sylfaen" w:cs="Sylfaen"/>
        </w:rPr>
        <w:t>The government runs 376 ECD centers (33 percent of the total number of centers)</w:t>
      </w:r>
      <w:r w:rsidR="00A317D1" w:rsidRPr="00477D8F">
        <w:rPr>
          <w:rStyle w:val="Hyperlink1"/>
          <w:rFonts w:ascii="Sylfaen" w:eastAsia="Sylfaen" w:hAnsi="Sylfaen" w:cs="Sylfaen"/>
        </w:rPr>
        <w:t>,</w:t>
      </w:r>
      <w:r w:rsidRPr="00477D8F">
        <w:rPr>
          <w:rStyle w:val="Hyperlink1"/>
          <w:rFonts w:ascii="Sylfaen" w:eastAsia="Sylfaen" w:hAnsi="Sylfaen" w:cs="Sylfaen"/>
        </w:rPr>
        <w:t xml:space="preserve"> of which 86 percent are attached to primary school facilities and about 100,000 children </w:t>
      </w:r>
      <w:r w:rsidR="00A317D1" w:rsidRPr="00477D8F">
        <w:rPr>
          <w:rStyle w:val="Hyperlink1"/>
          <w:rFonts w:ascii="Sylfaen" w:eastAsia="Sylfaen" w:hAnsi="Sylfaen" w:cs="Sylfaen"/>
        </w:rPr>
        <w:t xml:space="preserve">are </w:t>
      </w:r>
      <w:r w:rsidRPr="00477D8F">
        <w:rPr>
          <w:rStyle w:val="Hyperlink1"/>
          <w:rFonts w:ascii="Sylfaen" w:eastAsia="Sylfaen" w:hAnsi="Sylfaen" w:cs="Sylfaen"/>
        </w:rPr>
        <w:t>enrolled. Government</w:t>
      </w:r>
      <w:r w:rsidR="00A317D1" w:rsidRPr="00477D8F">
        <w:rPr>
          <w:rStyle w:val="Hyperlink1"/>
          <w:rFonts w:ascii="Sylfaen" w:eastAsia="Sylfaen" w:hAnsi="Sylfaen" w:cs="Sylfaen"/>
        </w:rPr>
        <w:t>-</w:t>
      </w:r>
      <w:r w:rsidRPr="00477D8F">
        <w:rPr>
          <w:rStyle w:val="Hyperlink1"/>
          <w:rFonts w:ascii="Sylfaen" w:eastAsia="Sylfaen" w:hAnsi="Sylfaen" w:cs="Sylfaen"/>
        </w:rPr>
        <w:t xml:space="preserve">run ECD centers host 18.5 percent of the ECD teachers, with the remaining in privately run centers. </w:t>
      </w:r>
      <w:r w:rsidRPr="00477D8F">
        <w:rPr>
          <w:rStyle w:val="None"/>
          <w:rFonts w:ascii="Sylfaen" w:eastAsia="Sylfaen" w:hAnsi="Sylfaen" w:cs="Sylfaen"/>
        </w:rPr>
        <w:t>Overall, the private schools play a key role in providing ECD education with costs fully borne by families, and there is limited formal partnership with the government. There is also a growing realization in the region that early interventions could be enhanced if a working partnership can be established with Koranic schools</w:t>
      </w:r>
      <w:r w:rsidR="004875C2" w:rsidRPr="00477D8F">
        <w:rPr>
          <w:rStyle w:val="None"/>
          <w:rFonts w:ascii="Sylfaen" w:eastAsia="Sylfaen" w:hAnsi="Sylfaen" w:cs="Sylfaen"/>
        </w:rPr>
        <w:t>.</w:t>
      </w:r>
      <w:r w:rsidRPr="00477D8F">
        <w:rPr>
          <w:rStyle w:val="None"/>
          <w:rFonts w:ascii="Sylfaen" w:eastAsia="Sylfaen" w:hAnsi="Sylfaen" w:cs="Sylfaen"/>
        </w:rPr>
        <w:t xml:space="preserve"> The Gambia could be an early pilot of such an approach.</w:t>
      </w:r>
    </w:p>
    <w:p w14:paraId="57CBD2C6" w14:textId="77777777" w:rsidR="00E532E4" w:rsidRPr="00477D8F" w:rsidRDefault="00E532E4" w:rsidP="00DA4A36">
      <w:pPr>
        <w:pStyle w:val="Heading3"/>
      </w:pPr>
      <w:r w:rsidRPr="00477D8F">
        <w:t>Basic education</w:t>
      </w:r>
    </w:p>
    <w:p w14:paraId="4161E054" w14:textId="2DCD8631" w:rsidR="00E532E4" w:rsidRPr="00477D8F" w:rsidRDefault="00E532E4" w:rsidP="00E532E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At the basic education level, 55.9 percent of the schools are public</w:t>
      </w:r>
      <w:r w:rsidR="00390FD9" w:rsidRPr="00477D8F">
        <w:rPr>
          <w:rFonts w:ascii="Sylfaen" w:hAnsi="Sylfaen" w:cs="Times New Roman"/>
          <w:b/>
        </w:rPr>
        <w:t xml:space="preserve"> (government and grant-aided schools) in 2015</w:t>
      </w:r>
      <w:r w:rsidRPr="00477D8F">
        <w:rPr>
          <w:rFonts w:ascii="Sylfaen" w:hAnsi="Sylfaen" w:cs="Times New Roman"/>
          <w:b/>
        </w:rPr>
        <w:t>, which accounted for more than half of total enrollment (74 percent) and employed 71.5 percent of the teachers.</w:t>
      </w:r>
      <w:r w:rsidRPr="00477D8F">
        <w:rPr>
          <w:rFonts w:ascii="Sylfaen" w:hAnsi="Sylfaen" w:cs="Times New Roman"/>
        </w:rPr>
        <w:t xml:space="preserve"> The private schools (</w:t>
      </w:r>
      <w:r w:rsidR="00E80A69" w:rsidRPr="00477D8F">
        <w:rPr>
          <w:rFonts w:ascii="Sylfaen" w:hAnsi="Sylfaen" w:cs="Times New Roman"/>
        </w:rPr>
        <w:t>Madrassah</w:t>
      </w:r>
      <w:r w:rsidRPr="00477D8F">
        <w:rPr>
          <w:rFonts w:ascii="Sylfaen" w:hAnsi="Sylfaen" w:cs="Times New Roman"/>
        </w:rPr>
        <w:t xml:space="preserve"> and conventional private schools) represent 44.1 percent of the total number of schools. As of 2015, 17.5 percent of the total basic education level students (391,688) were enrolled in the </w:t>
      </w:r>
      <w:r w:rsidR="00E80A69" w:rsidRPr="00477D8F">
        <w:rPr>
          <w:rFonts w:ascii="Sylfaen" w:hAnsi="Sylfaen" w:cs="Times New Roman"/>
        </w:rPr>
        <w:t>Madrassah</w:t>
      </w:r>
      <w:r w:rsidRPr="00477D8F">
        <w:rPr>
          <w:rFonts w:ascii="Sylfaen" w:hAnsi="Sylfaen" w:cs="Times New Roman"/>
        </w:rPr>
        <w:t xml:space="preserve"> schools and the remaining 9.1 percent were enrolled in the conventional private schools. The government provides financial support to the </w:t>
      </w:r>
      <w:r w:rsidR="00E80A69" w:rsidRPr="00477D8F">
        <w:rPr>
          <w:rFonts w:ascii="Sylfaen" w:hAnsi="Sylfaen" w:cs="Times New Roman"/>
        </w:rPr>
        <w:t>Madrassah</w:t>
      </w:r>
      <w:r w:rsidRPr="00477D8F">
        <w:rPr>
          <w:rFonts w:ascii="Sylfaen" w:hAnsi="Sylfaen" w:cs="Times New Roman"/>
        </w:rPr>
        <w:t xml:space="preserve"> schools to facilitate the integration of the conventional education system curriculum.</w:t>
      </w:r>
      <w:r w:rsidR="00272695" w:rsidRPr="00477D8F">
        <w:rPr>
          <w:rFonts w:ascii="Sylfaen" w:hAnsi="Sylfaen" w:cs="Times New Roman"/>
        </w:rPr>
        <w:t xml:space="preserve"> </w:t>
      </w:r>
      <w:r w:rsidRPr="00477D8F">
        <w:rPr>
          <w:rFonts w:ascii="Sylfaen" w:hAnsi="Sylfaen" w:cs="Times New Roman"/>
        </w:rPr>
        <w:t xml:space="preserve">The primary goal of the </w:t>
      </w:r>
      <w:r w:rsidR="003D6488" w:rsidRPr="00477D8F">
        <w:rPr>
          <w:rFonts w:ascii="Sylfaen" w:hAnsi="Sylfaen" w:cs="Times New Roman"/>
        </w:rPr>
        <w:t>PPP</w:t>
      </w:r>
      <w:r w:rsidRPr="00477D8F">
        <w:rPr>
          <w:rFonts w:ascii="Sylfaen" w:hAnsi="Sylfaen" w:cs="Times New Roman"/>
        </w:rPr>
        <w:t xml:space="preserve"> at this level of education is to motivate the religious schools to provide formal conventional schooling and participate in national examinations. </w:t>
      </w:r>
    </w:p>
    <w:p w14:paraId="62E7CDA8" w14:textId="1AEB40D3" w:rsidR="00E532E4" w:rsidRPr="00477D8F" w:rsidRDefault="00E532E4" w:rsidP="00DA4A36">
      <w:pPr>
        <w:pStyle w:val="Heading3"/>
      </w:pPr>
      <w:r w:rsidRPr="00477D8F">
        <w:t xml:space="preserve">Senior </w:t>
      </w:r>
      <w:r w:rsidR="008F4CC6" w:rsidRPr="00477D8F">
        <w:t>s</w:t>
      </w:r>
      <w:r w:rsidRPr="00477D8F">
        <w:t xml:space="preserve">econdary </w:t>
      </w:r>
      <w:r w:rsidR="008F4CC6" w:rsidRPr="00477D8F">
        <w:t>e</w:t>
      </w:r>
      <w:r w:rsidRPr="00477D8F">
        <w:t>ducation</w:t>
      </w:r>
    </w:p>
    <w:p w14:paraId="71C98962" w14:textId="4097077B" w:rsidR="00E532E4" w:rsidRPr="00477D8F" w:rsidRDefault="00E532E4" w:rsidP="00E532E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At the senior secondary level, the enrollment in conventional private schools has increased to about 20 percent but the government still has the dominant share of enro</w:t>
      </w:r>
      <w:r w:rsidR="004875C2" w:rsidRPr="00477D8F">
        <w:rPr>
          <w:rFonts w:ascii="Sylfaen" w:hAnsi="Sylfaen" w:cs="Times New Roman"/>
          <w:b/>
        </w:rPr>
        <w:t>l</w:t>
      </w:r>
      <w:r w:rsidRPr="00477D8F">
        <w:rPr>
          <w:rFonts w:ascii="Sylfaen" w:hAnsi="Sylfaen" w:cs="Times New Roman"/>
          <w:b/>
        </w:rPr>
        <w:t>lment (71.8 percent).</w:t>
      </w:r>
      <w:r w:rsidRPr="00477D8F">
        <w:rPr>
          <w:rFonts w:ascii="Sylfaen" w:hAnsi="Sylfaen" w:cs="Times New Roman"/>
        </w:rPr>
        <w:t xml:space="preserve"> Overall, 56,001 children are enrolled in approximately 160 </w:t>
      </w:r>
      <w:r w:rsidR="00FD0FF5" w:rsidRPr="00477D8F">
        <w:rPr>
          <w:rFonts w:ascii="Sylfaen" w:hAnsi="Sylfaen" w:cs="Times New Roman"/>
        </w:rPr>
        <w:t>SSSs</w:t>
      </w:r>
      <w:r w:rsidRPr="00477D8F">
        <w:rPr>
          <w:rFonts w:ascii="Sylfaen" w:hAnsi="Sylfaen" w:cs="Times New Roman"/>
        </w:rPr>
        <w:t xml:space="preserve"> and there are 2,312 teachers employed at this level.</w:t>
      </w:r>
      <w:r w:rsidR="00272695" w:rsidRPr="00477D8F">
        <w:rPr>
          <w:rFonts w:ascii="Sylfaen" w:hAnsi="Sylfaen" w:cs="Times New Roman"/>
        </w:rPr>
        <w:t xml:space="preserve"> </w:t>
      </w:r>
      <w:r w:rsidRPr="00477D8F">
        <w:rPr>
          <w:rFonts w:ascii="Sylfaen" w:hAnsi="Sylfaen" w:cs="Times New Roman"/>
        </w:rPr>
        <w:t xml:space="preserve">Most public </w:t>
      </w:r>
      <w:r w:rsidR="00FD0FF5" w:rsidRPr="00477D8F">
        <w:rPr>
          <w:rFonts w:ascii="Sylfaen" w:hAnsi="Sylfaen" w:cs="Times New Roman"/>
        </w:rPr>
        <w:t>SSSs</w:t>
      </w:r>
      <w:r w:rsidRPr="00477D8F">
        <w:rPr>
          <w:rFonts w:ascii="Sylfaen" w:hAnsi="Sylfaen" w:cs="Times New Roman"/>
        </w:rPr>
        <w:t xml:space="preserve"> are grant</w:t>
      </w:r>
      <w:r w:rsidR="00AF70CB" w:rsidRPr="00477D8F">
        <w:rPr>
          <w:rFonts w:ascii="Sylfaen" w:hAnsi="Sylfaen" w:cs="Times New Roman"/>
        </w:rPr>
        <w:t xml:space="preserve"> </w:t>
      </w:r>
      <w:r w:rsidRPr="00477D8F">
        <w:rPr>
          <w:rFonts w:ascii="Sylfaen" w:hAnsi="Sylfaen" w:cs="Times New Roman"/>
        </w:rPr>
        <w:t>aided (72 percent).</w:t>
      </w:r>
      <w:r w:rsidR="00272695" w:rsidRPr="00477D8F">
        <w:rPr>
          <w:rFonts w:ascii="Sylfaen" w:hAnsi="Sylfaen" w:cs="Times New Roman"/>
        </w:rPr>
        <w:t xml:space="preserve"> </w:t>
      </w:r>
    </w:p>
    <w:p w14:paraId="67C11E27" w14:textId="7D06C79B" w:rsidR="00E532E4" w:rsidRPr="00477D8F" w:rsidRDefault="00E532E4" w:rsidP="00DA4A36">
      <w:pPr>
        <w:pStyle w:val="Heading3"/>
      </w:pPr>
      <w:r w:rsidRPr="00477D8F">
        <w:t>Postsecondary</w:t>
      </w:r>
    </w:p>
    <w:p w14:paraId="76AE9C93" w14:textId="20085E04" w:rsidR="00B05B2A" w:rsidRPr="00477D8F" w:rsidRDefault="00E532E4" w:rsidP="00E532E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There are about 67 postsecondary institutions and the number of students enrolled in 2015 stood at 14,777, of which 72 percent are enrolled in public institutions.</w:t>
      </w:r>
      <w:r w:rsidRPr="00477D8F">
        <w:rPr>
          <w:rFonts w:ascii="Sylfaen" w:hAnsi="Sylfaen" w:cs="Times New Roman"/>
        </w:rPr>
        <w:t xml:space="preserve"> Depending on the type of certification, postsecondary institutions in The Gambia are classified under three categories: non-tertiary (provide certificates</w:t>
      </w:r>
      <w:r w:rsidR="00706ADD" w:rsidRPr="00477D8F">
        <w:rPr>
          <w:rFonts w:ascii="Sylfaen" w:hAnsi="Sylfaen" w:cs="Times New Roman"/>
        </w:rPr>
        <w:t xml:space="preserve"> and diplomas</w:t>
      </w:r>
      <w:r w:rsidRPr="00477D8F">
        <w:rPr>
          <w:rFonts w:ascii="Sylfaen" w:hAnsi="Sylfaen" w:cs="Times New Roman"/>
        </w:rPr>
        <w:t xml:space="preserve">), tertiary (provide </w:t>
      </w:r>
      <w:r w:rsidR="00706ADD" w:rsidRPr="00477D8F">
        <w:rPr>
          <w:rFonts w:ascii="Sylfaen" w:hAnsi="Sylfaen" w:cs="Times New Roman"/>
        </w:rPr>
        <w:t xml:space="preserve">certificate and </w:t>
      </w:r>
      <w:r w:rsidRPr="00477D8F">
        <w:rPr>
          <w:rFonts w:ascii="Sylfaen" w:hAnsi="Sylfaen" w:cs="Times New Roman"/>
        </w:rPr>
        <w:t>diplomas</w:t>
      </w:r>
      <w:r w:rsidR="00706ADD" w:rsidRPr="00477D8F">
        <w:rPr>
          <w:rFonts w:ascii="Sylfaen" w:hAnsi="Sylfaen" w:cs="Times New Roman"/>
        </w:rPr>
        <w:t>, which can le</w:t>
      </w:r>
      <w:r w:rsidR="009113CA" w:rsidRPr="00477D8F">
        <w:rPr>
          <w:rFonts w:ascii="Sylfaen" w:hAnsi="Sylfaen" w:cs="Times New Roman"/>
        </w:rPr>
        <w:t>a</w:t>
      </w:r>
      <w:r w:rsidR="00706ADD" w:rsidRPr="00477D8F">
        <w:rPr>
          <w:rFonts w:ascii="Sylfaen" w:hAnsi="Sylfaen" w:cs="Times New Roman"/>
        </w:rPr>
        <w:t>d to higher education institutions</w:t>
      </w:r>
      <w:r w:rsidRPr="00477D8F">
        <w:rPr>
          <w:rFonts w:ascii="Sylfaen" w:hAnsi="Sylfaen" w:cs="Times New Roman"/>
        </w:rPr>
        <w:t>)</w:t>
      </w:r>
      <w:r w:rsidR="00CE09C5" w:rsidRPr="00477D8F">
        <w:rPr>
          <w:rFonts w:ascii="Sylfaen" w:hAnsi="Sylfaen" w:cs="Times New Roman"/>
        </w:rPr>
        <w:t>,</w:t>
      </w:r>
      <w:r w:rsidRPr="00477D8F">
        <w:rPr>
          <w:rFonts w:ascii="Sylfaen" w:hAnsi="Sylfaen" w:cs="Times New Roman"/>
        </w:rPr>
        <w:t xml:space="preserve"> and higher education (provide degrees). In 2015, there were </w:t>
      </w:r>
      <w:r w:rsidR="009113CA" w:rsidRPr="00477D8F">
        <w:rPr>
          <w:rFonts w:ascii="Sylfaen" w:hAnsi="Sylfaen" w:cs="Times New Roman"/>
        </w:rPr>
        <w:t>nine</w:t>
      </w:r>
      <w:r w:rsidRPr="00477D8F">
        <w:rPr>
          <w:rFonts w:ascii="Sylfaen" w:hAnsi="Sylfaen" w:cs="Times New Roman"/>
        </w:rPr>
        <w:t xml:space="preserve"> public institutions</w:t>
      </w:r>
      <w:r w:rsidR="00AF70CB" w:rsidRPr="00477D8F">
        <w:rPr>
          <w:rFonts w:ascii="Sylfaen" w:hAnsi="Sylfaen" w:cs="Times New Roman"/>
        </w:rPr>
        <w:t>,</w:t>
      </w:r>
      <w:r w:rsidRPr="00477D8F">
        <w:rPr>
          <w:rFonts w:ascii="Sylfaen" w:hAnsi="Sylfaen" w:cs="Times New Roman"/>
        </w:rPr>
        <w:t xml:space="preserve"> of which two are universities. Most of the student</w:t>
      </w:r>
      <w:r w:rsidR="00AF70CB" w:rsidRPr="00477D8F">
        <w:rPr>
          <w:rFonts w:ascii="Sylfaen" w:hAnsi="Sylfaen" w:cs="Times New Roman"/>
        </w:rPr>
        <w:t>s</w:t>
      </w:r>
      <w:r w:rsidRPr="00477D8F">
        <w:rPr>
          <w:rFonts w:ascii="Sylfaen" w:hAnsi="Sylfaen" w:cs="Times New Roman"/>
        </w:rPr>
        <w:t xml:space="preserve"> enroll</w:t>
      </w:r>
      <w:r w:rsidR="00AF70CB" w:rsidRPr="00477D8F">
        <w:rPr>
          <w:rFonts w:ascii="Sylfaen" w:hAnsi="Sylfaen" w:cs="Times New Roman"/>
        </w:rPr>
        <w:t>ed</w:t>
      </w:r>
      <w:r w:rsidRPr="00477D8F">
        <w:rPr>
          <w:rFonts w:ascii="Sylfaen" w:hAnsi="Sylfaen" w:cs="Times New Roman"/>
        </w:rPr>
        <w:t xml:space="preserve"> in public institutions are teacher trainees, account</w:t>
      </w:r>
      <w:r w:rsidR="00AF70CB" w:rsidRPr="00477D8F">
        <w:rPr>
          <w:rFonts w:ascii="Sylfaen" w:hAnsi="Sylfaen" w:cs="Times New Roman"/>
        </w:rPr>
        <w:t>ing</w:t>
      </w:r>
      <w:r w:rsidRPr="00477D8F">
        <w:rPr>
          <w:rFonts w:ascii="Sylfaen" w:hAnsi="Sylfaen" w:cs="Times New Roman"/>
        </w:rPr>
        <w:t xml:space="preserve"> for 62 percent of total enrollment.</w:t>
      </w:r>
      <w:r w:rsidR="00B05B2A" w:rsidRPr="00477D8F">
        <w:rPr>
          <w:rFonts w:ascii="Sylfaen" w:hAnsi="Sylfaen" w:cs="Times New Roman"/>
        </w:rPr>
        <w:br w:type="page"/>
      </w:r>
    </w:p>
    <w:p w14:paraId="23B9AE83" w14:textId="2FE55399" w:rsidR="00B05B2A" w:rsidRPr="00477D8F" w:rsidRDefault="0080397B" w:rsidP="00ED0E68">
      <w:pPr>
        <w:pStyle w:val="Heading1"/>
      </w:pPr>
      <w:bookmarkStart w:id="51" w:name="_Toc497171855"/>
      <w:r w:rsidRPr="00477D8F">
        <w:lastRenderedPageBreak/>
        <w:t>Key Sector Performance I</w:t>
      </w:r>
      <w:r w:rsidR="00B05B2A" w:rsidRPr="00477D8F">
        <w:t>ndicators</w:t>
      </w:r>
      <w:bookmarkEnd w:id="51"/>
      <w:r w:rsidR="00272695" w:rsidRPr="00477D8F">
        <w:t xml:space="preserve"> </w:t>
      </w:r>
    </w:p>
    <w:p w14:paraId="392FBFE1" w14:textId="31FE6D64" w:rsidR="00824303" w:rsidRPr="00477D8F" w:rsidRDefault="00390FD9" w:rsidP="004732F8">
      <w:pPr>
        <w:pStyle w:val="BodyA"/>
        <w:jc w:val="both"/>
        <w:rPr>
          <w:rFonts w:ascii="Sylfaen" w:hAnsi="Sylfaen"/>
        </w:rPr>
      </w:pPr>
      <w:r w:rsidRPr="00477D8F">
        <w:rPr>
          <w:rStyle w:val="None"/>
          <w:rFonts w:ascii="Sylfaen" w:eastAsia="Sylfaen" w:hAnsi="Sylfaen" w:cs="Sylfaen"/>
          <w:i/>
          <w:iCs/>
          <w:lang w:val="en-US"/>
        </w:rPr>
        <w:t>Key messages in this section include</w:t>
      </w:r>
      <w:r w:rsidR="000070C4" w:rsidRPr="00477D8F">
        <w:rPr>
          <w:rFonts w:ascii="Sylfaen" w:hAnsi="Sylfaen"/>
          <w:i/>
        </w:rPr>
        <w:t xml:space="preserve"> the following</w:t>
      </w:r>
      <w:r w:rsidRPr="00477D8F">
        <w:rPr>
          <w:rStyle w:val="None"/>
          <w:rFonts w:ascii="Sylfaen" w:eastAsia="Sylfaen" w:hAnsi="Sylfaen" w:cs="Sylfaen"/>
          <w:i/>
          <w:iCs/>
          <w:lang w:val="en-US"/>
        </w:rPr>
        <w:t xml:space="preserve">: (a) Gross </w:t>
      </w:r>
      <w:r w:rsidR="00B10EFE" w:rsidRPr="00477D8F">
        <w:rPr>
          <w:rStyle w:val="None"/>
          <w:rFonts w:ascii="Sylfaen" w:eastAsia="Sylfaen" w:hAnsi="Sylfaen" w:cs="Sylfaen"/>
          <w:i/>
          <w:iCs/>
          <w:lang w:val="en-US"/>
        </w:rPr>
        <w:t>e</w:t>
      </w:r>
      <w:r w:rsidRPr="00477D8F">
        <w:rPr>
          <w:rStyle w:val="None"/>
          <w:rFonts w:ascii="Sylfaen" w:eastAsia="Sylfaen" w:hAnsi="Sylfaen" w:cs="Sylfaen"/>
          <w:i/>
          <w:iCs/>
          <w:lang w:val="en-US"/>
        </w:rPr>
        <w:t xml:space="preserve">nrollment </w:t>
      </w:r>
      <w:r w:rsidR="00B10EFE" w:rsidRPr="00477D8F">
        <w:rPr>
          <w:rStyle w:val="None"/>
          <w:rFonts w:ascii="Sylfaen" w:eastAsia="Sylfaen" w:hAnsi="Sylfaen" w:cs="Sylfaen"/>
          <w:i/>
          <w:iCs/>
          <w:lang w:val="en-US"/>
        </w:rPr>
        <w:t>r</w:t>
      </w:r>
      <w:r w:rsidRPr="00477D8F">
        <w:rPr>
          <w:rStyle w:val="None"/>
          <w:rFonts w:ascii="Sylfaen" w:eastAsia="Sylfaen" w:hAnsi="Sylfaen" w:cs="Sylfaen"/>
          <w:i/>
          <w:iCs/>
          <w:lang w:val="en-US"/>
        </w:rPr>
        <w:t>ates (GERs) show that access to education has stagnated at all levels of education in The Gambia, with the exception of the postsecondary level, which has shown a slight improvement in access; (b) The PCR remains below both government and international targets and the MDG to reach universal primary access by 2015 has not been achieved</w:t>
      </w:r>
      <w:r w:rsidR="004E4227" w:rsidRPr="00477D8F">
        <w:rPr>
          <w:rStyle w:val="None"/>
          <w:rFonts w:ascii="Sylfaen" w:eastAsia="Sylfaen" w:hAnsi="Sylfaen" w:cs="Sylfaen"/>
          <w:i/>
          <w:iCs/>
          <w:lang w:val="en-US"/>
        </w:rPr>
        <w:t>;</w:t>
      </w:r>
      <w:r w:rsidRPr="00477D8F">
        <w:rPr>
          <w:rStyle w:val="None"/>
          <w:rFonts w:ascii="Sylfaen" w:eastAsia="Sylfaen" w:hAnsi="Sylfaen" w:cs="Sylfaen"/>
          <w:i/>
          <w:iCs/>
          <w:lang w:val="en-US"/>
        </w:rPr>
        <w:t xml:space="preserve"> </w:t>
      </w:r>
      <w:r w:rsidR="004E4227" w:rsidRPr="00477D8F">
        <w:rPr>
          <w:rStyle w:val="None"/>
          <w:rFonts w:ascii="Sylfaen" w:eastAsia="Sylfaen" w:hAnsi="Sylfaen" w:cs="Sylfaen"/>
          <w:i/>
          <w:iCs/>
          <w:lang w:val="en-US"/>
        </w:rPr>
        <w:t>h</w:t>
      </w:r>
      <w:r w:rsidRPr="00477D8F">
        <w:rPr>
          <w:rStyle w:val="None"/>
          <w:rFonts w:ascii="Sylfaen" w:eastAsia="Sylfaen" w:hAnsi="Sylfaen" w:cs="Sylfaen"/>
          <w:i/>
          <w:iCs/>
          <w:lang w:val="en-US"/>
        </w:rPr>
        <w:t>owever, the gender parity index (GPI) has been achieved in all levels of education except in higher education; (c) Repetition rates are low in all levels of education; however, it is increasingly higher in grade 1, thereby raising concerns with regard to the internal efficiency of the education sector; (d) The out-of-school incidence is significantly high—30 percent of primary</w:t>
      </w:r>
      <w:r w:rsidR="00756AD9" w:rsidRPr="00477D8F">
        <w:rPr>
          <w:rStyle w:val="None"/>
          <w:rFonts w:ascii="Sylfaen" w:eastAsia="Sylfaen" w:hAnsi="Sylfaen" w:cs="Sylfaen"/>
          <w:i/>
          <w:iCs/>
          <w:lang w:val="en-US"/>
        </w:rPr>
        <w:t>-</w:t>
      </w:r>
      <w:r w:rsidRPr="00477D8F">
        <w:rPr>
          <w:rStyle w:val="None"/>
          <w:rFonts w:ascii="Sylfaen" w:eastAsia="Sylfaen" w:hAnsi="Sylfaen" w:cs="Sylfaen"/>
          <w:i/>
          <w:iCs/>
          <w:lang w:val="en-US"/>
        </w:rPr>
        <w:t>school</w:t>
      </w:r>
      <w:r w:rsidR="00756441" w:rsidRPr="00477D8F">
        <w:rPr>
          <w:rStyle w:val="None"/>
          <w:rFonts w:ascii="Sylfaen" w:eastAsia="Sylfaen" w:hAnsi="Sylfaen" w:cs="Sylfaen"/>
          <w:i/>
          <w:iCs/>
          <w:lang w:val="en-US"/>
        </w:rPr>
        <w:t>-</w:t>
      </w:r>
      <w:r w:rsidRPr="00477D8F">
        <w:rPr>
          <w:rStyle w:val="None"/>
          <w:rFonts w:ascii="Sylfaen" w:eastAsia="Sylfaen" w:hAnsi="Sylfaen" w:cs="Sylfaen"/>
          <w:i/>
          <w:iCs/>
          <w:lang w:val="en-US"/>
        </w:rPr>
        <w:t>age children are out of school, of which 95 percent have never attended formal education</w:t>
      </w:r>
      <w:r w:rsidR="004E4227" w:rsidRPr="00477D8F">
        <w:rPr>
          <w:rStyle w:val="None"/>
          <w:rFonts w:ascii="Sylfaen" w:eastAsia="Sylfaen" w:hAnsi="Sylfaen" w:cs="Sylfaen"/>
          <w:i/>
          <w:iCs/>
          <w:lang w:val="en-US"/>
        </w:rPr>
        <w:t>;</w:t>
      </w:r>
      <w:r w:rsidRPr="00477D8F">
        <w:rPr>
          <w:rStyle w:val="None"/>
          <w:rFonts w:ascii="Sylfaen" w:eastAsia="Sylfaen" w:hAnsi="Sylfaen" w:cs="Sylfaen"/>
          <w:i/>
          <w:iCs/>
          <w:lang w:val="en-US"/>
        </w:rPr>
        <w:t xml:space="preserve"> </w:t>
      </w:r>
      <w:r w:rsidR="004E4227" w:rsidRPr="00477D8F">
        <w:rPr>
          <w:rStyle w:val="None"/>
          <w:rFonts w:ascii="Sylfaen" w:eastAsia="Sylfaen" w:hAnsi="Sylfaen" w:cs="Sylfaen"/>
          <w:i/>
          <w:iCs/>
          <w:lang w:val="en-US"/>
        </w:rPr>
        <w:t>t</w:t>
      </w:r>
      <w:r w:rsidRPr="00477D8F">
        <w:rPr>
          <w:rStyle w:val="None"/>
          <w:rFonts w:ascii="Sylfaen" w:eastAsia="Sylfaen" w:hAnsi="Sylfaen" w:cs="Sylfaen"/>
          <w:i/>
          <w:iCs/>
          <w:lang w:val="en-US"/>
        </w:rPr>
        <w:t>he dropout rate increases by level of education; (e) The appropriate assessment instruments needed to evaluate students’ progress over</w:t>
      </w:r>
      <w:r w:rsidR="00756441" w:rsidRPr="00477D8F">
        <w:rPr>
          <w:rStyle w:val="None"/>
          <w:rFonts w:ascii="Sylfaen" w:eastAsia="Sylfaen" w:hAnsi="Sylfaen" w:cs="Sylfaen"/>
          <w:i/>
          <w:iCs/>
          <w:lang w:val="en-US"/>
        </w:rPr>
        <w:t xml:space="preserve"> </w:t>
      </w:r>
      <w:r w:rsidRPr="00477D8F">
        <w:rPr>
          <w:rStyle w:val="None"/>
          <w:rFonts w:ascii="Sylfaen" w:eastAsia="Sylfaen" w:hAnsi="Sylfaen" w:cs="Sylfaen"/>
          <w:i/>
          <w:iCs/>
          <w:lang w:val="en-US"/>
        </w:rPr>
        <w:t>t</w:t>
      </w:r>
      <w:r w:rsidR="00D45C81" w:rsidRPr="00477D8F">
        <w:rPr>
          <w:rStyle w:val="None"/>
          <w:rFonts w:ascii="Sylfaen" w:eastAsia="Sylfaen" w:hAnsi="Sylfaen" w:cs="Sylfaen"/>
          <w:i/>
          <w:iCs/>
          <w:lang w:val="en-US"/>
        </w:rPr>
        <w:t>i</w:t>
      </w:r>
      <w:r w:rsidRPr="00477D8F">
        <w:rPr>
          <w:rStyle w:val="None"/>
          <w:rFonts w:ascii="Sylfaen" w:eastAsia="Sylfaen" w:hAnsi="Sylfaen" w:cs="Sylfaen"/>
          <w:i/>
          <w:iCs/>
          <w:lang w:val="en-US"/>
        </w:rPr>
        <w:t>me at all levels of education are missing; however, based on existing evaluation instruments, learning outcomes appear to be increasing; (f) The combined effects of the high out-of-school incidence and the increasing share of the dropout rate have affected the educational attainment of the labor force, lowering the human capital base for the country; and (g) On average, the working</w:t>
      </w:r>
      <w:r w:rsidR="00E23B57" w:rsidRPr="00477D8F">
        <w:rPr>
          <w:rStyle w:val="None"/>
          <w:rFonts w:ascii="Sylfaen" w:eastAsia="Sylfaen" w:hAnsi="Sylfaen" w:cs="Sylfaen"/>
          <w:i/>
          <w:iCs/>
          <w:lang w:val="en-US"/>
        </w:rPr>
        <w:t>-</w:t>
      </w:r>
      <w:r w:rsidRPr="00477D8F">
        <w:rPr>
          <w:rStyle w:val="None"/>
          <w:rFonts w:ascii="Sylfaen" w:eastAsia="Sylfaen" w:hAnsi="Sylfaen" w:cs="Sylfaen"/>
          <w:i/>
          <w:iCs/>
          <w:lang w:val="en-US"/>
        </w:rPr>
        <w:t xml:space="preserve">age population has not completed primary education and more than half of the population has no formal education. This poses a threat to the country’s economic growth and global competitiveness. </w:t>
      </w:r>
    </w:p>
    <w:p w14:paraId="77E0F1BA" w14:textId="14FD6A9A" w:rsidR="00E532E4" w:rsidRPr="00477D8F" w:rsidRDefault="00E532E4" w:rsidP="00ED0E68">
      <w:pPr>
        <w:pStyle w:val="Heading2"/>
      </w:pPr>
      <w:bookmarkStart w:id="52" w:name="_Toc485111150"/>
      <w:bookmarkStart w:id="53" w:name="_Toc497171856"/>
      <w:r w:rsidRPr="00477D8F">
        <w:t>Enrollment, completion</w:t>
      </w:r>
      <w:r w:rsidR="008F4CC6" w:rsidRPr="00477D8F">
        <w:t>,</w:t>
      </w:r>
      <w:r w:rsidRPr="00477D8F">
        <w:t xml:space="preserve"> and gender parity</w:t>
      </w:r>
      <w:bookmarkEnd w:id="52"/>
      <w:bookmarkEnd w:id="53"/>
    </w:p>
    <w:p w14:paraId="25AA927C" w14:textId="2ECC49B0" w:rsidR="00272695" w:rsidRPr="00477D8F" w:rsidRDefault="00E532E4" w:rsidP="002A4725">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bCs/>
        </w:rPr>
      </w:pPr>
      <w:r w:rsidRPr="00477D8F">
        <w:rPr>
          <w:rFonts w:ascii="Sylfaen" w:hAnsi="Sylfaen"/>
          <w:b/>
        </w:rPr>
        <w:t>Key enrollment and completion indicators have remained largely stagnant</w:t>
      </w:r>
      <w:r w:rsidR="00E23B57" w:rsidRPr="00477D8F">
        <w:rPr>
          <w:rFonts w:ascii="Sylfaen" w:hAnsi="Sylfaen"/>
          <w:b/>
        </w:rPr>
        <w:t>,</w:t>
      </w:r>
      <w:r w:rsidRPr="00477D8F">
        <w:rPr>
          <w:rFonts w:ascii="Sylfaen" w:hAnsi="Sylfaen"/>
          <w:b/>
        </w:rPr>
        <w:t xml:space="preserve"> although the actual number of enrollment</w:t>
      </w:r>
      <w:r w:rsidR="004E4227" w:rsidRPr="00477D8F">
        <w:rPr>
          <w:rFonts w:ascii="Sylfaen" w:hAnsi="Sylfaen"/>
          <w:b/>
        </w:rPr>
        <w:t>s</w:t>
      </w:r>
      <w:r w:rsidRPr="00477D8F">
        <w:rPr>
          <w:rFonts w:ascii="Sylfaen" w:hAnsi="Sylfaen"/>
          <w:b/>
        </w:rPr>
        <w:t xml:space="preserve"> has been growing due to the high population growth.</w:t>
      </w:r>
      <w:r w:rsidRPr="00477D8F">
        <w:rPr>
          <w:rFonts w:ascii="Sylfaen" w:hAnsi="Sylfaen"/>
        </w:rPr>
        <w:t xml:space="preserve"> The education sector in The Gambia has shown little improvement in access between 201</w:t>
      </w:r>
      <w:r w:rsidR="00390FD9" w:rsidRPr="00477D8F">
        <w:rPr>
          <w:rFonts w:ascii="Sylfaen" w:hAnsi="Sylfaen"/>
        </w:rPr>
        <w:t>0</w:t>
      </w:r>
      <w:r w:rsidRPr="00477D8F">
        <w:rPr>
          <w:rFonts w:ascii="Sylfaen" w:hAnsi="Sylfaen"/>
        </w:rPr>
        <w:t xml:space="preserve"> and 2015 in terms of </w:t>
      </w:r>
      <w:r w:rsidR="00390FD9" w:rsidRPr="00477D8F">
        <w:rPr>
          <w:rFonts w:ascii="Sylfaen" w:hAnsi="Sylfaen"/>
        </w:rPr>
        <w:t>the share of school-age children enrolled</w:t>
      </w:r>
      <w:r w:rsidRPr="00477D8F">
        <w:rPr>
          <w:rFonts w:ascii="Sylfaen" w:hAnsi="Sylfaen"/>
        </w:rPr>
        <w:t>. The GERs have been stagnant at all levels of education except at the postsecondary level. For example, between 20</w:t>
      </w:r>
      <w:r w:rsidR="00390FD9" w:rsidRPr="00477D8F">
        <w:rPr>
          <w:rFonts w:ascii="Sylfaen" w:hAnsi="Sylfaen"/>
        </w:rPr>
        <w:t>10</w:t>
      </w:r>
      <w:r w:rsidRPr="00477D8F">
        <w:rPr>
          <w:rFonts w:ascii="Sylfaen" w:hAnsi="Sylfaen"/>
        </w:rPr>
        <w:t xml:space="preserve"> and 2015, the actual number enrolled increased from 228,</w:t>
      </w:r>
      <w:r w:rsidR="00BA0F39" w:rsidRPr="00477D8F">
        <w:rPr>
          <w:rFonts w:ascii="Sylfaen" w:hAnsi="Sylfaen"/>
        </w:rPr>
        <w:t>495</w:t>
      </w:r>
      <w:r w:rsidRPr="00477D8F">
        <w:rPr>
          <w:rFonts w:ascii="Sylfaen" w:hAnsi="Sylfaen"/>
        </w:rPr>
        <w:t xml:space="preserve"> to 308,</w:t>
      </w:r>
      <w:r w:rsidR="00BA0F39" w:rsidRPr="00477D8F">
        <w:rPr>
          <w:rFonts w:ascii="Sylfaen" w:hAnsi="Sylfaen"/>
        </w:rPr>
        <w:t>729</w:t>
      </w:r>
      <w:r w:rsidRPr="00477D8F">
        <w:rPr>
          <w:rFonts w:ascii="Sylfaen" w:hAnsi="Sylfaen"/>
        </w:rPr>
        <w:t xml:space="preserve"> (35 percent increase) at the </w:t>
      </w:r>
      <w:r w:rsidR="00CB1DA8" w:rsidRPr="00477D8F">
        <w:rPr>
          <w:rFonts w:ascii="Sylfaen" w:eastAsia="Times New Roman" w:hAnsi="Sylfaen" w:cs="Times New Roman"/>
          <w:color w:val="000000"/>
        </w:rPr>
        <w:t>lower basic school (</w:t>
      </w:r>
      <w:r w:rsidR="00BA0F39" w:rsidRPr="00477D8F">
        <w:rPr>
          <w:rFonts w:ascii="Sylfaen" w:hAnsi="Sylfaen"/>
        </w:rPr>
        <w:t>LBS</w:t>
      </w:r>
      <w:r w:rsidR="00CB1DA8" w:rsidRPr="00477D8F">
        <w:rPr>
          <w:rFonts w:ascii="Sylfaen" w:hAnsi="Sylfaen"/>
        </w:rPr>
        <w:t>)</w:t>
      </w:r>
      <w:r w:rsidRPr="00477D8F">
        <w:rPr>
          <w:rFonts w:ascii="Sylfaen" w:hAnsi="Sylfaen"/>
        </w:rPr>
        <w:t xml:space="preserve"> level and from 115,1</w:t>
      </w:r>
      <w:r w:rsidR="00BA0F39" w:rsidRPr="00477D8F">
        <w:rPr>
          <w:rFonts w:ascii="Sylfaen" w:hAnsi="Sylfaen"/>
        </w:rPr>
        <w:t>98</w:t>
      </w:r>
      <w:r w:rsidRPr="00477D8F">
        <w:rPr>
          <w:rFonts w:ascii="Sylfaen" w:hAnsi="Sylfaen"/>
        </w:rPr>
        <w:t xml:space="preserve"> to </w:t>
      </w:r>
      <w:r w:rsidR="00BA0F39" w:rsidRPr="00477D8F">
        <w:rPr>
          <w:rFonts w:ascii="Sylfaen" w:hAnsi="Sylfaen"/>
        </w:rPr>
        <w:t>164,839</w:t>
      </w:r>
      <w:r w:rsidRPr="00477D8F">
        <w:rPr>
          <w:rFonts w:ascii="Sylfaen" w:hAnsi="Sylfaen"/>
        </w:rPr>
        <w:t xml:space="preserve"> (</w:t>
      </w:r>
      <w:r w:rsidR="00BA0F39" w:rsidRPr="00477D8F">
        <w:rPr>
          <w:rFonts w:ascii="Sylfaen" w:hAnsi="Sylfaen"/>
        </w:rPr>
        <w:t>27</w:t>
      </w:r>
      <w:r w:rsidRPr="00477D8F">
        <w:rPr>
          <w:rFonts w:ascii="Sylfaen" w:hAnsi="Sylfaen"/>
        </w:rPr>
        <w:t xml:space="preserve"> percent increase) at the secondary level.</w:t>
      </w:r>
      <w:r w:rsidR="00272695" w:rsidRPr="00477D8F">
        <w:rPr>
          <w:rFonts w:ascii="Sylfaen" w:hAnsi="Sylfaen"/>
        </w:rPr>
        <w:t xml:space="preserve"> </w:t>
      </w:r>
      <w:r w:rsidRPr="00477D8F">
        <w:rPr>
          <w:rFonts w:ascii="Sylfaen" w:hAnsi="Sylfaen"/>
        </w:rPr>
        <w:t>However,</w:t>
      </w:r>
      <w:r w:rsidRPr="00477D8F">
        <w:rPr>
          <w:rFonts w:ascii="Sylfaen" w:hAnsi="Sylfaen" w:cs="Times New Roman"/>
          <w:bCs/>
        </w:rPr>
        <w:t xml:space="preserve"> GERs reduced at the preschool and primary level between 2010 and 2015, with the largest decrease registered at the primary level where the GER decreased by 3 percent</w:t>
      </w:r>
      <w:r w:rsidR="00BA0F39" w:rsidRPr="00477D8F">
        <w:rPr>
          <w:rFonts w:ascii="Sylfaen" w:hAnsi="Sylfaen" w:cs="Times New Roman"/>
          <w:bCs/>
        </w:rPr>
        <w:t xml:space="preserve"> (about 100,000 LBS</w:t>
      </w:r>
      <w:r w:rsidR="00FA2DCA" w:rsidRPr="00477D8F">
        <w:rPr>
          <w:rFonts w:ascii="Sylfaen" w:hAnsi="Sylfaen" w:cs="Times New Roman"/>
          <w:bCs/>
        </w:rPr>
        <w:t>-</w:t>
      </w:r>
      <w:r w:rsidR="00BA0F39" w:rsidRPr="00477D8F">
        <w:rPr>
          <w:rFonts w:ascii="Sylfaen" w:hAnsi="Sylfaen" w:cs="Times New Roman"/>
          <w:bCs/>
        </w:rPr>
        <w:t>level</w:t>
      </w:r>
      <w:r w:rsidR="00FA2DCA" w:rsidRPr="00477D8F">
        <w:rPr>
          <w:rFonts w:ascii="Sylfaen" w:hAnsi="Sylfaen" w:cs="Times New Roman"/>
          <w:bCs/>
        </w:rPr>
        <w:t>-</w:t>
      </w:r>
      <w:r w:rsidR="00BA0F39" w:rsidRPr="00477D8F">
        <w:rPr>
          <w:rFonts w:ascii="Sylfaen" w:hAnsi="Sylfaen" w:cs="Times New Roman"/>
          <w:bCs/>
        </w:rPr>
        <w:t>age children are out</w:t>
      </w:r>
      <w:r w:rsidR="00FA2DCA" w:rsidRPr="00477D8F">
        <w:rPr>
          <w:rFonts w:ascii="Sylfaen" w:hAnsi="Sylfaen" w:cs="Times New Roman"/>
          <w:bCs/>
        </w:rPr>
        <w:t xml:space="preserve"> </w:t>
      </w:r>
      <w:r w:rsidR="00BA0F39" w:rsidRPr="00477D8F">
        <w:rPr>
          <w:rFonts w:ascii="Sylfaen" w:hAnsi="Sylfaen" w:cs="Times New Roman"/>
          <w:bCs/>
        </w:rPr>
        <w:t>of</w:t>
      </w:r>
      <w:r w:rsidR="00FA2DCA" w:rsidRPr="00477D8F">
        <w:rPr>
          <w:rFonts w:ascii="Sylfaen" w:hAnsi="Sylfaen" w:cs="Times New Roman"/>
          <w:bCs/>
        </w:rPr>
        <w:t xml:space="preserve"> </w:t>
      </w:r>
      <w:r w:rsidR="00BA0F39" w:rsidRPr="00477D8F">
        <w:rPr>
          <w:rFonts w:ascii="Sylfaen" w:hAnsi="Sylfaen" w:cs="Times New Roman"/>
          <w:bCs/>
        </w:rPr>
        <w:t>school)</w:t>
      </w:r>
      <w:r w:rsidRPr="00477D8F">
        <w:rPr>
          <w:rFonts w:ascii="Sylfaen" w:hAnsi="Sylfaen" w:cs="Times New Roman"/>
          <w:bCs/>
        </w:rPr>
        <w:t xml:space="preserve">. Access at the secondary level has increased slightly by 1 percent during the same period. The GER at the postsecondary level only registered a 1.5 percent increase (from 5 </w:t>
      </w:r>
      <w:r w:rsidR="00162225" w:rsidRPr="00477D8F">
        <w:rPr>
          <w:rFonts w:ascii="Sylfaen" w:hAnsi="Sylfaen" w:cs="Times New Roman"/>
          <w:bCs/>
        </w:rPr>
        <w:t xml:space="preserve">percent </w:t>
      </w:r>
      <w:r w:rsidRPr="00477D8F">
        <w:rPr>
          <w:rFonts w:ascii="Sylfaen" w:hAnsi="Sylfaen" w:cs="Times New Roman"/>
          <w:bCs/>
        </w:rPr>
        <w:t>to 6.5 percent) over the same period (</w:t>
      </w:r>
      <w:r w:rsidRPr="00477D8F">
        <w:rPr>
          <w:rFonts w:ascii="Sylfaen" w:hAnsi="Sylfaen" w:cs="Times New Roman"/>
          <w:bCs/>
        </w:rPr>
        <w:fldChar w:fldCharType="begin"/>
      </w:r>
      <w:r w:rsidRPr="00477D8F">
        <w:rPr>
          <w:rFonts w:ascii="Sylfaen" w:hAnsi="Sylfaen" w:cs="Times New Roman"/>
          <w:bCs/>
        </w:rPr>
        <w:instrText xml:space="preserve"> REF _Ref416079137 \h  \* MERGEFORMAT </w:instrText>
      </w:r>
      <w:r w:rsidRPr="00477D8F">
        <w:rPr>
          <w:rFonts w:ascii="Sylfaen" w:hAnsi="Sylfaen" w:cs="Times New Roman"/>
          <w:bCs/>
        </w:rPr>
      </w:r>
      <w:r w:rsidRPr="00477D8F">
        <w:rPr>
          <w:rFonts w:ascii="Sylfaen" w:hAnsi="Sylfaen" w:cs="Times New Roman"/>
          <w:bCs/>
        </w:rPr>
        <w:fldChar w:fldCharType="separate"/>
      </w:r>
      <w:r w:rsidR="00F800F3" w:rsidRPr="00477D8F">
        <w:rPr>
          <w:rFonts w:ascii="Sylfaen" w:hAnsi="Sylfaen"/>
        </w:rPr>
        <w:t>Figure 6</w:t>
      </w:r>
      <w:r w:rsidRPr="00477D8F">
        <w:rPr>
          <w:rFonts w:ascii="Sylfaen" w:hAnsi="Sylfaen" w:cs="Times New Roman"/>
          <w:bCs/>
        </w:rPr>
        <w:fldChar w:fldCharType="end"/>
      </w:r>
      <w:r w:rsidRPr="00477D8F">
        <w:rPr>
          <w:rFonts w:ascii="Sylfaen" w:hAnsi="Sylfaen" w:cs="Times New Roman"/>
          <w:bCs/>
        </w:rPr>
        <w:t xml:space="preserve">). The </w:t>
      </w:r>
      <w:r w:rsidR="00CE1D38" w:rsidRPr="00477D8F">
        <w:rPr>
          <w:rStyle w:val="None"/>
          <w:rFonts w:ascii="Sylfaen" w:eastAsia="Sylfaen" w:hAnsi="Sylfaen" w:cs="Sylfaen"/>
          <w:iCs/>
        </w:rPr>
        <w:t>PCR</w:t>
      </w:r>
      <w:r w:rsidRPr="00477D8F">
        <w:rPr>
          <w:rFonts w:ascii="Sylfaen" w:hAnsi="Sylfaen"/>
        </w:rPr>
        <w:t xml:space="preserve"> stands at 74 percent</w:t>
      </w:r>
      <w:r w:rsidR="00FA2DCA" w:rsidRPr="00477D8F">
        <w:rPr>
          <w:rFonts w:ascii="Sylfaen" w:hAnsi="Sylfaen"/>
        </w:rPr>
        <w:t>,</w:t>
      </w:r>
      <w:r w:rsidRPr="00477D8F">
        <w:rPr>
          <w:rFonts w:ascii="Sylfaen" w:hAnsi="Sylfaen"/>
        </w:rPr>
        <w:t xml:space="preserve"> which is below the target level (100</w:t>
      </w:r>
      <w:r w:rsidR="003F2B58" w:rsidRPr="00477D8F">
        <w:rPr>
          <w:rFonts w:ascii="Sylfaen" w:hAnsi="Sylfaen"/>
        </w:rPr>
        <w:t xml:space="preserve"> percent</w:t>
      </w:r>
      <w:r w:rsidRPr="00477D8F">
        <w:rPr>
          <w:rFonts w:ascii="Sylfaen" w:hAnsi="Sylfaen"/>
        </w:rPr>
        <w:t xml:space="preserve">). Unlike the GERs, the GPI has improved since 2010 except at the postsecondary level. </w:t>
      </w:r>
      <w:r w:rsidRPr="00477D8F">
        <w:rPr>
          <w:rFonts w:ascii="Sylfaen" w:hAnsi="Sylfaen"/>
          <w:bCs/>
        </w:rPr>
        <w:t>The gender parity rate is more than 100 percent at the preschool, primary</w:t>
      </w:r>
      <w:r w:rsidR="00FA2DCA" w:rsidRPr="00477D8F">
        <w:rPr>
          <w:rFonts w:ascii="Sylfaen" w:hAnsi="Sylfaen"/>
          <w:bCs/>
        </w:rPr>
        <w:t>,</w:t>
      </w:r>
      <w:r w:rsidRPr="00477D8F">
        <w:rPr>
          <w:rFonts w:ascii="Sylfaen" w:hAnsi="Sylfaen"/>
          <w:bCs/>
        </w:rPr>
        <w:t xml:space="preserve"> and secondary levels of education. However, the postsecondary education level is still lagging behind</w:t>
      </w:r>
      <w:r w:rsidR="00A07B74" w:rsidRPr="00477D8F">
        <w:rPr>
          <w:rFonts w:ascii="Sylfaen" w:hAnsi="Sylfaen"/>
          <w:bCs/>
        </w:rPr>
        <w:t>,</w:t>
      </w:r>
      <w:r w:rsidRPr="00477D8F">
        <w:rPr>
          <w:rFonts w:ascii="Sylfaen" w:hAnsi="Sylfaen"/>
          <w:bCs/>
        </w:rPr>
        <w:t xml:space="preserve"> with a decrease from 74 </w:t>
      </w:r>
      <w:r w:rsidR="00FA2DCA" w:rsidRPr="00477D8F">
        <w:rPr>
          <w:rFonts w:ascii="Sylfaen" w:hAnsi="Sylfaen"/>
          <w:bCs/>
        </w:rPr>
        <w:t xml:space="preserve">percent </w:t>
      </w:r>
      <w:r w:rsidRPr="00477D8F">
        <w:rPr>
          <w:rFonts w:ascii="Sylfaen" w:hAnsi="Sylfaen"/>
          <w:bCs/>
        </w:rPr>
        <w:t xml:space="preserve">to 69 percent between 2010 and 2015. </w:t>
      </w:r>
    </w:p>
    <w:tbl>
      <w:tblPr>
        <w:tblStyle w:val="TableGrid1"/>
        <w:tblW w:w="93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6"/>
      </w:tblGrid>
      <w:tr w:rsidR="00811303" w:rsidRPr="00477D8F" w14:paraId="1DA523A7" w14:textId="77777777" w:rsidTr="00B84CFD">
        <w:trPr>
          <w:trHeight w:val="17"/>
        </w:trPr>
        <w:tc>
          <w:tcPr>
            <w:tcW w:w="9336" w:type="dxa"/>
            <w:hideMark/>
          </w:tcPr>
          <w:p w14:paraId="42038F81" w14:textId="4FF18392" w:rsidR="00811303" w:rsidRPr="00477D8F" w:rsidRDefault="00F32519" w:rsidP="00B84CFD">
            <w:pPr>
              <w:pStyle w:val="Caption1"/>
              <w:keepLines/>
            </w:pPr>
            <w:bookmarkStart w:id="54" w:name="_Ref416079137"/>
            <w:bookmarkStart w:id="55" w:name="_Toc473728777"/>
            <w:bookmarkStart w:id="56" w:name="_Toc497171776"/>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6</w:t>
            </w:r>
            <w:r w:rsidR="002E5BDF" w:rsidRPr="00477D8F">
              <w:rPr>
                <w:noProof/>
              </w:rPr>
              <w:fldChar w:fldCharType="end"/>
            </w:r>
            <w:bookmarkEnd w:id="54"/>
            <w:r w:rsidR="00811303" w:rsidRPr="00477D8F">
              <w:t xml:space="preserve">: </w:t>
            </w:r>
            <w:r w:rsidR="00AD1A40" w:rsidRPr="00477D8F">
              <w:t xml:space="preserve">Trends of </w:t>
            </w:r>
            <w:r w:rsidR="002A7F47" w:rsidRPr="00477D8F">
              <w:rPr>
                <w:iCs/>
              </w:rPr>
              <w:t>GERs</w:t>
            </w:r>
            <w:r w:rsidR="00AD1A40" w:rsidRPr="00477D8F">
              <w:t xml:space="preserve"> and gender par</w:t>
            </w:r>
            <w:r w:rsidR="00FA2DCA" w:rsidRPr="00477D8F">
              <w:t>i</w:t>
            </w:r>
            <w:r w:rsidR="00AD1A40" w:rsidRPr="00477D8F">
              <w:t xml:space="preserve">ty and completion rate by level of </w:t>
            </w:r>
            <w:bookmarkEnd w:id="55"/>
            <w:r w:rsidR="00AD1A40" w:rsidRPr="00477D8F">
              <w:t>education</w:t>
            </w:r>
            <w:bookmarkEnd w:id="56"/>
          </w:p>
        </w:tc>
      </w:tr>
      <w:tr w:rsidR="00811303" w:rsidRPr="00477D8F" w14:paraId="618A1E3E" w14:textId="77777777" w:rsidTr="00B84CFD">
        <w:trPr>
          <w:trHeight w:val="3377"/>
        </w:trPr>
        <w:tc>
          <w:tcPr>
            <w:tcW w:w="9336" w:type="dxa"/>
            <w:hideMark/>
          </w:tcPr>
          <w:p w14:paraId="79D7A962" w14:textId="1382C069" w:rsidR="00166329" w:rsidRPr="00477D8F" w:rsidRDefault="009A686F" w:rsidP="00B84CFD">
            <w:pPr>
              <w:keepNext/>
              <w:keepLines/>
              <w:jc w:val="center"/>
              <w:rPr>
                <w:rFonts w:ascii="Sylfaen" w:hAnsi="Sylfaen"/>
                <w:bCs/>
              </w:rPr>
            </w:pPr>
            <w:r w:rsidRPr="00477D8F">
              <w:rPr>
                <w:rFonts w:ascii="Sylfaen" w:hAnsi="Sylfaen"/>
                <w:noProof/>
              </w:rPr>
              <w:drawing>
                <wp:inline distT="0" distB="0" distL="0" distR="0" wp14:anchorId="35D81265" wp14:editId="0FDB9A61">
                  <wp:extent cx="5791200" cy="2055571"/>
                  <wp:effectExtent l="0" t="0" r="0" b="190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r w:rsidR="00811303" w:rsidRPr="00477D8F" w14:paraId="2EF7F6B6" w14:textId="77777777" w:rsidTr="00B84CFD">
        <w:trPr>
          <w:trHeight w:val="17"/>
        </w:trPr>
        <w:tc>
          <w:tcPr>
            <w:tcW w:w="9336" w:type="dxa"/>
            <w:hideMark/>
          </w:tcPr>
          <w:p w14:paraId="0AB7244B" w14:textId="75ED6B20" w:rsidR="00811303" w:rsidRPr="00477D8F" w:rsidRDefault="00811303" w:rsidP="00B84CFD">
            <w:pPr>
              <w:pStyle w:val="Source"/>
              <w:keepNext/>
              <w:keepLines/>
            </w:pPr>
            <w:r w:rsidRPr="00477D8F">
              <w:rPr>
                <w:rFonts w:eastAsia="Times New Roman"/>
                <w:i/>
              </w:rPr>
              <w:t>Source:</w:t>
            </w:r>
            <w:r w:rsidRPr="00477D8F">
              <w:rPr>
                <w:rFonts w:eastAsia="Times New Roman"/>
              </w:rPr>
              <w:t xml:space="preserve"> Authors’ e</w:t>
            </w:r>
            <w:r w:rsidRPr="00477D8F">
              <w:t xml:space="preserve">stimations based on </w:t>
            </w:r>
            <w:r w:rsidR="00AD1A40" w:rsidRPr="00477D8F">
              <w:t>IHS 2010</w:t>
            </w:r>
            <w:r w:rsidRPr="00477D8F">
              <w:t xml:space="preserve"> and 2015</w:t>
            </w:r>
            <w:r w:rsidR="00810D67" w:rsidRPr="00477D8F">
              <w:t>.</w:t>
            </w:r>
          </w:p>
        </w:tc>
      </w:tr>
    </w:tbl>
    <w:p w14:paraId="67A47D92" w14:textId="62904409" w:rsidR="00586807" w:rsidRPr="00477D8F" w:rsidRDefault="00CF3B5A" w:rsidP="00ED0E68">
      <w:pPr>
        <w:pStyle w:val="Heading2"/>
      </w:pPr>
      <w:bookmarkStart w:id="57" w:name="_Toc482649924"/>
      <w:bookmarkStart w:id="58" w:name="_Toc497171857"/>
      <w:r w:rsidRPr="00477D8F">
        <w:t>Repetition</w:t>
      </w:r>
      <w:r w:rsidR="001D69D4" w:rsidRPr="00477D8F">
        <w:t xml:space="preserve"> and dropout</w:t>
      </w:r>
      <w:bookmarkEnd w:id="58"/>
    </w:p>
    <w:p w14:paraId="2508248E" w14:textId="6C91D073" w:rsidR="003D5198" w:rsidRPr="00477D8F" w:rsidRDefault="00824303" w:rsidP="002A4725">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 xml:space="preserve">Although The Gambia does not practice a mandatory promotion system, the average repetition rate is low in all levels of education. </w:t>
      </w:r>
      <w:r w:rsidRPr="00477D8F">
        <w:rPr>
          <w:rFonts w:ascii="Sylfaen" w:hAnsi="Sylfaen"/>
        </w:rPr>
        <w:t xml:space="preserve">However, of concern is an increase in the repetition rate at grade </w:t>
      </w:r>
      <w:r w:rsidR="00934149" w:rsidRPr="00477D8F">
        <w:rPr>
          <w:rFonts w:ascii="Sylfaen" w:hAnsi="Sylfaen"/>
        </w:rPr>
        <w:t xml:space="preserve">1 </w:t>
      </w:r>
      <w:r w:rsidRPr="00477D8F">
        <w:rPr>
          <w:rFonts w:ascii="Sylfaen" w:hAnsi="Sylfaen"/>
        </w:rPr>
        <w:t>of primary</w:t>
      </w:r>
      <w:r w:rsidR="0027646F" w:rsidRPr="00477D8F">
        <w:rPr>
          <w:rFonts w:ascii="Sylfaen" w:hAnsi="Sylfaen"/>
        </w:rPr>
        <w:t xml:space="preserve"> </w:t>
      </w:r>
      <w:r w:rsidR="00AC01C1" w:rsidRPr="00477D8F">
        <w:rPr>
          <w:rFonts w:ascii="Sylfaen" w:hAnsi="Sylfaen"/>
        </w:rPr>
        <w:t>education</w:t>
      </w:r>
      <w:r w:rsidRPr="00477D8F">
        <w:rPr>
          <w:rFonts w:ascii="Sylfaen" w:hAnsi="Sylfaen"/>
        </w:rPr>
        <w:t>.</w:t>
      </w:r>
      <w:r w:rsidR="00272695" w:rsidRPr="00477D8F">
        <w:rPr>
          <w:rFonts w:ascii="Sylfaen" w:hAnsi="Sylfaen"/>
          <w:b/>
        </w:rPr>
        <w:t xml:space="preserve"> </w:t>
      </w:r>
      <w:r w:rsidRPr="00477D8F">
        <w:rPr>
          <w:rFonts w:ascii="Sylfaen" w:hAnsi="Sylfaen"/>
        </w:rPr>
        <w:t xml:space="preserve">The low repetition rate indicates that students are more likely to complete their education cycle on time, which decreases the likelihood of dropping out and joining the labor market provided that they start school on time. The repetition rate is especially low in the </w:t>
      </w:r>
      <w:r w:rsidR="00A75A8A" w:rsidRPr="00477D8F">
        <w:rPr>
          <w:rFonts w:ascii="Sylfaen" w:hAnsi="Sylfaen"/>
        </w:rPr>
        <w:t>UBE</w:t>
      </w:r>
      <w:r w:rsidRPr="00477D8F">
        <w:rPr>
          <w:rFonts w:ascii="Sylfaen" w:hAnsi="Sylfaen"/>
        </w:rPr>
        <w:t xml:space="preserve"> level at 3.1 percent, followed by 4.4 percent in the </w:t>
      </w:r>
      <w:r w:rsidR="00FD0FF5" w:rsidRPr="00477D8F">
        <w:rPr>
          <w:rFonts w:ascii="Sylfaen" w:eastAsia="Times New Roman" w:hAnsi="Sylfaen" w:cs="Times New Roman"/>
          <w:color w:val="000000"/>
        </w:rPr>
        <w:t>SSE</w:t>
      </w:r>
      <w:r w:rsidRPr="00477D8F">
        <w:rPr>
          <w:rFonts w:ascii="Sylfaen" w:hAnsi="Sylfaen"/>
        </w:rPr>
        <w:t xml:space="preserve"> level and 5.2 percent in the </w:t>
      </w:r>
      <w:r w:rsidR="007C0E54" w:rsidRPr="00477D8F">
        <w:rPr>
          <w:rFonts w:ascii="Sylfaen" w:hAnsi="Sylfaen"/>
        </w:rPr>
        <w:t xml:space="preserve">LBE </w:t>
      </w:r>
      <w:r w:rsidRPr="00477D8F">
        <w:rPr>
          <w:rFonts w:ascii="Sylfaen" w:hAnsi="Sylfaen"/>
        </w:rPr>
        <w:t>level. There are slight variations in the repetition rates across grades and types of school. In grade 1, the government schools display a higher repetition rate than the grant-aided schools (</w:t>
      </w:r>
      <w:r w:rsidRPr="00477D8F">
        <w:rPr>
          <w:rFonts w:ascii="Sylfaen" w:hAnsi="Sylfaen"/>
        </w:rPr>
        <w:fldChar w:fldCharType="begin"/>
      </w:r>
      <w:r w:rsidRPr="00477D8F">
        <w:rPr>
          <w:rFonts w:ascii="Sylfaen" w:hAnsi="Sylfaen"/>
        </w:rPr>
        <w:instrText xml:space="preserve"> REF _Ref483198521 \h  \* MERGEFORMAT </w:instrText>
      </w:r>
      <w:r w:rsidRPr="00477D8F">
        <w:rPr>
          <w:rFonts w:ascii="Sylfaen" w:hAnsi="Sylfaen"/>
        </w:rPr>
      </w:r>
      <w:r w:rsidRPr="00477D8F">
        <w:rPr>
          <w:rFonts w:ascii="Sylfaen" w:hAnsi="Sylfaen"/>
        </w:rPr>
        <w:fldChar w:fldCharType="separate"/>
      </w:r>
      <w:r w:rsidR="00F800F3" w:rsidRPr="00477D8F">
        <w:rPr>
          <w:rFonts w:ascii="Sylfaen" w:hAnsi="Sylfaen"/>
        </w:rPr>
        <w:t xml:space="preserve">Figure </w:t>
      </w:r>
      <w:r w:rsidR="00F800F3" w:rsidRPr="00477D8F">
        <w:rPr>
          <w:rFonts w:ascii="Sylfaen" w:hAnsi="Sylfaen"/>
          <w:noProof/>
        </w:rPr>
        <w:t>7</w:t>
      </w:r>
      <w:r w:rsidRPr="00477D8F">
        <w:rPr>
          <w:rFonts w:ascii="Sylfaen" w:hAnsi="Sylfaen"/>
        </w:rPr>
        <w:fldChar w:fldCharType="end"/>
      </w:r>
      <w:r w:rsidRPr="00477D8F">
        <w:rPr>
          <w:rFonts w:ascii="Sylfaen" w:hAnsi="Sylfaen"/>
        </w:rPr>
        <w:t xml:space="preserve">). Even though The Gambia has a lower repetition rate as compared to most of the SSA countries, the higher rate of repetition in grade </w:t>
      </w:r>
      <w:r w:rsidR="00AC01C1" w:rsidRPr="00477D8F">
        <w:rPr>
          <w:rFonts w:ascii="Sylfaen" w:hAnsi="Sylfaen"/>
        </w:rPr>
        <w:t>1</w:t>
      </w:r>
      <w:r w:rsidRPr="00477D8F">
        <w:rPr>
          <w:rFonts w:ascii="Sylfaen" w:hAnsi="Sylfaen"/>
        </w:rPr>
        <w:t xml:space="preserve"> (8.3 percent in government schools) should be monitored carefully.</w:t>
      </w:r>
      <w:r w:rsidR="004732F8" w:rsidRPr="00477D8F">
        <w:rPr>
          <w:rFonts w:ascii="Sylfaen" w:hAnsi="Sylfaen"/>
        </w:rPr>
        <w:t xml:space="preserve"> </w:t>
      </w:r>
    </w:p>
    <w:tbl>
      <w:tblPr>
        <w:tblStyle w:val="TableGrid1"/>
        <w:tblW w:w="93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6"/>
      </w:tblGrid>
      <w:tr w:rsidR="00CF3B5A" w:rsidRPr="00477D8F" w14:paraId="740C05B2" w14:textId="77777777" w:rsidTr="00DF77A6">
        <w:trPr>
          <w:trHeight w:val="17"/>
        </w:trPr>
        <w:tc>
          <w:tcPr>
            <w:tcW w:w="9336" w:type="dxa"/>
            <w:hideMark/>
          </w:tcPr>
          <w:p w14:paraId="446F11D6" w14:textId="72BD9541" w:rsidR="00CF3B5A" w:rsidRPr="00477D8F" w:rsidRDefault="00CF3B5A" w:rsidP="00DF77A6">
            <w:pPr>
              <w:pStyle w:val="Caption1"/>
            </w:pPr>
            <w:bookmarkStart w:id="59" w:name="_Ref483198521"/>
            <w:bookmarkStart w:id="60" w:name="_Toc497171777"/>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7</w:t>
            </w:r>
            <w:r w:rsidR="002E5BDF" w:rsidRPr="00477D8F">
              <w:rPr>
                <w:noProof/>
              </w:rPr>
              <w:fldChar w:fldCharType="end"/>
            </w:r>
            <w:bookmarkEnd w:id="59"/>
            <w:r w:rsidRPr="00477D8F">
              <w:t xml:space="preserve">: </w:t>
            </w:r>
            <w:r w:rsidR="005D30F0" w:rsidRPr="00477D8F">
              <w:t>Repetition rate by grade</w:t>
            </w:r>
            <w:r w:rsidR="00015EEC" w:rsidRPr="00477D8F">
              <w:t xml:space="preserve"> and trends of repetition at grade 1, 2010, 2015</w:t>
            </w:r>
            <w:bookmarkEnd w:id="60"/>
          </w:p>
        </w:tc>
      </w:tr>
      <w:tr w:rsidR="00CF3B5A" w:rsidRPr="00477D8F" w14:paraId="14549E91" w14:textId="77777777" w:rsidTr="00DF77A6">
        <w:trPr>
          <w:trHeight w:val="3377"/>
        </w:trPr>
        <w:tc>
          <w:tcPr>
            <w:tcW w:w="9336" w:type="dxa"/>
            <w:hideMark/>
          </w:tcPr>
          <w:p w14:paraId="0C437E65" w14:textId="77777777" w:rsidR="00CF3B5A" w:rsidRPr="00477D8F" w:rsidRDefault="00CF3B5A" w:rsidP="00DF77A6">
            <w:pPr>
              <w:jc w:val="both"/>
              <w:rPr>
                <w:rFonts w:ascii="Sylfaen" w:hAnsi="Sylfaen"/>
                <w:bCs/>
              </w:rPr>
            </w:pPr>
            <w:r w:rsidRPr="00477D8F">
              <w:rPr>
                <w:rFonts w:ascii="Sylfaen" w:hAnsi="Sylfaen"/>
                <w:noProof/>
              </w:rPr>
              <w:drawing>
                <wp:inline distT="0" distB="0" distL="0" distR="0" wp14:anchorId="53A1583A" wp14:editId="388DE12A">
                  <wp:extent cx="2886075" cy="2143354"/>
                  <wp:effectExtent l="0" t="0" r="9525" b="952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C2788D" w:rsidRPr="00477D8F">
              <w:rPr>
                <w:rFonts w:ascii="Sylfaen" w:hAnsi="Sylfaen"/>
                <w:noProof/>
              </w:rPr>
              <w:drawing>
                <wp:inline distT="0" distB="0" distL="0" distR="0" wp14:anchorId="156407F7" wp14:editId="0C47456B">
                  <wp:extent cx="2886075" cy="2106778"/>
                  <wp:effectExtent l="0" t="0" r="9525" b="8255"/>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r w:rsidR="00CF3B5A" w:rsidRPr="00477D8F" w14:paraId="67712622" w14:textId="77777777" w:rsidTr="00DF77A6">
        <w:trPr>
          <w:trHeight w:val="17"/>
        </w:trPr>
        <w:tc>
          <w:tcPr>
            <w:tcW w:w="9336" w:type="dxa"/>
            <w:hideMark/>
          </w:tcPr>
          <w:p w14:paraId="0D53EB28" w14:textId="67C6E0CA" w:rsidR="00CF3B5A" w:rsidRPr="00477D8F" w:rsidRDefault="00CF3B5A" w:rsidP="00DF77A6">
            <w:pPr>
              <w:pStyle w:val="Source"/>
            </w:pPr>
            <w:r w:rsidRPr="00477D8F">
              <w:rPr>
                <w:rFonts w:eastAsia="Times New Roman"/>
                <w:i/>
              </w:rPr>
              <w:t>Source:</w:t>
            </w:r>
            <w:r w:rsidRPr="00477D8F">
              <w:rPr>
                <w:rFonts w:eastAsia="Times New Roman"/>
              </w:rPr>
              <w:t xml:space="preserve"> Authors’ e</w:t>
            </w:r>
            <w:r w:rsidRPr="00477D8F">
              <w:t xml:space="preserve">stimations based on </w:t>
            </w:r>
            <w:r w:rsidR="00AD1A40" w:rsidRPr="00477D8F">
              <w:t>EMIS</w:t>
            </w:r>
            <w:r w:rsidR="00810D67" w:rsidRPr="00477D8F">
              <w:t>.</w:t>
            </w:r>
          </w:p>
        </w:tc>
      </w:tr>
    </w:tbl>
    <w:p w14:paraId="6F6279E4" w14:textId="0410CF8F" w:rsidR="005915B9" w:rsidRPr="00477D8F" w:rsidRDefault="005915B9" w:rsidP="00ED0E68">
      <w:pPr>
        <w:pStyle w:val="Heading2"/>
      </w:pPr>
      <w:bookmarkStart w:id="61" w:name="_Toc497171858"/>
      <w:r w:rsidRPr="00477D8F">
        <w:lastRenderedPageBreak/>
        <w:t>Out</w:t>
      </w:r>
      <w:r w:rsidR="00C807F3" w:rsidRPr="00477D8F">
        <w:t xml:space="preserve"> </w:t>
      </w:r>
      <w:r w:rsidRPr="00477D8F">
        <w:t>of</w:t>
      </w:r>
      <w:r w:rsidR="00C807F3" w:rsidRPr="00477D8F">
        <w:t xml:space="preserve"> </w:t>
      </w:r>
      <w:r w:rsidRPr="00477D8F">
        <w:t>school</w:t>
      </w:r>
      <w:bookmarkEnd w:id="57"/>
      <w:bookmarkEnd w:id="61"/>
    </w:p>
    <w:p w14:paraId="29E70CF2" w14:textId="38DF08E4" w:rsidR="000A2814" w:rsidRPr="00477D8F" w:rsidRDefault="00824303" w:rsidP="002A4725">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Despite the government’s efforts to increase enrollment, about one</w:t>
      </w:r>
      <w:r w:rsidR="000B2FCD" w:rsidRPr="00477D8F">
        <w:rPr>
          <w:rFonts w:ascii="Sylfaen" w:hAnsi="Sylfaen"/>
          <w:b/>
        </w:rPr>
        <w:t>-</w:t>
      </w:r>
      <w:r w:rsidRPr="00477D8F">
        <w:rPr>
          <w:rFonts w:ascii="Sylfaen" w:hAnsi="Sylfaen"/>
          <w:b/>
        </w:rPr>
        <w:t>third of primar</w:t>
      </w:r>
      <w:r w:rsidR="00BA0F39" w:rsidRPr="00477D8F">
        <w:rPr>
          <w:rFonts w:ascii="Sylfaen" w:hAnsi="Sylfaen"/>
          <w:b/>
        </w:rPr>
        <w:t>y and lower secondary</w:t>
      </w:r>
      <w:r w:rsidR="00BE65FD" w:rsidRPr="00477D8F">
        <w:rPr>
          <w:rFonts w:ascii="Sylfaen" w:hAnsi="Sylfaen"/>
          <w:b/>
        </w:rPr>
        <w:t xml:space="preserve"> </w:t>
      </w:r>
      <w:r w:rsidR="00BA0F39" w:rsidRPr="00477D8F">
        <w:rPr>
          <w:rFonts w:ascii="Sylfaen" w:hAnsi="Sylfaen"/>
          <w:b/>
        </w:rPr>
        <w:t>school</w:t>
      </w:r>
      <w:r w:rsidR="000B2FCD" w:rsidRPr="00477D8F">
        <w:rPr>
          <w:rFonts w:ascii="Sylfaen" w:hAnsi="Sylfaen"/>
          <w:b/>
        </w:rPr>
        <w:t>-</w:t>
      </w:r>
      <w:r w:rsidR="00BA0F39" w:rsidRPr="00477D8F">
        <w:rPr>
          <w:rFonts w:ascii="Sylfaen" w:hAnsi="Sylfaen"/>
          <w:b/>
        </w:rPr>
        <w:t>age</w:t>
      </w:r>
      <w:r w:rsidRPr="00477D8F">
        <w:rPr>
          <w:rFonts w:ascii="Sylfaen" w:hAnsi="Sylfaen"/>
          <w:b/>
        </w:rPr>
        <w:t xml:space="preserve"> children remained out</w:t>
      </w:r>
      <w:r w:rsidR="000B2FCD" w:rsidRPr="00477D8F">
        <w:rPr>
          <w:rFonts w:ascii="Sylfaen" w:hAnsi="Sylfaen"/>
          <w:b/>
        </w:rPr>
        <w:t xml:space="preserve"> </w:t>
      </w:r>
      <w:r w:rsidRPr="00477D8F">
        <w:rPr>
          <w:rFonts w:ascii="Sylfaen" w:hAnsi="Sylfaen"/>
          <w:b/>
        </w:rPr>
        <w:t>of</w:t>
      </w:r>
      <w:r w:rsidR="000B2FCD" w:rsidRPr="00477D8F">
        <w:rPr>
          <w:rFonts w:ascii="Sylfaen" w:hAnsi="Sylfaen"/>
          <w:b/>
        </w:rPr>
        <w:t xml:space="preserve"> </w:t>
      </w:r>
      <w:r w:rsidRPr="00477D8F">
        <w:rPr>
          <w:rFonts w:ascii="Sylfaen" w:hAnsi="Sylfaen"/>
          <w:b/>
        </w:rPr>
        <w:t>school in 2015.</w:t>
      </w:r>
      <w:r w:rsidRPr="00477D8F">
        <w:rPr>
          <w:rFonts w:ascii="Sylfaen" w:hAnsi="Sylfaen"/>
        </w:rPr>
        <w:t xml:space="preserve"> The majority of the out-of-school children in all levels of education are those who have never been </w:t>
      </w:r>
      <w:r w:rsidR="000B2FCD" w:rsidRPr="00477D8F">
        <w:rPr>
          <w:rFonts w:ascii="Sylfaen" w:hAnsi="Sylfaen"/>
        </w:rPr>
        <w:t>to</w:t>
      </w:r>
      <w:r w:rsidRPr="00477D8F">
        <w:rPr>
          <w:rFonts w:ascii="Sylfaen" w:hAnsi="Sylfaen"/>
        </w:rPr>
        <w:t xml:space="preserve"> school. One implication could be that a large share of the youth population will enter the labor market without adequate literacy and numeracy skills. For example, children of LBS age (</w:t>
      </w:r>
      <w:r w:rsidR="00C104CA" w:rsidRPr="00477D8F">
        <w:rPr>
          <w:rFonts w:ascii="Sylfaen" w:hAnsi="Sylfaen"/>
        </w:rPr>
        <w:t>age</w:t>
      </w:r>
      <w:r w:rsidR="00626B7F" w:rsidRPr="00477D8F">
        <w:rPr>
          <w:rFonts w:ascii="Sylfaen" w:hAnsi="Sylfaen"/>
        </w:rPr>
        <w:t>s</w:t>
      </w:r>
      <w:r w:rsidR="00C104CA" w:rsidRPr="00477D8F">
        <w:rPr>
          <w:rFonts w:ascii="Sylfaen" w:hAnsi="Sylfaen"/>
        </w:rPr>
        <w:t xml:space="preserve"> </w:t>
      </w:r>
      <w:r w:rsidRPr="00477D8F">
        <w:rPr>
          <w:rFonts w:ascii="Sylfaen" w:hAnsi="Sylfaen"/>
        </w:rPr>
        <w:t>7</w:t>
      </w:r>
      <w:r w:rsidR="00626B7F" w:rsidRPr="00477D8F">
        <w:rPr>
          <w:rFonts w:ascii="Sylfaen" w:hAnsi="Sylfaen"/>
        </w:rPr>
        <w:t>–</w:t>
      </w:r>
      <w:r w:rsidRPr="00477D8F">
        <w:rPr>
          <w:rFonts w:ascii="Sylfaen" w:hAnsi="Sylfaen"/>
        </w:rPr>
        <w:t>12) who never attended school represented 28.8 percent and those who dropped out accounted for 1.5 percent in 2015 (</w:t>
      </w:r>
      <w:r w:rsidRPr="00477D8F">
        <w:rPr>
          <w:rFonts w:ascii="Sylfaen" w:hAnsi="Sylfaen"/>
        </w:rPr>
        <w:fldChar w:fldCharType="begin"/>
      </w:r>
      <w:r w:rsidRPr="00477D8F">
        <w:rPr>
          <w:rFonts w:ascii="Sylfaen" w:hAnsi="Sylfaen"/>
        </w:rPr>
        <w:instrText xml:space="preserve"> REF _Ref481002212 \h  \* MERGEFORMAT </w:instrText>
      </w:r>
      <w:r w:rsidRPr="00477D8F">
        <w:rPr>
          <w:rFonts w:ascii="Sylfaen" w:hAnsi="Sylfaen"/>
        </w:rPr>
      </w:r>
      <w:r w:rsidRPr="00477D8F">
        <w:rPr>
          <w:rFonts w:ascii="Sylfaen" w:hAnsi="Sylfaen"/>
        </w:rPr>
        <w:fldChar w:fldCharType="separate"/>
      </w:r>
      <w:r w:rsidR="00F800F3" w:rsidRPr="00477D8F">
        <w:rPr>
          <w:rFonts w:ascii="Sylfaen" w:hAnsi="Sylfaen"/>
          <w:bCs/>
        </w:rPr>
        <w:t>Figure 8</w:t>
      </w:r>
      <w:r w:rsidRPr="00477D8F">
        <w:rPr>
          <w:rFonts w:ascii="Sylfaen" w:hAnsi="Sylfaen"/>
        </w:rPr>
        <w:fldChar w:fldCharType="end"/>
      </w:r>
      <w:r w:rsidRPr="00477D8F">
        <w:rPr>
          <w:rFonts w:ascii="Sylfaen" w:hAnsi="Sylfaen"/>
        </w:rPr>
        <w:t>). Moreover, the dropout rate increases with the level of education</w:t>
      </w:r>
      <w:r w:rsidR="00563BF3" w:rsidRPr="00477D8F">
        <w:rPr>
          <w:rFonts w:ascii="Sylfaen" w:hAnsi="Sylfaen"/>
        </w:rPr>
        <w:t>,</w:t>
      </w:r>
      <w:r w:rsidRPr="00477D8F">
        <w:rPr>
          <w:rFonts w:ascii="Sylfaen" w:hAnsi="Sylfaen"/>
        </w:rPr>
        <w:t xml:space="preserve"> reaching 16.2 percent at the SSS (</w:t>
      </w:r>
      <w:r w:rsidRPr="00477D8F">
        <w:rPr>
          <w:rFonts w:ascii="Sylfaen" w:hAnsi="Sylfaen"/>
        </w:rPr>
        <w:fldChar w:fldCharType="begin"/>
      </w:r>
      <w:r w:rsidRPr="00477D8F">
        <w:rPr>
          <w:rFonts w:ascii="Sylfaen" w:hAnsi="Sylfaen"/>
        </w:rPr>
        <w:instrText xml:space="preserve"> REF _Ref481002212 \h  \* MERGEFORMAT </w:instrText>
      </w:r>
      <w:r w:rsidRPr="00477D8F">
        <w:rPr>
          <w:rFonts w:ascii="Sylfaen" w:hAnsi="Sylfaen"/>
        </w:rPr>
      </w:r>
      <w:r w:rsidRPr="00477D8F">
        <w:rPr>
          <w:rFonts w:ascii="Sylfaen" w:hAnsi="Sylfaen"/>
        </w:rPr>
        <w:fldChar w:fldCharType="separate"/>
      </w:r>
      <w:r w:rsidR="00F800F3" w:rsidRPr="00477D8F">
        <w:rPr>
          <w:rFonts w:ascii="Sylfaen" w:hAnsi="Sylfaen"/>
        </w:rPr>
        <w:t>Figure 8</w:t>
      </w:r>
      <w:r w:rsidRPr="00477D8F">
        <w:rPr>
          <w:rFonts w:ascii="Sylfaen" w:hAnsi="Sylfaen"/>
        </w:rPr>
        <w:fldChar w:fldCharType="end"/>
      </w:r>
      <w:r w:rsidRPr="00477D8F">
        <w:rPr>
          <w:rFonts w:ascii="Sylfaen" w:hAnsi="Sylfaen"/>
        </w:rPr>
        <w:t>). This suggests that the achievement of the key MDG and Sustainable Development Goals (SDG</w:t>
      </w:r>
      <w:r w:rsidR="003D6488" w:rsidRPr="00477D8F">
        <w:rPr>
          <w:rFonts w:ascii="Sylfaen" w:hAnsi="Sylfaen"/>
        </w:rPr>
        <w:t>s</w:t>
      </w:r>
      <w:r w:rsidRPr="00477D8F">
        <w:rPr>
          <w:rFonts w:ascii="Sylfaen" w:hAnsi="Sylfaen"/>
        </w:rPr>
        <w:t>) would be problematic unless the out-of-school rate is minimized. The detailed analysis of the out-of-school incidence including its characteristics, determinants</w:t>
      </w:r>
      <w:r w:rsidR="00277869" w:rsidRPr="00477D8F">
        <w:rPr>
          <w:rFonts w:ascii="Sylfaen" w:hAnsi="Sylfaen"/>
        </w:rPr>
        <w:t>,</w:t>
      </w:r>
      <w:r w:rsidRPr="00477D8F">
        <w:rPr>
          <w:rFonts w:ascii="Sylfaen" w:hAnsi="Sylfaen"/>
        </w:rPr>
        <w:t xml:space="preserve"> and costs associated with enrollment are presented in the equity section. </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915B9" w:rsidRPr="00477D8F" w14:paraId="2F862CFC" w14:textId="77777777" w:rsidTr="00DF77A6">
        <w:trPr>
          <w:trHeight w:val="10"/>
        </w:trPr>
        <w:tc>
          <w:tcPr>
            <w:tcW w:w="9350" w:type="dxa"/>
            <w:hideMark/>
          </w:tcPr>
          <w:p w14:paraId="1FE8580A" w14:textId="5F64D2E4" w:rsidR="005915B9" w:rsidRPr="00477D8F" w:rsidRDefault="005915B9" w:rsidP="00DF77A6">
            <w:pPr>
              <w:pStyle w:val="Caption1"/>
              <w:rPr>
                <w:bCs/>
              </w:rPr>
            </w:pPr>
            <w:bookmarkStart w:id="62" w:name="_Ref481002212"/>
            <w:bookmarkStart w:id="63" w:name="_Toc482649953"/>
            <w:bookmarkStart w:id="64" w:name="_Toc497171778"/>
            <w:r w:rsidRPr="00477D8F">
              <w:rPr>
                <w:bCs/>
              </w:rPr>
              <w:t xml:space="preserve">Figure </w:t>
            </w:r>
            <w:r w:rsidRPr="00477D8F">
              <w:rPr>
                <w:bCs/>
              </w:rPr>
              <w:fldChar w:fldCharType="begin"/>
            </w:r>
            <w:r w:rsidRPr="00477D8F">
              <w:rPr>
                <w:bCs/>
              </w:rPr>
              <w:instrText xml:space="preserve"> SEQ Figure \* ARABIC </w:instrText>
            </w:r>
            <w:r w:rsidRPr="00477D8F">
              <w:rPr>
                <w:bCs/>
              </w:rPr>
              <w:fldChar w:fldCharType="separate"/>
            </w:r>
            <w:r w:rsidR="00F800F3" w:rsidRPr="00477D8F">
              <w:rPr>
                <w:bCs/>
                <w:noProof/>
              </w:rPr>
              <w:t>8</w:t>
            </w:r>
            <w:r w:rsidRPr="00477D8F">
              <w:rPr>
                <w:bCs/>
              </w:rPr>
              <w:fldChar w:fldCharType="end"/>
            </w:r>
            <w:bookmarkEnd w:id="62"/>
            <w:r w:rsidRPr="00477D8F">
              <w:rPr>
                <w:bCs/>
              </w:rPr>
              <w:t>:</w:t>
            </w:r>
            <w:r w:rsidR="00272695" w:rsidRPr="00477D8F">
              <w:rPr>
                <w:bCs/>
              </w:rPr>
              <w:t xml:space="preserve"> </w:t>
            </w:r>
            <w:r w:rsidR="00AD1A40" w:rsidRPr="00477D8F">
              <w:rPr>
                <w:bCs/>
              </w:rPr>
              <w:t>Trends of ou</w:t>
            </w:r>
            <w:r w:rsidR="00AD1A40" w:rsidRPr="00477D8F">
              <w:t>t</w:t>
            </w:r>
            <w:r w:rsidRPr="00477D8F">
              <w:t>-of-school rate for LBS, UBS</w:t>
            </w:r>
            <w:r w:rsidR="00277869" w:rsidRPr="00477D8F">
              <w:t>,</w:t>
            </w:r>
            <w:r w:rsidRPr="00477D8F">
              <w:t xml:space="preserve"> and SSS</w:t>
            </w:r>
            <w:r w:rsidR="00277869" w:rsidRPr="00477D8F">
              <w:t>-</w:t>
            </w:r>
            <w:r w:rsidRPr="00477D8F">
              <w:t xml:space="preserve">age cohort </w:t>
            </w:r>
            <w:r w:rsidR="00015EEC" w:rsidRPr="00477D8F">
              <w:t xml:space="preserve">children breakdown by never attended and dropout </w:t>
            </w:r>
            <w:r w:rsidRPr="00477D8F">
              <w:t>(%)</w:t>
            </w:r>
            <w:bookmarkEnd w:id="63"/>
            <w:bookmarkEnd w:id="64"/>
          </w:p>
        </w:tc>
      </w:tr>
      <w:tr w:rsidR="005915B9" w:rsidRPr="00477D8F" w14:paraId="2EC46920" w14:textId="77777777" w:rsidTr="00DF77A6">
        <w:trPr>
          <w:trHeight w:val="231"/>
        </w:trPr>
        <w:tc>
          <w:tcPr>
            <w:tcW w:w="9350" w:type="dxa"/>
            <w:hideMark/>
          </w:tcPr>
          <w:p w14:paraId="49787F9C" w14:textId="77777777" w:rsidR="005915B9" w:rsidRPr="00477D8F" w:rsidRDefault="00C2788D" w:rsidP="00DF77A6">
            <w:pPr>
              <w:jc w:val="both"/>
              <w:rPr>
                <w:rFonts w:ascii="Sylfaen" w:hAnsi="Sylfaen"/>
                <w:bCs/>
              </w:rPr>
            </w:pPr>
            <w:r w:rsidRPr="00477D8F">
              <w:rPr>
                <w:rFonts w:ascii="Sylfaen" w:hAnsi="Sylfaen"/>
                <w:noProof/>
              </w:rPr>
              <w:drawing>
                <wp:inline distT="0" distB="0" distL="0" distR="0" wp14:anchorId="3B647887" wp14:editId="1870B9C6">
                  <wp:extent cx="5822315" cy="1909267"/>
                  <wp:effectExtent l="0" t="0" r="6985" b="1524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r w:rsidR="005915B9" w:rsidRPr="00477D8F" w14:paraId="1F6ACCC9" w14:textId="77777777" w:rsidTr="00DF77A6">
        <w:trPr>
          <w:trHeight w:val="296"/>
        </w:trPr>
        <w:tc>
          <w:tcPr>
            <w:tcW w:w="9350" w:type="dxa"/>
            <w:hideMark/>
          </w:tcPr>
          <w:p w14:paraId="29020C35" w14:textId="77777777" w:rsidR="005915B9" w:rsidRPr="00477D8F" w:rsidRDefault="005915B9" w:rsidP="00DF77A6">
            <w:pPr>
              <w:pStyle w:val="Source"/>
            </w:pPr>
            <w:r w:rsidRPr="00477D8F">
              <w:rPr>
                <w:i/>
              </w:rPr>
              <w:t>Source:</w:t>
            </w:r>
            <w:r w:rsidRPr="00477D8F">
              <w:t xml:space="preserve"> </w:t>
            </w:r>
            <w:r w:rsidR="00C2788D" w:rsidRPr="00477D8F">
              <w:t>Authors’ estimations based on IHS 2010 and 2015</w:t>
            </w:r>
            <w:r w:rsidR="00810D67" w:rsidRPr="00477D8F">
              <w:t>.</w:t>
            </w:r>
          </w:p>
          <w:p w14:paraId="4001C837" w14:textId="387AE569" w:rsidR="00940EBE" w:rsidRPr="00477D8F" w:rsidRDefault="00940EBE" w:rsidP="00DF77A6">
            <w:pPr>
              <w:pStyle w:val="Source"/>
            </w:pPr>
            <w:r w:rsidRPr="00477D8F">
              <w:rPr>
                <w:i/>
              </w:rPr>
              <w:t>Note:</w:t>
            </w:r>
            <w:r w:rsidRPr="00477D8F">
              <w:t xml:space="preserve"> UBS = Upper basic schools.</w:t>
            </w:r>
          </w:p>
        </w:tc>
      </w:tr>
    </w:tbl>
    <w:p w14:paraId="2ACC859D" w14:textId="3E29A8A2" w:rsidR="00272695" w:rsidRPr="00477D8F" w:rsidRDefault="00824303" w:rsidP="00C8009A">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At the national level, there were 330,749 LBS</w:t>
      </w:r>
      <w:r w:rsidR="00CD5E11" w:rsidRPr="00477D8F">
        <w:rPr>
          <w:rFonts w:ascii="Sylfaen" w:hAnsi="Sylfaen"/>
          <w:b/>
        </w:rPr>
        <w:t>-</w:t>
      </w:r>
      <w:r w:rsidRPr="00477D8F">
        <w:rPr>
          <w:rFonts w:ascii="Sylfaen" w:hAnsi="Sylfaen"/>
          <w:b/>
        </w:rPr>
        <w:t>age children in 2015, of which 100,000 were out of school.</w:t>
      </w:r>
      <w:r w:rsidRPr="00477D8F">
        <w:rPr>
          <w:rFonts w:ascii="Sylfaen" w:hAnsi="Sylfaen"/>
        </w:rPr>
        <w:t xml:space="preserve"> The out-of-school incidence is higher in regions where the population size is larger. For example, region 2 has both the highest share of out-of-school children (27 percent) and population (39 percent). Overall, the out-of-school rate is largely driven by the population growth within regions. However, the share of out-of-school children of LBS age is higher than the LBS</w:t>
      </w:r>
      <w:r w:rsidR="00CD5E11" w:rsidRPr="00477D8F">
        <w:rPr>
          <w:rFonts w:ascii="Sylfaen" w:hAnsi="Sylfaen"/>
        </w:rPr>
        <w:t>-</w:t>
      </w:r>
      <w:r w:rsidRPr="00477D8F">
        <w:rPr>
          <w:rFonts w:ascii="Sylfaen" w:hAnsi="Sylfaen"/>
        </w:rPr>
        <w:t>age population share in regions 4, 5</w:t>
      </w:r>
      <w:r w:rsidR="00B34BF1" w:rsidRPr="00477D8F">
        <w:rPr>
          <w:rFonts w:ascii="Sylfaen" w:hAnsi="Sylfaen"/>
        </w:rPr>
        <w:t>,</w:t>
      </w:r>
      <w:r w:rsidRPr="00477D8F">
        <w:rPr>
          <w:rFonts w:ascii="Sylfaen" w:hAnsi="Sylfaen"/>
        </w:rPr>
        <w:t xml:space="preserve"> and 6. This indicates that the out-of-school incidence is more acute in region</w:t>
      </w:r>
      <w:r w:rsidR="00162104" w:rsidRPr="00477D8F">
        <w:rPr>
          <w:rFonts w:ascii="Sylfaen" w:hAnsi="Sylfaen"/>
        </w:rPr>
        <w:t>s</w:t>
      </w:r>
      <w:r w:rsidRPr="00477D8F">
        <w:rPr>
          <w:rFonts w:ascii="Sylfaen" w:hAnsi="Sylfaen"/>
        </w:rPr>
        <w:t xml:space="preserve"> 4, 5</w:t>
      </w:r>
      <w:r w:rsidR="00162104" w:rsidRPr="00477D8F">
        <w:rPr>
          <w:rFonts w:ascii="Sylfaen" w:hAnsi="Sylfaen"/>
        </w:rPr>
        <w:t>,</w:t>
      </w:r>
      <w:r w:rsidRPr="00477D8F">
        <w:rPr>
          <w:rFonts w:ascii="Sylfaen" w:hAnsi="Sylfaen"/>
        </w:rPr>
        <w:t xml:space="preserve"> and 6 than the other regions (</w:t>
      </w:r>
      <w:r w:rsidRPr="00477D8F">
        <w:rPr>
          <w:rFonts w:ascii="Sylfaen" w:hAnsi="Sylfaen"/>
        </w:rPr>
        <w:fldChar w:fldCharType="begin"/>
      </w:r>
      <w:r w:rsidRPr="00477D8F">
        <w:rPr>
          <w:rFonts w:ascii="Sylfaen" w:hAnsi="Sylfaen"/>
        </w:rPr>
        <w:instrText xml:space="preserve"> REF _Ref481002232 \h </w:instrText>
      </w:r>
      <w:r w:rsidR="00212BE2" w:rsidRPr="00477D8F">
        <w:rPr>
          <w:rFonts w:ascii="Sylfaen" w:hAnsi="Sylfaen"/>
        </w:rPr>
        <w:instrText xml:space="preserve"> \* MERGEFORMAT </w:instrText>
      </w:r>
      <w:r w:rsidRPr="00477D8F">
        <w:rPr>
          <w:rFonts w:ascii="Sylfaen" w:hAnsi="Sylfaen"/>
        </w:rPr>
      </w:r>
      <w:r w:rsidRPr="00477D8F">
        <w:rPr>
          <w:rFonts w:ascii="Sylfaen" w:hAnsi="Sylfaen"/>
        </w:rPr>
        <w:fldChar w:fldCharType="separate"/>
      </w:r>
      <w:r w:rsidR="00F800F3" w:rsidRPr="00477D8F">
        <w:rPr>
          <w:rFonts w:ascii="Sylfaen" w:hAnsi="Sylfaen"/>
          <w:bCs/>
        </w:rPr>
        <w:t xml:space="preserve">Figure </w:t>
      </w:r>
      <w:r w:rsidR="00F800F3" w:rsidRPr="00477D8F">
        <w:rPr>
          <w:rFonts w:ascii="Sylfaen" w:hAnsi="Sylfaen"/>
          <w:bCs/>
          <w:noProof/>
        </w:rPr>
        <w:t>9</w:t>
      </w:r>
      <w:r w:rsidRPr="00477D8F">
        <w:rPr>
          <w:rFonts w:ascii="Sylfaen" w:hAnsi="Sylfaen"/>
        </w:rPr>
        <w:fldChar w:fldCharType="end"/>
      </w:r>
      <w:r w:rsidRPr="00477D8F">
        <w:rPr>
          <w:rFonts w:ascii="Sylfaen" w:hAnsi="Sylfaen"/>
        </w:rPr>
        <w:t>).</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5915B9" w:rsidRPr="00477D8F" w14:paraId="77E4F93B" w14:textId="77777777" w:rsidTr="00B84CFD">
        <w:trPr>
          <w:trHeight w:val="10"/>
        </w:trPr>
        <w:tc>
          <w:tcPr>
            <w:tcW w:w="9350" w:type="dxa"/>
            <w:hideMark/>
          </w:tcPr>
          <w:p w14:paraId="4799F1FB" w14:textId="61C62F3E" w:rsidR="005915B9" w:rsidRPr="00477D8F" w:rsidRDefault="005915B9" w:rsidP="00B84CFD">
            <w:pPr>
              <w:pStyle w:val="Caption1"/>
              <w:keepLines/>
              <w:rPr>
                <w:bCs/>
              </w:rPr>
            </w:pPr>
            <w:bookmarkStart w:id="65" w:name="_Ref481002232"/>
            <w:bookmarkStart w:id="66" w:name="_Toc482649954"/>
            <w:bookmarkStart w:id="67" w:name="_Toc497171779"/>
            <w:r w:rsidRPr="00477D8F">
              <w:rPr>
                <w:bCs/>
              </w:rPr>
              <w:lastRenderedPageBreak/>
              <w:t xml:space="preserve">Figure </w:t>
            </w:r>
            <w:r w:rsidRPr="00477D8F">
              <w:rPr>
                <w:bCs/>
              </w:rPr>
              <w:fldChar w:fldCharType="begin"/>
            </w:r>
            <w:r w:rsidRPr="00477D8F">
              <w:rPr>
                <w:bCs/>
              </w:rPr>
              <w:instrText xml:space="preserve"> SEQ Figure \* ARABIC </w:instrText>
            </w:r>
            <w:r w:rsidRPr="00477D8F">
              <w:rPr>
                <w:bCs/>
              </w:rPr>
              <w:fldChar w:fldCharType="separate"/>
            </w:r>
            <w:r w:rsidR="00F800F3" w:rsidRPr="00477D8F">
              <w:rPr>
                <w:bCs/>
                <w:noProof/>
              </w:rPr>
              <w:t>9</w:t>
            </w:r>
            <w:r w:rsidRPr="00477D8F">
              <w:rPr>
                <w:bCs/>
              </w:rPr>
              <w:fldChar w:fldCharType="end"/>
            </w:r>
            <w:bookmarkEnd w:id="65"/>
            <w:r w:rsidRPr="00477D8F">
              <w:rPr>
                <w:bCs/>
              </w:rPr>
              <w:t xml:space="preserve">: </w:t>
            </w:r>
            <w:r w:rsidR="00015EEC" w:rsidRPr="00477D8F">
              <w:rPr>
                <w:bCs/>
              </w:rPr>
              <w:t>Distribution of t</w:t>
            </w:r>
            <w:r w:rsidRPr="00477D8F">
              <w:t>otal number of out-of-school children</w:t>
            </w:r>
            <w:r w:rsidR="00015EEC" w:rsidRPr="00477D8F">
              <w:t xml:space="preserve"> and LBS</w:t>
            </w:r>
            <w:r w:rsidR="00CD5E11" w:rsidRPr="00477D8F">
              <w:t>-</w:t>
            </w:r>
            <w:r w:rsidR="00015EEC" w:rsidRPr="00477D8F">
              <w:t>age children</w:t>
            </w:r>
            <w:bookmarkEnd w:id="66"/>
            <w:r w:rsidR="00015EEC" w:rsidRPr="00477D8F">
              <w:t xml:space="preserve"> by region</w:t>
            </w:r>
            <w:bookmarkEnd w:id="67"/>
          </w:p>
        </w:tc>
      </w:tr>
      <w:tr w:rsidR="005915B9" w:rsidRPr="00477D8F" w14:paraId="237B937B" w14:textId="77777777" w:rsidTr="00B84CFD">
        <w:trPr>
          <w:trHeight w:val="231"/>
        </w:trPr>
        <w:tc>
          <w:tcPr>
            <w:tcW w:w="9350" w:type="dxa"/>
            <w:hideMark/>
          </w:tcPr>
          <w:p w14:paraId="263A3E7A" w14:textId="77777777" w:rsidR="005915B9" w:rsidRPr="00477D8F" w:rsidRDefault="00153B30" w:rsidP="00B84CFD">
            <w:pPr>
              <w:keepNext/>
              <w:keepLines/>
              <w:jc w:val="both"/>
              <w:rPr>
                <w:rFonts w:ascii="Sylfaen" w:hAnsi="Sylfaen"/>
                <w:bCs/>
              </w:rPr>
            </w:pPr>
            <w:r w:rsidRPr="00477D8F">
              <w:rPr>
                <w:rFonts w:ascii="Sylfaen" w:hAnsi="Sylfaen"/>
                <w:noProof/>
              </w:rPr>
              <w:drawing>
                <wp:inline distT="0" distB="0" distL="0" distR="0" wp14:anchorId="37939588" wp14:editId="1E0A950D">
                  <wp:extent cx="5773003" cy="2224405"/>
                  <wp:effectExtent l="0" t="0" r="18415" b="4445"/>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r w:rsidR="005915B9" w:rsidRPr="00477D8F" w14:paraId="5CBEB03E" w14:textId="77777777" w:rsidTr="00B84CFD">
        <w:trPr>
          <w:trHeight w:val="296"/>
        </w:trPr>
        <w:tc>
          <w:tcPr>
            <w:tcW w:w="9350" w:type="dxa"/>
            <w:hideMark/>
          </w:tcPr>
          <w:p w14:paraId="56D5A242" w14:textId="29805311" w:rsidR="005915B9" w:rsidRPr="00477D8F" w:rsidRDefault="005915B9" w:rsidP="00B84CFD">
            <w:pPr>
              <w:pStyle w:val="Source"/>
            </w:pPr>
            <w:r w:rsidRPr="00477D8F">
              <w:rPr>
                <w:i/>
              </w:rPr>
              <w:t>Source:</w:t>
            </w:r>
            <w:r w:rsidR="00272695" w:rsidRPr="00477D8F">
              <w:t xml:space="preserve"> </w:t>
            </w:r>
            <w:r w:rsidR="00C2788D" w:rsidRPr="00477D8F">
              <w:t>Authors’ estimations based on IHS 2015</w:t>
            </w:r>
            <w:r w:rsidR="00810D67" w:rsidRPr="00477D8F">
              <w:t>.</w:t>
            </w:r>
          </w:p>
        </w:tc>
      </w:tr>
    </w:tbl>
    <w:p w14:paraId="7275999E" w14:textId="1727A8D5" w:rsidR="00015EEC" w:rsidRPr="00477D8F" w:rsidRDefault="00824303" w:rsidP="00C8009A">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bCs/>
        </w:rPr>
      </w:pPr>
      <w:r w:rsidRPr="00477D8F">
        <w:rPr>
          <w:rFonts w:ascii="Sylfaen" w:hAnsi="Sylfaen"/>
          <w:b/>
        </w:rPr>
        <w:t>By international comparison, The Gambia tends to have a higher out-of-school rate of children of primary</w:t>
      </w:r>
      <w:r w:rsidR="00563BF3" w:rsidRPr="00477D8F">
        <w:rPr>
          <w:rFonts w:ascii="Sylfaen" w:hAnsi="Sylfaen"/>
          <w:b/>
        </w:rPr>
        <w:t>-</w:t>
      </w:r>
      <w:r w:rsidRPr="00477D8F">
        <w:rPr>
          <w:rFonts w:ascii="Sylfaen" w:hAnsi="Sylfaen"/>
          <w:b/>
        </w:rPr>
        <w:t>school age than other countries in SSA.</w:t>
      </w:r>
      <w:r w:rsidRPr="00477D8F">
        <w:rPr>
          <w:rFonts w:ascii="Sylfaen" w:hAnsi="Sylfaen"/>
        </w:rPr>
        <w:t xml:space="preserve"> The out-of-school rate is at 30 percent in The Gambia whereas the SSA average stands at 24 percent. This has strong implications about the country’s ability to respond to the growing needs of the economy and further reinforces the need to strengthen a strategy/policy to address the large out</w:t>
      </w:r>
      <w:r w:rsidR="00D34C29" w:rsidRPr="00477D8F">
        <w:rPr>
          <w:rFonts w:ascii="Sylfaen" w:hAnsi="Sylfaen"/>
        </w:rPr>
        <w:t>-</w:t>
      </w:r>
      <w:r w:rsidRPr="00477D8F">
        <w:rPr>
          <w:rFonts w:ascii="Sylfaen" w:hAnsi="Sylfaen"/>
        </w:rPr>
        <w:t>of</w:t>
      </w:r>
      <w:r w:rsidR="00D34C29" w:rsidRPr="00477D8F">
        <w:rPr>
          <w:rFonts w:ascii="Sylfaen" w:hAnsi="Sylfaen"/>
        </w:rPr>
        <w:t>-</w:t>
      </w:r>
      <w:r w:rsidRPr="00477D8F">
        <w:rPr>
          <w:rFonts w:ascii="Sylfaen" w:hAnsi="Sylfaen"/>
        </w:rPr>
        <w:t>school population in The Gambia</w:t>
      </w:r>
      <w:r w:rsidRPr="00477D8F">
        <w:rPr>
          <w:rFonts w:ascii="Sylfaen" w:hAnsi="Sylfaen"/>
          <w:bCs/>
        </w:rPr>
        <w:t xml:space="preserve"> (</w:t>
      </w:r>
      <w:r w:rsidRPr="00477D8F">
        <w:rPr>
          <w:rFonts w:ascii="Sylfaen" w:hAnsi="Sylfaen"/>
          <w:bCs/>
        </w:rPr>
        <w:fldChar w:fldCharType="begin"/>
      </w:r>
      <w:r w:rsidRPr="00477D8F">
        <w:rPr>
          <w:rFonts w:ascii="Sylfaen" w:hAnsi="Sylfaen"/>
          <w:bCs/>
        </w:rPr>
        <w:instrText xml:space="preserve"> REF _Ref416074479 \h  \* MERGEFORMAT </w:instrText>
      </w:r>
      <w:r w:rsidRPr="00477D8F">
        <w:rPr>
          <w:rFonts w:ascii="Sylfaen" w:hAnsi="Sylfaen"/>
          <w:bCs/>
        </w:rPr>
      </w:r>
      <w:r w:rsidRPr="00477D8F">
        <w:rPr>
          <w:rFonts w:ascii="Sylfaen" w:hAnsi="Sylfaen"/>
          <w:bCs/>
        </w:rPr>
        <w:fldChar w:fldCharType="separate"/>
      </w:r>
      <w:r w:rsidR="00F800F3" w:rsidRPr="00477D8F">
        <w:rPr>
          <w:rFonts w:ascii="Sylfaen" w:hAnsi="Sylfaen"/>
          <w:bCs/>
        </w:rPr>
        <w:t>Figure 10</w:t>
      </w:r>
      <w:r w:rsidRPr="00477D8F">
        <w:rPr>
          <w:rFonts w:ascii="Sylfaen" w:hAnsi="Sylfaen"/>
          <w:bCs/>
        </w:rPr>
        <w:fldChar w:fldCharType="end"/>
      </w:r>
      <w:r w:rsidRPr="00477D8F">
        <w:rPr>
          <w:rFonts w:ascii="Sylfaen" w:hAnsi="Sylfaen"/>
          <w:bCs/>
        </w:rPr>
        <w:t>).</w:t>
      </w:r>
    </w:p>
    <w:tbl>
      <w:tblPr>
        <w:tblStyle w:val="TableGrid1"/>
        <w:tblW w:w="9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6"/>
      </w:tblGrid>
      <w:tr w:rsidR="00035931" w:rsidRPr="00477D8F" w14:paraId="3DCB5E02" w14:textId="77777777" w:rsidTr="00213AE0">
        <w:trPr>
          <w:trHeight w:val="10"/>
        </w:trPr>
        <w:tc>
          <w:tcPr>
            <w:tcW w:w="9276" w:type="dxa"/>
            <w:hideMark/>
          </w:tcPr>
          <w:p w14:paraId="249330FF" w14:textId="6784A701" w:rsidR="00035931" w:rsidRPr="00477D8F" w:rsidRDefault="00035931" w:rsidP="00213AE0">
            <w:pPr>
              <w:pStyle w:val="Caption1"/>
            </w:pPr>
            <w:bookmarkStart w:id="68" w:name="_Ref416074479"/>
            <w:bookmarkStart w:id="69" w:name="_Toc473728778"/>
            <w:bookmarkStart w:id="70" w:name="_Toc497171780"/>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10</w:t>
            </w:r>
            <w:r w:rsidR="002E5BDF" w:rsidRPr="00477D8F">
              <w:rPr>
                <w:noProof/>
              </w:rPr>
              <w:fldChar w:fldCharType="end"/>
            </w:r>
            <w:bookmarkEnd w:id="68"/>
            <w:r w:rsidRPr="00477D8F">
              <w:t xml:space="preserve">: </w:t>
            </w:r>
            <w:r w:rsidR="00E62AA8" w:rsidRPr="00477D8F">
              <w:t>Comparison of primary</w:t>
            </w:r>
            <w:r w:rsidR="00A800AC" w:rsidRPr="00477D8F">
              <w:t>-</w:t>
            </w:r>
            <w:r w:rsidR="00E62AA8" w:rsidRPr="00477D8F">
              <w:t>age children out-of-school rate</w:t>
            </w:r>
            <w:r w:rsidRPr="00477D8F">
              <w:t xml:space="preserve"> (%</w:t>
            </w:r>
            <w:bookmarkEnd w:id="69"/>
            <w:r w:rsidR="00153B30" w:rsidRPr="00477D8F">
              <w:t>)</w:t>
            </w:r>
            <w:bookmarkEnd w:id="70"/>
          </w:p>
        </w:tc>
      </w:tr>
      <w:tr w:rsidR="00035931" w:rsidRPr="00477D8F" w14:paraId="2EF638F6" w14:textId="77777777" w:rsidTr="00213AE0">
        <w:trPr>
          <w:trHeight w:val="315"/>
        </w:trPr>
        <w:tc>
          <w:tcPr>
            <w:tcW w:w="9276" w:type="dxa"/>
            <w:hideMark/>
          </w:tcPr>
          <w:p w14:paraId="3DE2557C" w14:textId="77777777" w:rsidR="00035931" w:rsidRPr="00477D8F" w:rsidRDefault="0032348A" w:rsidP="00213AE0">
            <w:pPr>
              <w:jc w:val="both"/>
              <w:rPr>
                <w:rFonts w:ascii="Sylfaen" w:hAnsi="Sylfaen" w:cs="Times New Roman"/>
                <w:bCs/>
              </w:rPr>
            </w:pPr>
            <w:r w:rsidRPr="00477D8F">
              <w:rPr>
                <w:rFonts w:ascii="Sylfaen" w:hAnsi="Sylfaen"/>
                <w:noProof/>
              </w:rPr>
              <w:drawing>
                <wp:inline distT="0" distB="0" distL="0" distR="0" wp14:anchorId="24FD0EE4" wp14:editId="1B3114AD">
                  <wp:extent cx="5786120" cy="2729553"/>
                  <wp:effectExtent l="0" t="0" r="5080" b="1397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r w:rsidR="00035931" w:rsidRPr="00477D8F" w14:paraId="47664A90" w14:textId="77777777" w:rsidTr="00213AE0">
        <w:trPr>
          <w:trHeight w:val="296"/>
        </w:trPr>
        <w:tc>
          <w:tcPr>
            <w:tcW w:w="9276" w:type="dxa"/>
            <w:hideMark/>
          </w:tcPr>
          <w:p w14:paraId="36F3F0B6" w14:textId="3259C791" w:rsidR="00035931" w:rsidRPr="00477D8F" w:rsidRDefault="00A40F5C" w:rsidP="00213AE0">
            <w:pPr>
              <w:pStyle w:val="Source"/>
            </w:pPr>
            <w:r w:rsidRPr="00477D8F">
              <w:rPr>
                <w:rFonts w:eastAsia="Times New Roman"/>
                <w:i/>
              </w:rPr>
              <w:t xml:space="preserve">Source: </w:t>
            </w:r>
            <w:r w:rsidRPr="00477D8F">
              <w:rPr>
                <w:rFonts w:eastAsia="Times New Roman"/>
              </w:rPr>
              <w:t>Authors’ estimations based on IHS 2015</w:t>
            </w:r>
            <w:r w:rsidR="00035931" w:rsidRPr="00477D8F">
              <w:t xml:space="preserve"> </w:t>
            </w:r>
            <w:r w:rsidR="00C5736C" w:rsidRPr="00477D8F">
              <w:t>f</w:t>
            </w:r>
            <w:r w:rsidR="00C2788D" w:rsidRPr="00477D8F">
              <w:t xml:space="preserve">or The Gambia and </w:t>
            </w:r>
            <w:r w:rsidR="00035931" w:rsidRPr="00477D8F">
              <w:t xml:space="preserve">similar </w:t>
            </w:r>
            <w:r w:rsidR="002A7F47" w:rsidRPr="00477D8F">
              <w:rPr>
                <w:bCs/>
              </w:rPr>
              <w:t>household</w:t>
            </w:r>
            <w:r w:rsidR="00C2788D" w:rsidRPr="00477D8F">
              <w:t xml:space="preserve"> </w:t>
            </w:r>
            <w:r w:rsidR="00810D67" w:rsidRPr="00477D8F">
              <w:t>surveys for the rest.</w:t>
            </w:r>
          </w:p>
        </w:tc>
      </w:tr>
    </w:tbl>
    <w:p w14:paraId="28EA9627" w14:textId="42CCE7DC" w:rsidR="00AC649E" w:rsidRPr="00477D8F" w:rsidRDefault="000158AA" w:rsidP="00ED0E68">
      <w:pPr>
        <w:pStyle w:val="Heading2"/>
      </w:pPr>
      <w:bookmarkStart w:id="71" w:name="_Toc497171859"/>
      <w:r w:rsidRPr="00477D8F">
        <w:lastRenderedPageBreak/>
        <w:t xml:space="preserve">Learning outcomes </w:t>
      </w:r>
      <w:r w:rsidR="000C74F9" w:rsidRPr="00477D8F">
        <w:t>and national examinations</w:t>
      </w:r>
      <w:bookmarkEnd w:id="71"/>
    </w:p>
    <w:p w14:paraId="05B97826" w14:textId="3949C3F1" w:rsidR="00BA0F39" w:rsidRPr="00477D8F" w:rsidRDefault="00824303" w:rsidP="00C8009A">
      <w:pPr>
        <w:pStyle w:val="ListParagraph"/>
        <w:keepNext/>
        <w:keepLines/>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Although the appropriate assessment instruments needed to evaluate the students’ progress over</w:t>
      </w:r>
      <w:r w:rsidR="00A800AC" w:rsidRPr="00477D8F">
        <w:rPr>
          <w:rFonts w:ascii="Sylfaen" w:hAnsi="Sylfaen"/>
          <w:b/>
        </w:rPr>
        <w:t xml:space="preserve"> </w:t>
      </w:r>
      <w:r w:rsidRPr="00477D8F">
        <w:rPr>
          <w:rFonts w:ascii="Sylfaen" w:hAnsi="Sylfaen"/>
          <w:b/>
        </w:rPr>
        <w:t xml:space="preserve">time are missing, learning outcomes appear to be increasing based on </w:t>
      </w:r>
      <w:r w:rsidR="00BA0F39" w:rsidRPr="00477D8F">
        <w:rPr>
          <w:rFonts w:ascii="Sylfaen" w:hAnsi="Sylfaen"/>
          <w:b/>
        </w:rPr>
        <w:t xml:space="preserve">youth </w:t>
      </w:r>
      <w:r w:rsidRPr="00477D8F">
        <w:rPr>
          <w:rFonts w:ascii="Sylfaen" w:hAnsi="Sylfaen"/>
          <w:b/>
        </w:rPr>
        <w:t>literacy rates.</w:t>
      </w:r>
      <w:r w:rsidRPr="00477D8F">
        <w:rPr>
          <w:rFonts w:ascii="Sylfaen" w:hAnsi="Sylfaen"/>
        </w:rPr>
        <w:t xml:space="preserve"> There are </w:t>
      </w:r>
      <w:r w:rsidR="00836DAE" w:rsidRPr="00477D8F">
        <w:rPr>
          <w:rFonts w:ascii="Sylfaen" w:hAnsi="Sylfaen"/>
        </w:rPr>
        <w:t>four</w:t>
      </w:r>
      <w:r w:rsidRPr="00477D8F">
        <w:rPr>
          <w:rFonts w:ascii="Sylfaen" w:hAnsi="Sylfaen"/>
        </w:rPr>
        <w:t xml:space="preserve"> national examinations in </w:t>
      </w:r>
      <w:r w:rsidR="00E80A69" w:rsidRPr="00477D8F">
        <w:rPr>
          <w:rFonts w:ascii="Sylfaen" w:hAnsi="Sylfaen"/>
        </w:rPr>
        <w:t>The Gambia</w:t>
      </w:r>
      <w:r w:rsidRPr="00477D8F">
        <w:rPr>
          <w:rFonts w:ascii="Sylfaen" w:hAnsi="Sylfaen"/>
        </w:rPr>
        <w:t xml:space="preserve"> </w:t>
      </w:r>
      <w:r w:rsidR="00C104CA" w:rsidRPr="00477D8F">
        <w:rPr>
          <w:rFonts w:ascii="Sylfaen" w:hAnsi="Sylfaen"/>
        </w:rPr>
        <w:t xml:space="preserve">that are </w:t>
      </w:r>
      <w:r w:rsidRPr="00477D8F">
        <w:rPr>
          <w:rFonts w:ascii="Sylfaen" w:hAnsi="Sylfaen"/>
        </w:rPr>
        <w:t>used to assess lea</w:t>
      </w:r>
      <w:r w:rsidR="00C104CA" w:rsidRPr="00477D8F">
        <w:rPr>
          <w:rFonts w:ascii="Sylfaen" w:hAnsi="Sylfaen"/>
        </w:rPr>
        <w:t>r</w:t>
      </w:r>
      <w:r w:rsidRPr="00477D8F">
        <w:rPr>
          <w:rFonts w:ascii="Sylfaen" w:hAnsi="Sylfaen"/>
        </w:rPr>
        <w:t>ning outcomes: EGRA</w:t>
      </w:r>
      <w:r w:rsidR="00836DAE" w:rsidRPr="00477D8F">
        <w:rPr>
          <w:rFonts w:ascii="Sylfaen" w:hAnsi="Sylfaen"/>
        </w:rPr>
        <w:t>/EG</w:t>
      </w:r>
      <w:r w:rsidRPr="00477D8F">
        <w:rPr>
          <w:rFonts w:ascii="Sylfaen" w:hAnsi="Sylfaen"/>
        </w:rPr>
        <w:t>M</w:t>
      </w:r>
      <w:r w:rsidR="00836DAE" w:rsidRPr="00477D8F">
        <w:rPr>
          <w:rFonts w:ascii="Sylfaen" w:hAnsi="Sylfaen"/>
        </w:rPr>
        <w:t>A</w:t>
      </w:r>
      <w:r w:rsidRPr="00477D8F">
        <w:rPr>
          <w:rFonts w:ascii="Sylfaen" w:hAnsi="Sylfaen"/>
        </w:rPr>
        <w:t>, NAT</w:t>
      </w:r>
      <w:r w:rsidR="00836DAE" w:rsidRPr="00477D8F">
        <w:rPr>
          <w:rFonts w:ascii="Sylfaen" w:hAnsi="Sylfaen"/>
        </w:rPr>
        <w:t>, GABECE, and WASSCE</w:t>
      </w:r>
      <w:r w:rsidRPr="00477D8F">
        <w:rPr>
          <w:rFonts w:ascii="Sylfaen" w:hAnsi="Sylfaen"/>
        </w:rPr>
        <w:t>. However, the current</w:t>
      </w:r>
      <w:r w:rsidR="00BC56F9" w:rsidRPr="00477D8F">
        <w:rPr>
          <w:rFonts w:ascii="Sylfaen" w:hAnsi="Sylfaen"/>
        </w:rPr>
        <w:t xml:space="preserve"> </w:t>
      </w:r>
      <w:r w:rsidRPr="00477D8F">
        <w:rPr>
          <w:rFonts w:ascii="Sylfaen" w:hAnsi="Sylfaen"/>
        </w:rPr>
        <w:t>design of the assessment instruments does not fully measure the quality improvement of learning over</w:t>
      </w:r>
      <w:r w:rsidR="00A800AC" w:rsidRPr="00477D8F">
        <w:rPr>
          <w:rFonts w:ascii="Sylfaen" w:hAnsi="Sylfaen"/>
        </w:rPr>
        <w:t xml:space="preserve"> </w:t>
      </w:r>
      <w:r w:rsidRPr="00477D8F">
        <w:rPr>
          <w:rFonts w:ascii="Sylfaen" w:hAnsi="Sylfaen"/>
        </w:rPr>
        <w:t>time</w:t>
      </w:r>
      <w:r w:rsidR="00836DAE" w:rsidRPr="00477D8F">
        <w:rPr>
          <w:rFonts w:ascii="Sylfaen" w:hAnsi="Sylfaen"/>
        </w:rPr>
        <w:t xml:space="preserve"> except for EGRA and EGMA</w:t>
      </w:r>
      <w:r w:rsidRPr="00477D8F">
        <w:rPr>
          <w:rFonts w:ascii="Sylfaen" w:hAnsi="Sylfaen"/>
        </w:rPr>
        <w:t>. Therefore, survey</w:t>
      </w:r>
      <w:r w:rsidR="00A800AC" w:rsidRPr="00477D8F">
        <w:rPr>
          <w:rFonts w:ascii="Sylfaen" w:hAnsi="Sylfaen"/>
        </w:rPr>
        <w:t>-</w:t>
      </w:r>
      <w:r w:rsidRPr="00477D8F">
        <w:rPr>
          <w:rFonts w:ascii="Sylfaen" w:hAnsi="Sylfaen"/>
        </w:rPr>
        <w:t xml:space="preserve">based indicators such as literacy rates were used to provide an evolution of the learning outcomes in The Gambia. The current educational composition of the working-age population indicates that the literacy attainment of the labor supply has significantly improved between 2010 and 2015. The literacy rate has increased in The Gambia among the working-age population (19 percent) and youth (40 percent). However, the educational attainment of the youth has decreased over the same period. For instance, the proportion of the youth with no formal education has increased from 31 percent to 34 percent and the proportion of the youth who have some primary education has decreased from 23 percent to 21 percent. This suggests that the improvement of literacy was not driven by </w:t>
      </w:r>
      <w:r w:rsidR="00EE6D88" w:rsidRPr="00477D8F">
        <w:rPr>
          <w:rFonts w:ascii="Sylfaen" w:hAnsi="Sylfaen"/>
        </w:rPr>
        <w:t xml:space="preserve">increase in years of schooling but related to improvement in quality </w:t>
      </w:r>
      <w:r w:rsidRPr="00477D8F">
        <w:rPr>
          <w:rFonts w:ascii="Sylfaen" w:hAnsi="Sylfaen"/>
        </w:rPr>
        <w:t>(Figure 11).</w:t>
      </w:r>
    </w:p>
    <w:tbl>
      <w:tblPr>
        <w:tblStyle w:val="TableGrid11"/>
        <w:tblW w:w="9281"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1"/>
      </w:tblGrid>
      <w:tr w:rsidR="00D74C05" w:rsidRPr="00477D8F" w14:paraId="45E62410" w14:textId="77777777" w:rsidTr="00B84CFD">
        <w:trPr>
          <w:trHeight w:val="17"/>
          <w:jc w:val="right"/>
        </w:trPr>
        <w:tc>
          <w:tcPr>
            <w:tcW w:w="9281" w:type="dxa"/>
            <w:hideMark/>
          </w:tcPr>
          <w:p w14:paraId="6318B50A" w14:textId="2D1D47C0" w:rsidR="00D74C05" w:rsidRPr="00477D8F" w:rsidRDefault="00D74C05" w:rsidP="00B84CFD">
            <w:pPr>
              <w:pStyle w:val="Caption1"/>
              <w:keepLines/>
            </w:pPr>
            <w:bookmarkStart w:id="72" w:name="_Ref418204708"/>
            <w:bookmarkStart w:id="73" w:name="_Toc473728783"/>
            <w:bookmarkStart w:id="74" w:name="_Toc497171781"/>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11</w:t>
            </w:r>
            <w:r w:rsidR="002E5BDF" w:rsidRPr="00477D8F">
              <w:rPr>
                <w:noProof/>
              </w:rPr>
              <w:fldChar w:fldCharType="end"/>
            </w:r>
            <w:bookmarkEnd w:id="72"/>
            <w:r w:rsidRPr="00477D8F">
              <w:t xml:space="preserve">: Literacy rates among youth </w:t>
            </w:r>
            <w:r w:rsidR="00C2788D" w:rsidRPr="00477D8F">
              <w:t>an</w:t>
            </w:r>
            <w:r w:rsidR="00BE3F13" w:rsidRPr="00477D8F">
              <w:t>d the working</w:t>
            </w:r>
            <w:r w:rsidR="00E5286A" w:rsidRPr="00477D8F">
              <w:t>-</w:t>
            </w:r>
            <w:r w:rsidR="00BE3F13" w:rsidRPr="00477D8F">
              <w:t xml:space="preserve">age population </w:t>
            </w:r>
            <w:r w:rsidRPr="00477D8F">
              <w:t xml:space="preserve">(left) and </w:t>
            </w:r>
            <w:r w:rsidR="00BE3F13" w:rsidRPr="00477D8F">
              <w:t>educational attainment of youth</w:t>
            </w:r>
            <w:r w:rsidR="00E5286A" w:rsidRPr="00477D8F">
              <w:t xml:space="preserve"> </w:t>
            </w:r>
            <w:r w:rsidR="00BE3F13" w:rsidRPr="00477D8F">
              <w:t>(right), 2010,</w:t>
            </w:r>
            <w:r w:rsidR="00810D67" w:rsidRPr="00477D8F">
              <w:t xml:space="preserve"> </w:t>
            </w:r>
            <w:r w:rsidR="00BE3F13" w:rsidRPr="00477D8F">
              <w:t>2015</w:t>
            </w:r>
            <w:bookmarkEnd w:id="73"/>
            <w:bookmarkEnd w:id="74"/>
          </w:p>
        </w:tc>
      </w:tr>
      <w:tr w:rsidR="00D74C05" w:rsidRPr="00477D8F" w14:paraId="59869CE2" w14:textId="77777777" w:rsidTr="00B84CFD">
        <w:trPr>
          <w:trHeight w:val="17"/>
          <w:jc w:val="right"/>
        </w:trPr>
        <w:tc>
          <w:tcPr>
            <w:tcW w:w="9281" w:type="dxa"/>
            <w:hideMark/>
          </w:tcPr>
          <w:p w14:paraId="29025514" w14:textId="77777777" w:rsidR="00D74C05" w:rsidRPr="00477D8F" w:rsidRDefault="00643148" w:rsidP="00B84CFD">
            <w:pPr>
              <w:keepNext/>
              <w:keepLines/>
              <w:tabs>
                <w:tab w:val="center" w:pos="4476"/>
              </w:tabs>
              <w:ind w:hanging="23"/>
              <w:jc w:val="both"/>
              <w:rPr>
                <w:rFonts w:ascii="Sylfaen" w:hAnsi="Sylfaen" w:cs="Times New Roman"/>
                <w:bCs/>
              </w:rPr>
            </w:pPr>
            <w:r w:rsidRPr="00477D8F">
              <w:rPr>
                <w:rFonts w:ascii="Sylfaen" w:hAnsi="Sylfaen"/>
                <w:noProof/>
              </w:rPr>
              <w:drawing>
                <wp:inline distT="0" distB="0" distL="0" distR="0" wp14:anchorId="44F2EE24" wp14:editId="36A6A4E2">
                  <wp:extent cx="5629275" cy="2395182"/>
                  <wp:effectExtent l="0" t="0" r="9525" b="5715"/>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D74C05" w:rsidRPr="00477D8F" w14:paraId="79E249B6" w14:textId="77777777" w:rsidTr="00B84CFD">
        <w:trPr>
          <w:trHeight w:val="17"/>
          <w:jc w:val="right"/>
        </w:trPr>
        <w:tc>
          <w:tcPr>
            <w:tcW w:w="9281" w:type="dxa"/>
            <w:hideMark/>
          </w:tcPr>
          <w:p w14:paraId="1C3D61EC" w14:textId="287A88B6" w:rsidR="00D74C05" w:rsidRPr="00477D8F" w:rsidRDefault="00A40F5C" w:rsidP="00B84CFD">
            <w:pPr>
              <w:pStyle w:val="Source"/>
              <w:keepNext/>
              <w:keepLines/>
            </w:pPr>
            <w:r w:rsidRPr="00477D8F">
              <w:rPr>
                <w:i/>
              </w:rPr>
              <w:t xml:space="preserve">Source: </w:t>
            </w:r>
            <w:r w:rsidRPr="00477D8F">
              <w:t>Authors’ estimations based on IHS 2010 and 2015</w:t>
            </w:r>
            <w:r w:rsidR="00810D67" w:rsidRPr="00477D8F">
              <w:t>.</w:t>
            </w:r>
          </w:p>
        </w:tc>
      </w:tr>
    </w:tbl>
    <w:p w14:paraId="2C0B01FC" w14:textId="77777777" w:rsidR="00CE2276" w:rsidRPr="00477D8F" w:rsidRDefault="00CE2276" w:rsidP="00B84CFD">
      <w:pPr>
        <w:pStyle w:val="Heading2"/>
        <w:keepLines/>
      </w:pPr>
      <w:bookmarkStart w:id="75" w:name="_Toc482618480"/>
      <w:bookmarkStart w:id="76" w:name="_Toc482649938"/>
      <w:bookmarkStart w:id="77" w:name="_Toc422430095"/>
      <w:bookmarkStart w:id="78" w:name="_Toc497171860"/>
      <w:r w:rsidRPr="00477D8F">
        <w:t>Education attainment of labor force</w:t>
      </w:r>
      <w:bookmarkEnd w:id="75"/>
      <w:bookmarkEnd w:id="76"/>
      <w:bookmarkEnd w:id="78"/>
    </w:p>
    <w:p w14:paraId="54378144" w14:textId="199CE92E" w:rsidR="00CE2276" w:rsidRPr="00477D8F" w:rsidRDefault="00824303" w:rsidP="00C8009A">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imes New Roman"/>
        </w:rPr>
      </w:pPr>
      <w:r w:rsidRPr="00477D8F">
        <w:rPr>
          <w:rFonts w:ascii="Sylfaen" w:hAnsi="Sylfaen"/>
          <w:b/>
        </w:rPr>
        <w:t xml:space="preserve">On average, </w:t>
      </w:r>
      <w:r w:rsidR="00BA0F39" w:rsidRPr="00477D8F">
        <w:rPr>
          <w:rFonts w:ascii="Sylfaen" w:hAnsi="Sylfaen"/>
          <w:b/>
        </w:rPr>
        <w:t xml:space="preserve">less than half of </w:t>
      </w:r>
      <w:r w:rsidRPr="00477D8F">
        <w:rPr>
          <w:rFonts w:ascii="Sylfaen" w:hAnsi="Sylfaen"/>
          <w:b/>
        </w:rPr>
        <w:t>The Gambia’s working</w:t>
      </w:r>
      <w:r w:rsidR="001E5E32" w:rsidRPr="00477D8F">
        <w:rPr>
          <w:rFonts w:ascii="Sylfaen" w:hAnsi="Sylfaen"/>
          <w:b/>
        </w:rPr>
        <w:t>-</w:t>
      </w:r>
      <w:r w:rsidRPr="00477D8F">
        <w:rPr>
          <w:rFonts w:ascii="Sylfaen" w:hAnsi="Sylfaen"/>
          <w:b/>
        </w:rPr>
        <w:t>age population has completed primary education and more than half of the population has no formal education</w:t>
      </w:r>
      <w:r w:rsidR="00632A04" w:rsidRPr="00477D8F">
        <w:rPr>
          <w:rFonts w:ascii="Sylfaen" w:hAnsi="Sylfaen"/>
          <w:b/>
        </w:rPr>
        <w:t>—</w:t>
      </w:r>
      <w:r w:rsidRPr="00477D8F">
        <w:rPr>
          <w:rFonts w:ascii="Sylfaen" w:hAnsi="Sylfaen"/>
          <w:b/>
        </w:rPr>
        <w:t>a concern for future economic growth and global competitiveness.</w:t>
      </w:r>
      <w:r w:rsidR="00272695" w:rsidRPr="00477D8F">
        <w:rPr>
          <w:rFonts w:ascii="Sylfaen" w:hAnsi="Sylfaen"/>
          <w:b/>
        </w:rPr>
        <w:t xml:space="preserve"> </w:t>
      </w:r>
      <w:r w:rsidRPr="00477D8F">
        <w:rPr>
          <w:rFonts w:ascii="Sylfaen" w:hAnsi="Sylfaen"/>
        </w:rPr>
        <w:t>The Gambian working-age population tend</w:t>
      </w:r>
      <w:r w:rsidR="00CB3254" w:rsidRPr="00477D8F">
        <w:rPr>
          <w:rFonts w:ascii="Sylfaen" w:hAnsi="Sylfaen"/>
        </w:rPr>
        <w:t>s</w:t>
      </w:r>
      <w:r w:rsidRPr="00477D8F">
        <w:rPr>
          <w:rFonts w:ascii="Sylfaen" w:hAnsi="Sylfaen"/>
        </w:rPr>
        <w:t xml:space="preserve"> to have a weaker educational attainment.</w:t>
      </w:r>
      <w:r w:rsidR="00272695" w:rsidRPr="00477D8F">
        <w:rPr>
          <w:rFonts w:ascii="Sylfaen" w:hAnsi="Sylfaen"/>
        </w:rPr>
        <w:t xml:space="preserve"> </w:t>
      </w:r>
      <w:r w:rsidRPr="00477D8F">
        <w:rPr>
          <w:rFonts w:ascii="Sylfaen" w:hAnsi="Sylfaen"/>
        </w:rPr>
        <w:t>In 2015, the average years of schooling equaled 3.7 at the national level, 5.3 among the youth population</w:t>
      </w:r>
      <w:r w:rsidR="00CB3254" w:rsidRPr="00477D8F">
        <w:rPr>
          <w:rFonts w:ascii="Sylfaen" w:hAnsi="Sylfaen"/>
        </w:rPr>
        <w:t>,</w:t>
      </w:r>
      <w:r w:rsidRPr="00477D8F">
        <w:rPr>
          <w:rFonts w:ascii="Sylfaen" w:hAnsi="Sylfaen"/>
        </w:rPr>
        <w:t xml:space="preserve"> and 1.4 among the older cohort. This suggests that the labor market </w:t>
      </w:r>
      <w:r w:rsidR="00632A04" w:rsidRPr="00477D8F">
        <w:rPr>
          <w:rFonts w:ascii="Sylfaen" w:hAnsi="Sylfaen"/>
        </w:rPr>
        <w:t xml:space="preserve">comprises </w:t>
      </w:r>
      <w:r w:rsidRPr="00477D8F">
        <w:rPr>
          <w:rFonts w:ascii="Sylfaen" w:hAnsi="Sylfaen"/>
        </w:rPr>
        <w:t>workers with low skills who have not completed primary education. This increases the likelihood of working in the informal sector</w:t>
      </w:r>
      <w:r w:rsidR="00632A04" w:rsidRPr="00477D8F">
        <w:rPr>
          <w:rFonts w:ascii="Sylfaen" w:hAnsi="Sylfaen"/>
        </w:rPr>
        <w:t>,</w:t>
      </w:r>
      <w:r w:rsidRPr="00477D8F">
        <w:rPr>
          <w:rFonts w:ascii="Sylfaen" w:hAnsi="Sylfaen"/>
        </w:rPr>
        <w:t xml:space="preserve"> which hinders the productivity of the country (Figure 12).</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CE2276" w:rsidRPr="00477D8F" w14:paraId="3931D59F" w14:textId="77777777" w:rsidTr="00B84CFD">
        <w:trPr>
          <w:trHeight w:val="10"/>
        </w:trPr>
        <w:tc>
          <w:tcPr>
            <w:tcW w:w="9350" w:type="dxa"/>
            <w:hideMark/>
          </w:tcPr>
          <w:p w14:paraId="7066F780" w14:textId="2813886B" w:rsidR="00CE2276" w:rsidRPr="00477D8F" w:rsidRDefault="00CE2276" w:rsidP="00B84CFD">
            <w:pPr>
              <w:pStyle w:val="Caption1"/>
            </w:pPr>
            <w:bookmarkStart w:id="79" w:name="_Ref481004291"/>
            <w:bookmarkStart w:id="80" w:name="_Toc482618660"/>
            <w:bookmarkStart w:id="81" w:name="_Toc482650016"/>
            <w:bookmarkStart w:id="82" w:name="_Toc497171782"/>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12</w:t>
            </w:r>
            <w:r w:rsidR="002E5BDF" w:rsidRPr="00477D8F">
              <w:rPr>
                <w:noProof/>
              </w:rPr>
              <w:fldChar w:fldCharType="end"/>
            </w:r>
            <w:bookmarkEnd w:id="79"/>
            <w:r w:rsidRPr="00477D8F">
              <w:t xml:space="preserve">: Average </w:t>
            </w:r>
            <w:r w:rsidR="00B023D2" w:rsidRPr="00477D8F">
              <w:t>years of schooling</w:t>
            </w:r>
            <w:bookmarkEnd w:id="80"/>
            <w:bookmarkEnd w:id="81"/>
            <w:bookmarkEnd w:id="82"/>
          </w:p>
        </w:tc>
      </w:tr>
      <w:tr w:rsidR="00CE2276" w:rsidRPr="00477D8F" w14:paraId="0726F461" w14:textId="77777777" w:rsidTr="00B84CFD">
        <w:trPr>
          <w:trHeight w:val="231"/>
        </w:trPr>
        <w:tc>
          <w:tcPr>
            <w:tcW w:w="9350" w:type="dxa"/>
            <w:hideMark/>
          </w:tcPr>
          <w:p w14:paraId="47DD12CC" w14:textId="77777777" w:rsidR="00CE2276" w:rsidRPr="00477D8F" w:rsidRDefault="009F2E40" w:rsidP="00B84CFD">
            <w:pPr>
              <w:jc w:val="both"/>
              <w:rPr>
                <w:rFonts w:ascii="Sylfaen" w:hAnsi="Sylfaen" w:cs="Times New Roman"/>
                <w:bCs/>
              </w:rPr>
            </w:pPr>
            <w:r w:rsidRPr="00477D8F">
              <w:rPr>
                <w:rFonts w:ascii="Sylfaen" w:hAnsi="Sylfaen"/>
                <w:noProof/>
              </w:rPr>
              <w:drawing>
                <wp:inline distT="0" distB="0" distL="0" distR="0" wp14:anchorId="321048B8" wp14:editId="5110EC48">
                  <wp:extent cx="5943600" cy="1860605"/>
                  <wp:effectExtent l="0" t="0" r="0" b="635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r w:rsidR="00CE2276" w:rsidRPr="00477D8F" w14:paraId="6A865FF6" w14:textId="77777777" w:rsidTr="00B84CFD">
        <w:trPr>
          <w:trHeight w:val="296"/>
        </w:trPr>
        <w:tc>
          <w:tcPr>
            <w:tcW w:w="9350" w:type="dxa"/>
            <w:hideMark/>
          </w:tcPr>
          <w:p w14:paraId="7C79DFA9" w14:textId="62FC0D6C" w:rsidR="00CE2276" w:rsidRPr="00477D8F" w:rsidRDefault="00CE2276" w:rsidP="00B84CFD">
            <w:pPr>
              <w:pStyle w:val="Source"/>
            </w:pPr>
            <w:r w:rsidRPr="00477D8F">
              <w:rPr>
                <w:i/>
              </w:rPr>
              <w:t>Source:</w:t>
            </w:r>
            <w:r w:rsidRPr="00477D8F">
              <w:t xml:space="preserve"> Estimations based on IHS 2015</w:t>
            </w:r>
            <w:r w:rsidR="00704359" w:rsidRPr="00477D8F">
              <w:t>.</w:t>
            </w:r>
          </w:p>
        </w:tc>
      </w:tr>
    </w:tbl>
    <w:p w14:paraId="274A158E" w14:textId="0BC5FCA0" w:rsidR="00F0557F" w:rsidRPr="00477D8F" w:rsidRDefault="00BA0F39" w:rsidP="00601A0A">
      <w:pPr>
        <w:pStyle w:val="ListParagraph"/>
        <w:numPr>
          <w:ilvl w:val="0"/>
          <w:numId w:val="24"/>
        </w:numPr>
        <w:autoSpaceDE w:val="0"/>
        <w:autoSpaceDN w:val="0"/>
        <w:adjustRightInd w:val="0"/>
        <w:spacing w:before="240" w:after="0" w:line="240" w:lineRule="auto"/>
        <w:ind w:left="0" w:firstLine="0"/>
        <w:contextualSpacing w:val="0"/>
        <w:jc w:val="both"/>
        <w:rPr>
          <w:rStyle w:val="Hyperlink1"/>
        </w:rPr>
      </w:pPr>
      <w:r w:rsidRPr="00477D8F">
        <w:rPr>
          <w:rStyle w:val="None"/>
          <w:rFonts w:ascii="Sylfaen" w:eastAsia="Sylfaen" w:hAnsi="Sylfaen" w:cs="Sylfaen"/>
          <w:b/>
          <w:bCs/>
        </w:rPr>
        <w:t xml:space="preserve">However, the distribution of the working population in terms of age group shows that the educational attainment of the labor force in The Gambia is growing. </w:t>
      </w:r>
      <w:r w:rsidRPr="00477D8F">
        <w:rPr>
          <w:rStyle w:val="Hyperlink2"/>
          <w:b w:val="0"/>
        </w:rPr>
        <w:t>More specifically, the youth cohort (15</w:t>
      </w:r>
      <w:r w:rsidR="00632A04" w:rsidRPr="00477D8F">
        <w:rPr>
          <w:rStyle w:val="Hyperlink2"/>
          <w:b w:val="0"/>
        </w:rPr>
        <w:t>–</w:t>
      </w:r>
      <w:r w:rsidRPr="00477D8F">
        <w:rPr>
          <w:rStyle w:val="Hyperlink2"/>
          <w:b w:val="0"/>
        </w:rPr>
        <w:t>24 years) is increasingly more educated</w:t>
      </w:r>
      <w:r w:rsidRPr="00477D8F">
        <w:rPr>
          <w:rStyle w:val="Hyperlink1"/>
          <w:rFonts w:ascii="Sylfaen" w:eastAsia="Sylfaen" w:hAnsi="Sylfaen" w:cs="Sylfaen"/>
          <w:b/>
        </w:rPr>
        <w:t xml:space="preserve">. </w:t>
      </w:r>
      <w:r w:rsidRPr="00477D8F">
        <w:rPr>
          <w:rStyle w:val="Hyperlink1"/>
          <w:rFonts w:ascii="Sylfaen" w:eastAsia="Sylfaen" w:hAnsi="Sylfaen" w:cs="Sylfaen"/>
        </w:rPr>
        <w:t>For instance, 34 percent of the youth cohort has not received any formal education</w:t>
      </w:r>
      <w:r w:rsidR="00632A04" w:rsidRPr="00477D8F">
        <w:rPr>
          <w:rStyle w:val="Hyperlink1"/>
          <w:rFonts w:ascii="Sylfaen" w:eastAsia="Sylfaen" w:hAnsi="Sylfaen" w:cs="Sylfaen"/>
        </w:rPr>
        <w:t>—</w:t>
      </w:r>
      <w:r w:rsidRPr="00477D8F">
        <w:rPr>
          <w:rStyle w:val="Hyperlink1"/>
          <w:rFonts w:ascii="Sylfaen" w:eastAsia="Sylfaen" w:hAnsi="Sylfaen" w:cs="Sylfaen"/>
        </w:rPr>
        <w:t>a significantly lower proportion than the adult cohort with no formal education which stands at 87 percent. When the distribution of the working</w:t>
      </w:r>
      <w:r w:rsidR="003D3EC6" w:rsidRPr="00477D8F">
        <w:rPr>
          <w:rStyle w:val="Hyperlink1"/>
          <w:rFonts w:ascii="Sylfaen" w:eastAsia="Sylfaen" w:hAnsi="Sylfaen" w:cs="Sylfaen"/>
        </w:rPr>
        <w:t>-</w:t>
      </w:r>
      <w:r w:rsidRPr="00477D8F">
        <w:rPr>
          <w:rStyle w:val="Hyperlink1"/>
          <w:rFonts w:ascii="Sylfaen" w:eastAsia="Sylfaen" w:hAnsi="Sylfaen" w:cs="Sylfaen"/>
        </w:rPr>
        <w:t>age population is disaggregated by gender and geographic location, the fol</w:t>
      </w:r>
      <w:r w:rsidR="00F0557F" w:rsidRPr="00477D8F">
        <w:rPr>
          <w:rStyle w:val="Hyperlink1"/>
          <w:rFonts w:ascii="Sylfaen" w:eastAsia="Sylfaen" w:hAnsi="Sylfaen" w:cs="Sylfaen"/>
        </w:rPr>
        <w:t>lowing are evident.</w:t>
      </w:r>
    </w:p>
    <w:p w14:paraId="360A8EFB" w14:textId="54AF711E" w:rsidR="00F0557F" w:rsidRPr="00477D8F" w:rsidRDefault="00F0557F" w:rsidP="00F0557F">
      <w:pPr>
        <w:pStyle w:val="ListParagraph"/>
        <w:numPr>
          <w:ilvl w:val="0"/>
          <w:numId w:val="37"/>
        </w:numPr>
        <w:autoSpaceDE w:val="0"/>
        <w:autoSpaceDN w:val="0"/>
        <w:adjustRightInd w:val="0"/>
        <w:spacing w:before="240" w:after="240" w:line="240" w:lineRule="auto"/>
        <w:contextualSpacing w:val="0"/>
        <w:jc w:val="both"/>
        <w:rPr>
          <w:rStyle w:val="Hyperlink1"/>
          <w:rFonts w:ascii="Sylfaen" w:eastAsia="Sylfaen" w:hAnsi="Sylfaen" w:cs="Sylfaen"/>
        </w:rPr>
      </w:pPr>
      <w:r w:rsidRPr="00477D8F">
        <w:rPr>
          <w:rStyle w:val="Hyperlink1"/>
          <w:rFonts w:ascii="Sylfaen" w:eastAsia="Sylfaen" w:hAnsi="Sylfaen" w:cs="Sylfaen"/>
        </w:rPr>
        <w:t>T</w:t>
      </w:r>
      <w:r w:rsidR="00BA0F39" w:rsidRPr="00477D8F">
        <w:rPr>
          <w:rStyle w:val="Hyperlink1"/>
          <w:rFonts w:ascii="Sylfaen" w:eastAsia="Sylfaen" w:hAnsi="Sylfaen" w:cs="Sylfaen"/>
        </w:rPr>
        <w:t>here are more women (63 percent) than men (53 percent) who have not received a formal education. This gender gap is likely going to be a constraint to productivity, trapping a segment of the population in low</w:t>
      </w:r>
      <w:r w:rsidR="003D3EC6" w:rsidRPr="00477D8F">
        <w:rPr>
          <w:rStyle w:val="Hyperlink1"/>
          <w:rFonts w:ascii="Sylfaen" w:eastAsia="Sylfaen" w:hAnsi="Sylfaen" w:cs="Sylfaen"/>
        </w:rPr>
        <w:t>-</w:t>
      </w:r>
      <w:r w:rsidR="00BA0F39" w:rsidRPr="00477D8F">
        <w:rPr>
          <w:rStyle w:val="Hyperlink1"/>
          <w:rFonts w:ascii="Sylfaen" w:eastAsia="Sylfaen" w:hAnsi="Sylfaen" w:cs="Sylfaen"/>
        </w:rPr>
        <w:t xml:space="preserve">productivity sectors that do not require a high level of skills, which are usually developed through schooling. </w:t>
      </w:r>
      <w:r w:rsidR="003D3EC6" w:rsidRPr="00477D8F">
        <w:rPr>
          <w:rStyle w:val="Hyperlink1"/>
          <w:rFonts w:ascii="Sylfaen" w:eastAsia="Sylfaen" w:hAnsi="Sylfaen" w:cs="Sylfaen"/>
        </w:rPr>
        <w:t>T</w:t>
      </w:r>
      <w:r w:rsidR="00BA0F39" w:rsidRPr="00477D8F">
        <w:rPr>
          <w:rStyle w:val="Hyperlink1"/>
          <w:rFonts w:ascii="Sylfaen" w:eastAsia="Sylfaen" w:hAnsi="Sylfaen" w:cs="Sylfaen"/>
        </w:rPr>
        <w:t>o increase economic growth, barriers that keep adolescent girls and women from going to school need to be removed</w:t>
      </w:r>
      <w:r w:rsidRPr="00477D8F">
        <w:rPr>
          <w:rStyle w:val="Hyperlink1"/>
          <w:rFonts w:ascii="Sylfaen" w:eastAsia="Sylfaen" w:hAnsi="Sylfaen" w:cs="Sylfaen"/>
        </w:rPr>
        <w:t>.</w:t>
      </w:r>
    </w:p>
    <w:p w14:paraId="06D29DF0" w14:textId="0D66E939" w:rsidR="00CE2276" w:rsidRPr="00477D8F" w:rsidRDefault="00F0557F" w:rsidP="00C24FFA">
      <w:pPr>
        <w:pStyle w:val="ListParagraph"/>
        <w:numPr>
          <w:ilvl w:val="0"/>
          <w:numId w:val="37"/>
        </w:numPr>
        <w:autoSpaceDE w:val="0"/>
        <w:autoSpaceDN w:val="0"/>
        <w:adjustRightInd w:val="0"/>
        <w:spacing w:before="240" w:after="120" w:line="240" w:lineRule="auto"/>
        <w:contextualSpacing w:val="0"/>
        <w:jc w:val="both"/>
      </w:pPr>
      <w:r w:rsidRPr="00477D8F">
        <w:rPr>
          <w:rStyle w:val="Hyperlink1"/>
          <w:rFonts w:ascii="Sylfaen" w:eastAsia="Sylfaen" w:hAnsi="Sylfaen" w:cs="Sylfaen"/>
        </w:rPr>
        <w:t>R</w:t>
      </w:r>
      <w:r w:rsidR="00BA0F39" w:rsidRPr="00477D8F">
        <w:rPr>
          <w:rStyle w:val="Hyperlink1"/>
          <w:rFonts w:ascii="Sylfaen" w:eastAsia="Sylfaen" w:hAnsi="Sylfaen" w:cs="Sylfaen"/>
        </w:rPr>
        <w:t xml:space="preserve">ural areas, especially </w:t>
      </w:r>
      <w:r w:rsidR="003B1B1E" w:rsidRPr="00477D8F">
        <w:rPr>
          <w:rStyle w:val="Hyperlink1"/>
          <w:rFonts w:ascii="Sylfaen" w:eastAsia="Sylfaen" w:hAnsi="Sylfaen" w:cs="Sylfaen"/>
        </w:rPr>
        <w:t>r</w:t>
      </w:r>
      <w:r w:rsidR="00BA0F39" w:rsidRPr="00477D8F">
        <w:rPr>
          <w:rStyle w:val="Hyperlink1"/>
          <w:rFonts w:ascii="Sylfaen" w:eastAsia="Sylfaen" w:hAnsi="Sylfaen" w:cs="Sylfaen"/>
        </w:rPr>
        <w:t>egion 5, have the highest percentage of working</w:t>
      </w:r>
      <w:r w:rsidR="003B1B1E" w:rsidRPr="00477D8F">
        <w:rPr>
          <w:rStyle w:val="Hyperlink1"/>
          <w:rFonts w:ascii="Sylfaen" w:eastAsia="Sylfaen" w:hAnsi="Sylfaen" w:cs="Sylfaen"/>
        </w:rPr>
        <w:t>-</w:t>
      </w:r>
      <w:r w:rsidR="00BA0F39" w:rsidRPr="00477D8F">
        <w:rPr>
          <w:rStyle w:val="Hyperlink1"/>
          <w:rFonts w:ascii="Sylfaen" w:eastAsia="Sylfaen" w:hAnsi="Sylfaen" w:cs="Sylfaen"/>
        </w:rPr>
        <w:t xml:space="preserve">age people with no education. For example, 81 percent of the population in </w:t>
      </w:r>
      <w:r w:rsidR="003B1B1E" w:rsidRPr="00477D8F">
        <w:rPr>
          <w:rStyle w:val="Hyperlink1"/>
          <w:rFonts w:ascii="Sylfaen" w:eastAsia="Sylfaen" w:hAnsi="Sylfaen" w:cs="Sylfaen"/>
        </w:rPr>
        <w:t>r</w:t>
      </w:r>
      <w:r w:rsidR="00BA0F39" w:rsidRPr="00477D8F">
        <w:rPr>
          <w:rStyle w:val="Hyperlink1"/>
          <w:rFonts w:ascii="Sylfaen" w:eastAsia="Sylfaen" w:hAnsi="Sylfaen" w:cs="Sylfaen"/>
        </w:rPr>
        <w:t>egion 5 has not received any formal education; globally, 72 percent of the rural population has no education. (Figure 13).</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CE2276" w:rsidRPr="00477D8F" w14:paraId="323F27F5" w14:textId="77777777" w:rsidTr="00D91825">
        <w:tc>
          <w:tcPr>
            <w:tcW w:w="0" w:type="auto"/>
            <w:hideMark/>
          </w:tcPr>
          <w:p w14:paraId="5901B9BB" w14:textId="300242DB" w:rsidR="00CE2276" w:rsidRPr="00477D8F" w:rsidRDefault="00CE2276" w:rsidP="00503F22">
            <w:pPr>
              <w:pStyle w:val="Caption1"/>
            </w:pPr>
            <w:bookmarkStart w:id="83" w:name="_Ref481004369"/>
            <w:bookmarkStart w:id="84" w:name="_Toc482618661"/>
            <w:bookmarkStart w:id="85" w:name="_Toc482650017"/>
            <w:bookmarkStart w:id="86" w:name="_Toc497171783"/>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13</w:t>
            </w:r>
            <w:r w:rsidR="002E5BDF" w:rsidRPr="00477D8F">
              <w:rPr>
                <w:noProof/>
              </w:rPr>
              <w:fldChar w:fldCharType="end"/>
            </w:r>
            <w:bookmarkEnd w:id="83"/>
            <w:r w:rsidRPr="00477D8F">
              <w:t>:</w:t>
            </w:r>
            <w:r w:rsidR="00272695" w:rsidRPr="00477D8F">
              <w:t xml:space="preserve"> </w:t>
            </w:r>
            <w:r w:rsidRPr="00477D8F">
              <w:t xml:space="preserve">Distribution of the </w:t>
            </w:r>
            <w:r w:rsidR="00B023D2" w:rsidRPr="00477D8F">
              <w:t xml:space="preserve">working population </w:t>
            </w:r>
            <w:r w:rsidRPr="00477D8F">
              <w:t>by level of education in terms of age group, gender, area</w:t>
            </w:r>
            <w:r w:rsidR="00C104CA" w:rsidRPr="00477D8F">
              <w:t>,</w:t>
            </w:r>
            <w:r w:rsidRPr="00477D8F">
              <w:t xml:space="preserve"> and region (%)</w:t>
            </w:r>
            <w:bookmarkEnd w:id="84"/>
            <w:bookmarkEnd w:id="85"/>
            <w:bookmarkEnd w:id="86"/>
          </w:p>
        </w:tc>
      </w:tr>
      <w:tr w:rsidR="00CE2276" w:rsidRPr="00477D8F" w14:paraId="7FD5EE57" w14:textId="77777777" w:rsidTr="00D91825">
        <w:tc>
          <w:tcPr>
            <w:tcW w:w="0" w:type="auto"/>
            <w:hideMark/>
          </w:tcPr>
          <w:p w14:paraId="3BECA07F" w14:textId="77777777" w:rsidR="00CE2276" w:rsidRPr="00477D8F" w:rsidRDefault="00CE2276" w:rsidP="00503F22">
            <w:pPr>
              <w:jc w:val="both"/>
              <w:rPr>
                <w:rFonts w:ascii="Sylfaen" w:hAnsi="Sylfaen" w:cs="Times New Roman"/>
                <w:bCs/>
              </w:rPr>
            </w:pPr>
            <w:r w:rsidRPr="00477D8F">
              <w:rPr>
                <w:rFonts w:ascii="Sylfaen" w:hAnsi="Sylfaen"/>
                <w:noProof/>
              </w:rPr>
              <w:drawing>
                <wp:inline distT="0" distB="0" distL="0" distR="0" wp14:anchorId="04AC50CD" wp14:editId="61EE4323">
                  <wp:extent cx="5794375" cy="2004365"/>
                  <wp:effectExtent l="0" t="0" r="15875" b="1524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CE2276" w:rsidRPr="00477D8F" w14:paraId="33C74CCF" w14:textId="77777777" w:rsidTr="00D91825">
        <w:tc>
          <w:tcPr>
            <w:tcW w:w="0" w:type="auto"/>
            <w:hideMark/>
          </w:tcPr>
          <w:p w14:paraId="4D258760" w14:textId="06945339" w:rsidR="00CE2276" w:rsidRPr="00477D8F" w:rsidRDefault="00CE2276" w:rsidP="00503F22">
            <w:pPr>
              <w:pStyle w:val="Source"/>
            </w:pPr>
            <w:r w:rsidRPr="00477D8F">
              <w:rPr>
                <w:i/>
              </w:rPr>
              <w:t>Source:</w:t>
            </w:r>
            <w:r w:rsidRPr="00477D8F">
              <w:t xml:space="preserve"> Estimations based on IHS 2015</w:t>
            </w:r>
            <w:r w:rsidR="00C5736C" w:rsidRPr="00477D8F">
              <w:t>.</w:t>
            </w:r>
          </w:p>
        </w:tc>
      </w:tr>
    </w:tbl>
    <w:p w14:paraId="1932E80A" w14:textId="0547BD9C" w:rsidR="00B05B2A" w:rsidRPr="00477D8F" w:rsidRDefault="00BA0F39" w:rsidP="00C8009A">
      <w:pPr>
        <w:pStyle w:val="ListParagraph"/>
        <w:numPr>
          <w:ilvl w:val="0"/>
          <w:numId w:val="24"/>
        </w:numPr>
        <w:autoSpaceDE w:val="0"/>
        <w:autoSpaceDN w:val="0"/>
        <w:adjustRightInd w:val="0"/>
        <w:spacing w:before="240" w:after="240" w:line="240" w:lineRule="auto"/>
        <w:ind w:left="0" w:firstLine="0"/>
        <w:contextualSpacing w:val="0"/>
        <w:jc w:val="both"/>
      </w:pPr>
      <w:r w:rsidRPr="00477D8F">
        <w:rPr>
          <w:rStyle w:val="None"/>
          <w:rFonts w:ascii="Sylfaen" w:eastAsia="Sylfaen" w:hAnsi="Sylfaen" w:cs="Sylfaen"/>
          <w:b/>
          <w:bCs/>
        </w:rPr>
        <w:lastRenderedPageBreak/>
        <w:t>An international comparison of the labor force’s educational attainment shows that The Gambia has one of the lowest educational attainment rates among SSA countries</w:t>
      </w:r>
      <w:r w:rsidRPr="00477D8F">
        <w:rPr>
          <w:rFonts w:ascii="Sylfaen" w:hAnsi="Sylfaen"/>
          <w:b/>
        </w:rPr>
        <w:t>.</w:t>
      </w:r>
      <w:r w:rsidRPr="00477D8F">
        <w:rPr>
          <w:rFonts w:ascii="Sylfaen" w:hAnsi="Sylfaen"/>
        </w:rPr>
        <w:t xml:space="preserve"> The fraction of the population who has never been in school is higher in The Gambia (58</w:t>
      </w:r>
      <w:r w:rsidR="00A113CD" w:rsidRPr="00477D8F">
        <w:rPr>
          <w:rFonts w:ascii="Sylfaen" w:hAnsi="Sylfaen"/>
        </w:rPr>
        <w:t xml:space="preserve"> percent</w:t>
      </w:r>
      <w:r w:rsidRPr="00477D8F">
        <w:rPr>
          <w:rFonts w:ascii="Sylfaen" w:hAnsi="Sylfaen"/>
        </w:rPr>
        <w:t>) than in SSA, where the average is 33 percent. For example, the adult cohort (age</w:t>
      </w:r>
      <w:r w:rsidR="003B1B1E" w:rsidRPr="00477D8F">
        <w:rPr>
          <w:rFonts w:ascii="Sylfaen" w:hAnsi="Sylfaen"/>
        </w:rPr>
        <w:t>s</w:t>
      </w:r>
      <w:r w:rsidRPr="00477D8F">
        <w:rPr>
          <w:rFonts w:ascii="Sylfaen" w:hAnsi="Sylfaen"/>
        </w:rPr>
        <w:t xml:space="preserve"> 25</w:t>
      </w:r>
      <w:r w:rsidR="003B1B1E" w:rsidRPr="00477D8F">
        <w:rPr>
          <w:rFonts w:ascii="Sylfaen" w:hAnsi="Sylfaen"/>
        </w:rPr>
        <w:t>–</w:t>
      </w:r>
      <w:r w:rsidRPr="00477D8F">
        <w:rPr>
          <w:rFonts w:ascii="Sylfaen" w:hAnsi="Sylfaen"/>
        </w:rPr>
        <w:t>64) in The Gambia ranks 30 out of the 40 SSA countries—about 60 percent of the adult population ha</w:t>
      </w:r>
      <w:r w:rsidR="00FA7303" w:rsidRPr="00477D8F">
        <w:rPr>
          <w:rFonts w:ascii="Sylfaen" w:hAnsi="Sylfaen"/>
        </w:rPr>
        <w:t>s</w:t>
      </w:r>
      <w:r w:rsidRPr="00477D8F">
        <w:rPr>
          <w:rFonts w:ascii="Sylfaen" w:hAnsi="Sylfaen"/>
        </w:rPr>
        <w:t xml:space="preserve"> no formal education (never completed first grade of formal education) </w:t>
      </w:r>
      <w:r w:rsidR="00824303" w:rsidRPr="00477D8F">
        <w:rPr>
          <w:rFonts w:ascii="Sylfaen" w:hAnsi="Sylfaen"/>
        </w:rPr>
        <w:t xml:space="preserve">(Figure 14). </w:t>
      </w:r>
    </w:p>
    <w:tbl>
      <w:tblPr>
        <w:tblStyle w:val="TableGrid1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CE2276" w:rsidRPr="00477D8F" w14:paraId="0458CCD3" w14:textId="77777777" w:rsidTr="00503F22">
        <w:trPr>
          <w:trHeight w:val="17"/>
        </w:trPr>
        <w:tc>
          <w:tcPr>
            <w:tcW w:w="9350" w:type="dxa"/>
            <w:hideMark/>
          </w:tcPr>
          <w:p w14:paraId="50FC9123" w14:textId="46C0CFCF" w:rsidR="00CE2276" w:rsidRPr="00477D8F" w:rsidRDefault="00CE2276" w:rsidP="00503F22">
            <w:pPr>
              <w:pStyle w:val="Caption1"/>
            </w:pPr>
            <w:bookmarkStart w:id="87" w:name="_Ref450646104"/>
            <w:bookmarkStart w:id="88" w:name="_Toc473728784"/>
            <w:bookmarkStart w:id="89" w:name="_Toc497171784"/>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14</w:t>
            </w:r>
            <w:r w:rsidR="002E5BDF" w:rsidRPr="00477D8F">
              <w:rPr>
                <w:noProof/>
              </w:rPr>
              <w:fldChar w:fldCharType="end"/>
            </w:r>
            <w:bookmarkEnd w:id="87"/>
            <w:r w:rsidRPr="00477D8F">
              <w:t xml:space="preserve">: </w:t>
            </w:r>
            <w:bookmarkEnd w:id="88"/>
            <w:r w:rsidR="00FF4094" w:rsidRPr="00477D8F">
              <w:t>Share of labor force population with no formal education, age</w:t>
            </w:r>
            <w:r w:rsidR="003B1B1E" w:rsidRPr="00477D8F">
              <w:t>s</w:t>
            </w:r>
            <w:r w:rsidR="00FF4094" w:rsidRPr="00477D8F">
              <w:t xml:space="preserve"> 15</w:t>
            </w:r>
            <w:r w:rsidR="003B1B1E" w:rsidRPr="00477D8F">
              <w:t>–</w:t>
            </w:r>
            <w:r w:rsidR="00FF4094" w:rsidRPr="00477D8F">
              <w:t>24 and age</w:t>
            </w:r>
            <w:r w:rsidR="003B1B1E" w:rsidRPr="00477D8F">
              <w:t>s</w:t>
            </w:r>
            <w:r w:rsidR="00FF4094" w:rsidRPr="00477D8F">
              <w:t xml:space="preserve"> 25</w:t>
            </w:r>
            <w:r w:rsidR="003B1B1E" w:rsidRPr="00477D8F">
              <w:t>–</w:t>
            </w:r>
            <w:r w:rsidR="00FF4094" w:rsidRPr="00477D8F">
              <w:t>64</w:t>
            </w:r>
            <w:bookmarkEnd w:id="89"/>
          </w:p>
        </w:tc>
      </w:tr>
      <w:tr w:rsidR="00CE2276" w:rsidRPr="00477D8F" w14:paraId="02346B0C" w14:textId="77777777" w:rsidTr="00503F22">
        <w:trPr>
          <w:trHeight w:val="2300"/>
        </w:trPr>
        <w:tc>
          <w:tcPr>
            <w:tcW w:w="9350" w:type="dxa"/>
            <w:hideMark/>
          </w:tcPr>
          <w:p w14:paraId="3D019EC3" w14:textId="51856F5B" w:rsidR="00CE2276" w:rsidRPr="00477D8F" w:rsidRDefault="00FF4094" w:rsidP="00503F22">
            <w:pPr>
              <w:ind w:hanging="113"/>
              <w:jc w:val="both"/>
              <w:rPr>
                <w:rFonts w:ascii="Sylfaen" w:hAnsi="Sylfaen" w:cs="Times New Roman"/>
                <w:bCs/>
              </w:rPr>
            </w:pPr>
            <w:r w:rsidRPr="00477D8F">
              <w:rPr>
                <w:rFonts w:ascii="Sylfaen" w:hAnsi="Sylfaen"/>
                <w:noProof/>
              </w:rPr>
              <w:drawing>
                <wp:inline distT="0" distB="0" distL="0" distR="0" wp14:anchorId="7FCC1895" wp14:editId="53D80224">
                  <wp:extent cx="5902960" cy="1924334"/>
                  <wp:effectExtent l="0" t="0" r="254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CE2276" w:rsidRPr="00477D8F" w14:paraId="26A4991A" w14:textId="77777777" w:rsidTr="00503F22">
        <w:trPr>
          <w:trHeight w:val="17"/>
        </w:trPr>
        <w:tc>
          <w:tcPr>
            <w:tcW w:w="9350" w:type="dxa"/>
            <w:hideMark/>
          </w:tcPr>
          <w:p w14:paraId="2FFB546C" w14:textId="6DF1193B" w:rsidR="00CE2276" w:rsidRPr="00477D8F" w:rsidRDefault="00CE2276" w:rsidP="00503F22">
            <w:pPr>
              <w:pStyle w:val="Source"/>
            </w:pPr>
            <w:r w:rsidRPr="00477D8F">
              <w:rPr>
                <w:rFonts w:eastAsia="Times New Roman"/>
                <w:i/>
              </w:rPr>
              <w:t>Source:</w:t>
            </w:r>
            <w:r w:rsidRPr="00477D8F">
              <w:rPr>
                <w:rFonts w:eastAsia="Times New Roman"/>
              </w:rPr>
              <w:t xml:space="preserve"> Authors’ estimations</w:t>
            </w:r>
            <w:r w:rsidRPr="00477D8F">
              <w:t xml:space="preserve"> based </w:t>
            </w:r>
            <w:r w:rsidR="00807FA3" w:rsidRPr="00477D8F">
              <w:t xml:space="preserve">on IHS 2015 for The Gambia and similar </w:t>
            </w:r>
            <w:r w:rsidR="002A7F47" w:rsidRPr="00477D8F">
              <w:rPr>
                <w:bCs/>
              </w:rPr>
              <w:t>household</w:t>
            </w:r>
            <w:r w:rsidR="002A7F47" w:rsidRPr="00477D8F" w:rsidDel="002A7F47">
              <w:t xml:space="preserve"> </w:t>
            </w:r>
            <w:r w:rsidR="00807FA3" w:rsidRPr="00477D8F">
              <w:t>surveys for the rest</w:t>
            </w:r>
            <w:r w:rsidR="00C5736C" w:rsidRPr="00477D8F">
              <w:t>.</w:t>
            </w:r>
          </w:p>
          <w:p w14:paraId="57E27B64" w14:textId="244ACE62" w:rsidR="00FF4094" w:rsidRPr="00477D8F" w:rsidRDefault="00FF4094" w:rsidP="00503F22">
            <w:pPr>
              <w:pStyle w:val="Source"/>
            </w:pPr>
            <w:r w:rsidRPr="00477D8F">
              <w:rPr>
                <w:i/>
              </w:rPr>
              <w:t>Note</w:t>
            </w:r>
            <w:r w:rsidR="00824303" w:rsidRPr="00477D8F">
              <w:rPr>
                <w:i/>
              </w:rPr>
              <w:t>:</w:t>
            </w:r>
            <w:r w:rsidRPr="00477D8F">
              <w:t xml:space="preserve"> </w:t>
            </w:r>
            <w:r w:rsidR="00C5736C" w:rsidRPr="00477D8F">
              <w:t>N</w:t>
            </w:r>
            <w:r w:rsidRPr="00477D8F">
              <w:t>o education includes population who has not com</w:t>
            </w:r>
            <w:r w:rsidR="003B1B1E" w:rsidRPr="00477D8F">
              <w:t>pleted</w:t>
            </w:r>
            <w:r w:rsidRPr="00477D8F">
              <w:t xml:space="preserve"> first grade of primary </w:t>
            </w:r>
            <w:r w:rsidR="003B1B1E" w:rsidRPr="00477D8F">
              <w:t xml:space="preserve">education </w:t>
            </w:r>
            <w:r w:rsidRPr="00477D8F">
              <w:t xml:space="preserve">but attained preschool or grade </w:t>
            </w:r>
            <w:r w:rsidR="001E2D8E" w:rsidRPr="00477D8F">
              <w:t xml:space="preserve">1 </w:t>
            </w:r>
            <w:r w:rsidRPr="00477D8F">
              <w:t>of primary</w:t>
            </w:r>
            <w:r w:rsidR="003B1B1E" w:rsidRPr="00477D8F">
              <w:t xml:space="preserve"> education</w:t>
            </w:r>
            <w:r w:rsidRPr="00477D8F">
              <w:t>.</w:t>
            </w:r>
          </w:p>
        </w:tc>
      </w:tr>
    </w:tbl>
    <w:p w14:paraId="04391BF6" w14:textId="77777777" w:rsidR="00824303" w:rsidRPr="00477D8F" w:rsidRDefault="00824303">
      <w:pPr>
        <w:rPr>
          <w:rFonts w:ascii="Sylfaen" w:hAnsi="Sylfaen" w:cs="Times New Roman"/>
        </w:rPr>
      </w:pPr>
      <w:r w:rsidRPr="00477D8F">
        <w:rPr>
          <w:rFonts w:ascii="Sylfaen" w:hAnsi="Sylfaen" w:cs="Times New Roman"/>
        </w:rPr>
        <w:br w:type="page"/>
      </w:r>
    </w:p>
    <w:p w14:paraId="1DF256EE" w14:textId="5C450942" w:rsidR="0008539C" w:rsidRPr="00477D8F" w:rsidRDefault="006007EB" w:rsidP="00ED0E68">
      <w:pPr>
        <w:pStyle w:val="Heading1"/>
      </w:pPr>
      <w:bookmarkStart w:id="90" w:name="_Toc497171861"/>
      <w:r w:rsidRPr="00477D8F">
        <w:lastRenderedPageBreak/>
        <w:t xml:space="preserve">Education Sector </w:t>
      </w:r>
      <w:bookmarkEnd w:id="77"/>
      <w:r w:rsidR="009D120A" w:rsidRPr="00477D8F">
        <w:t>Financing</w:t>
      </w:r>
      <w:bookmarkEnd w:id="90"/>
    </w:p>
    <w:p w14:paraId="74FDA287" w14:textId="54226E57" w:rsidR="00824303" w:rsidRPr="00477D8F" w:rsidRDefault="00824303" w:rsidP="002A6740">
      <w:pPr>
        <w:jc w:val="both"/>
        <w:rPr>
          <w:rFonts w:ascii="Sylfaen" w:hAnsi="Sylfaen"/>
          <w:i/>
        </w:rPr>
      </w:pPr>
      <w:bookmarkStart w:id="91" w:name="_Toc416121782"/>
      <w:bookmarkEnd w:id="29"/>
      <w:r w:rsidRPr="00477D8F">
        <w:rPr>
          <w:rFonts w:ascii="Sylfaen" w:hAnsi="Sylfaen"/>
          <w:i/>
        </w:rPr>
        <w:t>Key findings of the section include</w:t>
      </w:r>
      <w:r w:rsidR="000070C4" w:rsidRPr="00477D8F">
        <w:rPr>
          <w:rFonts w:ascii="Sylfaen" w:hAnsi="Sylfaen"/>
          <w:i/>
        </w:rPr>
        <w:t xml:space="preserve"> the following</w:t>
      </w:r>
      <w:r w:rsidRPr="00477D8F">
        <w:rPr>
          <w:rFonts w:ascii="Sylfaen" w:hAnsi="Sylfaen"/>
          <w:i/>
        </w:rPr>
        <w:t>:</w:t>
      </w:r>
      <w:r w:rsidR="00EE6D88" w:rsidRPr="00477D8F">
        <w:rPr>
          <w:rFonts w:ascii="Sylfaen" w:hAnsi="Sylfaen"/>
          <w:i/>
        </w:rPr>
        <w:t xml:space="preserve"> (a) </w:t>
      </w:r>
      <w:r w:rsidR="00E518A1" w:rsidRPr="00477D8F">
        <w:rPr>
          <w:rFonts w:ascii="Sylfaen" w:hAnsi="Sylfaen"/>
          <w:i/>
        </w:rPr>
        <w:t>P</w:t>
      </w:r>
      <w:r w:rsidRPr="00477D8F">
        <w:rPr>
          <w:rFonts w:ascii="Sylfaen" w:hAnsi="Sylfaen"/>
          <w:i/>
        </w:rPr>
        <w:t>ublic spending on education has been increasing over</w:t>
      </w:r>
      <w:r w:rsidR="00825F4A" w:rsidRPr="00477D8F">
        <w:rPr>
          <w:rFonts w:ascii="Sylfaen" w:hAnsi="Sylfaen"/>
          <w:i/>
        </w:rPr>
        <w:t xml:space="preserve"> </w:t>
      </w:r>
      <w:r w:rsidRPr="00477D8F">
        <w:rPr>
          <w:rFonts w:ascii="Sylfaen" w:hAnsi="Sylfaen"/>
          <w:i/>
        </w:rPr>
        <w:t>time both in real and nominal terms, reflecting the government’s</w:t>
      </w:r>
      <w:r w:rsidR="00EE6D88" w:rsidRPr="00477D8F">
        <w:rPr>
          <w:rFonts w:ascii="Sylfaen" w:hAnsi="Sylfaen"/>
          <w:i/>
        </w:rPr>
        <w:t xml:space="preserve"> commitment to fund the sector; (b) </w:t>
      </w:r>
      <w:r w:rsidR="00A953D4" w:rsidRPr="00477D8F">
        <w:rPr>
          <w:rFonts w:ascii="Sylfaen" w:hAnsi="Sylfaen"/>
          <w:i/>
        </w:rPr>
        <w:t>Nonetheless</w:t>
      </w:r>
      <w:r w:rsidR="00B15DD7" w:rsidRPr="00477D8F">
        <w:rPr>
          <w:rFonts w:ascii="Sylfaen" w:hAnsi="Sylfaen"/>
          <w:i/>
        </w:rPr>
        <w:t>, t</w:t>
      </w:r>
      <w:r w:rsidRPr="00477D8F">
        <w:rPr>
          <w:rFonts w:ascii="Sylfaen" w:hAnsi="Sylfaen"/>
          <w:i/>
        </w:rPr>
        <w:t>he education sector is largely funded by the households and dependent on the contributi</w:t>
      </w:r>
      <w:r w:rsidR="00EE6D88" w:rsidRPr="00477D8F">
        <w:rPr>
          <w:rFonts w:ascii="Sylfaen" w:hAnsi="Sylfaen"/>
          <w:i/>
        </w:rPr>
        <w:t xml:space="preserve">on of the development partners; (c) </w:t>
      </w:r>
      <w:r w:rsidRPr="00477D8F">
        <w:rPr>
          <w:rFonts w:ascii="Sylfaen" w:hAnsi="Sylfaen"/>
          <w:i/>
        </w:rPr>
        <w:t xml:space="preserve">The breakdown of the funding sources indicates that the share of the government contribution is high at the basic education level and the donors’ share is concentrated at the higher education level </w:t>
      </w:r>
      <w:r w:rsidR="003340FF" w:rsidRPr="00477D8F">
        <w:rPr>
          <w:rFonts w:ascii="Sylfaen" w:hAnsi="Sylfaen"/>
          <w:i/>
        </w:rPr>
        <w:t>due to</w:t>
      </w:r>
      <w:r w:rsidRPr="00477D8F">
        <w:rPr>
          <w:rFonts w:ascii="Sylfaen" w:hAnsi="Sylfaen"/>
          <w:i/>
        </w:rPr>
        <w:t xml:space="preserve"> the capital spending for the expansion of the </w:t>
      </w:r>
      <w:r w:rsidR="00A75A8A" w:rsidRPr="00477D8F">
        <w:rPr>
          <w:rFonts w:ascii="Sylfaen" w:hAnsi="Sylfaen"/>
          <w:i/>
        </w:rPr>
        <w:t>UTG</w:t>
      </w:r>
      <w:r w:rsidR="00EE6D88" w:rsidRPr="00477D8F">
        <w:rPr>
          <w:rFonts w:ascii="Sylfaen" w:hAnsi="Sylfaen"/>
          <w:i/>
        </w:rPr>
        <w:t xml:space="preserve">; (d) </w:t>
      </w:r>
      <w:r w:rsidRPr="00477D8F">
        <w:rPr>
          <w:rFonts w:ascii="Sylfaen" w:hAnsi="Sylfaen"/>
          <w:i/>
        </w:rPr>
        <w:t xml:space="preserve">The key </w:t>
      </w:r>
      <w:r w:rsidR="000B66C1" w:rsidRPr="00477D8F">
        <w:rPr>
          <w:rFonts w:ascii="Sylfaen" w:hAnsi="Sylfaen"/>
          <w:i/>
        </w:rPr>
        <w:t>p</w:t>
      </w:r>
      <w:r w:rsidRPr="00477D8F">
        <w:rPr>
          <w:rFonts w:ascii="Sylfaen" w:hAnsi="Sylfaen"/>
          <w:i/>
        </w:rPr>
        <w:t xml:space="preserve">ublic </w:t>
      </w:r>
      <w:r w:rsidR="000B66C1" w:rsidRPr="00477D8F">
        <w:rPr>
          <w:rFonts w:ascii="Sylfaen" w:hAnsi="Sylfaen"/>
          <w:i/>
        </w:rPr>
        <w:t>f</w:t>
      </w:r>
      <w:r w:rsidRPr="00477D8F">
        <w:rPr>
          <w:rFonts w:ascii="Sylfaen" w:hAnsi="Sylfaen"/>
          <w:i/>
        </w:rPr>
        <w:t xml:space="preserve">inancial </w:t>
      </w:r>
      <w:r w:rsidR="000B66C1" w:rsidRPr="00477D8F">
        <w:rPr>
          <w:rFonts w:ascii="Sylfaen" w:hAnsi="Sylfaen"/>
          <w:i/>
        </w:rPr>
        <w:t>m</w:t>
      </w:r>
      <w:r w:rsidRPr="00477D8F">
        <w:rPr>
          <w:rFonts w:ascii="Sylfaen" w:hAnsi="Sylfaen"/>
          <w:i/>
        </w:rPr>
        <w:t>anagement (PFM) indicators are improving but remain weak</w:t>
      </w:r>
      <w:r w:rsidR="00C104CA" w:rsidRPr="00477D8F">
        <w:rPr>
          <w:rFonts w:ascii="Sylfaen" w:hAnsi="Sylfaen"/>
          <w:i/>
        </w:rPr>
        <w:t>;</w:t>
      </w:r>
      <w:r w:rsidRPr="00477D8F">
        <w:rPr>
          <w:rFonts w:ascii="Sylfaen" w:hAnsi="Sylfaen"/>
          <w:i/>
        </w:rPr>
        <w:t xml:space="preserve"> </w:t>
      </w:r>
      <w:r w:rsidR="00C104CA" w:rsidRPr="00477D8F">
        <w:rPr>
          <w:rFonts w:ascii="Sylfaen" w:hAnsi="Sylfaen"/>
          <w:i/>
        </w:rPr>
        <w:t>t</w:t>
      </w:r>
      <w:r w:rsidRPr="00477D8F">
        <w:rPr>
          <w:rFonts w:ascii="Sylfaen" w:hAnsi="Sylfaen"/>
          <w:i/>
        </w:rPr>
        <w:t>he current budget planning process in The Gambia is not fully consolidated under the ministries</w:t>
      </w:r>
      <w:r w:rsidR="006F7999" w:rsidRPr="00477D8F">
        <w:rPr>
          <w:rFonts w:ascii="Sylfaen" w:hAnsi="Sylfaen"/>
          <w:i/>
        </w:rPr>
        <w:t>;</w:t>
      </w:r>
      <w:r w:rsidRPr="00477D8F">
        <w:rPr>
          <w:rFonts w:ascii="Sylfaen" w:hAnsi="Sylfaen"/>
          <w:i/>
        </w:rPr>
        <w:t xml:space="preserve"> some roles are performed by the Personnel Management Office (PMO) and others are made through direct subvention</w:t>
      </w:r>
      <w:r w:rsidR="00EE6D88" w:rsidRPr="00477D8F">
        <w:rPr>
          <w:rFonts w:ascii="Sylfaen" w:hAnsi="Sylfaen"/>
          <w:i/>
        </w:rPr>
        <w:t xml:space="preserve"> to public and private schools; (e) </w:t>
      </w:r>
      <w:r w:rsidRPr="00477D8F">
        <w:rPr>
          <w:rFonts w:ascii="Sylfaen" w:hAnsi="Sylfaen"/>
          <w:i/>
        </w:rPr>
        <w:t xml:space="preserve">The government follows a </w:t>
      </w:r>
      <w:r w:rsidR="009A4E91" w:rsidRPr="00477D8F">
        <w:rPr>
          <w:rFonts w:ascii="Sylfaen" w:hAnsi="Sylfaen"/>
          <w:i/>
        </w:rPr>
        <w:t>‘</w:t>
      </w:r>
      <w:r w:rsidRPr="00477D8F">
        <w:rPr>
          <w:rFonts w:ascii="Sylfaen" w:hAnsi="Sylfaen"/>
          <w:i/>
        </w:rPr>
        <w:t>cash method</w:t>
      </w:r>
      <w:r w:rsidR="009A4E91" w:rsidRPr="00477D8F">
        <w:rPr>
          <w:rFonts w:ascii="Sylfaen" w:hAnsi="Sylfaen"/>
          <w:i/>
        </w:rPr>
        <w:t>’</w:t>
      </w:r>
      <w:r w:rsidRPr="00477D8F">
        <w:rPr>
          <w:rFonts w:ascii="Sylfaen" w:hAnsi="Sylfaen"/>
          <w:i/>
        </w:rPr>
        <w:t xml:space="preserve"> budgeting system, leading to a high execution r</w:t>
      </w:r>
      <w:r w:rsidR="00EE6D88" w:rsidRPr="00477D8F">
        <w:rPr>
          <w:rFonts w:ascii="Sylfaen" w:hAnsi="Sylfaen"/>
          <w:i/>
        </w:rPr>
        <w:t xml:space="preserve">ate at all levels of education; (f) </w:t>
      </w:r>
      <w:r w:rsidRPr="00477D8F">
        <w:rPr>
          <w:rFonts w:ascii="Sylfaen" w:hAnsi="Sylfaen"/>
          <w:i/>
        </w:rPr>
        <w:t>The functional allocation shows that The Gambia’s spending on education is biased toward basic education and the higher education level receives only 13 percent of the budget, which is very low in comparison to the SSA countries</w:t>
      </w:r>
      <w:r w:rsidR="00EE6D88" w:rsidRPr="00477D8F">
        <w:rPr>
          <w:rFonts w:ascii="Sylfaen" w:hAnsi="Sylfaen"/>
          <w:i/>
        </w:rPr>
        <w:t>; and</w:t>
      </w:r>
      <w:r w:rsidR="00272695" w:rsidRPr="00477D8F">
        <w:rPr>
          <w:rFonts w:ascii="Sylfaen" w:hAnsi="Sylfaen"/>
          <w:i/>
        </w:rPr>
        <w:t xml:space="preserve"> </w:t>
      </w:r>
      <w:r w:rsidR="002A6740" w:rsidRPr="00477D8F">
        <w:rPr>
          <w:rFonts w:ascii="Sylfaen" w:hAnsi="Sylfaen"/>
          <w:i/>
        </w:rPr>
        <w:t xml:space="preserve">(g) </w:t>
      </w:r>
      <w:r w:rsidRPr="00477D8F">
        <w:rPr>
          <w:rFonts w:ascii="Sylfaen" w:hAnsi="Sylfaen"/>
          <w:i/>
        </w:rPr>
        <w:t xml:space="preserve">The government allocates an appropriate share of the budget </w:t>
      </w:r>
      <w:r w:rsidR="00183CC7" w:rsidRPr="00477D8F">
        <w:rPr>
          <w:rFonts w:ascii="Sylfaen" w:hAnsi="Sylfaen"/>
          <w:i/>
        </w:rPr>
        <w:t>for</w:t>
      </w:r>
      <w:r w:rsidRPr="00477D8F">
        <w:rPr>
          <w:rFonts w:ascii="Sylfaen" w:hAnsi="Sylfaen"/>
          <w:i/>
        </w:rPr>
        <w:t xml:space="preserve"> non-salary spending, but most of the non-salary spending is executed at the central level on expenses that are not related to learning outcomes such as contributions paid to international organizations, thereby leaving little room for quality improvement at the school level (about 93 percent of the recurrent spending at the school level is used to pay teachers’ salaries)</w:t>
      </w:r>
      <w:r w:rsidR="006F7999" w:rsidRPr="00477D8F">
        <w:rPr>
          <w:rFonts w:ascii="Sylfaen" w:hAnsi="Sylfaen"/>
          <w:i/>
        </w:rPr>
        <w:t>.</w:t>
      </w:r>
    </w:p>
    <w:p w14:paraId="2A0618E0" w14:textId="77777777" w:rsidR="0030118B" w:rsidRPr="00477D8F" w:rsidRDefault="0030118B" w:rsidP="00ED0E68">
      <w:pPr>
        <w:pStyle w:val="Heading2"/>
        <w:rPr>
          <w:b/>
          <w:lang w:eastAsia="ja-JP"/>
        </w:rPr>
      </w:pPr>
      <w:bookmarkStart w:id="92" w:name="_Toc453902361"/>
      <w:bookmarkStart w:id="93" w:name="_Toc497171862"/>
      <w:r w:rsidRPr="00477D8F">
        <w:rPr>
          <w:lang w:eastAsia="ja-JP"/>
        </w:rPr>
        <w:t>Budget planning and execution process</w:t>
      </w:r>
      <w:bookmarkEnd w:id="92"/>
      <w:bookmarkEnd w:id="93"/>
      <w:r w:rsidRPr="00477D8F">
        <w:rPr>
          <w:lang w:eastAsia="ja-JP"/>
        </w:rPr>
        <w:t xml:space="preserve"> </w:t>
      </w:r>
    </w:p>
    <w:p w14:paraId="213E3419" w14:textId="2ADA0884" w:rsidR="00DF461C" w:rsidRPr="00477D8F" w:rsidRDefault="00DF461C" w:rsidP="00DF461C">
      <w:pPr>
        <w:pStyle w:val="ListParagraph"/>
        <w:numPr>
          <w:ilvl w:val="0"/>
          <w:numId w:val="24"/>
        </w:numPr>
        <w:autoSpaceDE w:val="0"/>
        <w:autoSpaceDN w:val="0"/>
        <w:adjustRightInd w:val="0"/>
        <w:spacing w:before="240" w:after="0" w:line="240" w:lineRule="auto"/>
        <w:ind w:left="0" w:firstLine="0"/>
        <w:contextualSpacing w:val="0"/>
        <w:jc w:val="both"/>
        <w:rPr>
          <w:rFonts w:ascii="Sylfaen" w:eastAsia="Times New Roman" w:hAnsi="Sylfaen"/>
        </w:rPr>
      </w:pPr>
      <w:r w:rsidRPr="00477D8F">
        <w:rPr>
          <w:rFonts w:ascii="Sylfaen" w:eastAsiaTheme="minorEastAsia" w:hAnsi="Sylfaen" w:cs="Times New Roman"/>
          <w:b/>
          <w:lang w:eastAsia="ja-JP"/>
        </w:rPr>
        <w:t xml:space="preserve">The education budget preparation process is centralized within the education line ministries. </w:t>
      </w:r>
      <w:r w:rsidRPr="00477D8F">
        <w:rPr>
          <w:rFonts w:ascii="Sylfaen" w:eastAsiaTheme="minorEastAsia" w:hAnsi="Sylfaen" w:cs="Times New Roman"/>
          <w:lang w:eastAsia="ja-JP"/>
        </w:rPr>
        <w:t>The approach remains practical given the small size of the country.</w:t>
      </w:r>
      <w:r w:rsidRPr="00477D8F">
        <w:rPr>
          <w:rFonts w:ascii="Sylfaen" w:eastAsiaTheme="minorEastAsia" w:hAnsi="Sylfaen" w:cs="Times New Roman"/>
          <w:bCs/>
          <w:color w:val="000000"/>
          <w:lang w:eastAsia="ja-JP"/>
        </w:rPr>
        <w:t xml:space="preserve"> The initial phase of the budget preparation process begins </w:t>
      </w:r>
      <w:r w:rsidRPr="00477D8F">
        <w:rPr>
          <w:rFonts w:ascii="Sylfaen" w:eastAsiaTheme="minorEastAsia" w:hAnsi="Sylfaen" w:cs="Times New Roman"/>
          <w:lang w:eastAsia="ja-JP"/>
        </w:rPr>
        <w:t xml:space="preserve">when the MoFEA sends out a </w:t>
      </w:r>
      <w:r w:rsidR="00210361" w:rsidRPr="00477D8F">
        <w:rPr>
          <w:rFonts w:ascii="Sylfaen" w:eastAsiaTheme="minorEastAsia" w:hAnsi="Sylfaen" w:cs="Times New Roman"/>
          <w:lang w:eastAsia="ja-JP"/>
        </w:rPr>
        <w:t>‘</w:t>
      </w:r>
      <w:r w:rsidRPr="00477D8F">
        <w:rPr>
          <w:rFonts w:ascii="Sylfaen" w:eastAsiaTheme="minorEastAsia" w:hAnsi="Sylfaen" w:cs="Times New Roman"/>
          <w:lang w:eastAsia="ja-JP"/>
        </w:rPr>
        <w:t>call circular</w:t>
      </w:r>
      <w:r w:rsidR="00210361" w:rsidRPr="00477D8F">
        <w:rPr>
          <w:rFonts w:ascii="Sylfaen" w:eastAsiaTheme="minorEastAsia" w:hAnsi="Sylfaen" w:cs="Times New Roman"/>
          <w:lang w:eastAsia="ja-JP"/>
        </w:rPr>
        <w:t>’</w:t>
      </w:r>
      <w:r w:rsidRPr="00477D8F">
        <w:rPr>
          <w:rFonts w:ascii="Sylfaen" w:eastAsiaTheme="minorEastAsia" w:hAnsi="Sylfaen" w:cs="Times New Roman"/>
          <w:lang w:eastAsia="ja-JP"/>
        </w:rPr>
        <w:t xml:space="preserve"> for capital and non-salary recurrent budget. This is normally based on the previous year’s budget and the resource envelope forecast (which consists of revenue and budget support).</w:t>
      </w:r>
      <w:r w:rsidR="00272695" w:rsidRPr="00477D8F">
        <w:rPr>
          <w:rFonts w:ascii="Sylfaen" w:eastAsiaTheme="minorEastAsia" w:hAnsi="Sylfaen" w:cs="Times New Roman"/>
          <w:lang w:eastAsia="ja-JP"/>
        </w:rPr>
        <w:t xml:space="preserve"> </w:t>
      </w:r>
      <w:r w:rsidRPr="00477D8F">
        <w:rPr>
          <w:rFonts w:ascii="Sylfaen" w:eastAsiaTheme="minorEastAsia" w:hAnsi="Sylfaen" w:cs="Times New Roman"/>
          <w:lang w:eastAsia="ja-JP"/>
        </w:rPr>
        <w:t>The call circular sets the ceiling for each ministry, after which each ministry prepares its preliminary budget and submits it to the MoFEA</w:t>
      </w:r>
      <w:r w:rsidR="00456B80" w:rsidRPr="00477D8F">
        <w:rPr>
          <w:rFonts w:ascii="Sylfaen" w:eastAsiaTheme="minorEastAsia" w:hAnsi="Sylfaen" w:cs="Times New Roman"/>
          <w:lang w:eastAsia="ja-JP"/>
        </w:rPr>
        <w:t>.</w:t>
      </w:r>
      <w:r w:rsidRPr="00477D8F">
        <w:rPr>
          <w:rFonts w:ascii="Sylfaen" w:eastAsiaTheme="minorEastAsia" w:hAnsi="Sylfaen" w:cs="Times New Roman"/>
          <w:lang w:eastAsia="ja-JP"/>
        </w:rPr>
        <w:t xml:space="preserve"> The MoFEA and the ministries conduct discussions ministry by ministry to defend their proposals. Once the MoFEA approves the proposals, the budget is sent to the Cabinet for comments.</w:t>
      </w:r>
      <w:r w:rsidR="00272695" w:rsidRPr="00477D8F">
        <w:rPr>
          <w:rFonts w:ascii="Sylfaen" w:eastAsiaTheme="minorEastAsia" w:hAnsi="Sylfaen" w:cs="Times New Roman"/>
          <w:lang w:eastAsia="ja-JP"/>
        </w:rPr>
        <w:t xml:space="preserve"> </w:t>
      </w:r>
      <w:r w:rsidRPr="00477D8F">
        <w:rPr>
          <w:rFonts w:ascii="Sylfaen" w:eastAsiaTheme="minorEastAsia" w:hAnsi="Sylfaen" w:cs="Times New Roman"/>
          <w:lang w:eastAsia="ja-JP"/>
        </w:rPr>
        <w:t xml:space="preserve">Afterwards, a second draft is prepared by the MoFEA based on </w:t>
      </w:r>
      <w:r w:rsidR="00310DED" w:rsidRPr="00477D8F">
        <w:rPr>
          <w:rFonts w:ascii="Sylfaen" w:eastAsiaTheme="minorEastAsia" w:hAnsi="Sylfaen" w:cs="Times New Roman"/>
          <w:lang w:eastAsia="ja-JP"/>
        </w:rPr>
        <w:t xml:space="preserve">the </w:t>
      </w:r>
      <w:r w:rsidRPr="00477D8F">
        <w:rPr>
          <w:rFonts w:ascii="Sylfaen" w:eastAsiaTheme="minorEastAsia" w:hAnsi="Sylfaen" w:cs="Times New Roman"/>
          <w:lang w:eastAsia="ja-JP"/>
        </w:rPr>
        <w:t>comments received from the Cabinet.</w:t>
      </w:r>
      <w:r w:rsidR="00272695" w:rsidRPr="00477D8F">
        <w:rPr>
          <w:rFonts w:ascii="Sylfaen" w:eastAsiaTheme="minorEastAsia" w:hAnsi="Sylfaen" w:cs="Times New Roman"/>
          <w:lang w:eastAsia="ja-JP"/>
        </w:rPr>
        <w:t xml:space="preserve"> </w:t>
      </w:r>
      <w:r w:rsidRPr="00477D8F">
        <w:rPr>
          <w:rFonts w:ascii="Sylfaen" w:eastAsiaTheme="minorEastAsia" w:hAnsi="Sylfaen" w:cs="Times New Roman"/>
          <w:lang w:eastAsia="ja-JP"/>
        </w:rPr>
        <w:t>This draft is subsequently sent to the National Assembly, where it is debated, and ultimately approved.</w:t>
      </w:r>
      <w:r w:rsidR="00272695" w:rsidRPr="00477D8F">
        <w:rPr>
          <w:rFonts w:ascii="Sylfaen" w:eastAsiaTheme="minorEastAsia" w:hAnsi="Sylfaen" w:cs="Times New Roman"/>
          <w:lang w:eastAsia="ja-JP"/>
        </w:rPr>
        <w:t xml:space="preserve"> </w:t>
      </w:r>
      <w:r w:rsidRPr="00477D8F">
        <w:rPr>
          <w:rFonts w:ascii="Sylfaen" w:eastAsiaTheme="minorEastAsia" w:hAnsi="Sylfaen" w:cs="Times New Roman"/>
          <w:lang w:eastAsia="ja-JP"/>
        </w:rPr>
        <w:t xml:space="preserve">As soon as it is approved by the National Assembly, it becomes the final budget. </w:t>
      </w:r>
      <w:r w:rsidRPr="00477D8F">
        <w:rPr>
          <w:rFonts w:ascii="Sylfaen" w:eastAsiaTheme="minorEastAsia" w:hAnsi="Sylfaen" w:cs="Times New Roman"/>
          <w:bCs/>
          <w:color w:val="000000"/>
          <w:lang w:eastAsia="ja-JP"/>
        </w:rPr>
        <w:t>To formulate a preliminary budget, the MoBSE plans the central and regional offices’ activities and ensures that they are aligned to the sector objectives.</w:t>
      </w:r>
      <w:r w:rsidR="00272695" w:rsidRPr="00477D8F">
        <w:rPr>
          <w:rFonts w:ascii="Sylfaen" w:eastAsiaTheme="minorEastAsia" w:hAnsi="Sylfaen" w:cs="Times New Roman"/>
          <w:bCs/>
          <w:color w:val="000000"/>
          <w:lang w:eastAsia="ja-JP"/>
        </w:rPr>
        <w:t xml:space="preserve"> </w:t>
      </w:r>
      <w:r w:rsidRPr="00477D8F">
        <w:rPr>
          <w:rFonts w:ascii="Sylfaen" w:eastAsiaTheme="minorEastAsia" w:hAnsi="Sylfaen" w:cs="Times New Roman"/>
          <w:lang w:eastAsia="ja-JP"/>
        </w:rPr>
        <w:t xml:space="preserve">The budget ceiling that is sent in the call circular is only for the capital expenditure and non-salary recurrent expenditure, and it does not apply to the budget for Personal Emoluments (PE), as the PE budget is discussed between </w:t>
      </w:r>
      <w:r w:rsidRPr="00477D8F">
        <w:rPr>
          <w:rFonts w:ascii="Sylfaen" w:eastAsiaTheme="minorEastAsia" w:hAnsi="Sylfaen" w:cs="Times New Roman"/>
          <w:bCs/>
          <w:color w:val="000000"/>
          <w:lang w:eastAsia="ja-JP"/>
        </w:rPr>
        <w:t xml:space="preserve">the </w:t>
      </w:r>
      <w:r w:rsidRPr="00477D8F">
        <w:rPr>
          <w:rFonts w:ascii="Sylfaen" w:eastAsiaTheme="minorEastAsia" w:hAnsi="Sylfaen" w:cs="Times New Roman"/>
          <w:lang w:eastAsia="ja-JP"/>
        </w:rPr>
        <w:t xml:space="preserve">PMO and </w:t>
      </w:r>
      <w:r w:rsidR="00310DED" w:rsidRPr="00477D8F">
        <w:rPr>
          <w:rFonts w:ascii="Sylfaen" w:eastAsiaTheme="minorEastAsia" w:hAnsi="Sylfaen" w:cs="Times New Roman"/>
          <w:lang w:eastAsia="ja-JP"/>
        </w:rPr>
        <w:t xml:space="preserve">the </w:t>
      </w:r>
      <w:r w:rsidRPr="00477D8F">
        <w:rPr>
          <w:rFonts w:ascii="Sylfaen" w:eastAsiaTheme="minorEastAsia" w:hAnsi="Sylfaen" w:cs="Times New Roman"/>
          <w:lang w:eastAsia="ja-JP"/>
        </w:rPr>
        <w:t>MoBSE and the PMO approves it. The PMO is an agency under the Office of the President and is responsible for personnel budgeting and control among other duties.</w:t>
      </w:r>
      <w:r w:rsidRPr="00477D8F">
        <w:rPr>
          <w:rFonts w:ascii="Sylfaen" w:eastAsiaTheme="minorEastAsia" w:hAnsi="Sylfaen" w:cs="Times New Roman"/>
          <w:bCs/>
          <w:color w:val="000000"/>
          <w:lang w:eastAsia="ja-JP"/>
        </w:rPr>
        <w:t> The PMO also has to agree to the number of teachers that the MoBSE will hire. </w:t>
      </w:r>
    </w:p>
    <w:p w14:paraId="6A6160D2" w14:textId="5EA8B498" w:rsidR="00DF461C" w:rsidRPr="00477D8F" w:rsidRDefault="00DF461C" w:rsidP="00DF461C">
      <w:pPr>
        <w:pStyle w:val="ListParagraph"/>
        <w:numPr>
          <w:ilvl w:val="0"/>
          <w:numId w:val="24"/>
        </w:numPr>
        <w:autoSpaceDE w:val="0"/>
        <w:autoSpaceDN w:val="0"/>
        <w:adjustRightInd w:val="0"/>
        <w:spacing w:before="240" w:after="0" w:line="240" w:lineRule="auto"/>
        <w:ind w:left="0" w:firstLine="0"/>
        <w:contextualSpacing w:val="0"/>
        <w:jc w:val="both"/>
        <w:rPr>
          <w:rFonts w:ascii="Sylfaen" w:eastAsia="Times New Roman" w:hAnsi="Sylfaen"/>
        </w:rPr>
      </w:pPr>
      <w:r w:rsidRPr="00477D8F">
        <w:rPr>
          <w:rFonts w:ascii="Sylfaen" w:eastAsiaTheme="minorEastAsia" w:hAnsi="Sylfaen" w:cs="Times New Roman"/>
          <w:b/>
          <w:bCs/>
          <w:color w:val="000000"/>
          <w:lang w:eastAsia="ja-JP"/>
        </w:rPr>
        <w:lastRenderedPageBreak/>
        <w:t>There is a pay scale that determines the entry salary of all civil servants (teachers and staff) based on qualifications</w:t>
      </w:r>
      <w:r w:rsidR="006830FD" w:rsidRPr="00477D8F">
        <w:rPr>
          <w:rFonts w:ascii="Sylfaen" w:eastAsiaTheme="minorEastAsia" w:hAnsi="Sylfaen" w:cs="Times New Roman"/>
          <w:b/>
          <w:bCs/>
          <w:color w:val="000000"/>
          <w:lang w:eastAsia="ja-JP"/>
        </w:rPr>
        <w:t>.</w:t>
      </w:r>
      <w:r w:rsidRPr="00477D8F">
        <w:rPr>
          <w:rFonts w:ascii="Sylfaen" w:eastAsiaTheme="minorEastAsia" w:hAnsi="Sylfaen" w:cs="Times New Roman"/>
          <w:b/>
          <w:bCs/>
          <w:color w:val="000000"/>
          <w:lang w:eastAsia="ja-JP"/>
        </w:rPr>
        <w:t xml:space="preserve"> </w:t>
      </w:r>
      <w:r w:rsidR="00310DED" w:rsidRPr="00477D8F">
        <w:rPr>
          <w:rFonts w:ascii="Sylfaen" w:eastAsiaTheme="minorEastAsia" w:hAnsi="Sylfaen" w:cs="Times New Roman"/>
          <w:bCs/>
          <w:color w:val="000000"/>
          <w:lang w:eastAsia="ja-JP"/>
        </w:rPr>
        <w:t xml:space="preserve">The </w:t>
      </w:r>
      <w:r w:rsidRPr="00477D8F">
        <w:rPr>
          <w:rFonts w:ascii="Sylfaen" w:eastAsiaTheme="minorEastAsia" w:hAnsi="Sylfaen" w:cs="Times New Roman"/>
          <w:bCs/>
          <w:color w:val="000000"/>
          <w:lang w:eastAsia="ja-JP"/>
        </w:rPr>
        <w:t xml:space="preserve">MoBSE determines all additional allowances for teachers and staff. </w:t>
      </w:r>
      <w:r w:rsidR="006830FD" w:rsidRPr="00477D8F">
        <w:rPr>
          <w:rFonts w:ascii="Sylfaen" w:eastAsiaTheme="minorEastAsia" w:hAnsi="Sylfaen" w:cs="Times New Roman"/>
          <w:bCs/>
          <w:color w:val="000000"/>
          <w:lang w:eastAsia="ja-JP"/>
        </w:rPr>
        <w:t xml:space="preserve">The </w:t>
      </w:r>
      <w:r w:rsidRPr="00477D8F">
        <w:rPr>
          <w:rFonts w:ascii="Sylfaen" w:eastAsiaTheme="minorEastAsia" w:hAnsi="Sylfaen" w:cs="Times New Roman"/>
          <w:bCs/>
          <w:color w:val="000000"/>
          <w:lang w:eastAsia="ja-JP"/>
        </w:rPr>
        <w:t>MoBSE is responsible for setting the salary of all grant-aided and government teachers who teach in grades 1</w:t>
      </w:r>
      <w:r w:rsidR="00310DED" w:rsidRPr="00477D8F">
        <w:rPr>
          <w:rFonts w:ascii="Sylfaen" w:eastAsiaTheme="minorEastAsia" w:hAnsi="Sylfaen" w:cs="Times New Roman"/>
          <w:bCs/>
          <w:color w:val="000000"/>
          <w:lang w:eastAsia="ja-JP"/>
        </w:rPr>
        <w:t>–</w:t>
      </w:r>
      <w:r w:rsidRPr="00477D8F">
        <w:rPr>
          <w:rFonts w:ascii="Sylfaen" w:eastAsiaTheme="minorEastAsia" w:hAnsi="Sylfaen" w:cs="Times New Roman"/>
          <w:bCs/>
          <w:color w:val="000000"/>
          <w:lang w:eastAsia="ja-JP"/>
        </w:rPr>
        <w:t>9 (they make up 90 percent of all government teachers)</w:t>
      </w:r>
      <w:r w:rsidR="00310DED" w:rsidRPr="00477D8F">
        <w:rPr>
          <w:rFonts w:ascii="Sylfaen" w:eastAsiaTheme="minorEastAsia" w:hAnsi="Sylfaen" w:cs="Times New Roman"/>
          <w:bCs/>
          <w:color w:val="000000"/>
          <w:lang w:eastAsia="ja-JP"/>
        </w:rPr>
        <w:t>,</w:t>
      </w:r>
      <w:r w:rsidRPr="00477D8F">
        <w:rPr>
          <w:rFonts w:ascii="Sylfaen" w:eastAsiaTheme="minorEastAsia" w:hAnsi="Sylfaen" w:cs="Times New Roman"/>
          <w:bCs/>
          <w:color w:val="000000"/>
          <w:lang w:eastAsia="ja-JP"/>
        </w:rPr>
        <w:t xml:space="preserve"> whereas the PMO sets the salary of government teachers who teach in grades 10</w:t>
      </w:r>
      <w:r w:rsidR="00310DED" w:rsidRPr="00477D8F">
        <w:rPr>
          <w:rFonts w:ascii="Sylfaen" w:eastAsiaTheme="minorEastAsia" w:hAnsi="Sylfaen" w:cs="Times New Roman"/>
          <w:bCs/>
          <w:color w:val="000000"/>
          <w:lang w:eastAsia="ja-JP"/>
        </w:rPr>
        <w:t>–</w:t>
      </w:r>
      <w:r w:rsidRPr="00477D8F">
        <w:rPr>
          <w:rFonts w:ascii="Sylfaen" w:eastAsiaTheme="minorEastAsia" w:hAnsi="Sylfaen" w:cs="Times New Roman"/>
          <w:bCs/>
          <w:color w:val="000000"/>
          <w:lang w:eastAsia="ja-JP"/>
        </w:rPr>
        <w:t>12.</w:t>
      </w:r>
      <w:r w:rsidR="00272695" w:rsidRPr="00477D8F">
        <w:rPr>
          <w:rFonts w:ascii="Sylfaen" w:eastAsiaTheme="minorEastAsia" w:hAnsi="Sylfaen" w:cs="Times New Roman"/>
          <w:bCs/>
          <w:color w:val="000000"/>
          <w:lang w:eastAsia="ja-JP"/>
        </w:rPr>
        <w:t xml:space="preserve"> </w:t>
      </w:r>
    </w:p>
    <w:p w14:paraId="34CC4BE8" w14:textId="372A3251" w:rsidR="00DF461C" w:rsidRPr="00477D8F" w:rsidRDefault="003340FF" w:rsidP="00DF461C">
      <w:pPr>
        <w:pStyle w:val="ListParagraph"/>
        <w:numPr>
          <w:ilvl w:val="0"/>
          <w:numId w:val="24"/>
        </w:numPr>
        <w:autoSpaceDE w:val="0"/>
        <w:autoSpaceDN w:val="0"/>
        <w:adjustRightInd w:val="0"/>
        <w:spacing w:before="240" w:after="0" w:line="240" w:lineRule="auto"/>
        <w:ind w:left="0" w:firstLine="0"/>
        <w:contextualSpacing w:val="0"/>
        <w:jc w:val="both"/>
        <w:rPr>
          <w:rFonts w:ascii="Sylfaen" w:eastAsiaTheme="minorEastAsia" w:hAnsi="Sylfaen" w:cs="Times New Roman"/>
          <w:bCs/>
          <w:color w:val="000000"/>
          <w:lang w:eastAsia="ja-JP"/>
        </w:rPr>
      </w:pPr>
      <w:r w:rsidRPr="00477D8F">
        <w:rPr>
          <w:rFonts w:ascii="Sylfaen" w:eastAsiaTheme="minorEastAsia" w:hAnsi="Sylfaen" w:cs="Times New Roman"/>
          <w:b/>
          <w:bCs/>
          <w:color w:val="000000"/>
          <w:lang w:eastAsia="ja-JP"/>
        </w:rPr>
        <w:t xml:space="preserve">The </w:t>
      </w:r>
      <w:r w:rsidR="00DF461C" w:rsidRPr="00477D8F">
        <w:rPr>
          <w:rFonts w:ascii="Sylfaen" w:eastAsiaTheme="minorEastAsia" w:hAnsi="Sylfaen" w:cs="Times New Roman"/>
          <w:b/>
          <w:bCs/>
          <w:color w:val="000000"/>
          <w:lang w:eastAsia="ja-JP"/>
        </w:rPr>
        <w:t xml:space="preserve">MoBSE fixes the amount of school grant each school receives based on a </w:t>
      </w:r>
      <w:r w:rsidR="00797311" w:rsidRPr="00477D8F">
        <w:rPr>
          <w:rFonts w:ascii="Sylfaen" w:eastAsiaTheme="minorEastAsia" w:hAnsi="Sylfaen" w:cs="Times New Roman"/>
          <w:b/>
          <w:bCs/>
          <w:color w:val="000000"/>
          <w:lang w:eastAsia="ja-JP"/>
        </w:rPr>
        <w:t>‘</w:t>
      </w:r>
      <w:r w:rsidR="00DF461C" w:rsidRPr="00477D8F">
        <w:rPr>
          <w:rFonts w:ascii="Sylfaen" w:eastAsiaTheme="minorEastAsia" w:hAnsi="Sylfaen" w:cs="Times New Roman"/>
          <w:b/>
          <w:bCs/>
          <w:color w:val="000000"/>
          <w:lang w:eastAsia="ja-JP"/>
        </w:rPr>
        <w:t>per student</w:t>
      </w:r>
      <w:r w:rsidR="00797311" w:rsidRPr="00477D8F">
        <w:rPr>
          <w:rFonts w:ascii="Sylfaen" w:eastAsiaTheme="minorEastAsia" w:hAnsi="Sylfaen" w:cs="Times New Roman"/>
          <w:b/>
          <w:bCs/>
          <w:color w:val="000000"/>
          <w:lang w:eastAsia="ja-JP"/>
        </w:rPr>
        <w:t>’</w:t>
      </w:r>
      <w:r w:rsidR="00DF461C" w:rsidRPr="00477D8F">
        <w:rPr>
          <w:rFonts w:ascii="Sylfaen" w:eastAsiaTheme="minorEastAsia" w:hAnsi="Sylfaen" w:cs="Times New Roman"/>
          <w:b/>
          <w:bCs/>
          <w:color w:val="000000"/>
          <w:lang w:eastAsia="ja-JP"/>
        </w:rPr>
        <w:t xml:space="preserve"> formula.</w:t>
      </w:r>
      <w:r w:rsidR="00272695" w:rsidRPr="00477D8F">
        <w:rPr>
          <w:rFonts w:ascii="Sylfaen" w:eastAsiaTheme="minorEastAsia" w:hAnsi="Sylfaen" w:cs="Times New Roman"/>
          <w:bCs/>
          <w:color w:val="000000"/>
          <w:lang w:eastAsia="ja-JP"/>
        </w:rPr>
        <w:t xml:space="preserve"> </w:t>
      </w:r>
      <w:r w:rsidR="00DF461C" w:rsidRPr="00477D8F">
        <w:rPr>
          <w:rFonts w:ascii="Sylfaen" w:eastAsiaTheme="minorEastAsia" w:hAnsi="Sylfaen" w:cs="Times New Roman"/>
          <w:bCs/>
          <w:color w:val="000000"/>
          <w:lang w:eastAsia="ja-JP"/>
        </w:rPr>
        <w:t>Each school management committee develops its school improvement plan (SIP), which dictates how the school grant will be used.</w:t>
      </w:r>
      <w:r w:rsidR="00272695" w:rsidRPr="00477D8F">
        <w:rPr>
          <w:rFonts w:ascii="Sylfaen" w:eastAsiaTheme="minorEastAsia" w:hAnsi="Sylfaen" w:cs="Times New Roman"/>
          <w:bCs/>
          <w:color w:val="000000"/>
          <w:lang w:eastAsia="ja-JP"/>
        </w:rPr>
        <w:t xml:space="preserve"> </w:t>
      </w:r>
      <w:r w:rsidR="00DF461C" w:rsidRPr="00477D8F">
        <w:rPr>
          <w:rFonts w:ascii="Sylfaen" w:eastAsiaTheme="minorEastAsia" w:hAnsi="Sylfaen" w:cs="Times New Roman"/>
          <w:bCs/>
          <w:color w:val="000000"/>
          <w:lang w:eastAsia="ja-JP"/>
        </w:rPr>
        <w:t xml:space="preserve">The SIP is approved by the REDs and the Standards and Quality Assurance Directorate of the MoBSE. </w:t>
      </w:r>
    </w:p>
    <w:p w14:paraId="1C88C12D" w14:textId="5CCF9FBE" w:rsidR="00DF461C" w:rsidRPr="00477D8F" w:rsidRDefault="00DF461C" w:rsidP="00DF461C">
      <w:pPr>
        <w:pStyle w:val="ListParagraph"/>
        <w:numPr>
          <w:ilvl w:val="0"/>
          <w:numId w:val="24"/>
        </w:numPr>
        <w:autoSpaceDE w:val="0"/>
        <w:autoSpaceDN w:val="0"/>
        <w:adjustRightInd w:val="0"/>
        <w:spacing w:before="240" w:after="0" w:line="240" w:lineRule="auto"/>
        <w:ind w:left="0" w:firstLine="0"/>
        <w:contextualSpacing w:val="0"/>
        <w:jc w:val="both"/>
        <w:rPr>
          <w:rFonts w:ascii="Sylfaen" w:eastAsia="Times New Roman" w:hAnsi="Sylfaen"/>
        </w:rPr>
      </w:pPr>
      <w:bookmarkStart w:id="94" w:name="_Toc484793341"/>
      <w:r w:rsidRPr="00477D8F">
        <w:rPr>
          <w:rFonts w:ascii="Sylfaen" w:eastAsia="Times New Roman" w:hAnsi="Sylfaen"/>
          <w:b/>
        </w:rPr>
        <w:t>The MoFEA has introduced the Medium</w:t>
      </w:r>
      <w:r w:rsidR="00DF06E3" w:rsidRPr="00477D8F">
        <w:rPr>
          <w:rFonts w:ascii="Sylfaen" w:eastAsia="Times New Roman" w:hAnsi="Sylfaen"/>
          <w:b/>
        </w:rPr>
        <w:t>-</w:t>
      </w:r>
      <w:r w:rsidRPr="00477D8F">
        <w:rPr>
          <w:rFonts w:ascii="Sylfaen" w:eastAsia="Times New Roman" w:hAnsi="Sylfaen"/>
          <w:b/>
        </w:rPr>
        <w:t xml:space="preserve">Term Expenditure Framework (MTEF) in most ministries including </w:t>
      </w:r>
      <w:r w:rsidR="00164F47" w:rsidRPr="00477D8F">
        <w:rPr>
          <w:rFonts w:ascii="Sylfaen" w:eastAsia="Times New Roman" w:hAnsi="Sylfaen"/>
          <w:b/>
        </w:rPr>
        <w:t xml:space="preserve">the </w:t>
      </w:r>
      <w:r w:rsidRPr="00477D8F">
        <w:rPr>
          <w:rFonts w:ascii="Sylfaen" w:eastAsia="Times New Roman" w:hAnsi="Sylfaen"/>
          <w:b/>
        </w:rPr>
        <w:t>MoBSE, even though it has not yet been operationalized.</w:t>
      </w:r>
      <w:r w:rsidRPr="00477D8F">
        <w:rPr>
          <w:rFonts w:ascii="Sylfaen" w:eastAsia="Times New Roman" w:hAnsi="Sylfaen"/>
        </w:rPr>
        <w:t xml:space="preserve"> </w:t>
      </w:r>
      <w:r w:rsidR="00164F47" w:rsidRPr="00477D8F">
        <w:rPr>
          <w:rFonts w:ascii="Sylfaen" w:eastAsia="Times New Roman" w:hAnsi="Sylfaen"/>
        </w:rPr>
        <w:t xml:space="preserve">The </w:t>
      </w:r>
      <w:r w:rsidRPr="00477D8F">
        <w:rPr>
          <w:rFonts w:ascii="Sylfaen" w:eastAsia="Times New Roman" w:hAnsi="Sylfaen"/>
        </w:rPr>
        <w:t>MoFEA has five directorates</w:t>
      </w:r>
      <w:r w:rsidR="00000017" w:rsidRPr="00477D8F">
        <w:rPr>
          <w:rFonts w:ascii="Sylfaen" w:eastAsia="Times New Roman" w:hAnsi="Sylfaen"/>
        </w:rPr>
        <w:t>:</w:t>
      </w:r>
      <w:r w:rsidRPr="00477D8F">
        <w:rPr>
          <w:rFonts w:ascii="Sylfaen" w:eastAsia="Times New Roman" w:hAnsi="Sylfaen"/>
        </w:rPr>
        <w:t xml:space="preserve"> </w:t>
      </w:r>
      <w:r w:rsidR="006F7999" w:rsidRPr="00477D8F">
        <w:rPr>
          <w:rFonts w:ascii="Sylfaen" w:eastAsia="Times New Roman" w:hAnsi="Sylfaen"/>
        </w:rPr>
        <w:t>t</w:t>
      </w:r>
      <w:r w:rsidRPr="00477D8F">
        <w:rPr>
          <w:rFonts w:ascii="Sylfaen" w:eastAsia="Times New Roman" w:hAnsi="Sylfaen"/>
        </w:rPr>
        <w:t>he National Treasury, Budget Management, Aid Coordination, Debt Management, and Economic Management and Planning. The MTEF is a budgeting instrument through which medium</w:t>
      </w:r>
      <w:r w:rsidR="00164F47" w:rsidRPr="00477D8F">
        <w:rPr>
          <w:rFonts w:ascii="Sylfaen" w:eastAsia="Times New Roman" w:hAnsi="Sylfaen"/>
        </w:rPr>
        <w:t>-</w:t>
      </w:r>
      <w:r w:rsidRPr="00477D8F">
        <w:rPr>
          <w:rFonts w:ascii="Sylfaen" w:eastAsia="Times New Roman" w:hAnsi="Sylfaen"/>
        </w:rPr>
        <w:t xml:space="preserve">term sector plans and strategies will be translated into concrete budget allocations, whereas the current budgeting system captures only a single year, with a line-item budget focus. </w:t>
      </w:r>
    </w:p>
    <w:p w14:paraId="4567902C" w14:textId="77777777" w:rsidR="00DF461C" w:rsidRPr="00477D8F" w:rsidRDefault="00DF461C" w:rsidP="009D4537">
      <w:pPr>
        <w:pStyle w:val="Heading2"/>
        <w:rPr>
          <w:lang w:eastAsia="ja-JP"/>
        </w:rPr>
      </w:pPr>
      <w:bookmarkStart w:id="95" w:name="_Toc484724106"/>
      <w:bookmarkStart w:id="96" w:name="_Toc497171863"/>
      <w:r w:rsidRPr="00477D8F">
        <w:rPr>
          <w:lang w:eastAsia="ja-JP"/>
        </w:rPr>
        <w:t>Execution of salary payments</w:t>
      </w:r>
      <w:bookmarkEnd w:id="95"/>
      <w:bookmarkEnd w:id="96"/>
    </w:p>
    <w:p w14:paraId="37F5E993" w14:textId="369B3C3C" w:rsidR="00DF461C" w:rsidRPr="00477D8F" w:rsidRDefault="00DF461C" w:rsidP="00DF461C">
      <w:pPr>
        <w:pStyle w:val="ListParagraph"/>
        <w:numPr>
          <w:ilvl w:val="0"/>
          <w:numId w:val="24"/>
        </w:numPr>
        <w:autoSpaceDE w:val="0"/>
        <w:autoSpaceDN w:val="0"/>
        <w:adjustRightInd w:val="0"/>
        <w:spacing w:before="240" w:after="0" w:line="240" w:lineRule="auto"/>
        <w:ind w:left="0" w:firstLine="0"/>
        <w:contextualSpacing w:val="0"/>
        <w:jc w:val="both"/>
        <w:rPr>
          <w:rFonts w:ascii="Sylfaen" w:eastAsia="Times New Roman" w:hAnsi="Sylfaen"/>
        </w:rPr>
      </w:pPr>
      <w:r w:rsidRPr="00477D8F">
        <w:rPr>
          <w:rFonts w:ascii="Sylfaen" w:eastAsia="Times New Roman" w:hAnsi="Sylfaen"/>
          <w:b/>
        </w:rPr>
        <w:t>The salary payments are carried out by the National Treasury Directorate of the MoFEA, upon employment verification.</w:t>
      </w:r>
      <w:r w:rsidRPr="00477D8F">
        <w:rPr>
          <w:rFonts w:ascii="Sylfaen" w:eastAsia="Times New Roman" w:hAnsi="Sylfaen"/>
        </w:rPr>
        <w:t xml:space="preserve"> The MoBSE provides the employment list to the MoFEA every month through the Integrated Financial Management Information System.</w:t>
      </w:r>
      <w:r w:rsidR="00272695" w:rsidRPr="00477D8F">
        <w:rPr>
          <w:rFonts w:ascii="Sylfaen" w:eastAsia="Times New Roman" w:hAnsi="Sylfaen"/>
        </w:rPr>
        <w:t xml:space="preserve"> </w:t>
      </w:r>
      <w:r w:rsidRPr="00477D8F">
        <w:rPr>
          <w:rFonts w:ascii="Sylfaen" w:eastAsia="Times New Roman" w:hAnsi="Sylfaen"/>
        </w:rPr>
        <w:t>Based on the list, the National Treasury sends the funds to the Central Bank and the Central Bank makes a direct payment into the bank account of each employee.</w:t>
      </w:r>
      <w:r w:rsidR="00272695" w:rsidRPr="00477D8F">
        <w:rPr>
          <w:rFonts w:ascii="Sylfaen" w:eastAsia="Times New Roman" w:hAnsi="Sylfaen"/>
        </w:rPr>
        <w:t xml:space="preserve"> </w:t>
      </w:r>
      <w:r w:rsidRPr="00477D8F">
        <w:rPr>
          <w:rFonts w:ascii="Sylfaen" w:eastAsia="Times New Roman" w:hAnsi="Sylfaen"/>
        </w:rPr>
        <w:t xml:space="preserve">The teachers and staff who do not have access to banks as well as first-year teachers who are yet to open a bank account are paid through </w:t>
      </w:r>
      <w:r w:rsidR="00E80A69" w:rsidRPr="00477D8F">
        <w:rPr>
          <w:rFonts w:ascii="Sylfaen" w:eastAsia="Times New Roman" w:hAnsi="Sylfaen"/>
        </w:rPr>
        <w:t>The Gambia</w:t>
      </w:r>
      <w:r w:rsidRPr="00477D8F">
        <w:rPr>
          <w:rFonts w:ascii="Sylfaen" w:eastAsia="Times New Roman" w:hAnsi="Sylfaen"/>
        </w:rPr>
        <w:t xml:space="preserve"> Teachers’ Union Co-operative Credit Union. </w:t>
      </w:r>
    </w:p>
    <w:p w14:paraId="700E815E" w14:textId="77777777" w:rsidR="00DF461C" w:rsidRPr="00477D8F" w:rsidRDefault="00DF461C" w:rsidP="009D4537">
      <w:pPr>
        <w:pStyle w:val="Heading2"/>
        <w:rPr>
          <w:lang w:eastAsia="ja-JP"/>
        </w:rPr>
      </w:pPr>
      <w:bookmarkStart w:id="97" w:name="_Toc497171864"/>
      <w:r w:rsidRPr="00477D8F">
        <w:rPr>
          <w:lang w:eastAsia="ja-JP"/>
        </w:rPr>
        <w:t>Human resource management</w:t>
      </w:r>
      <w:bookmarkEnd w:id="97"/>
    </w:p>
    <w:p w14:paraId="7785F299" w14:textId="442BDB3E" w:rsidR="00DF461C" w:rsidRPr="00477D8F" w:rsidRDefault="00DF461C" w:rsidP="00DF461C">
      <w:pPr>
        <w:pStyle w:val="ListParagraph"/>
        <w:numPr>
          <w:ilvl w:val="0"/>
          <w:numId w:val="24"/>
        </w:numPr>
        <w:autoSpaceDE w:val="0"/>
        <w:autoSpaceDN w:val="0"/>
        <w:adjustRightInd w:val="0"/>
        <w:spacing w:before="240" w:after="0" w:line="240" w:lineRule="auto"/>
        <w:ind w:left="0" w:firstLine="0"/>
        <w:jc w:val="both"/>
        <w:rPr>
          <w:rFonts w:ascii="Sylfaen" w:eastAsia="Times New Roman" w:hAnsi="Sylfaen"/>
        </w:rPr>
      </w:pPr>
      <w:r w:rsidRPr="00477D8F">
        <w:rPr>
          <w:rFonts w:ascii="Sylfaen" w:eastAsia="Times New Roman" w:hAnsi="Sylfaen"/>
          <w:b/>
        </w:rPr>
        <w:t xml:space="preserve">The RED monitors the teachers’ deployment as well as absences and leave. </w:t>
      </w:r>
      <w:r w:rsidRPr="00477D8F">
        <w:rPr>
          <w:rFonts w:ascii="Sylfaen" w:eastAsia="Times New Roman" w:hAnsi="Sylfaen"/>
        </w:rPr>
        <w:t xml:space="preserve">There are six REDs in The Gambia. Each RED is tasked with sending a list of the needed teachers for the following year and participating in the annual posting exercise for the existing teachers. Additionally, </w:t>
      </w:r>
      <w:r w:rsidR="00A3502F" w:rsidRPr="00477D8F">
        <w:rPr>
          <w:rFonts w:ascii="Sylfaen" w:eastAsia="Times New Roman" w:hAnsi="Sylfaen"/>
        </w:rPr>
        <w:t xml:space="preserve">the </w:t>
      </w:r>
      <w:r w:rsidRPr="00477D8F">
        <w:rPr>
          <w:rFonts w:ascii="Sylfaen" w:eastAsia="Times New Roman" w:hAnsi="Sylfaen"/>
        </w:rPr>
        <w:t>MoBSE sends a circular requesting for an update about the nominal role</w:t>
      </w:r>
      <w:r w:rsidR="00B204B9" w:rsidRPr="00477D8F">
        <w:rPr>
          <w:rFonts w:ascii="Sylfaen" w:eastAsia="Times New Roman" w:hAnsi="Sylfaen"/>
        </w:rPr>
        <w:t>,</w:t>
      </w:r>
      <w:r w:rsidRPr="00477D8F">
        <w:rPr>
          <w:rFonts w:ascii="Sylfaen" w:eastAsia="Times New Roman" w:hAnsi="Sylfaen"/>
        </w:rPr>
        <w:t xml:space="preserve"> which each RED </w:t>
      </w:r>
      <w:r w:rsidR="0048400E" w:rsidRPr="00477D8F">
        <w:rPr>
          <w:rFonts w:ascii="Sylfaen" w:eastAsia="Times New Roman" w:hAnsi="Sylfaen"/>
        </w:rPr>
        <w:t>update</w:t>
      </w:r>
      <w:r w:rsidRPr="00477D8F">
        <w:rPr>
          <w:rFonts w:ascii="Sylfaen" w:eastAsia="Times New Roman" w:hAnsi="Sylfaen"/>
        </w:rPr>
        <w:t xml:space="preserve"> with teachers’ current information and submits. Teachers’ absences or leave without authorization are reported by the head teacher to the assigned RED and then the concerned RED reports it to the MoBSE. </w:t>
      </w:r>
    </w:p>
    <w:p w14:paraId="68B8D6BC" w14:textId="447BADBF" w:rsidR="00DF461C" w:rsidRPr="00477D8F" w:rsidRDefault="00DF461C" w:rsidP="00DF461C">
      <w:pPr>
        <w:pStyle w:val="ListParagraph"/>
        <w:numPr>
          <w:ilvl w:val="0"/>
          <w:numId w:val="24"/>
        </w:numPr>
        <w:autoSpaceDE w:val="0"/>
        <w:autoSpaceDN w:val="0"/>
        <w:adjustRightInd w:val="0"/>
        <w:spacing w:before="240" w:after="0" w:line="240" w:lineRule="auto"/>
        <w:ind w:left="0" w:firstLine="0"/>
        <w:contextualSpacing w:val="0"/>
        <w:jc w:val="both"/>
        <w:rPr>
          <w:rFonts w:ascii="Sylfaen" w:eastAsia="Times New Roman" w:hAnsi="Sylfaen"/>
        </w:rPr>
      </w:pPr>
      <w:r w:rsidRPr="00477D8F">
        <w:rPr>
          <w:rFonts w:ascii="Sylfaen" w:eastAsia="Times New Roman" w:hAnsi="Sylfaen"/>
          <w:b/>
        </w:rPr>
        <w:t>Each grant-aided school has an agreed number of staff, which is negotiated with the MoBSE Planning Directorate each year.</w:t>
      </w:r>
      <w:r w:rsidR="00272695" w:rsidRPr="00477D8F">
        <w:rPr>
          <w:rFonts w:ascii="Sylfaen" w:eastAsia="Times New Roman" w:hAnsi="Sylfaen"/>
        </w:rPr>
        <w:t xml:space="preserve"> </w:t>
      </w:r>
      <w:r w:rsidRPr="00477D8F">
        <w:rPr>
          <w:rFonts w:ascii="Sylfaen" w:eastAsia="Times New Roman" w:hAnsi="Sylfaen"/>
        </w:rPr>
        <w:t>The subventions given to the grant-aided schools are based on the agreed posts and the qualifications and the seniority of each teacher and tend to be similar year over year. These schools are supervised by their individual school board and therefore they are able to respond quickly to teachers’ absenteeism</w:t>
      </w:r>
      <w:r w:rsidR="001C4CE2" w:rsidRPr="00477D8F">
        <w:rPr>
          <w:rFonts w:ascii="Sylfaen" w:eastAsia="Times New Roman" w:hAnsi="Sylfaen"/>
        </w:rPr>
        <w:t>,</w:t>
      </w:r>
      <w:r w:rsidRPr="00477D8F">
        <w:rPr>
          <w:rFonts w:ascii="Sylfaen" w:eastAsia="Times New Roman" w:hAnsi="Sylfaen"/>
        </w:rPr>
        <w:t xml:space="preserve"> which has helped improve the management of the schools. As a result, learning outcomes in the grant-aided schools tend to be better than the government schools on average.</w:t>
      </w:r>
    </w:p>
    <w:p w14:paraId="1612CD94" w14:textId="57C54BB5" w:rsidR="00DF461C" w:rsidRPr="00477D8F" w:rsidRDefault="001C4CE2" w:rsidP="00DF461C">
      <w:pPr>
        <w:pStyle w:val="ListParagraph"/>
        <w:numPr>
          <w:ilvl w:val="0"/>
          <w:numId w:val="24"/>
        </w:numPr>
        <w:autoSpaceDE w:val="0"/>
        <w:autoSpaceDN w:val="0"/>
        <w:adjustRightInd w:val="0"/>
        <w:spacing w:before="240" w:after="0" w:line="240" w:lineRule="auto"/>
        <w:ind w:left="0" w:firstLine="0"/>
        <w:contextualSpacing w:val="0"/>
        <w:jc w:val="both"/>
        <w:rPr>
          <w:rFonts w:ascii="Sylfaen" w:eastAsia="Times New Roman" w:hAnsi="Sylfaen"/>
        </w:rPr>
      </w:pPr>
      <w:r w:rsidRPr="00477D8F">
        <w:rPr>
          <w:rFonts w:ascii="Sylfaen" w:eastAsia="Times New Roman" w:hAnsi="Sylfaen"/>
          <w:b/>
        </w:rPr>
        <w:lastRenderedPageBreak/>
        <w:t xml:space="preserve">The </w:t>
      </w:r>
      <w:r w:rsidR="00DF461C" w:rsidRPr="00477D8F">
        <w:rPr>
          <w:rFonts w:ascii="Sylfaen" w:eastAsia="Times New Roman" w:hAnsi="Sylfaen"/>
          <w:b/>
        </w:rPr>
        <w:t>MoBSE estimates the number of teachers to be enrolled in The Gambia College based on the MoBSE Planning Directorate’s projections and holds discussions every other month at the Coordinating Committee Meeting with various education stakeholders.</w:t>
      </w:r>
      <w:r w:rsidR="00DF461C" w:rsidRPr="00477D8F">
        <w:rPr>
          <w:rFonts w:ascii="Sylfaen" w:eastAsia="Times New Roman" w:hAnsi="Sylfaen"/>
        </w:rPr>
        <w:t xml:space="preserve"> Upon assessing the number of teachers</w:t>
      </w:r>
      <w:r w:rsidR="00EC5989" w:rsidRPr="00477D8F">
        <w:rPr>
          <w:rFonts w:ascii="Sylfaen" w:eastAsia="Times New Roman" w:hAnsi="Sylfaen"/>
        </w:rPr>
        <w:t>, the</w:t>
      </w:r>
      <w:r w:rsidR="00DF461C" w:rsidRPr="00477D8F">
        <w:rPr>
          <w:rFonts w:ascii="Sylfaen" w:eastAsia="Times New Roman" w:hAnsi="Sylfaen"/>
        </w:rPr>
        <w:t xml:space="preserve"> MoBSE informs The Gambia College the number of teachers to enroll in each course and subject. This number has to be carefully determined because the future teaching positions are guaranteed </w:t>
      </w:r>
      <w:r w:rsidR="00841E2B" w:rsidRPr="00477D8F">
        <w:rPr>
          <w:rFonts w:ascii="Sylfaen" w:eastAsia="Times New Roman" w:hAnsi="Sylfaen"/>
        </w:rPr>
        <w:t xml:space="preserve">for </w:t>
      </w:r>
      <w:r w:rsidR="00DF461C" w:rsidRPr="00477D8F">
        <w:rPr>
          <w:rFonts w:ascii="Sylfaen" w:eastAsia="Times New Roman" w:hAnsi="Sylfaen"/>
        </w:rPr>
        <w:t xml:space="preserve">those who graduate from The Gambia College’s education department after passing the examinations. </w:t>
      </w:r>
    </w:p>
    <w:p w14:paraId="3C203E1B" w14:textId="1423E518" w:rsidR="004732F8" w:rsidRPr="00477D8F" w:rsidRDefault="00DF461C" w:rsidP="00C8009A">
      <w:pPr>
        <w:pStyle w:val="ListParagraph"/>
        <w:numPr>
          <w:ilvl w:val="0"/>
          <w:numId w:val="24"/>
        </w:numPr>
        <w:autoSpaceDE w:val="0"/>
        <w:autoSpaceDN w:val="0"/>
        <w:adjustRightInd w:val="0"/>
        <w:spacing w:before="240" w:after="240" w:line="240" w:lineRule="auto"/>
        <w:ind w:left="0" w:firstLine="0"/>
        <w:contextualSpacing w:val="0"/>
        <w:jc w:val="both"/>
        <w:rPr>
          <w:rFonts w:ascii="Sylfaen" w:eastAsiaTheme="minorEastAsia" w:hAnsi="Sylfaen" w:cs="Times New Roman"/>
          <w:bCs/>
          <w:color w:val="000000"/>
          <w:lang w:eastAsia="ja-JP"/>
        </w:rPr>
      </w:pPr>
      <w:r w:rsidRPr="00477D8F">
        <w:rPr>
          <w:rFonts w:ascii="Sylfaen" w:eastAsia="Times New Roman" w:hAnsi="Sylfaen"/>
          <w:b/>
        </w:rPr>
        <w:t>Lecturers in institutions such as the UTG and The Gambia College are directly employed by the institution and therefore they are not discussed with the PMO.</w:t>
      </w:r>
      <w:r w:rsidR="00272695" w:rsidRPr="00477D8F">
        <w:rPr>
          <w:rFonts w:ascii="Sylfaen" w:eastAsia="Times New Roman" w:hAnsi="Sylfaen"/>
        </w:rPr>
        <w:t xml:space="preserve"> </w:t>
      </w:r>
      <w:r w:rsidRPr="00477D8F">
        <w:rPr>
          <w:rFonts w:ascii="Sylfaen" w:eastAsia="Times New Roman" w:hAnsi="Sylfaen"/>
        </w:rPr>
        <w:t>These institutions decide to employ lecturers from their own funds or subventions received by the MoHERST.</w:t>
      </w:r>
      <w:r w:rsidR="00272695" w:rsidRPr="00477D8F">
        <w:rPr>
          <w:rFonts w:ascii="Sylfaen" w:eastAsia="Times New Roman" w:hAnsi="Sylfaen"/>
        </w:rPr>
        <w:t xml:space="preserve"> </w:t>
      </w:r>
      <w:r w:rsidRPr="00477D8F">
        <w:rPr>
          <w:rFonts w:ascii="Sylfaen" w:eastAsia="Times New Roman" w:hAnsi="Sylfaen"/>
        </w:rPr>
        <w:t>Even though the lecturers are considered as public staff, they are not civil servants and, therefore, are not on the government payroll.</w:t>
      </w:r>
      <w:bookmarkEnd w:id="94"/>
    </w:p>
    <w:tbl>
      <w:tblPr>
        <w:tblStyle w:val="TableGrid11"/>
        <w:tblW w:w="9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2C2BF7" w:rsidRPr="00477D8F" w14:paraId="033352A2" w14:textId="77777777" w:rsidTr="00503F22">
        <w:trPr>
          <w:trHeight w:val="17"/>
        </w:trPr>
        <w:tc>
          <w:tcPr>
            <w:tcW w:w="9281" w:type="dxa"/>
            <w:hideMark/>
          </w:tcPr>
          <w:p w14:paraId="4B15177F" w14:textId="41A38A1D" w:rsidR="002C2BF7" w:rsidRPr="00477D8F" w:rsidRDefault="002C2BF7" w:rsidP="00503F22">
            <w:pPr>
              <w:pStyle w:val="Caption1"/>
            </w:pPr>
            <w:bookmarkStart w:id="98" w:name="_Toc497171785"/>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15</w:t>
            </w:r>
            <w:r w:rsidR="002E5BDF" w:rsidRPr="00477D8F">
              <w:rPr>
                <w:noProof/>
              </w:rPr>
              <w:fldChar w:fldCharType="end"/>
            </w:r>
            <w:r w:rsidRPr="00477D8F">
              <w:t>:</w:t>
            </w:r>
            <w:r w:rsidR="00272695" w:rsidRPr="00477D8F">
              <w:t xml:space="preserve"> </w:t>
            </w:r>
            <w:r w:rsidRPr="00477D8F">
              <w:rPr>
                <w:rFonts w:eastAsiaTheme="minorEastAsia"/>
                <w:lang w:eastAsia="ja-JP"/>
              </w:rPr>
              <w:t>Budget process and flow</w:t>
            </w:r>
            <w:bookmarkEnd w:id="98"/>
          </w:p>
        </w:tc>
      </w:tr>
      <w:tr w:rsidR="002C2BF7" w:rsidRPr="00477D8F" w14:paraId="0B178992" w14:textId="77777777" w:rsidTr="00503F22">
        <w:trPr>
          <w:trHeight w:val="17"/>
        </w:trPr>
        <w:tc>
          <w:tcPr>
            <w:tcW w:w="9281" w:type="dxa"/>
            <w:hideMark/>
          </w:tcPr>
          <w:p w14:paraId="62F5CF1D" w14:textId="5CE5A2B8" w:rsidR="002C2BF7" w:rsidRPr="00477D8F" w:rsidRDefault="006830FD" w:rsidP="00503F22">
            <w:pPr>
              <w:ind w:hanging="113"/>
              <w:jc w:val="both"/>
              <w:rPr>
                <w:rFonts w:ascii="Sylfaen" w:hAnsi="Sylfaen" w:cs="Times New Roman"/>
                <w:bCs/>
              </w:rPr>
            </w:pPr>
            <w:r w:rsidRPr="00477D8F">
              <w:rPr>
                <w:rFonts w:ascii="Sylfaen" w:hAnsi="Sylfaen" w:cs="Times New Roman"/>
                <w:bCs/>
                <w:noProof/>
              </w:rPr>
              <w:drawing>
                <wp:inline distT="0" distB="0" distL="0" distR="0" wp14:anchorId="75D431EB" wp14:editId="5BD9E927">
                  <wp:extent cx="5897050" cy="5406887"/>
                  <wp:effectExtent l="0" t="0" r="8890" b="381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03400" cy="5412710"/>
                          </a:xfrm>
                          <a:prstGeom prst="rect">
                            <a:avLst/>
                          </a:prstGeom>
                          <a:noFill/>
                          <a:ln>
                            <a:noFill/>
                          </a:ln>
                        </pic:spPr>
                      </pic:pic>
                    </a:graphicData>
                  </a:graphic>
                </wp:inline>
              </w:drawing>
            </w:r>
          </w:p>
        </w:tc>
      </w:tr>
      <w:tr w:rsidR="002C2BF7" w:rsidRPr="00477D8F" w14:paraId="65F746BC" w14:textId="77777777" w:rsidTr="00503F22">
        <w:trPr>
          <w:trHeight w:val="17"/>
        </w:trPr>
        <w:tc>
          <w:tcPr>
            <w:tcW w:w="9281" w:type="dxa"/>
            <w:hideMark/>
          </w:tcPr>
          <w:p w14:paraId="21055E16" w14:textId="68FBB08A" w:rsidR="002C2BF7" w:rsidRPr="00477D8F" w:rsidRDefault="002C2BF7" w:rsidP="00503F22">
            <w:pPr>
              <w:pStyle w:val="Source"/>
            </w:pPr>
            <w:r w:rsidRPr="00477D8F">
              <w:rPr>
                <w:i/>
              </w:rPr>
              <w:t>Source:</w:t>
            </w:r>
            <w:r w:rsidRPr="00477D8F">
              <w:t xml:space="preserve"> </w:t>
            </w:r>
            <w:r w:rsidR="006830FD" w:rsidRPr="00477D8F">
              <w:t>Author</w:t>
            </w:r>
            <w:r w:rsidR="00B3677D" w:rsidRPr="00477D8F">
              <w:t>’s</w:t>
            </w:r>
            <w:r w:rsidR="006830FD" w:rsidRPr="00477D8F">
              <w:t xml:space="preserve"> workshop wit</w:t>
            </w:r>
            <w:r w:rsidR="009D4537" w:rsidRPr="00477D8F">
              <w:t>h the MoFEA, MoHERST</w:t>
            </w:r>
            <w:r w:rsidR="00841E2B" w:rsidRPr="00477D8F">
              <w:t>,</w:t>
            </w:r>
            <w:r w:rsidR="009D4537" w:rsidRPr="00477D8F">
              <w:t xml:space="preserve"> and MoBSE.</w:t>
            </w:r>
          </w:p>
        </w:tc>
      </w:tr>
    </w:tbl>
    <w:p w14:paraId="7970D2F4" w14:textId="1AB09340" w:rsidR="00DF461C" w:rsidRPr="00477D8F" w:rsidRDefault="00DF461C" w:rsidP="002A7B54">
      <w:pPr>
        <w:pStyle w:val="Heading2"/>
        <w:rPr>
          <w:lang w:eastAsia="ja-JP"/>
        </w:rPr>
      </w:pPr>
      <w:bookmarkStart w:id="99" w:name="_Toc497171865"/>
      <w:r w:rsidRPr="00477D8F">
        <w:rPr>
          <w:lang w:eastAsia="ja-JP"/>
        </w:rPr>
        <w:lastRenderedPageBreak/>
        <w:t xml:space="preserve">Education sector </w:t>
      </w:r>
      <w:r w:rsidR="00CE1D38" w:rsidRPr="00477D8F">
        <w:rPr>
          <w:lang w:eastAsia="ja-JP"/>
        </w:rPr>
        <w:t>PFM</w:t>
      </w:r>
      <w:bookmarkEnd w:id="99"/>
    </w:p>
    <w:p w14:paraId="37EA694A" w14:textId="1EBB3BD1" w:rsidR="00DF461C" w:rsidRPr="00477D8F" w:rsidRDefault="00B3677D" w:rsidP="00DF461C">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 xml:space="preserve">A </w:t>
      </w:r>
      <w:r w:rsidR="00DF461C" w:rsidRPr="00477D8F">
        <w:rPr>
          <w:rFonts w:ascii="Sylfaen" w:hAnsi="Sylfaen"/>
        </w:rPr>
        <w:t>Public Expenditure and Financial Accountability (PEFA)</w:t>
      </w:r>
      <w:r w:rsidR="0022085D" w:rsidRPr="00477D8F">
        <w:rPr>
          <w:rStyle w:val="FootnoteReference"/>
          <w:rFonts w:ascii="Sylfaen" w:hAnsi="Sylfaen"/>
        </w:rPr>
        <w:footnoteReference w:id="16"/>
      </w:r>
      <w:r w:rsidR="00DF461C" w:rsidRPr="00477D8F">
        <w:rPr>
          <w:rFonts w:ascii="Sylfaen" w:hAnsi="Sylfaen"/>
        </w:rPr>
        <w:t xml:space="preserve"> </w:t>
      </w:r>
      <w:r w:rsidRPr="00477D8F">
        <w:rPr>
          <w:rFonts w:ascii="Sylfaen" w:hAnsi="Sylfaen"/>
        </w:rPr>
        <w:t xml:space="preserve">assessment </w:t>
      </w:r>
      <w:r w:rsidR="00DF461C" w:rsidRPr="00477D8F">
        <w:rPr>
          <w:rFonts w:ascii="Sylfaen" w:hAnsi="Sylfaen"/>
        </w:rPr>
        <w:t>was conducted in 2010 and 2014 in The Gambia.</w:t>
      </w:r>
      <w:r w:rsidR="00272695" w:rsidRPr="00477D8F">
        <w:rPr>
          <w:rFonts w:ascii="Sylfaen" w:hAnsi="Sylfaen"/>
        </w:rPr>
        <w:t xml:space="preserve"> </w:t>
      </w:r>
      <w:r w:rsidR="00DF461C" w:rsidRPr="00477D8F">
        <w:rPr>
          <w:rFonts w:ascii="Sylfaen" w:hAnsi="Sylfaen"/>
        </w:rPr>
        <w:t>Some of the important indicators that are relevant to the education sector include policy-based budgeting, predictability and control in budget execution, accounting and reporting, external security and audit, and management of donors.</w:t>
      </w:r>
      <w:r w:rsidR="004732F8" w:rsidRPr="00477D8F">
        <w:rPr>
          <w:rFonts w:ascii="Sylfaen" w:hAnsi="Sylfaen"/>
        </w:rPr>
        <w:t xml:space="preserve"> </w:t>
      </w:r>
      <w:r w:rsidR="00DF461C" w:rsidRPr="00477D8F">
        <w:rPr>
          <w:rFonts w:ascii="Sylfaen" w:hAnsi="Sylfaen"/>
        </w:rPr>
        <w:t>The education sector’s strengths include, for example, policy</w:t>
      </w:r>
      <w:r w:rsidR="00A17FC9" w:rsidRPr="00477D8F">
        <w:rPr>
          <w:rFonts w:ascii="Sylfaen" w:hAnsi="Sylfaen"/>
        </w:rPr>
        <w:t>-</w:t>
      </w:r>
      <w:r w:rsidR="00DF461C" w:rsidRPr="00477D8F">
        <w:rPr>
          <w:rFonts w:ascii="Sylfaen" w:hAnsi="Sylfaen"/>
        </w:rPr>
        <w:t>based budgeting.</w:t>
      </w:r>
      <w:r w:rsidR="00272695" w:rsidRPr="00477D8F">
        <w:rPr>
          <w:rFonts w:ascii="Sylfaen" w:hAnsi="Sylfaen"/>
        </w:rPr>
        <w:t xml:space="preserve"> </w:t>
      </w:r>
      <w:r w:rsidR="00DF461C" w:rsidRPr="00477D8F">
        <w:rPr>
          <w:rFonts w:ascii="Sylfaen" w:hAnsi="Sylfaen"/>
        </w:rPr>
        <w:t>Budgeting takes place annually on time, starting in July and completing by December with the National Assembly’s involvement at every step for legislative scrutiny.</w:t>
      </w:r>
      <w:r w:rsidR="00272695" w:rsidRPr="00477D8F">
        <w:rPr>
          <w:rFonts w:ascii="Sylfaen" w:hAnsi="Sylfaen"/>
        </w:rPr>
        <w:t xml:space="preserve"> </w:t>
      </w:r>
      <w:r w:rsidR="00DF461C" w:rsidRPr="00477D8F">
        <w:rPr>
          <w:rFonts w:ascii="Sylfaen" w:hAnsi="Sylfaen"/>
        </w:rPr>
        <w:t xml:space="preserve">However, the MoBSE and </w:t>
      </w:r>
      <w:r w:rsidR="00A17FC9" w:rsidRPr="00477D8F">
        <w:rPr>
          <w:rFonts w:ascii="Sylfaen" w:hAnsi="Sylfaen"/>
        </w:rPr>
        <w:t xml:space="preserve">the </w:t>
      </w:r>
      <w:r w:rsidR="00DF461C" w:rsidRPr="00477D8F">
        <w:rPr>
          <w:rFonts w:ascii="Sylfaen" w:hAnsi="Sylfaen"/>
        </w:rPr>
        <w:t xml:space="preserve">MoHERST are affected by </w:t>
      </w:r>
      <w:r w:rsidR="00BA0D57" w:rsidRPr="00477D8F">
        <w:rPr>
          <w:rFonts w:ascii="Sylfaen" w:hAnsi="Sylfaen"/>
        </w:rPr>
        <w:t xml:space="preserve">a </w:t>
      </w:r>
      <w:r w:rsidR="00DF461C" w:rsidRPr="00477D8F">
        <w:rPr>
          <w:rFonts w:ascii="Sylfaen" w:hAnsi="Sylfaen"/>
        </w:rPr>
        <w:t xml:space="preserve">lack </w:t>
      </w:r>
      <w:r w:rsidR="00A17FC9" w:rsidRPr="00477D8F">
        <w:rPr>
          <w:rFonts w:ascii="Sylfaen" w:hAnsi="Sylfaen"/>
        </w:rPr>
        <w:t xml:space="preserve">of </w:t>
      </w:r>
      <w:r w:rsidR="00DF461C" w:rsidRPr="00477D8F">
        <w:rPr>
          <w:rFonts w:ascii="Sylfaen" w:hAnsi="Sylfaen"/>
        </w:rPr>
        <w:t>budget predictability and non-guaranteed receipt of budget allocation every month.</w:t>
      </w:r>
      <w:r w:rsidR="004732F8" w:rsidRPr="00477D8F">
        <w:rPr>
          <w:rFonts w:ascii="Sylfaen" w:hAnsi="Sylfaen"/>
        </w:rPr>
        <w:t xml:space="preserve"> </w:t>
      </w:r>
      <w:r w:rsidR="00DF461C" w:rsidRPr="00477D8F">
        <w:rPr>
          <w:rFonts w:ascii="Sylfaen" w:hAnsi="Sylfaen"/>
        </w:rPr>
        <w:t xml:space="preserve">For example, in 2015 after the Ebola crisis, both </w:t>
      </w:r>
      <w:r w:rsidR="00F26D13" w:rsidRPr="00477D8F">
        <w:rPr>
          <w:rFonts w:ascii="Sylfaen" w:hAnsi="Sylfaen"/>
        </w:rPr>
        <w:t>m</w:t>
      </w:r>
      <w:r w:rsidR="00DF461C" w:rsidRPr="00477D8F">
        <w:rPr>
          <w:rFonts w:ascii="Sylfaen" w:hAnsi="Sylfaen"/>
        </w:rPr>
        <w:t>inistries received much less than the approved budget and had to cut many of their capital activities.</w:t>
      </w:r>
      <w:r w:rsidR="00272695" w:rsidRPr="00477D8F">
        <w:rPr>
          <w:rFonts w:ascii="Sylfaen" w:hAnsi="Sylfaen"/>
        </w:rPr>
        <w:t xml:space="preserve"> </w:t>
      </w:r>
      <w:r w:rsidR="00DF461C" w:rsidRPr="00477D8F">
        <w:rPr>
          <w:rFonts w:ascii="Sylfaen" w:hAnsi="Sylfaen"/>
        </w:rPr>
        <w:t>As they cannot predict the budget amount for the coming years, it is difficult for them to develop longer</w:t>
      </w:r>
      <w:r w:rsidR="00F26D13" w:rsidRPr="00477D8F">
        <w:rPr>
          <w:rFonts w:ascii="Sylfaen" w:hAnsi="Sylfaen"/>
        </w:rPr>
        <w:t>-</w:t>
      </w:r>
      <w:r w:rsidR="00DF461C" w:rsidRPr="00477D8F">
        <w:rPr>
          <w:rFonts w:ascii="Sylfaen" w:hAnsi="Sylfaen"/>
        </w:rPr>
        <w:t>term concrete plans.</w:t>
      </w:r>
      <w:r w:rsidR="004732F8" w:rsidRPr="00477D8F">
        <w:rPr>
          <w:rFonts w:ascii="Sylfaen" w:hAnsi="Sylfaen"/>
        </w:rPr>
        <w:t xml:space="preserve"> </w:t>
      </w:r>
      <w:r w:rsidR="00DF461C" w:rsidRPr="00477D8F">
        <w:rPr>
          <w:rFonts w:ascii="Sylfaen" w:hAnsi="Sylfaen"/>
        </w:rPr>
        <w:t>For accounting and reporting, the MoBSE does not have a transparent system to record how the funding is spent for some of the non-salary expenditures, such as the payroll for grant</w:t>
      </w:r>
      <w:r w:rsidR="00B86823" w:rsidRPr="00477D8F">
        <w:rPr>
          <w:rFonts w:ascii="Sylfaen" w:hAnsi="Sylfaen"/>
        </w:rPr>
        <w:t>-</w:t>
      </w:r>
      <w:r w:rsidR="00DF461C" w:rsidRPr="00477D8F">
        <w:rPr>
          <w:rFonts w:ascii="Sylfaen" w:hAnsi="Sylfaen"/>
        </w:rPr>
        <w:t>aided schools and contributions to other government units and international organizations.</w:t>
      </w:r>
      <w:r w:rsidR="00272695" w:rsidRPr="00477D8F">
        <w:rPr>
          <w:rFonts w:ascii="Sylfaen" w:hAnsi="Sylfaen"/>
        </w:rPr>
        <w:t xml:space="preserve"> </w:t>
      </w:r>
      <w:r w:rsidR="00DF461C" w:rsidRPr="00477D8F">
        <w:rPr>
          <w:rFonts w:ascii="Sylfaen" w:hAnsi="Sylfaen"/>
        </w:rPr>
        <w:t xml:space="preserve">For the external audit, an independent government body, the National Audit Office audits all the </w:t>
      </w:r>
      <w:r w:rsidR="00B86823" w:rsidRPr="00477D8F">
        <w:rPr>
          <w:rFonts w:ascii="Sylfaen" w:hAnsi="Sylfaen"/>
        </w:rPr>
        <w:t>m</w:t>
      </w:r>
      <w:r w:rsidR="00DF461C" w:rsidRPr="00477D8F">
        <w:rPr>
          <w:rFonts w:ascii="Sylfaen" w:hAnsi="Sylfaen"/>
        </w:rPr>
        <w:t>inistries and also all schools annually and prepares reports.</w:t>
      </w:r>
      <w:r w:rsidR="00272695" w:rsidRPr="00477D8F">
        <w:rPr>
          <w:rFonts w:ascii="Sylfaen" w:hAnsi="Sylfaen"/>
        </w:rPr>
        <w:t xml:space="preserve"> </w:t>
      </w:r>
      <w:r w:rsidR="00DF461C" w:rsidRPr="00477D8F">
        <w:rPr>
          <w:rFonts w:ascii="Sylfaen" w:hAnsi="Sylfaen"/>
        </w:rPr>
        <w:t>The donor coordination unit of the MoFEA lacks up</w:t>
      </w:r>
      <w:r w:rsidR="00CA4D82" w:rsidRPr="00477D8F">
        <w:rPr>
          <w:rFonts w:ascii="Sylfaen" w:hAnsi="Sylfaen"/>
        </w:rPr>
        <w:t>-</w:t>
      </w:r>
      <w:r w:rsidR="00DF461C" w:rsidRPr="00477D8F">
        <w:rPr>
          <w:rFonts w:ascii="Sylfaen" w:hAnsi="Sylfaen"/>
        </w:rPr>
        <w:t>to</w:t>
      </w:r>
      <w:r w:rsidR="00CA4D82" w:rsidRPr="00477D8F">
        <w:rPr>
          <w:rFonts w:ascii="Sylfaen" w:hAnsi="Sylfaen"/>
        </w:rPr>
        <w:t>-</w:t>
      </w:r>
      <w:r w:rsidR="00DF461C" w:rsidRPr="00477D8F">
        <w:rPr>
          <w:rFonts w:ascii="Sylfaen" w:hAnsi="Sylfaen"/>
        </w:rPr>
        <w:t>date disbursement data on the donor</w:t>
      </w:r>
      <w:r w:rsidR="00CA4D82" w:rsidRPr="00477D8F">
        <w:rPr>
          <w:rFonts w:ascii="Sylfaen" w:hAnsi="Sylfaen"/>
        </w:rPr>
        <w:t>-</w:t>
      </w:r>
      <w:r w:rsidR="00DF461C" w:rsidRPr="00477D8F">
        <w:rPr>
          <w:rFonts w:ascii="Sylfaen" w:hAnsi="Sylfaen"/>
        </w:rPr>
        <w:t>funded projects.</w:t>
      </w:r>
      <w:r w:rsidR="00272695" w:rsidRPr="00477D8F">
        <w:rPr>
          <w:rFonts w:ascii="Sylfaen" w:hAnsi="Sylfaen"/>
        </w:rPr>
        <w:t xml:space="preserve"> </w:t>
      </w:r>
    </w:p>
    <w:p w14:paraId="1EFBF1DA" w14:textId="04A5745B" w:rsidR="00087206" w:rsidRPr="00477D8F" w:rsidRDefault="00087206" w:rsidP="00ED0E68">
      <w:pPr>
        <w:pStyle w:val="Heading2"/>
        <w:rPr>
          <w:b/>
          <w:lang w:eastAsia="ja-JP"/>
        </w:rPr>
      </w:pPr>
      <w:bookmarkStart w:id="100" w:name="_Toc497171866"/>
      <w:bookmarkEnd w:id="91"/>
      <w:r w:rsidRPr="00477D8F">
        <w:rPr>
          <w:lang w:eastAsia="ja-JP"/>
        </w:rPr>
        <w:t>Education sector financing sources</w:t>
      </w:r>
      <w:bookmarkEnd w:id="100"/>
    </w:p>
    <w:p w14:paraId="7E6DED34" w14:textId="226B836F" w:rsidR="00C647A8" w:rsidRPr="00477D8F" w:rsidRDefault="0079165E" w:rsidP="00C8009A">
      <w:pPr>
        <w:pStyle w:val="ListParagraph"/>
        <w:numPr>
          <w:ilvl w:val="0"/>
          <w:numId w:val="24"/>
        </w:numPr>
        <w:autoSpaceDE w:val="0"/>
        <w:autoSpaceDN w:val="0"/>
        <w:adjustRightInd w:val="0"/>
        <w:spacing w:before="240" w:after="240" w:line="240" w:lineRule="auto"/>
        <w:ind w:left="0" w:firstLine="0"/>
        <w:contextualSpacing w:val="0"/>
        <w:jc w:val="both"/>
        <w:rPr>
          <w:rFonts w:ascii="Sylfaen" w:eastAsia="Times New Roman" w:hAnsi="Sylfaen"/>
        </w:rPr>
      </w:pPr>
      <w:bookmarkStart w:id="101" w:name="_Toc482618471"/>
      <w:r w:rsidRPr="00477D8F">
        <w:rPr>
          <w:rFonts w:ascii="Sylfaen" w:eastAsia="Times New Roman" w:hAnsi="Sylfaen"/>
          <w:b/>
        </w:rPr>
        <w:t xml:space="preserve">The education sector in The Gambia is largely financed by households, which contribute the largest share, followed by the government. </w:t>
      </w:r>
      <w:r w:rsidRPr="00477D8F">
        <w:rPr>
          <w:rFonts w:ascii="Sylfaen" w:eastAsia="Times New Roman" w:hAnsi="Sylfaen"/>
        </w:rPr>
        <w:t>The Gambia also depends heavily on donor financing with more than 20 percent of the non-household spending coming from development partners. In 2015, about US$</w:t>
      </w:r>
      <w:r w:rsidR="000F1CC7" w:rsidRPr="00477D8F">
        <w:rPr>
          <w:rFonts w:ascii="Sylfaen" w:eastAsia="Times New Roman" w:hAnsi="Sylfaen"/>
        </w:rPr>
        <w:t>87.3</w:t>
      </w:r>
      <w:r w:rsidRPr="00477D8F">
        <w:rPr>
          <w:rFonts w:ascii="Sylfaen" w:eastAsia="Times New Roman" w:hAnsi="Sylfaen"/>
        </w:rPr>
        <w:t xml:space="preserve"> million was spent on education</w:t>
      </w:r>
      <w:r w:rsidR="00B3677D" w:rsidRPr="00477D8F">
        <w:rPr>
          <w:rFonts w:ascii="Sylfaen" w:eastAsia="Times New Roman" w:hAnsi="Sylfaen"/>
        </w:rPr>
        <w:t>,</w:t>
      </w:r>
      <w:r w:rsidRPr="00477D8F">
        <w:rPr>
          <w:rFonts w:ascii="Sylfaen" w:eastAsia="Times New Roman" w:hAnsi="Sylfaen"/>
        </w:rPr>
        <w:t xml:space="preserve"> of which </w:t>
      </w:r>
      <w:r w:rsidR="000F1CC7" w:rsidRPr="00477D8F">
        <w:rPr>
          <w:rFonts w:ascii="Sylfaen" w:eastAsia="Times New Roman" w:hAnsi="Sylfaen"/>
        </w:rPr>
        <w:t>58</w:t>
      </w:r>
      <w:r w:rsidRPr="00477D8F">
        <w:rPr>
          <w:rFonts w:ascii="Sylfaen" w:eastAsia="Times New Roman" w:hAnsi="Sylfaen"/>
        </w:rPr>
        <w:t xml:space="preserve"> percent was funded by households, followed by the government which contributed </w:t>
      </w:r>
      <w:r w:rsidR="000F1CC7" w:rsidRPr="00477D8F">
        <w:rPr>
          <w:rFonts w:ascii="Sylfaen" w:eastAsia="Times New Roman" w:hAnsi="Sylfaen"/>
        </w:rPr>
        <w:t>34</w:t>
      </w:r>
      <w:r w:rsidRPr="00477D8F">
        <w:rPr>
          <w:rFonts w:ascii="Sylfaen" w:eastAsia="Times New Roman" w:hAnsi="Sylfaen"/>
        </w:rPr>
        <w:t xml:space="preserve"> percent, and development partners which contributed 9 percent (</w:t>
      </w:r>
      <w:r w:rsidRPr="00477D8F">
        <w:rPr>
          <w:rFonts w:ascii="Sylfaen" w:eastAsia="Times New Roman" w:hAnsi="Sylfaen"/>
        </w:rPr>
        <w:fldChar w:fldCharType="begin"/>
      </w:r>
      <w:r w:rsidRPr="00477D8F">
        <w:rPr>
          <w:rFonts w:ascii="Sylfaen" w:eastAsia="Times New Roman" w:hAnsi="Sylfaen"/>
        </w:rPr>
        <w:instrText xml:space="preserve"> REF _Ref468782220 \h  \* MERGEFORMAT </w:instrText>
      </w:r>
      <w:r w:rsidRPr="00477D8F">
        <w:rPr>
          <w:rFonts w:ascii="Sylfaen" w:eastAsia="Times New Roman" w:hAnsi="Sylfaen"/>
        </w:rPr>
      </w:r>
      <w:r w:rsidRPr="00477D8F">
        <w:rPr>
          <w:rFonts w:ascii="Sylfaen" w:eastAsia="Times New Roman" w:hAnsi="Sylfaen"/>
        </w:rPr>
        <w:fldChar w:fldCharType="separate"/>
      </w:r>
      <w:r w:rsidR="00F800F3" w:rsidRPr="00477D8F">
        <w:rPr>
          <w:rFonts w:ascii="Sylfaen" w:eastAsia="Times New Roman" w:hAnsi="Sylfaen"/>
        </w:rPr>
        <w:t>Figure 16</w:t>
      </w:r>
      <w:r w:rsidRPr="00477D8F">
        <w:rPr>
          <w:rFonts w:ascii="Sylfaen" w:eastAsia="Times New Roman" w:hAnsi="Sylfaen"/>
        </w:rPr>
        <w:fldChar w:fldCharType="end"/>
      </w:r>
      <w:r w:rsidRPr="00477D8F">
        <w:rPr>
          <w:rFonts w:ascii="Sylfaen" w:eastAsia="Times New Roman" w:hAnsi="Sylfaen"/>
        </w:rPr>
        <w:t xml:space="preserve">A). </w:t>
      </w:r>
      <w:bookmarkEnd w:id="101"/>
      <w:r w:rsidR="00823943" w:rsidRPr="00477D8F">
        <w:rPr>
          <w:rFonts w:ascii="Sylfaen" w:hAnsi="Sylfaen" w:cs="Times New Roman"/>
        </w:rPr>
        <w:t xml:space="preserve">The breakdown by level of education reveals that the public sector contributes close to 39.6 percent of total spending at the basic education level, while households contribute 47.4 percent. At the SSS level, households account for 53 percent of total spending, while the public contributes 37.4 percent. Lastly, donors contributed the most within the basic education level: 13 percent of total spending at that level compared. Although budget shows high share of commitment at the higher education level is mostly linked to the capital spending tied to the expansion of the University of The Gambia, execution rate is very low </w:t>
      </w:r>
      <w:r w:rsidRPr="00477D8F">
        <w:rPr>
          <w:rFonts w:ascii="Sylfaen" w:eastAsia="Times New Roman" w:hAnsi="Sylfaen"/>
        </w:rPr>
        <w:t>(</w:t>
      </w:r>
      <w:r w:rsidRPr="00477D8F">
        <w:rPr>
          <w:rFonts w:ascii="Sylfaen" w:eastAsia="Times New Roman" w:hAnsi="Sylfaen"/>
        </w:rPr>
        <w:fldChar w:fldCharType="begin"/>
      </w:r>
      <w:r w:rsidRPr="00477D8F">
        <w:rPr>
          <w:rFonts w:ascii="Sylfaen" w:eastAsia="Times New Roman" w:hAnsi="Sylfaen"/>
        </w:rPr>
        <w:instrText xml:space="preserve"> REF _Ref468782220 \h  \* MERGEFORMAT </w:instrText>
      </w:r>
      <w:r w:rsidRPr="00477D8F">
        <w:rPr>
          <w:rFonts w:ascii="Sylfaen" w:eastAsia="Times New Roman" w:hAnsi="Sylfaen"/>
        </w:rPr>
      </w:r>
      <w:r w:rsidRPr="00477D8F">
        <w:rPr>
          <w:rFonts w:ascii="Sylfaen" w:eastAsia="Times New Roman" w:hAnsi="Sylfaen"/>
        </w:rPr>
        <w:fldChar w:fldCharType="separate"/>
      </w:r>
      <w:r w:rsidR="00F800F3" w:rsidRPr="00477D8F">
        <w:rPr>
          <w:rFonts w:ascii="Sylfaen" w:eastAsia="Times New Roman" w:hAnsi="Sylfaen"/>
        </w:rPr>
        <w:t>Figure 16</w:t>
      </w:r>
      <w:r w:rsidRPr="00477D8F">
        <w:rPr>
          <w:rFonts w:ascii="Sylfaen" w:eastAsia="Times New Roman" w:hAnsi="Sylfaen"/>
        </w:rPr>
        <w:fldChar w:fldCharType="end"/>
      </w:r>
      <w:r w:rsidRPr="00477D8F">
        <w:rPr>
          <w:rFonts w:ascii="Sylfaen" w:eastAsia="Times New Roman" w:hAnsi="Sylfaen"/>
        </w:rPr>
        <w:t xml:space="preserve">B). The household contribution, on the other hand, is the highest at all levels of education, </w:t>
      </w:r>
      <w:r w:rsidR="00823943" w:rsidRPr="00477D8F">
        <w:rPr>
          <w:rFonts w:ascii="Sylfaen" w:eastAsia="Times New Roman" w:hAnsi="Sylfaen"/>
        </w:rPr>
        <w:t>with increasing trend with level of education</w:t>
      </w:r>
      <w:r w:rsidRPr="00477D8F">
        <w:rPr>
          <w:rFonts w:ascii="Sylfaen" w:eastAsia="Times New Roman" w:hAnsi="Sylfaen"/>
        </w:rPr>
        <w:t xml:space="preserve">. </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313F80" w:rsidRPr="00477D8F" w14:paraId="4DE4E385" w14:textId="77777777" w:rsidTr="00503F22">
        <w:trPr>
          <w:trHeight w:val="10"/>
        </w:trPr>
        <w:tc>
          <w:tcPr>
            <w:tcW w:w="9350" w:type="dxa"/>
            <w:hideMark/>
          </w:tcPr>
          <w:p w14:paraId="48ED2D05" w14:textId="70CDAB15" w:rsidR="00313F80" w:rsidRPr="00477D8F" w:rsidRDefault="00313F80" w:rsidP="00503F22">
            <w:pPr>
              <w:pStyle w:val="Caption1"/>
            </w:pPr>
            <w:bookmarkStart w:id="102" w:name="_Ref468782220"/>
            <w:bookmarkStart w:id="103" w:name="_Toc473728780"/>
            <w:bookmarkStart w:id="104" w:name="_Toc482618621"/>
            <w:bookmarkStart w:id="105" w:name="_Toc482649977"/>
            <w:bookmarkStart w:id="106" w:name="_Toc497171786"/>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16</w:t>
            </w:r>
            <w:r w:rsidR="002E5BDF" w:rsidRPr="00477D8F">
              <w:rPr>
                <w:noProof/>
              </w:rPr>
              <w:fldChar w:fldCharType="end"/>
            </w:r>
            <w:bookmarkEnd w:id="102"/>
            <w:r w:rsidRPr="00477D8F">
              <w:t>:</w:t>
            </w:r>
            <w:r w:rsidR="00272695" w:rsidRPr="00477D8F">
              <w:t xml:space="preserve"> </w:t>
            </w:r>
            <w:r w:rsidRPr="00477D8F">
              <w:t>Sources of education sector finance and the breakdown by level of education, 2015</w:t>
            </w:r>
            <w:bookmarkEnd w:id="103"/>
            <w:bookmarkEnd w:id="104"/>
            <w:bookmarkEnd w:id="105"/>
            <w:bookmarkEnd w:id="106"/>
          </w:p>
        </w:tc>
      </w:tr>
      <w:tr w:rsidR="00313F80" w:rsidRPr="00477D8F" w14:paraId="55858CDD" w14:textId="77777777" w:rsidTr="00823943">
        <w:trPr>
          <w:trHeight w:val="231"/>
        </w:trPr>
        <w:tc>
          <w:tcPr>
            <w:tcW w:w="9350" w:type="dxa"/>
            <w:hideMark/>
          </w:tcPr>
          <w:p w14:paraId="60F942D3" w14:textId="250D8977" w:rsidR="00313F80" w:rsidRPr="00477D8F" w:rsidRDefault="00823943" w:rsidP="00503F22">
            <w:pPr>
              <w:jc w:val="both"/>
              <w:rPr>
                <w:rFonts w:ascii="Sylfaen" w:hAnsi="Sylfaen"/>
                <w:bCs/>
              </w:rPr>
            </w:pPr>
            <w:r w:rsidRPr="00477D8F">
              <w:rPr>
                <w:noProof/>
              </w:rPr>
              <w:drawing>
                <wp:inline distT="0" distB="0" distL="0" distR="0" wp14:anchorId="135F6503" wp14:editId="0EE7E0B9">
                  <wp:extent cx="2918460" cy="2810071"/>
                  <wp:effectExtent l="0" t="0" r="0" b="0"/>
                  <wp:docPr id="102" name="Chart 102">
                    <a:extLst xmlns:a="http://schemas.openxmlformats.org/drawingml/2006/main">
                      <a:ext uri="{FF2B5EF4-FFF2-40B4-BE49-F238E27FC236}">
                        <a16:creationId xmlns:a16="http://schemas.microsoft.com/office/drawing/2014/main" id="{00000000-0008-0000-1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477D8F">
              <w:rPr>
                <w:noProof/>
              </w:rPr>
              <w:t xml:space="preserve"> </w:t>
            </w:r>
            <w:r w:rsidRPr="00477D8F">
              <w:rPr>
                <w:noProof/>
              </w:rPr>
              <w:drawing>
                <wp:inline distT="0" distB="0" distL="0" distR="0" wp14:anchorId="79801160" wp14:editId="625F52BB">
                  <wp:extent cx="2799080" cy="2842992"/>
                  <wp:effectExtent l="0" t="0" r="1270" b="0"/>
                  <wp:docPr id="88" name="Chart 88">
                    <a:extLst xmlns:a="http://schemas.openxmlformats.org/drawingml/2006/main">
                      <a:ext uri="{FF2B5EF4-FFF2-40B4-BE49-F238E27FC236}">
                        <a16:creationId xmlns:a16="http://schemas.microsoft.com/office/drawing/2014/main"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r w:rsidR="00313F80" w:rsidRPr="00477D8F" w14:paraId="03F61152" w14:textId="77777777" w:rsidTr="00503F22">
        <w:trPr>
          <w:trHeight w:val="296"/>
        </w:trPr>
        <w:tc>
          <w:tcPr>
            <w:tcW w:w="9350" w:type="dxa"/>
            <w:hideMark/>
          </w:tcPr>
          <w:p w14:paraId="7F79EFEB" w14:textId="53F6EB4B" w:rsidR="00313F80" w:rsidRPr="00477D8F" w:rsidRDefault="00313F80" w:rsidP="00503F22">
            <w:pPr>
              <w:pStyle w:val="Source"/>
            </w:pPr>
            <w:r w:rsidRPr="00477D8F">
              <w:rPr>
                <w:i/>
              </w:rPr>
              <w:t>Source:</w:t>
            </w:r>
            <w:r w:rsidRPr="00477D8F">
              <w:t xml:space="preserve"> </w:t>
            </w:r>
            <w:r w:rsidR="00DF461C" w:rsidRPr="00477D8F">
              <w:t>Authors’ e</w:t>
            </w:r>
            <w:r w:rsidRPr="00477D8F">
              <w:t>stimations based on IHS 2015 and MoF</w:t>
            </w:r>
            <w:r w:rsidR="00FB2FD8" w:rsidRPr="00477D8F">
              <w:t>EA</w:t>
            </w:r>
            <w:r w:rsidRPr="00477D8F">
              <w:t xml:space="preserve"> </w:t>
            </w:r>
            <w:r w:rsidR="00E5286A" w:rsidRPr="00477D8F">
              <w:t>b</w:t>
            </w:r>
            <w:r w:rsidRPr="00477D8F">
              <w:t xml:space="preserve">udget </w:t>
            </w:r>
            <w:r w:rsidR="00E5286A" w:rsidRPr="00477D8F">
              <w:t>d</w:t>
            </w:r>
            <w:r w:rsidRPr="00477D8F">
              <w:t>ata</w:t>
            </w:r>
            <w:r w:rsidR="00C5736C" w:rsidRPr="00477D8F">
              <w:t>.</w:t>
            </w:r>
            <w:r w:rsidRPr="00477D8F">
              <w:t xml:space="preserve"> </w:t>
            </w:r>
          </w:p>
        </w:tc>
      </w:tr>
    </w:tbl>
    <w:p w14:paraId="0EA278B5" w14:textId="72ADB5CB" w:rsidR="004732F8" w:rsidRPr="00477D8F" w:rsidRDefault="0079165E" w:rsidP="000D67AE">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imes New Roman"/>
          <w:bCs/>
        </w:rPr>
      </w:pPr>
      <w:r w:rsidRPr="00477D8F">
        <w:rPr>
          <w:rFonts w:ascii="Sylfaen" w:hAnsi="Sylfaen"/>
          <w:b/>
        </w:rPr>
        <w:t>The distribution of funding by source and level of education reveal</w:t>
      </w:r>
      <w:r w:rsidR="00ED3A29" w:rsidRPr="00477D8F">
        <w:rPr>
          <w:rFonts w:ascii="Sylfaen" w:hAnsi="Sylfaen"/>
          <w:b/>
        </w:rPr>
        <w:t>s</w:t>
      </w:r>
      <w:r w:rsidRPr="00477D8F">
        <w:rPr>
          <w:rFonts w:ascii="Sylfaen" w:hAnsi="Sylfaen"/>
          <w:b/>
        </w:rPr>
        <w:t xml:space="preserve"> that the largest share of the total public spending is allocated to basic education where the majority of children are enrolled, while households tend to allocate more of their resources to secondary education. </w:t>
      </w:r>
      <w:r w:rsidRPr="00477D8F">
        <w:rPr>
          <w:rFonts w:ascii="Sylfaen" w:hAnsi="Sylfaen"/>
        </w:rPr>
        <w:t xml:space="preserve">In 2015, </w:t>
      </w:r>
      <w:r w:rsidRPr="00477D8F">
        <w:rPr>
          <w:rFonts w:ascii="Sylfaen" w:hAnsi="Sylfaen" w:cs="Times New Roman"/>
          <w:bCs/>
        </w:rPr>
        <w:t xml:space="preserve">75 percent of the public resources went to basic education, which accommodated 86 percent of total enrollment; 13 percent of the resources went to </w:t>
      </w:r>
      <w:r w:rsidR="00B60319" w:rsidRPr="00477D8F">
        <w:rPr>
          <w:rFonts w:ascii="Sylfaen" w:hAnsi="Sylfaen" w:cs="Times New Roman"/>
          <w:bCs/>
        </w:rPr>
        <w:t xml:space="preserve">senior </w:t>
      </w:r>
      <w:r w:rsidRPr="00477D8F">
        <w:rPr>
          <w:rFonts w:ascii="Sylfaen" w:hAnsi="Sylfaen" w:cs="Times New Roman"/>
          <w:bCs/>
        </w:rPr>
        <w:t xml:space="preserve">secondary, which accommodated 10 percent of total enrollment; and 12 percent of the resources went to </w:t>
      </w:r>
      <w:r w:rsidR="00966485" w:rsidRPr="00477D8F">
        <w:rPr>
          <w:rFonts w:ascii="Sylfaen" w:hAnsi="Sylfaen" w:cs="Times New Roman"/>
          <w:bCs/>
        </w:rPr>
        <w:t>postsecondary</w:t>
      </w:r>
      <w:r w:rsidRPr="00477D8F">
        <w:rPr>
          <w:rFonts w:ascii="Sylfaen" w:hAnsi="Sylfaen" w:cs="Times New Roman"/>
          <w:bCs/>
        </w:rPr>
        <w:t xml:space="preserve"> education, which accommodated only 5 percent of total enrollment (</w:t>
      </w:r>
      <w:r w:rsidRPr="00477D8F">
        <w:rPr>
          <w:rFonts w:ascii="Sylfaen" w:hAnsi="Sylfaen" w:cs="Times New Roman"/>
          <w:bCs/>
        </w:rPr>
        <w:fldChar w:fldCharType="begin"/>
      </w:r>
      <w:r w:rsidRPr="00477D8F">
        <w:rPr>
          <w:rFonts w:ascii="Sylfaen" w:hAnsi="Sylfaen" w:cs="Times New Roman"/>
          <w:bCs/>
        </w:rPr>
        <w:instrText xml:space="preserve"> REF _Ref482648190 \h  \* MERGEFORMAT </w:instrText>
      </w:r>
      <w:r w:rsidRPr="00477D8F">
        <w:rPr>
          <w:rFonts w:ascii="Sylfaen" w:hAnsi="Sylfaen" w:cs="Times New Roman"/>
          <w:bCs/>
        </w:rPr>
      </w:r>
      <w:r w:rsidRPr="00477D8F">
        <w:rPr>
          <w:rFonts w:ascii="Sylfaen" w:hAnsi="Sylfaen" w:cs="Times New Roman"/>
          <w:bCs/>
        </w:rPr>
        <w:fldChar w:fldCharType="separate"/>
      </w:r>
      <w:r w:rsidR="00F800F3" w:rsidRPr="00477D8F">
        <w:rPr>
          <w:rFonts w:ascii="Sylfaen" w:hAnsi="Sylfaen"/>
          <w:bCs/>
        </w:rPr>
        <w:t xml:space="preserve">Figure </w:t>
      </w:r>
      <w:r w:rsidR="00F800F3" w:rsidRPr="00477D8F">
        <w:rPr>
          <w:rFonts w:ascii="Sylfaen" w:hAnsi="Sylfaen"/>
          <w:bCs/>
          <w:noProof/>
        </w:rPr>
        <w:t>17</w:t>
      </w:r>
      <w:r w:rsidRPr="00477D8F">
        <w:rPr>
          <w:rFonts w:ascii="Sylfaen" w:hAnsi="Sylfaen" w:cs="Times New Roman"/>
          <w:bCs/>
        </w:rPr>
        <w:fldChar w:fldCharType="end"/>
      </w:r>
      <w:r w:rsidRPr="00477D8F">
        <w:rPr>
          <w:rFonts w:ascii="Sylfaen" w:hAnsi="Sylfaen" w:cs="Times New Roman"/>
          <w:bCs/>
        </w:rPr>
        <w:t xml:space="preserve">). </w:t>
      </w:r>
      <w:r w:rsidRPr="00477D8F">
        <w:rPr>
          <w:rFonts w:ascii="Sylfaen" w:hAnsi="Sylfaen"/>
          <w:bCs/>
        </w:rPr>
        <w:t>Households</w:t>
      </w:r>
      <w:r w:rsidRPr="00477D8F">
        <w:rPr>
          <w:rFonts w:ascii="Sylfaen" w:hAnsi="Sylfaen" w:cs="Times New Roman"/>
          <w:bCs/>
        </w:rPr>
        <w:t xml:space="preserve"> </w:t>
      </w:r>
      <w:r w:rsidRPr="00477D8F">
        <w:rPr>
          <w:rFonts w:ascii="Sylfaen" w:hAnsi="Sylfaen"/>
        </w:rPr>
        <w:t>contributed a slightly higher share at the secondary level (45 percent) than at the primary level (41 percent)</w:t>
      </w:r>
      <w:r w:rsidR="00AD6C2C" w:rsidRPr="00477D8F">
        <w:rPr>
          <w:rFonts w:ascii="Sylfaen" w:hAnsi="Sylfaen"/>
        </w:rPr>
        <w:t xml:space="preserve"> because</w:t>
      </w:r>
      <w:r w:rsidRPr="00477D8F">
        <w:rPr>
          <w:rFonts w:ascii="Sylfaen" w:hAnsi="Sylfaen"/>
        </w:rPr>
        <w:t xml:space="preserve"> basic education is already heavi</w:t>
      </w:r>
      <w:r w:rsidR="0060044B" w:rsidRPr="00477D8F">
        <w:rPr>
          <w:rFonts w:ascii="Sylfaen" w:hAnsi="Sylfaen"/>
        </w:rPr>
        <w:t>ly subsidized by the government. Household contribution at h</w:t>
      </w:r>
      <w:r w:rsidRPr="00477D8F">
        <w:rPr>
          <w:rFonts w:ascii="Sylfaen" w:hAnsi="Sylfaen"/>
        </w:rPr>
        <w:t xml:space="preserve">igher education </w:t>
      </w:r>
      <w:r w:rsidR="0060044B" w:rsidRPr="00477D8F">
        <w:rPr>
          <w:rFonts w:ascii="Sylfaen" w:hAnsi="Sylfaen"/>
        </w:rPr>
        <w:t>level is 1</w:t>
      </w:r>
      <w:r w:rsidRPr="00477D8F">
        <w:rPr>
          <w:rFonts w:ascii="Sylfaen" w:hAnsi="Sylfaen"/>
        </w:rPr>
        <w:t xml:space="preserve">4 percent </w:t>
      </w:r>
      <w:r w:rsidR="0060044B" w:rsidRPr="00477D8F">
        <w:rPr>
          <w:rFonts w:ascii="Sylfaen" w:hAnsi="Sylfaen"/>
        </w:rPr>
        <w:t>of total household spending</w:t>
      </w:r>
      <w:r w:rsidRPr="00477D8F">
        <w:rPr>
          <w:rFonts w:ascii="Sylfaen" w:hAnsi="Sylfaen"/>
        </w:rPr>
        <w:t>. However, it should be noted that the pattern of the household spending varies slightly by type of school. In fact, the distribution of the enrollment in private schools is higher in basic education (36 percent) than in secondary education (32 percent) and higher education (25 percent). The household spending in private schools follow the same pattern</w:t>
      </w:r>
      <w:r w:rsidR="00D042BA" w:rsidRPr="00477D8F">
        <w:rPr>
          <w:rFonts w:ascii="Sylfaen" w:hAnsi="Sylfaen"/>
        </w:rPr>
        <w:t>—</w:t>
      </w:r>
      <w:r w:rsidRPr="00477D8F">
        <w:rPr>
          <w:rFonts w:ascii="Sylfaen" w:hAnsi="Sylfaen"/>
        </w:rPr>
        <w:t xml:space="preserve">51 percent in basic, 42 percent in secondary, and 7 percent in postsecondary education. </w:t>
      </w:r>
      <w:r w:rsidRPr="00477D8F">
        <w:rPr>
          <w:rFonts w:ascii="Sylfaen" w:hAnsi="Sylfaen" w:cs="Times New Roman"/>
          <w:bCs/>
        </w:rPr>
        <w:t>The distribution of the public budget by level of education is slightly biased toward basic education and has not been improved since 2011—this was one of the key findings and recommendations from the 2011 CSR.</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13F80" w:rsidRPr="00477D8F" w14:paraId="3566100B" w14:textId="77777777" w:rsidTr="00503F22">
        <w:trPr>
          <w:trHeight w:val="10"/>
        </w:trPr>
        <w:tc>
          <w:tcPr>
            <w:tcW w:w="9350" w:type="dxa"/>
            <w:hideMark/>
          </w:tcPr>
          <w:p w14:paraId="162C1D20" w14:textId="70142E11" w:rsidR="00313F80" w:rsidRPr="00477D8F" w:rsidRDefault="00313F80" w:rsidP="00503F22">
            <w:pPr>
              <w:pStyle w:val="Caption1"/>
            </w:pPr>
            <w:bookmarkStart w:id="107" w:name="_Ref482648190"/>
            <w:bookmarkStart w:id="108" w:name="_Toc482618622"/>
            <w:bookmarkStart w:id="109" w:name="_Toc482649978"/>
            <w:bookmarkStart w:id="110" w:name="_Toc497171787"/>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17</w:t>
            </w:r>
            <w:r w:rsidR="002E5BDF" w:rsidRPr="00477D8F">
              <w:rPr>
                <w:noProof/>
              </w:rPr>
              <w:fldChar w:fldCharType="end"/>
            </w:r>
            <w:bookmarkEnd w:id="107"/>
            <w:r w:rsidRPr="00477D8F">
              <w:t>: Share of education spending and share of enrollments by level of education</w:t>
            </w:r>
            <w:bookmarkEnd w:id="108"/>
            <w:bookmarkEnd w:id="109"/>
            <w:bookmarkEnd w:id="110"/>
          </w:p>
        </w:tc>
      </w:tr>
      <w:tr w:rsidR="00313F80" w:rsidRPr="00477D8F" w14:paraId="5A86E99A" w14:textId="77777777" w:rsidTr="00C536B4">
        <w:trPr>
          <w:trHeight w:val="231"/>
        </w:trPr>
        <w:tc>
          <w:tcPr>
            <w:tcW w:w="9350" w:type="dxa"/>
            <w:hideMark/>
          </w:tcPr>
          <w:p w14:paraId="4D79F3B3" w14:textId="015C4054" w:rsidR="00313F80" w:rsidRPr="00477D8F" w:rsidRDefault="00C536B4" w:rsidP="00503F22">
            <w:pPr>
              <w:jc w:val="both"/>
              <w:rPr>
                <w:rFonts w:ascii="Sylfaen" w:hAnsi="Sylfaen"/>
                <w:bCs/>
              </w:rPr>
            </w:pPr>
            <w:r w:rsidRPr="00477D8F">
              <w:rPr>
                <w:noProof/>
              </w:rPr>
              <w:drawing>
                <wp:inline distT="0" distB="0" distL="0" distR="0" wp14:anchorId="4B1C8E0A" wp14:editId="42AA39BE">
                  <wp:extent cx="5943600" cy="3148965"/>
                  <wp:effectExtent l="0" t="0" r="0" b="13335"/>
                  <wp:docPr id="115" name="Chart 115">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r>
      <w:tr w:rsidR="00313F80" w:rsidRPr="00477D8F" w14:paraId="50C84128" w14:textId="77777777" w:rsidTr="00503F22">
        <w:trPr>
          <w:trHeight w:val="296"/>
        </w:trPr>
        <w:tc>
          <w:tcPr>
            <w:tcW w:w="9350" w:type="dxa"/>
            <w:hideMark/>
          </w:tcPr>
          <w:p w14:paraId="30E206E5" w14:textId="3BCF86C9" w:rsidR="00313F80" w:rsidRPr="00477D8F" w:rsidRDefault="00313F80" w:rsidP="00503F22">
            <w:pPr>
              <w:pStyle w:val="Source"/>
            </w:pPr>
            <w:r w:rsidRPr="00477D8F">
              <w:rPr>
                <w:i/>
              </w:rPr>
              <w:t>Source:</w:t>
            </w:r>
            <w:r w:rsidR="004732F8" w:rsidRPr="00477D8F">
              <w:t xml:space="preserve"> </w:t>
            </w:r>
            <w:r w:rsidR="00DF461C" w:rsidRPr="00477D8F">
              <w:t xml:space="preserve">Authors’ estimations based on IHS 2015 </w:t>
            </w:r>
            <w:r w:rsidRPr="00477D8F">
              <w:t>and MoF</w:t>
            </w:r>
            <w:r w:rsidR="00966485" w:rsidRPr="00477D8F">
              <w:t>EA</w:t>
            </w:r>
            <w:r w:rsidRPr="00477D8F">
              <w:t xml:space="preserve"> </w:t>
            </w:r>
            <w:r w:rsidR="00554CD5" w:rsidRPr="00477D8F">
              <w:t>b</w:t>
            </w:r>
            <w:r w:rsidRPr="00477D8F">
              <w:t xml:space="preserve">udget </w:t>
            </w:r>
            <w:r w:rsidR="00554CD5" w:rsidRPr="00477D8F">
              <w:t>d</w:t>
            </w:r>
            <w:r w:rsidRPr="00477D8F">
              <w:t>ata</w:t>
            </w:r>
            <w:r w:rsidR="00C5736C" w:rsidRPr="00477D8F">
              <w:t>.</w:t>
            </w:r>
            <w:r w:rsidR="00272695" w:rsidRPr="00477D8F">
              <w:t xml:space="preserve"> </w:t>
            </w:r>
          </w:p>
          <w:p w14:paraId="04BC8F0B" w14:textId="550C4582" w:rsidR="00554CD5" w:rsidRPr="00477D8F" w:rsidRDefault="00554CD5" w:rsidP="00503F22">
            <w:pPr>
              <w:pStyle w:val="Source"/>
            </w:pPr>
            <w:r w:rsidRPr="00477D8F">
              <w:rPr>
                <w:i/>
              </w:rPr>
              <w:t>Note:</w:t>
            </w:r>
            <w:r w:rsidRPr="00477D8F">
              <w:t xml:space="preserve"> HH = household.</w:t>
            </w:r>
          </w:p>
        </w:tc>
      </w:tr>
    </w:tbl>
    <w:p w14:paraId="278CF359" w14:textId="559CB9AB" w:rsidR="00310C1A" w:rsidRPr="00477D8F" w:rsidRDefault="00310C1A" w:rsidP="00ED0E68">
      <w:pPr>
        <w:pStyle w:val="Heading2"/>
        <w:rPr>
          <w:b/>
          <w:lang w:eastAsia="ja-JP"/>
        </w:rPr>
      </w:pPr>
      <w:bookmarkStart w:id="111" w:name="_Toc482618472"/>
      <w:bookmarkStart w:id="112" w:name="_Toc482649930"/>
      <w:bookmarkStart w:id="113" w:name="_Toc497171867"/>
      <w:r w:rsidRPr="00477D8F">
        <w:rPr>
          <w:lang w:eastAsia="ja-JP"/>
        </w:rPr>
        <w:t>Budget allocation and execution</w:t>
      </w:r>
      <w:bookmarkEnd w:id="111"/>
      <w:bookmarkEnd w:id="112"/>
      <w:bookmarkEnd w:id="113"/>
      <w:r w:rsidRPr="00477D8F">
        <w:rPr>
          <w:lang w:eastAsia="ja-JP"/>
        </w:rPr>
        <w:t xml:space="preserve"> </w:t>
      </w:r>
    </w:p>
    <w:p w14:paraId="3DE03D28" w14:textId="77777777" w:rsidR="000F0F60" w:rsidRPr="00477D8F" w:rsidRDefault="000F0F60" w:rsidP="00DA4A36">
      <w:pPr>
        <w:pStyle w:val="Heading3"/>
        <w:rPr>
          <w:lang w:eastAsia="ja-JP"/>
        </w:rPr>
      </w:pPr>
      <w:r w:rsidRPr="00477D8F">
        <w:rPr>
          <w:lang w:eastAsia="ja-JP"/>
        </w:rPr>
        <w:t>Trends of budget allocation</w:t>
      </w:r>
    </w:p>
    <w:p w14:paraId="5FA9C760" w14:textId="4E54EFAB" w:rsidR="00310C1A" w:rsidRPr="00477D8F" w:rsidRDefault="0079165E" w:rsidP="00AB7DAD">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 xml:space="preserve">The education budget both in real and nominal terms has been increasing since 2010. </w:t>
      </w:r>
      <w:r w:rsidRPr="00477D8F">
        <w:rPr>
          <w:rFonts w:ascii="Sylfaen" w:hAnsi="Sylfaen"/>
        </w:rPr>
        <w:t xml:space="preserve">Trends by ministry indicate that the rise has been particularly strong and consistent for </w:t>
      </w:r>
      <w:r w:rsidR="007251FA" w:rsidRPr="00477D8F">
        <w:rPr>
          <w:rFonts w:ascii="Sylfaen" w:hAnsi="Sylfaen"/>
        </w:rPr>
        <w:t xml:space="preserve">the </w:t>
      </w:r>
      <w:r w:rsidRPr="00477D8F">
        <w:rPr>
          <w:rFonts w:ascii="Sylfaen" w:hAnsi="Sylfaen"/>
        </w:rPr>
        <w:t>MoBSE</w:t>
      </w:r>
      <w:r w:rsidRPr="00477D8F">
        <w:rPr>
          <w:rFonts w:ascii="Sylfaen" w:hAnsi="Sylfaen" w:cs="Times New Roman"/>
          <w:bCs/>
        </w:rPr>
        <w:t xml:space="preserve">. The public expenditure trend in basic education has been in line with the government’s pro-education policy between 2010 and 2015—the average nominal growth of education spending was 14 percent (real growth 7 percent). In particular, the </w:t>
      </w:r>
      <w:r w:rsidR="00966485" w:rsidRPr="00477D8F">
        <w:rPr>
          <w:rFonts w:ascii="Sylfaen" w:hAnsi="Sylfaen" w:cs="Times New Roman"/>
          <w:bCs/>
        </w:rPr>
        <w:t>M</w:t>
      </w:r>
      <w:r w:rsidR="00E80A69" w:rsidRPr="00477D8F">
        <w:rPr>
          <w:rFonts w:ascii="Sylfaen" w:hAnsi="Sylfaen" w:cs="Times New Roman"/>
          <w:bCs/>
        </w:rPr>
        <w:t>oBSE</w:t>
      </w:r>
      <w:r w:rsidRPr="00477D8F">
        <w:rPr>
          <w:rFonts w:ascii="Sylfaen" w:hAnsi="Sylfaen" w:cs="Times New Roman"/>
          <w:bCs/>
        </w:rPr>
        <w:t xml:space="preserve"> budget increased sharply after 2012. </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10C1A" w:rsidRPr="00477D8F" w14:paraId="6E832E40" w14:textId="77777777" w:rsidTr="00AB7DAD">
        <w:trPr>
          <w:trHeight w:val="450"/>
        </w:trPr>
        <w:tc>
          <w:tcPr>
            <w:tcW w:w="9350" w:type="dxa"/>
            <w:hideMark/>
          </w:tcPr>
          <w:p w14:paraId="0F52974D" w14:textId="3C16E816" w:rsidR="00310C1A" w:rsidRPr="00477D8F" w:rsidRDefault="00310C1A" w:rsidP="00AB7DAD">
            <w:pPr>
              <w:pStyle w:val="Caption1"/>
            </w:pPr>
            <w:bookmarkStart w:id="114" w:name="_Ref482648737"/>
            <w:bookmarkStart w:id="115" w:name="_Toc482618623"/>
            <w:bookmarkStart w:id="116" w:name="_Toc482649979"/>
            <w:bookmarkStart w:id="117" w:name="_Toc497171788"/>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18</w:t>
            </w:r>
            <w:r w:rsidR="002E5BDF" w:rsidRPr="00477D8F">
              <w:rPr>
                <w:noProof/>
              </w:rPr>
              <w:fldChar w:fldCharType="end"/>
            </w:r>
            <w:bookmarkEnd w:id="114"/>
            <w:r w:rsidRPr="00477D8F">
              <w:t>: Trends of public expenditure on ed</w:t>
            </w:r>
            <w:r w:rsidR="00896DA9" w:rsidRPr="00477D8F">
              <w:t>ucation by ministry and total (GMD</w:t>
            </w:r>
            <w:r w:rsidRPr="00477D8F">
              <w:t>)</w:t>
            </w:r>
            <w:bookmarkEnd w:id="115"/>
            <w:bookmarkEnd w:id="116"/>
            <w:bookmarkEnd w:id="117"/>
          </w:p>
        </w:tc>
      </w:tr>
      <w:tr w:rsidR="00310C1A" w:rsidRPr="00477D8F" w14:paraId="346198B9" w14:textId="77777777" w:rsidTr="00C536B4">
        <w:trPr>
          <w:trHeight w:val="231"/>
        </w:trPr>
        <w:tc>
          <w:tcPr>
            <w:tcW w:w="9350" w:type="dxa"/>
            <w:hideMark/>
          </w:tcPr>
          <w:p w14:paraId="3AA7046D" w14:textId="25F8806A" w:rsidR="00310C1A" w:rsidRPr="00477D8F" w:rsidRDefault="00C536B4" w:rsidP="00AB7DAD">
            <w:pPr>
              <w:jc w:val="both"/>
              <w:rPr>
                <w:rFonts w:ascii="Sylfaen" w:hAnsi="Sylfaen"/>
                <w:bCs/>
              </w:rPr>
            </w:pPr>
            <w:r w:rsidRPr="00477D8F">
              <w:rPr>
                <w:noProof/>
              </w:rPr>
              <w:drawing>
                <wp:inline distT="0" distB="0" distL="0" distR="0" wp14:anchorId="49631BAE" wp14:editId="4196A51C">
                  <wp:extent cx="5795890" cy="2595245"/>
                  <wp:effectExtent l="0" t="0" r="14605" b="14605"/>
                  <wp:docPr id="116" name="Chart 116">
                    <a:extLst xmlns:a="http://schemas.openxmlformats.org/drawingml/2006/main">
                      <a:ext uri="{FF2B5EF4-FFF2-40B4-BE49-F238E27FC236}">
                        <a16:creationId xmlns:a16="http://schemas.microsoft.com/office/drawing/2014/main" id="{00000000-0008-0000-1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rsidR="00310C1A" w:rsidRPr="00477D8F" w14:paraId="13626973" w14:textId="77777777" w:rsidTr="00AB7DAD">
        <w:trPr>
          <w:trHeight w:val="296"/>
        </w:trPr>
        <w:tc>
          <w:tcPr>
            <w:tcW w:w="9350" w:type="dxa"/>
            <w:hideMark/>
          </w:tcPr>
          <w:p w14:paraId="1F2CC3DB" w14:textId="35E811C8" w:rsidR="00310C1A" w:rsidRPr="00477D8F" w:rsidRDefault="00310C1A" w:rsidP="00AB7DAD">
            <w:pPr>
              <w:pStyle w:val="Source"/>
            </w:pPr>
            <w:r w:rsidRPr="00477D8F">
              <w:rPr>
                <w:i/>
              </w:rPr>
              <w:t>Source:</w:t>
            </w:r>
            <w:r w:rsidRPr="00477D8F">
              <w:t xml:space="preserve"> MoF</w:t>
            </w:r>
            <w:r w:rsidR="00C536B4" w:rsidRPr="00477D8F">
              <w:t>EA</w:t>
            </w:r>
            <w:r w:rsidRPr="00477D8F">
              <w:t xml:space="preserve"> </w:t>
            </w:r>
            <w:r w:rsidR="00554CD5" w:rsidRPr="00477D8F">
              <w:t>b</w:t>
            </w:r>
            <w:r w:rsidRPr="00477D8F">
              <w:t xml:space="preserve">udget </w:t>
            </w:r>
            <w:r w:rsidR="00554CD5" w:rsidRPr="00477D8F">
              <w:t>d</w:t>
            </w:r>
            <w:r w:rsidRPr="00477D8F">
              <w:t>ata</w:t>
            </w:r>
            <w:r w:rsidR="002A7B54" w:rsidRPr="00477D8F">
              <w:t>.</w:t>
            </w:r>
          </w:p>
        </w:tc>
      </w:tr>
    </w:tbl>
    <w:p w14:paraId="1EF47F5F" w14:textId="77777777" w:rsidR="002340B4" w:rsidRPr="00477D8F" w:rsidRDefault="002340B4" w:rsidP="00DA4A36">
      <w:pPr>
        <w:pStyle w:val="Heading3"/>
      </w:pPr>
      <w:r w:rsidRPr="00477D8F">
        <w:t>Budget ex</w:t>
      </w:r>
      <w:r w:rsidR="00E465BB" w:rsidRPr="00477D8F">
        <w:t>e</w:t>
      </w:r>
      <w:r w:rsidRPr="00477D8F">
        <w:t>c</w:t>
      </w:r>
      <w:r w:rsidR="00E465BB" w:rsidRPr="00477D8F">
        <w:t>ut</w:t>
      </w:r>
      <w:r w:rsidRPr="00477D8F">
        <w:t xml:space="preserve">ion rate </w:t>
      </w:r>
    </w:p>
    <w:p w14:paraId="6C551963" w14:textId="7255CB36" w:rsidR="004732F8" w:rsidRPr="00477D8F" w:rsidRDefault="0079165E" w:rsidP="000D67AE">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The Gambia education sector budget follows the cash method</w:t>
      </w:r>
      <w:r w:rsidR="00AB7DAD" w:rsidRPr="00477D8F">
        <w:rPr>
          <w:rFonts w:ascii="Sylfaen" w:hAnsi="Sylfaen"/>
          <w:b/>
        </w:rPr>
        <w:t>,</w:t>
      </w:r>
      <w:r w:rsidRPr="00477D8F">
        <w:rPr>
          <w:rStyle w:val="FootnoteReference"/>
          <w:rFonts w:ascii="Sylfaen" w:hAnsi="Sylfaen"/>
          <w:b/>
        </w:rPr>
        <w:footnoteReference w:id="17"/>
      </w:r>
      <w:r w:rsidRPr="00477D8F">
        <w:rPr>
          <w:rFonts w:ascii="Sylfaen" w:hAnsi="Sylfaen"/>
          <w:b/>
        </w:rPr>
        <w:t xml:space="preserve"> leading to a high budget execution rate in both education ministries.</w:t>
      </w:r>
      <w:r w:rsidRPr="00477D8F">
        <w:rPr>
          <w:rFonts w:ascii="Sylfaen" w:hAnsi="Sylfaen"/>
        </w:rPr>
        <w:t xml:space="preserve"> </w:t>
      </w:r>
      <w:r w:rsidR="007251FA" w:rsidRPr="00477D8F">
        <w:rPr>
          <w:rFonts w:ascii="Sylfaen" w:hAnsi="Sylfaen"/>
        </w:rPr>
        <w:t xml:space="preserve">The </w:t>
      </w:r>
      <w:r w:rsidR="00966485" w:rsidRPr="00477D8F">
        <w:rPr>
          <w:rFonts w:ascii="Sylfaen" w:hAnsi="Sylfaen"/>
        </w:rPr>
        <w:t>M</w:t>
      </w:r>
      <w:r w:rsidR="00E80A69" w:rsidRPr="00477D8F">
        <w:rPr>
          <w:rFonts w:ascii="Sylfaen" w:hAnsi="Sylfaen"/>
        </w:rPr>
        <w:t>oBSE</w:t>
      </w:r>
      <w:r w:rsidRPr="00477D8F">
        <w:rPr>
          <w:rFonts w:ascii="Sylfaen" w:hAnsi="Sylfaen"/>
        </w:rPr>
        <w:t xml:space="preserve"> has an average execution rate close to 97 percent while </w:t>
      </w:r>
      <w:r w:rsidR="007251FA" w:rsidRPr="00477D8F">
        <w:rPr>
          <w:rFonts w:ascii="Sylfaen" w:hAnsi="Sylfaen"/>
        </w:rPr>
        <w:t xml:space="preserve">the </w:t>
      </w:r>
      <w:r w:rsidR="00E80A69" w:rsidRPr="00477D8F">
        <w:rPr>
          <w:rFonts w:ascii="Sylfaen" w:hAnsi="Sylfaen"/>
        </w:rPr>
        <w:t>MoHERST</w:t>
      </w:r>
      <w:r w:rsidRPr="00477D8F">
        <w:rPr>
          <w:rFonts w:ascii="Sylfaen" w:hAnsi="Sylfaen"/>
        </w:rPr>
        <w:t>’s average rate is 89 percent (</w:t>
      </w:r>
      <w:r w:rsidRPr="00477D8F">
        <w:rPr>
          <w:rFonts w:ascii="Sylfaen" w:hAnsi="Sylfaen"/>
        </w:rPr>
        <w:fldChar w:fldCharType="begin"/>
      </w:r>
      <w:r w:rsidRPr="00477D8F">
        <w:rPr>
          <w:rFonts w:ascii="Sylfaen" w:hAnsi="Sylfaen"/>
        </w:rPr>
        <w:instrText xml:space="preserve"> REF _Ref482648927 \h  \* MERGEFORMAT </w:instrText>
      </w:r>
      <w:r w:rsidRPr="00477D8F">
        <w:rPr>
          <w:rFonts w:ascii="Sylfaen" w:hAnsi="Sylfaen"/>
        </w:rPr>
      </w:r>
      <w:r w:rsidRPr="00477D8F">
        <w:rPr>
          <w:rFonts w:ascii="Sylfaen" w:hAnsi="Sylfaen"/>
        </w:rPr>
        <w:fldChar w:fldCharType="separate"/>
      </w:r>
      <w:r w:rsidR="00F800F3" w:rsidRPr="00477D8F">
        <w:rPr>
          <w:rFonts w:ascii="Sylfaen" w:hAnsi="Sylfaen"/>
          <w:bCs/>
        </w:rPr>
        <w:t>Figure 19</w:t>
      </w:r>
      <w:r w:rsidRPr="00477D8F">
        <w:rPr>
          <w:rFonts w:ascii="Sylfaen" w:hAnsi="Sylfaen"/>
        </w:rPr>
        <w:fldChar w:fldCharType="end"/>
      </w:r>
      <w:r w:rsidRPr="00477D8F">
        <w:rPr>
          <w:rFonts w:ascii="Sylfaen" w:hAnsi="Sylfaen"/>
        </w:rPr>
        <w:t>). In both ministries</w:t>
      </w:r>
      <w:r w:rsidR="007251FA" w:rsidRPr="00477D8F">
        <w:rPr>
          <w:rFonts w:ascii="Sylfaen" w:hAnsi="Sylfaen"/>
        </w:rPr>
        <w:t>,</w:t>
      </w:r>
      <w:r w:rsidRPr="00477D8F">
        <w:rPr>
          <w:rFonts w:ascii="Sylfaen" w:hAnsi="Sylfaen"/>
        </w:rPr>
        <w:t xml:space="preserve"> the execution rate of the capital budget fluctuates. Although the execution capacity cannot be evaluated due to the nature of the budget, the high execution rate for both ministries confirms that these ministries have no budget execution issues. </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2340B4" w:rsidRPr="00477D8F" w14:paraId="0764B0C7" w14:textId="77777777" w:rsidTr="00503F22">
        <w:trPr>
          <w:trHeight w:val="10"/>
        </w:trPr>
        <w:tc>
          <w:tcPr>
            <w:tcW w:w="9350" w:type="dxa"/>
            <w:hideMark/>
          </w:tcPr>
          <w:p w14:paraId="01A08D98" w14:textId="769BB248" w:rsidR="002340B4" w:rsidRPr="00477D8F" w:rsidRDefault="002340B4" w:rsidP="00503F22">
            <w:pPr>
              <w:pStyle w:val="Caption1"/>
            </w:pPr>
            <w:bookmarkStart w:id="118" w:name="_Ref482648927"/>
            <w:bookmarkStart w:id="119" w:name="_Toc482618630"/>
            <w:bookmarkStart w:id="120" w:name="_Toc482649986"/>
            <w:bookmarkStart w:id="121" w:name="_Toc497171789"/>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19</w:t>
            </w:r>
            <w:r w:rsidR="002E5BDF" w:rsidRPr="00477D8F">
              <w:rPr>
                <w:noProof/>
              </w:rPr>
              <w:fldChar w:fldCharType="end"/>
            </w:r>
            <w:bookmarkEnd w:id="118"/>
            <w:r w:rsidRPr="00477D8F">
              <w:t>: Trends of budget execution rates, 2010</w:t>
            </w:r>
            <w:r w:rsidR="007251FA" w:rsidRPr="00477D8F">
              <w:t>–</w:t>
            </w:r>
            <w:r w:rsidRPr="00477D8F">
              <w:t>2015</w:t>
            </w:r>
            <w:bookmarkEnd w:id="119"/>
            <w:bookmarkEnd w:id="120"/>
            <w:bookmarkEnd w:id="121"/>
          </w:p>
        </w:tc>
      </w:tr>
      <w:tr w:rsidR="002340B4" w:rsidRPr="00477D8F" w14:paraId="1C56D248" w14:textId="77777777" w:rsidTr="00503F22">
        <w:trPr>
          <w:trHeight w:val="231"/>
        </w:trPr>
        <w:tc>
          <w:tcPr>
            <w:tcW w:w="9350" w:type="dxa"/>
            <w:hideMark/>
          </w:tcPr>
          <w:p w14:paraId="3BA3F766" w14:textId="77777777" w:rsidR="002340B4" w:rsidRPr="00477D8F" w:rsidRDefault="002340B4" w:rsidP="00503F22">
            <w:pPr>
              <w:jc w:val="both"/>
              <w:rPr>
                <w:rFonts w:ascii="Sylfaen" w:hAnsi="Sylfaen"/>
                <w:bCs/>
              </w:rPr>
            </w:pPr>
            <w:r w:rsidRPr="00477D8F">
              <w:rPr>
                <w:rFonts w:ascii="Sylfaen" w:hAnsi="Sylfaen"/>
                <w:noProof/>
              </w:rPr>
              <w:drawing>
                <wp:inline distT="0" distB="0" distL="0" distR="0" wp14:anchorId="33816D7E" wp14:editId="475507CD">
                  <wp:extent cx="2640330" cy="2296973"/>
                  <wp:effectExtent l="0" t="0" r="7620" b="8255"/>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477D8F">
              <w:rPr>
                <w:rFonts w:ascii="Sylfaen" w:hAnsi="Sylfaen"/>
                <w:noProof/>
              </w:rPr>
              <w:drawing>
                <wp:inline distT="0" distB="0" distL="0" distR="0" wp14:anchorId="7B850837" wp14:editId="3A8E7984">
                  <wp:extent cx="3111500" cy="2311604"/>
                  <wp:effectExtent l="0" t="0" r="12700" b="1270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2340B4" w:rsidRPr="00477D8F" w14:paraId="7A13B99E" w14:textId="77777777" w:rsidTr="00503F22">
        <w:trPr>
          <w:trHeight w:val="296"/>
        </w:trPr>
        <w:tc>
          <w:tcPr>
            <w:tcW w:w="9350" w:type="dxa"/>
            <w:hideMark/>
          </w:tcPr>
          <w:p w14:paraId="49CDDFE9" w14:textId="7026B2D0" w:rsidR="002340B4" w:rsidRPr="00477D8F" w:rsidRDefault="002340B4" w:rsidP="00503F22">
            <w:pPr>
              <w:pStyle w:val="Source"/>
            </w:pPr>
            <w:r w:rsidRPr="00477D8F">
              <w:rPr>
                <w:i/>
              </w:rPr>
              <w:t>Source:</w:t>
            </w:r>
            <w:r w:rsidRPr="00477D8F">
              <w:t xml:space="preserve"> MoF</w:t>
            </w:r>
            <w:r w:rsidR="00FB2FD8" w:rsidRPr="00477D8F">
              <w:t>EA</w:t>
            </w:r>
            <w:r w:rsidRPr="00477D8F">
              <w:t xml:space="preserve"> </w:t>
            </w:r>
            <w:r w:rsidR="00554CD5" w:rsidRPr="00477D8F">
              <w:t>b</w:t>
            </w:r>
            <w:r w:rsidRPr="00477D8F">
              <w:t xml:space="preserve">udget </w:t>
            </w:r>
            <w:r w:rsidR="00554CD5" w:rsidRPr="00477D8F">
              <w:t>d</w:t>
            </w:r>
            <w:r w:rsidRPr="00477D8F">
              <w:t>ata</w:t>
            </w:r>
            <w:r w:rsidR="002A7B54" w:rsidRPr="00477D8F">
              <w:t>.</w:t>
            </w:r>
          </w:p>
        </w:tc>
      </w:tr>
    </w:tbl>
    <w:p w14:paraId="5A443389" w14:textId="77777777" w:rsidR="00310C1A" w:rsidRPr="00477D8F" w:rsidRDefault="00310C1A" w:rsidP="00DA4A36">
      <w:pPr>
        <w:pStyle w:val="Heading3"/>
      </w:pPr>
      <w:r w:rsidRPr="00477D8F">
        <w:lastRenderedPageBreak/>
        <w:t xml:space="preserve">Functional allocation </w:t>
      </w:r>
    </w:p>
    <w:p w14:paraId="194AB62C" w14:textId="30982046" w:rsidR="00C647A8" w:rsidRPr="00477D8F" w:rsidRDefault="0079165E" w:rsidP="000D67AE">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The budget allocation in The Gambia is consistently biased toward basic education and the allocation to postsecondary is particularly low.</w:t>
      </w:r>
      <w:r w:rsidRPr="00477D8F">
        <w:rPr>
          <w:rFonts w:ascii="Sylfaen" w:hAnsi="Sylfaen"/>
        </w:rPr>
        <w:t xml:space="preserve"> The share of the budget allocated to basic education hovers around 75 percent while the share allocated to senior secondary and postsecondary hovers around 10 percent with a slight improvement over</w:t>
      </w:r>
      <w:r w:rsidR="00FB46DB" w:rsidRPr="00477D8F">
        <w:rPr>
          <w:rFonts w:ascii="Sylfaen" w:hAnsi="Sylfaen"/>
        </w:rPr>
        <w:t xml:space="preserve"> </w:t>
      </w:r>
      <w:r w:rsidRPr="00477D8F">
        <w:rPr>
          <w:rFonts w:ascii="Sylfaen" w:hAnsi="Sylfaen"/>
        </w:rPr>
        <w:t>time (</w:t>
      </w:r>
      <w:r w:rsidRPr="00477D8F">
        <w:rPr>
          <w:rFonts w:ascii="Sylfaen" w:hAnsi="Sylfaen"/>
        </w:rPr>
        <w:fldChar w:fldCharType="begin"/>
      </w:r>
      <w:r w:rsidRPr="00477D8F">
        <w:rPr>
          <w:rFonts w:ascii="Sylfaen" w:hAnsi="Sylfaen"/>
        </w:rPr>
        <w:instrText xml:space="preserve"> REF _Ref482648853 \h  \* MERGEFORMAT </w:instrText>
      </w:r>
      <w:r w:rsidRPr="00477D8F">
        <w:rPr>
          <w:rFonts w:ascii="Sylfaen" w:hAnsi="Sylfaen"/>
        </w:rPr>
      </w:r>
      <w:r w:rsidRPr="00477D8F">
        <w:rPr>
          <w:rFonts w:ascii="Sylfaen" w:hAnsi="Sylfaen"/>
        </w:rPr>
        <w:fldChar w:fldCharType="separate"/>
      </w:r>
      <w:r w:rsidR="00F800F3" w:rsidRPr="00477D8F">
        <w:rPr>
          <w:rFonts w:ascii="Sylfaen" w:hAnsi="Sylfaen"/>
          <w:bCs/>
        </w:rPr>
        <w:t>Figure 20</w:t>
      </w:r>
      <w:r w:rsidRPr="00477D8F">
        <w:rPr>
          <w:rFonts w:ascii="Sylfaen" w:hAnsi="Sylfaen"/>
        </w:rPr>
        <w:fldChar w:fldCharType="end"/>
      </w:r>
      <w:r w:rsidRPr="00477D8F">
        <w:rPr>
          <w:rFonts w:ascii="Sylfaen" w:hAnsi="Sylfaen"/>
        </w:rPr>
        <w:t xml:space="preserve">). As stated </w:t>
      </w:r>
      <w:r w:rsidR="00FB46DB" w:rsidRPr="00477D8F">
        <w:rPr>
          <w:rFonts w:ascii="Sylfaen" w:hAnsi="Sylfaen"/>
        </w:rPr>
        <w:t>earlier</w:t>
      </w:r>
      <w:r w:rsidRPr="00477D8F">
        <w:rPr>
          <w:rFonts w:ascii="Sylfaen" w:hAnsi="Sylfaen"/>
        </w:rPr>
        <w:t>, the spending by level of education is proportional to the enrollment distribution in the respective level of education</w:t>
      </w:r>
      <w:r w:rsidR="00FB46DB" w:rsidRPr="00477D8F">
        <w:rPr>
          <w:rFonts w:ascii="Sylfaen" w:hAnsi="Sylfaen"/>
        </w:rPr>
        <w:t>;</w:t>
      </w:r>
      <w:r w:rsidRPr="00477D8F">
        <w:rPr>
          <w:rFonts w:ascii="Sylfaen" w:hAnsi="Sylfaen"/>
        </w:rPr>
        <w:t xml:space="preserve"> however, most of the working</w:t>
      </w:r>
      <w:r w:rsidR="00FB46DB" w:rsidRPr="00477D8F">
        <w:rPr>
          <w:rFonts w:ascii="Sylfaen" w:hAnsi="Sylfaen"/>
        </w:rPr>
        <w:t>-</w:t>
      </w:r>
      <w:r w:rsidRPr="00477D8F">
        <w:rPr>
          <w:rFonts w:ascii="Sylfaen" w:hAnsi="Sylfaen"/>
        </w:rPr>
        <w:t>age population of The Gambia has no formal education (58 percent) and a very small segment has post</w:t>
      </w:r>
      <w:r w:rsidR="00793AAA" w:rsidRPr="00477D8F">
        <w:rPr>
          <w:rFonts w:ascii="Sylfaen" w:hAnsi="Sylfaen"/>
        </w:rPr>
        <w:t>-</w:t>
      </w:r>
      <w:r w:rsidRPr="00477D8F">
        <w:rPr>
          <w:rFonts w:ascii="Sylfaen" w:hAnsi="Sylfaen"/>
        </w:rPr>
        <w:t>basic education. Therefore, there is a need to improve the functional allocation of budget.</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10C1A" w:rsidRPr="00477D8F" w14:paraId="1C311AB6" w14:textId="77777777" w:rsidTr="00503F22">
        <w:trPr>
          <w:trHeight w:val="10"/>
        </w:trPr>
        <w:tc>
          <w:tcPr>
            <w:tcW w:w="9350" w:type="dxa"/>
            <w:hideMark/>
          </w:tcPr>
          <w:p w14:paraId="31E43E27" w14:textId="4F73BED3" w:rsidR="00310C1A" w:rsidRPr="00477D8F" w:rsidRDefault="00310C1A" w:rsidP="00503F22">
            <w:pPr>
              <w:pStyle w:val="Caption1"/>
            </w:pPr>
            <w:bookmarkStart w:id="122" w:name="_Ref482648853"/>
            <w:bookmarkStart w:id="123" w:name="_Toc482618627"/>
            <w:bookmarkStart w:id="124" w:name="_Toc482649983"/>
            <w:bookmarkStart w:id="125" w:name="_Toc497171790"/>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20</w:t>
            </w:r>
            <w:r w:rsidR="002E5BDF" w:rsidRPr="00477D8F">
              <w:rPr>
                <w:noProof/>
              </w:rPr>
              <w:fldChar w:fldCharType="end"/>
            </w:r>
            <w:bookmarkEnd w:id="122"/>
            <w:r w:rsidRPr="00477D8F">
              <w:t>: Budget allocation by level of education</w:t>
            </w:r>
            <w:bookmarkEnd w:id="123"/>
            <w:bookmarkEnd w:id="124"/>
            <w:bookmarkEnd w:id="125"/>
            <w:r w:rsidR="00272695" w:rsidRPr="00477D8F">
              <w:t xml:space="preserve"> </w:t>
            </w:r>
          </w:p>
        </w:tc>
      </w:tr>
      <w:tr w:rsidR="00310C1A" w:rsidRPr="00477D8F" w14:paraId="0EFC645C" w14:textId="77777777" w:rsidTr="00503F22">
        <w:trPr>
          <w:trHeight w:val="231"/>
        </w:trPr>
        <w:tc>
          <w:tcPr>
            <w:tcW w:w="9350" w:type="dxa"/>
            <w:hideMark/>
          </w:tcPr>
          <w:p w14:paraId="34C54532" w14:textId="77777777" w:rsidR="00310C1A" w:rsidRPr="00477D8F" w:rsidRDefault="00310C1A" w:rsidP="00503F22">
            <w:pPr>
              <w:jc w:val="both"/>
              <w:rPr>
                <w:rFonts w:ascii="Sylfaen" w:hAnsi="Sylfaen"/>
                <w:bCs/>
              </w:rPr>
            </w:pPr>
            <w:r w:rsidRPr="00477D8F">
              <w:rPr>
                <w:rFonts w:ascii="Sylfaen" w:hAnsi="Sylfaen"/>
                <w:noProof/>
              </w:rPr>
              <w:drawing>
                <wp:inline distT="0" distB="0" distL="0" distR="0" wp14:anchorId="40C2A89F" wp14:editId="06CBAE09">
                  <wp:extent cx="5947410" cy="2040940"/>
                  <wp:effectExtent l="0" t="0" r="15240" b="16510"/>
                  <wp:docPr id="579" name="Chart 5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310C1A" w:rsidRPr="00477D8F" w14:paraId="1B3A1671" w14:textId="77777777" w:rsidTr="00503F22">
        <w:trPr>
          <w:trHeight w:val="296"/>
        </w:trPr>
        <w:tc>
          <w:tcPr>
            <w:tcW w:w="9350" w:type="dxa"/>
            <w:hideMark/>
          </w:tcPr>
          <w:p w14:paraId="03A2E50F" w14:textId="132F74BE" w:rsidR="00310C1A" w:rsidRPr="00477D8F" w:rsidRDefault="00310C1A" w:rsidP="00503F22">
            <w:pPr>
              <w:pStyle w:val="Source"/>
            </w:pPr>
            <w:r w:rsidRPr="00477D8F">
              <w:rPr>
                <w:i/>
              </w:rPr>
              <w:t>Source:</w:t>
            </w:r>
            <w:r w:rsidRPr="00477D8F">
              <w:t xml:space="preserve"> MoF</w:t>
            </w:r>
            <w:r w:rsidR="00966485" w:rsidRPr="00477D8F">
              <w:t>EA</w:t>
            </w:r>
            <w:r w:rsidRPr="00477D8F">
              <w:t xml:space="preserve"> </w:t>
            </w:r>
            <w:r w:rsidR="00554CD5" w:rsidRPr="00477D8F">
              <w:t>b</w:t>
            </w:r>
            <w:r w:rsidRPr="00477D8F">
              <w:t xml:space="preserve">udget </w:t>
            </w:r>
            <w:r w:rsidR="00554CD5" w:rsidRPr="00477D8F">
              <w:t>d</w:t>
            </w:r>
            <w:r w:rsidRPr="00477D8F">
              <w:t>ata</w:t>
            </w:r>
            <w:r w:rsidR="002A7B54" w:rsidRPr="00477D8F">
              <w:t>.</w:t>
            </w:r>
          </w:p>
        </w:tc>
      </w:tr>
    </w:tbl>
    <w:p w14:paraId="55E9FAFA" w14:textId="165D1DF9" w:rsidR="004E49DA" w:rsidRPr="00477D8F" w:rsidRDefault="0079165E" w:rsidP="000D67AE">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bCs/>
        </w:rPr>
      </w:pPr>
      <w:r w:rsidRPr="00477D8F">
        <w:rPr>
          <w:rFonts w:ascii="Sylfaen" w:hAnsi="Sylfaen"/>
          <w:b/>
        </w:rPr>
        <w:t>An international comparison of the functional allocation of public spending confirms that The Gambia spends less on postsecondary education levels and more on the secondary level than other countries.</w:t>
      </w:r>
      <w:r w:rsidRPr="00477D8F">
        <w:rPr>
          <w:rFonts w:ascii="Sylfaen" w:hAnsi="Sylfaen"/>
        </w:rPr>
        <w:t xml:space="preserve"> From the data available on 36 SSA countries on spending by level of education, only six countries spend less on </w:t>
      </w:r>
      <w:r w:rsidR="00072A72" w:rsidRPr="00477D8F">
        <w:rPr>
          <w:rFonts w:ascii="Sylfaen" w:hAnsi="Sylfaen"/>
        </w:rPr>
        <w:t>postsecondary</w:t>
      </w:r>
      <w:r w:rsidRPr="00477D8F">
        <w:rPr>
          <w:rFonts w:ascii="Sylfaen" w:hAnsi="Sylfaen"/>
        </w:rPr>
        <w:t xml:space="preserve"> education compared to The Gambia whose spending is at 1</w:t>
      </w:r>
      <w:r w:rsidR="00456B80" w:rsidRPr="00477D8F">
        <w:rPr>
          <w:rFonts w:ascii="Sylfaen" w:hAnsi="Sylfaen"/>
        </w:rPr>
        <w:t>2.5</w:t>
      </w:r>
      <w:r w:rsidRPr="00477D8F">
        <w:rPr>
          <w:rFonts w:ascii="Sylfaen" w:hAnsi="Sylfaen"/>
        </w:rPr>
        <w:t xml:space="preserve"> percent (</w:t>
      </w:r>
      <w:r w:rsidRPr="00477D8F">
        <w:rPr>
          <w:rFonts w:ascii="Sylfaen" w:hAnsi="Sylfaen"/>
          <w:bCs/>
        </w:rPr>
        <w:fldChar w:fldCharType="begin"/>
      </w:r>
      <w:r w:rsidRPr="00477D8F">
        <w:rPr>
          <w:rFonts w:ascii="Sylfaen" w:hAnsi="Sylfaen"/>
          <w:bCs/>
        </w:rPr>
        <w:instrText xml:space="preserve"> REF _Ref483254642 \h  \* MERGEFORMAT </w:instrText>
      </w:r>
      <w:r w:rsidRPr="00477D8F">
        <w:rPr>
          <w:rFonts w:ascii="Sylfaen" w:hAnsi="Sylfaen"/>
          <w:bCs/>
        </w:rPr>
      </w:r>
      <w:r w:rsidRPr="00477D8F">
        <w:rPr>
          <w:rFonts w:ascii="Sylfaen" w:hAnsi="Sylfaen"/>
          <w:bCs/>
        </w:rPr>
        <w:fldChar w:fldCharType="separate"/>
      </w:r>
      <w:r w:rsidR="00F800F3" w:rsidRPr="00477D8F">
        <w:rPr>
          <w:rFonts w:ascii="Sylfaen" w:hAnsi="Sylfaen"/>
          <w:bCs/>
        </w:rPr>
        <w:t>Figure 21</w:t>
      </w:r>
      <w:r w:rsidRPr="00477D8F">
        <w:rPr>
          <w:rFonts w:ascii="Sylfaen" w:hAnsi="Sylfaen"/>
          <w:bCs/>
        </w:rPr>
        <w:fldChar w:fldCharType="end"/>
      </w:r>
      <w:r w:rsidRPr="00477D8F">
        <w:rPr>
          <w:rFonts w:ascii="Sylfaen" w:hAnsi="Sylfaen"/>
        </w:rPr>
        <w:t xml:space="preserve">). However, The Gambia’s spending on primary education stands at </w:t>
      </w:r>
      <w:r w:rsidR="00456B80" w:rsidRPr="00477D8F">
        <w:rPr>
          <w:rFonts w:ascii="Sylfaen" w:hAnsi="Sylfaen"/>
        </w:rPr>
        <w:t>51.1</w:t>
      </w:r>
      <w:r w:rsidRPr="00477D8F">
        <w:rPr>
          <w:rFonts w:ascii="Sylfaen" w:hAnsi="Sylfaen"/>
        </w:rPr>
        <w:t xml:space="preserve"> percent which is in line with the recommended benchmark of 50 percent</w:t>
      </w:r>
      <w:r w:rsidR="002A6740" w:rsidRPr="00477D8F">
        <w:rPr>
          <w:rFonts w:ascii="Sylfaen" w:hAnsi="Sylfaen"/>
        </w:rPr>
        <w:t xml:space="preserve"> by </w:t>
      </w:r>
      <w:r w:rsidR="002A7F47" w:rsidRPr="00477D8F">
        <w:rPr>
          <w:rFonts w:ascii="Sylfaen" w:eastAsia="Times New Roman" w:hAnsi="Sylfaen" w:cs="Times New Roman"/>
          <w:bCs/>
          <w:color w:val="000000"/>
        </w:rPr>
        <w:t>Global Partnership for Education</w:t>
      </w:r>
      <w:r w:rsidR="002A7F47" w:rsidRPr="00477D8F">
        <w:rPr>
          <w:rFonts w:ascii="Sylfaen" w:hAnsi="Sylfaen"/>
        </w:rPr>
        <w:t xml:space="preserve"> (</w:t>
      </w:r>
      <w:r w:rsidR="002A6740" w:rsidRPr="00477D8F">
        <w:rPr>
          <w:rFonts w:ascii="Sylfaen" w:hAnsi="Sylfaen"/>
        </w:rPr>
        <w:t>GPE</w:t>
      </w:r>
      <w:r w:rsidR="002A7F47" w:rsidRPr="00477D8F">
        <w:rPr>
          <w:rFonts w:ascii="Sylfaen" w:hAnsi="Sylfaen"/>
        </w:rPr>
        <w:t>)</w:t>
      </w:r>
      <w:r w:rsidR="002A6740" w:rsidRPr="00477D8F">
        <w:rPr>
          <w:rFonts w:ascii="Sylfaen" w:hAnsi="Sylfaen"/>
        </w:rPr>
        <w:t xml:space="preserve"> (former FTI)</w:t>
      </w:r>
      <w:r w:rsidRPr="00477D8F">
        <w:rPr>
          <w:rFonts w:ascii="Sylfaen" w:hAnsi="Sylfaen"/>
        </w:rPr>
        <w:t>, even though</w:t>
      </w:r>
      <w:r w:rsidRPr="00477D8F">
        <w:rPr>
          <w:rFonts w:ascii="Sylfaen" w:hAnsi="Sylfaen"/>
          <w:bCs/>
        </w:rPr>
        <w:t xml:space="preserve"> about a third of primary</w:t>
      </w:r>
      <w:r w:rsidR="003B559B" w:rsidRPr="00477D8F">
        <w:rPr>
          <w:rFonts w:ascii="Sylfaen" w:hAnsi="Sylfaen"/>
          <w:bCs/>
        </w:rPr>
        <w:t>-</w:t>
      </w:r>
      <w:r w:rsidRPr="00477D8F">
        <w:rPr>
          <w:rFonts w:ascii="Sylfaen" w:hAnsi="Sylfaen"/>
          <w:bCs/>
        </w:rPr>
        <w:t>school</w:t>
      </w:r>
      <w:r w:rsidR="003B559B" w:rsidRPr="00477D8F">
        <w:rPr>
          <w:rFonts w:ascii="Sylfaen" w:hAnsi="Sylfaen"/>
          <w:bCs/>
        </w:rPr>
        <w:t>-</w:t>
      </w:r>
      <w:r w:rsidRPr="00477D8F">
        <w:rPr>
          <w:rFonts w:ascii="Sylfaen" w:hAnsi="Sylfaen"/>
          <w:bCs/>
        </w:rPr>
        <w:t>age children are out of school</w:t>
      </w:r>
      <w:r w:rsidRPr="00477D8F">
        <w:rPr>
          <w:rFonts w:ascii="Sylfaen" w:hAnsi="Sylfaen"/>
        </w:rPr>
        <w:t>. The allocation to secondary education puts The Gambia among those SSA countries with a high share of public spending allocated to secondary education. In 2015, The Gambia spent 3</w:t>
      </w:r>
      <w:r w:rsidR="00456B80" w:rsidRPr="00477D8F">
        <w:rPr>
          <w:rFonts w:ascii="Sylfaen" w:hAnsi="Sylfaen"/>
        </w:rPr>
        <w:t>6.5</w:t>
      </w:r>
      <w:r w:rsidRPr="00477D8F">
        <w:rPr>
          <w:rFonts w:ascii="Sylfaen" w:hAnsi="Sylfaen"/>
        </w:rPr>
        <w:t xml:space="preserve"> percent in 2015 on secondary education level, but this comes at the expense of low allocation toward higher education. </w:t>
      </w:r>
      <w:r w:rsidR="003B559B" w:rsidRPr="00477D8F">
        <w:rPr>
          <w:rFonts w:ascii="Sylfaen" w:hAnsi="Sylfaen"/>
        </w:rPr>
        <w:t>Because</w:t>
      </w:r>
      <w:r w:rsidRPr="00477D8F">
        <w:rPr>
          <w:rFonts w:ascii="Sylfaen" w:hAnsi="Sylfaen"/>
        </w:rPr>
        <w:t xml:space="preserve"> the education sector management and budget system combine the spending on primary and lower secondary education, for a comparison of the functional allocation of the budget in the three levels of education</w:t>
      </w:r>
      <w:r w:rsidR="00AB7DAD" w:rsidRPr="00477D8F">
        <w:rPr>
          <w:rFonts w:ascii="Sylfaen" w:hAnsi="Sylfaen"/>
        </w:rPr>
        <w:t>,</w:t>
      </w:r>
      <w:r w:rsidRPr="00477D8F">
        <w:rPr>
          <w:rFonts w:ascii="Sylfaen" w:hAnsi="Sylfaen"/>
        </w:rPr>
        <w:t xml:space="preserve"> the level of spending on secondary education is found by adding the spending on lower secondary and upper secondary education. </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10C1A" w:rsidRPr="00477D8F" w14:paraId="74C03841" w14:textId="77777777" w:rsidTr="0052768C">
        <w:trPr>
          <w:trHeight w:val="229"/>
        </w:trPr>
        <w:tc>
          <w:tcPr>
            <w:tcW w:w="5000" w:type="pct"/>
          </w:tcPr>
          <w:p w14:paraId="42488FC4" w14:textId="4E3D8DC2" w:rsidR="00310C1A" w:rsidRPr="00477D8F" w:rsidRDefault="00310C1A" w:rsidP="0052768C">
            <w:pPr>
              <w:pStyle w:val="Caption1"/>
              <w:rPr>
                <w:rFonts w:eastAsia="Times New Roman"/>
              </w:rPr>
            </w:pPr>
            <w:bookmarkStart w:id="126" w:name="_Ref483254642"/>
            <w:bookmarkStart w:id="127" w:name="_Toc497171791"/>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21</w:t>
            </w:r>
            <w:r w:rsidR="002E5BDF" w:rsidRPr="00477D8F">
              <w:rPr>
                <w:noProof/>
              </w:rPr>
              <w:fldChar w:fldCharType="end"/>
            </w:r>
            <w:bookmarkEnd w:id="126"/>
            <w:r w:rsidRPr="00477D8F">
              <w:t xml:space="preserve">: </w:t>
            </w:r>
            <w:r w:rsidR="00807FA3" w:rsidRPr="00477D8F">
              <w:t xml:space="preserve">Distribution of </w:t>
            </w:r>
            <w:r w:rsidRPr="00477D8F">
              <w:t xml:space="preserve">public expenditure </w:t>
            </w:r>
            <w:r w:rsidR="00807FA3" w:rsidRPr="00477D8F">
              <w:t>by level of education</w:t>
            </w:r>
            <w:bookmarkEnd w:id="127"/>
          </w:p>
        </w:tc>
      </w:tr>
      <w:tr w:rsidR="00310C1A" w:rsidRPr="00477D8F" w14:paraId="2B45ACC4" w14:textId="77777777" w:rsidTr="0052768C">
        <w:trPr>
          <w:trHeight w:val="301"/>
        </w:trPr>
        <w:tc>
          <w:tcPr>
            <w:tcW w:w="5000" w:type="pct"/>
          </w:tcPr>
          <w:p w14:paraId="0D3AFE97" w14:textId="17F6DF18" w:rsidR="00310C1A" w:rsidRPr="00477D8F" w:rsidRDefault="004E49DA" w:rsidP="0052768C">
            <w:pPr>
              <w:jc w:val="both"/>
              <w:rPr>
                <w:rFonts w:ascii="Sylfaen" w:hAnsi="Sylfaen" w:cs="Times New Roman"/>
                <w:bCs/>
              </w:rPr>
            </w:pPr>
            <w:r w:rsidRPr="00477D8F">
              <w:rPr>
                <w:rFonts w:ascii="Sylfaen" w:hAnsi="Sylfaen"/>
                <w:noProof/>
              </w:rPr>
              <w:drawing>
                <wp:inline distT="0" distB="0" distL="0" distR="0" wp14:anchorId="74D95064" wp14:editId="5AB63BF1">
                  <wp:extent cx="5748793" cy="3119755"/>
                  <wp:effectExtent l="0" t="0" r="4445" b="444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r w:rsidR="00310C1A" w:rsidRPr="00477D8F" w14:paraId="78803BB6" w14:textId="77777777" w:rsidTr="0052768C">
        <w:trPr>
          <w:trHeight w:val="53"/>
        </w:trPr>
        <w:tc>
          <w:tcPr>
            <w:tcW w:w="5000" w:type="pct"/>
            <w:hideMark/>
          </w:tcPr>
          <w:p w14:paraId="2B01A0BD" w14:textId="0D53A91C" w:rsidR="00310C1A" w:rsidRPr="00477D8F" w:rsidRDefault="00310C1A" w:rsidP="0052768C">
            <w:pPr>
              <w:pStyle w:val="Source"/>
            </w:pPr>
            <w:r w:rsidRPr="00477D8F">
              <w:rPr>
                <w:rFonts w:eastAsia="Times New Roman"/>
                <w:i/>
              </w:rPr>
              <w:t>Source:</w:t>
            </w:r>
            <w:r w:rsidRPr="00477D8F">
              <w:rPr>
                <w:rFonts w:eastAsia="Times New Roman"/>
              </w:rPr>
              <w:t xml:space="preserve"> Authors’ calculation</w:t>
            </w:r>
            <w:r w:rsidRPr="00477D8F">
              <w:t xml:space="preserve"> </w:t>
            </w:r>
            <w:r w:rsidR="00807FA3" w:rsidRPr="00477D8F">
              <w:t>based on MoF</w:t>
            </w:r>
            <w:r w:rsidR="0060044B" w:rsidRPr="00477D8F">
              <w:t>EA</w:t>
            </w:r>
            <w:r w:rsidR="00807FA3" w:rsidRPr="00477D8F">
              <w:t xml:space="preserve"> budget </w:t>
            </w:r>
            <w:r w:rsidR="00554CD5" w:rsidRPr="00477D8F">
              <w:t>d</w:t>
            </w:r>
            <w:r w:rsidR="00807FA3" w:rsidRPr="00477D8F">
              <w:t xml:space="preserve">ata </w:t>
            </w:r>
            <w:r w:rsidRPr="00477D8F">
              <w:t>and UIS for comparison countries</w:t>
            </w:r>
            <w:r w:rsidR="002A7B54" w:rsidRPr="00477D8F">
              <w:t>.</w:t>
            </w:r>
          </w:p>
        </w:tc>
      </w:tr>
    </w:tbl>
    <w:p w14:paraId="40EE7604" w14:textId="77777777" w:rsidR="00310C1A" w:rsidRPr="00477D8F" w:rsidRDefault="00310C1A" w:rsidP="00DA4A36">
      <w:pPr>
        <w:pStyle w:val="Heading3"/>
      </w:pPr>
      <w:r w:rsidRPr="00477D8F">
        <w:t xml:space="preserve">Economic allocation </w:t>
      </w:r>
    </w:p>
    <w:p w14:paraId="2336420D" w14:textId="483549EA" w:rsidR="004732F8" w:rsidRPr="00477D8F" w:rsidRDefault="0079165E" w:rsidP="000D67AE">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The economic allocation of the budget in The Gambia is in line with the suggested best practice benchmark—</w:t>
      </w:r>
      <w:r w:rsidR="00F503F8" w:rsidRPr="00477D8F">
        <w:rPr>
          <w:rFonts w:ascii="Sylfaen" w:hAnsi="Sylfaen"/>
          <w:b/>
        </w:rPr>
        <w:t xml:space="preserve">one-third </w:t>
      </w:r>
      <w:r w:rsidRPr="00477D8F">
        <w:rPr>
          <w:rFonts w:ascii="Sylfaen" w:hAnsi="Sylfaen"/>
          <w:b/>
        </w:rPr>
        <w:t xml:space="preserve">of </w:t>
      </w:r>
      <w:r w:rsidR="007A6DEF" w:rsidRPr="00477D8F">
        <w:rPr>
          <w:rFonts w:ascii="Sylfaen" w:hAnsi="Sylfaen"/>
          <w:b/>
        </w:rPr>
        <w:t xml:space="preserve">the </w:t>
      </w:r>
      <w:r w:rsidR="00F503F8" w:rsidRPr="00477D8F">
        <w:rPr>
          <w:rFonts w:ascii="Sylfaen" w:hAnsi="Sylfaen"/>
          <w:b/>
        </w:rPr>
        <w:t xml:space="preserve">recurrent </w:t>
      </w:r>
      <w:r w:rsidRPr="00477D8F">
        <w:rPr>
          <w:rFonts w:ascii="Sylfaen" w:hAnsi="Sylfaen"/>
          <w:b/>
        </w:rPr>
        <w:t>budget is allocated to non-personnel recurrent spending to provide adequate school inputs at the school level</w:t>
      </w:r>
      <w:r w:rsidR="007A6DEF" w:rsidRPr="00477D8F">
        <w:rPr>
          <w:rFonts w:ascii="Sylfaen" w:hAnsi="Sylfaen"/>
          <w:b/>
        </w:rPr>
        <w:t>.</w:t>
      </w:r>
      <w:r w:rsidR="00F503F8" w:rsidRPr="00477D8F">
        <w:rPr>
          <w:rStyle w:val="FootnoteReference"/>
          <w:rFonts w:ascii="Sylfaen" w:hAnsi="Sylfaen"/>
          <w:b/>
        </w:rPr>
        <w:footnoteReference w:id="18"/>
      </w:r>
      <w:r w:rsidRPr="00477D8F">
        <w:rPr>
          <w:rFonts w:ascii="Sylfaen" w:hAnsi="Sylfaen"/>
          <w:b/>
        </w:rPr>
        <w:t xml:space="preserve"> </w:t>
      </w:r>
      <w:r w:rsidRPr="00477D8F">
        <w:rPr>
          <w:rFonts w:ascii="Sylfaen" w:hAnsi="Sylfaen"/>
        </w:rPr>
        <w:t xml:space="preserve">However, most of the non-personnel recurrent spending </w:t>
      </w:r>
      <w:r w:rsidR="006761BC" w:rsidRPr="00477D8F">
        <w:rPr>
          <w:rFonts w:ascii="Sylfaen" w:hAnsi="Sylfaen"/>
        </w:rPr>
        <w:t>is</w:t>
      </w:r>
      <w:r w:rsidRPr="00477D8F">
        <w:rPr>
          <w:rFonts w:ascii="Sylfaen" w:hAnsi="Sylfaen"/>
        </w:rPr>
        <w:t xml:space="preserve"> not consumed at the school level. At the postsecondary level, the share of personnel cost is higher </w:t>
      </w:r>
      <w:r w:rsidR="007A6DEF" w:rsidRPr="00477D8F">
        <w:rPr>
          <w:rFonts w:ascii="Sylfaen" w:hAnsi="Sylfaen"/>
        </w:rPr>
        <w:t>because</w:t>
      </w:r>
      <w:r w:rsidRPr="00477D8F">
        <w:rPr>
          <w:rFonts w:ascii="Sylfaen" w:hAnsi="Sylfaen"/>
        </w:rPr>
        <w:t xml:space="preserve"> </w:t>
      </w:r>
      <w:r w:rsidR="00BA69E5" w:rsidRPr="00477D8F">
        <w:rPr>
          <w:rFonts w:ascii="Sylfaen" w:hAnsi="Sylfaen"/>
        </w:rPr>
        <w:t>postsecondary</w:t>
      </w:r>
      <w:r w:rsidRPr="00477D8F">
        <w:rPr>
          <w:rFonts w:ascii="Sylfaen" w:hAnsi="Sylfaen"/>
        </w:rPr>
        <w:t xml:space="preserve"> education institutions are mandated to collect fees for services and these fees are used to hire permanent and part-time staff. The spending share at the postsecondary level is similar to the higher education spending pattern in most of the SSA countries. At the MoBSE, the share of recurrent spending between 2010 and 2014 stood around 80 percent but dropped to 71.7 percent in 2015, mainly due to the school grant program</w:t>
      </w:r>
      <w:r w:rsidR="00AB7DAD" w:rsidRPr="00477D8F">
        <w:rPr>
          <w:rFonts w:ascii="Sylfaen" w:hAnsi="Sylfaen"/>
        </w:rPr>
        <w:t>,</w:t>
      </w:r>
      <w:r w:rsidRPr="00477D8F">
        <w:rPr>
          <w:rFonts w:ascii="Sylfaen" w:hAnsi="Sylfaen"/>
        </w:rPr>
        <w:t xml:space="preserve"> which absorbs a high share of the non-personnel recurrent spending. For example, the non-salary recurrent spending accounted for 23 percent of the total recurrent spending in 2015 (which was 92.6 percent of the total MoBSE budget) but accounted for 15 percent of the total recurrent spending in 2014 (</w:t>
      </w:r>
      <w:r w:rsidRPr="00477D8F">
        <w:rPr>
          <w:rFonts w:ascii="Sylfaen" w:hAnsi="Sylfaen"/>
        </w:rPr>
        <w:fldChar w:fldCharType="begin"/>
      </w:r>
      <w:r w:rsidRPr="00477D8F">
        <w:rPr>
          <w:rFonts w:ascii="Sylfaen" w:hAnsi="Sylfaen"/>
        </w:rPr>
        <w:instrText xml:space="preserve"> REF _Ref482648869 \h  \* MERGEFORMAT </w:instrText>
      </w:r>
      <w:r w:rsidRPr="00477D8F">
        <w:rPr>
          <w:rFonts w:ascii="Sylfaen" w:hAnsi="Sylfaen"/>
        </w:rPr>
      </w:r>
      <w:r w:rsidRPr="00477D8F">
        <w:rPr>
          <w:rFonts w:ascii="Sylfaen" w:hAnsi="Sylfaen"/>
        </w:rPr>
        <w:fldChar w:fldCharType="separate"/>
      </w:r>
      <w:r w:rsidR="00F800F3" w:rsidRPr="00477D8F">
        <w:rPr>
          <w:rFonts w:ascii="Sylfaen" w:hAnsi="Sylfaen"/>
          <w:bCs/>
        </w:rPr>
        <w:t>Figure 22</w:t>
      </w:r>
      <w:r w:rsidRPr="00477D8F">
        <w:rPr>
          <w:rFonts w:ascii="Sylfaen" w:hAnsi="Sylfaen"/>
        </w:rPr>
        <w:fldChar w:fldCharType="end"/>
      </w:r>
      <w:r w:rsidRPr="00477D8F">
        <w:rPr>
          <w:rFonts w:ascii="Sylfaen" w:hAnsi="Sylfaen"/>
        </w:rPr>
        <w:t xml:space="preserve">). Importantly, </w:t>
      </w:r>
      <w:r w:rsidR="00492CE1" w:rsidRPr="00477D8F">
        <w:rPr>
          <w:rFonts w:ascii="Sylfaen" w:hAnsi="Sylfaen"/>
        </w:rPr>
        <w:t>because</w:t>
      </w:r>
      <w:r w:rsidRPr="00477D8F">
        <w:rPr>
          <w:rFonts w:ascii="Sylfaen" w:hAnsi="Sylfaen"/>
        </w:rPr>
        <w:t xml:space="preserve"> the non-salary spending is managed and executed (mostly) at the central level, the effectiveness of the economic allocation of the budget depends on how much of the non-salary recurrent spending is actually filtered down to the school level.</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310C1A" w:rsidRPr="00477D8F" w14:paraId="77272AF1" w14:textId="77777777" w:rsidTr="0052768C">
        <w:trPr>
          <w:trHeight w:val="10"/>
        </w:trPr>
        <w:tc>
          <w:tcPr>
            <w:tcW w:w="9350" w:type="dxa"/>
            <w:hideMark/>
          </w:tcPr>
          <w:p w14:paraId="481C0CE3" w14:textId="0B62E1C4" w:rsidR="00310C1A" w:rsidRPr="00477D8F" w:rsidRDefault="00310C1A" w:rsidP="0052768C">
            <w:pPr>
              <w:pStyle w:val="Caption1"/>
            </w:pPr>
            <w:bookmarkStart w:id="128" w:name="_Ref482648869"/>
            <w:bookmarkStart w:id="129" w:name="_Toc482618628"/>
            <w:bookmarkStart w:id="130" w:name="_Toc482649984"/>
            <w:bookmarkStart w:id="131" w:name="_Toc497171792"/>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22</w:t>
            </w:r>
            <w:r w:rsidR="002E5BDF" w:rsidRPr="00477D8F">
              <w:rPr>
                <w:noProof/>
              </w:rPr>
              <w:fldChar w:fldCharType="end"/>
            </w:r>
            <w:bookmarkEnd w:id="128"/>
            <w:r w:rsidRPr="00477D8F">
              <w:t xml:space="preserve">: </w:t>
            </w:r>
            <w:r w:rsidR="00807FA3" w:rsidRPr="00477D8F">
              <w:t>Tren</w:t>
            </w:r>
            <w:r w:rsidR="00072A72" w:rsidRPr="00477D8F">
              <w:t>d</w:t>
            </w:r>
            <w:r w:rsidR="00807FA3" w:rsidRPr="00477D8F">
              <w:t>s of breakdown of b</w:t>
            </w:r>
            <w:r w:rsidRPr="00477D8F">
              <w:t xml:space="preserve">udget allocation </w:t>
            </w:r>
            <w:bookmarkEnd w:id="129"/>
            <w:bookmarkEnd w:id="130"/>
            <w:r w:rsidR="00807FA3" w:rsidRPr="00477D8F">
              <w:t>by capita, personnel and non-personnel recurrent</w:t>
            </w:r>
            <w:bookmarkEnd w:id="131"/>
          </w:p>
        </w:tc>
      </w:tr>
      <w:tr w:rsidR="00310C1A" w:rsidRPr="00477D8F" w14:paraId="61AEF56D" w14:textId="77777777" w:rsidTr="0052768C">
        <w:trPr>
          <w:trHeight w:val="231"/>
        </w:trPr>
        <w:tc>
          <w:tcPr>
            <w:tcW w:w="9350" w:type="dxa"/>
            <w:hideMark/>
          </w:tcPr>
          <w:p w14:paraId="34A74E85" w14:textId="77777777" w:rsidR="00310C1A" w:rsidRPr="00477D8F" w:rsidRDefault="003E2ABA" w:rsidP="0052768C">
            <w:pPr>
              <w:jc w:val="both"/>
              <w:rPr>
                <w:rFonts w:ascii="Sylfaen" w:hAnsi="Sylfaen"/>
                <w:bCs/>
              </w:rPr>
            </w:pPr>
            <w:r w:rsidRPr="00477D8F">
              <w:rPr>
                <w:rFonts w:ascii="Sylfaen" w:hAnsi="Sylfaen"/>
                <w:noProof/>
              </w:rPr>
              <w:drawing>
                <wp:inline distT="0" distB="0" distL="0" distR="0" wp14:anchorId="36DA7321" wp14:editId="757F8F27">
                  <wp:extent cx="2490716" cy="2743200"/>
                  <wp:effectExtent l="0" t="0" r="508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477D8F">
              <w:rPr>
                <w:rFonts w:ascii="Sylfaen" w:hAnsi="Sylfaen"/>
                <w:noProof/>
              </w:rPr>
              <w:drawing>
                <wp:inline distT="0" distB="0" distL="0" distR="0" wp14:anchorId="39A3C706" wp14:editId="4D3B6FC4">
                  <wp:extent cx="3261815" cy="2743200"/>
                  <wp:effectExtent l="0" t="0" r="15240" b="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17C1E9C" w14:textId="77777777" w:rsidR="00310C1A" w:rsidRPr="00477D8F" w:rsidRDefault="00310C1A" w:rsidP="0052768C">
            <w:pPr>
              <w:jc w:val="both"/>
              <w:rPr>
                <w:rFonts w:ascii="Sylfaen" w:hAnsi="Sylfaen"/>
                <w:bCs/>
              </w:rPr>
            </w:pPr>
          </w:p>
        </w:tc>
      </w:tr>
      <w:tr w:rsidR="00310C1A" w:rsidRPr="00477D8F" w14:paraId="73EAF398" w14:textId="77777777" w:rsidTr="0052768C">
        <w:trPr>
          <w:trHeight w:val="296"/>
        </w:trPr>
        <w:tc>
          <w:tcPr>
            <w:tcW w:w="9350" w:type="dxa"/>
            <w:hideMark/>
          </w:tcPr>
          <w:p w14:paraId="100A3DA1" w14:textId="18E71FAE" w:rsidR="00310C1A" w:rsidRPr="00477D8F" w:rsidRDefault="00310C1A" w:rsidP="0052768C">
            <w:pPr>
              <w:pStyle w:val="Source"/>
            </w:pPr>
            <w:r w:rsidRPr="00477D8F">
              <w:rPr>
                <w:i/>
              </w:rPr>
              <w:t>Source:</w:t>
            </w:r>
            <w:r w:rsidRPr="00477D8F">
              <w:t xml:space="preserve"> MoF</w:t>
            </w:r>
            <w:r w:rsidR="005E5922" w:rsidRPr="00477D8F">
              <w:t>EA</w:t>
            </w:r>
            <w:r w:rsidRPr="00477D8F">
              <w:t xml:space="preserve"> </w:t>
            </w:r>
            <w:r w:rsidR="00554CD5" w:rsidRPr="00477D8F">
              <w:t>b</w:t>
            </w:r>
            <w:r w:rsidRPr="00477D8F">
              <w:t xml:space="preserve">udget </w:t>
            </w:r>
            <w:r w:rsidR="00554CD5" w:rsidRPr="00477D8F">
              <w:t>d</w:t>
            </w:r>
            <w:r w:rsidRPr="00477D8F">
              <w:t>ata</w:t>
            </w:r>
            <w:r w:rsidR="002A7B54" w:rsidRPr="00477D8F">
              <w:t>.</w:t>
            </w:r>
          </w:p>
        </w:tc>
      </w:tr>
    </w:tbl>
    <w:p w14:paraId="77B943AE" w14:textId="1988ACD4" w:rsidR="004732F8" w:rsidRPr="00477D8F" w:rsidRDefault="0079165E" w:rsidP="000D67AE">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Even though the non-salary spending is in line with the good practices benchmark</w:t>
      </w:r>
      <w:r w:rsidR="00AB7DAD" w:rsidRPr="00477D8F">
        <w:rPr>
          <w:rFonts w:ascii="Sylfaen" w:hAnsi="Sylfaen"/>
          <w:b/>
        </w:rPr>
        <w:t>,</w:t>
      </w:r>
      <w:r w:rsidRPr="00477D8F">
        <w:rPr>
          <w:rFonts w:ascii="Sylfaen" w:hAnsi="Sylfaen"/>
          <w:b/>
        </w:rPr>
        <w:t xml:space="preserve"> as shown above, the geographical allocation of the budget indicates that non-salary spending is limited at the regional level, making it difficult to allocate funding toward quality school inputs.</w:t>
      </w:r>
      <w:r w:rsidRPr="00477D8F">
        <w:rPr>
          <w:rFonts w:ascii="Sylfaen" w:hAnsi="Sylfaen"/>
        </w:rPr>
        <w:t xml:space="preserve"> At the regional level, the share of the MoBSE budget received was a</w:t>
      </w:r>
      <w:r w:rsidR="00C035A9" w:rsidRPr="00477D8F">
        <w:rPr>
          <w:rFonts w:ascii="Sylfaen" w:hAnsi="Sylfaen"/>
        </w:rPr>
        <w:t>bout</w:t>
      </w:r>
      <w:r w:rsidRPr="00477D8F">
        <w:rPr>
          <w:rFonts w:ascii="Sylfaen" w:hAnsi="Sylfaen"/>
        </w:rPr>
        <w:t xml:space="preserve"> 88 percent on average, only 7 percent of which was allocated to non-personnel spending (Figure 2</w:t>
      </w:r>
      <w:r w:rsidR="000B0ADB" w:rsidRPr="00477D8F">
        <w:rPr>
          <w:rFonts w:ascii="Sylfaen" w:hAnsi="Sylfaen"/>
        </w:rPr>
        <w:t>3</w:t>
      </w:r>
      <w:r w:rsidRPr="00477D8F">
        <w:rPr>
          <w:rFonts w:ascii="Sylfaen" w:hAnsi="Sylfaen"/>
        </w:rPr>
        <w:t xml:space="preserve"> left panel). Importantly, the non-personnel spending at the school level has increased from 3 percent in 2010 to 12 percent in 2015</w:t>
      </w:r>
      <w:r w:rsidR="000B0ADB" w:rsidRPr="00477D8F">
        <w:rPr>
          <w:rFonts w:ascii="Sylfaen" w:hAnsi="Sylfaen"/>
        </w:rPr>
        <w:t>—</w:t>
      </w:r>
      <w:r w:rsidRPr="00477D8F">
        <w:rPr>
          <w:rFonts w:ascii="Sylfaen" w:hAnsi="Sylfaen"/>
        </w:rPr>
        <w:t xml:space="preserve">an increase driven by the school grants </w:t>
      </w:r>
      <w:r w:rsidR="000B0ADB" w:rsidRPr="00477D8F">
        <w:rPr>
          <w:rFonts w:ascii="Sylfaen" w:hAnsi="Sylfaen"/>
        </w:rPr>
        <w:t>that</w:t>
      </w:r>
      <w:r w:rsidRPr="00477D8F">
        <w:rPr>
          <w:rFonts w:ascii="Sylfaen" w:hAnsi="Sylfaen"/>
        </w:rPr>
        <w:t xml:space="preserve"> accounted for 66 percent of the regional</w:t>
      </w:r>
      <w:r w:rsidR="000B0ADB" w:rsidRPr="00477D8F">
        <w:rPr>
          <w:rFonts w:ascii="Sylfaen" w:hAnsi="Sylfaen"/>
        </w:rPr>
        <w:t>-</w:t>
      </w:r>
      <w:r w:rsidRPr="00477D8F">
        <w:rPr>
          <w:rFonts w:ascii="Sylfaen" w:hAnsi="Sylfaen"/>
        </w:rPr>
        <w:t>level non-salary spending in 2015, but it could be potentially higher at the school level. On the other hand, the share of non-personnel spending is high at the central level (60 personnel on average)</w:t>
      </w:r>
      <w:r w:rsidR="000B0ADB" w:rsidRPr="00477D8F">
        <w:rPr>
          <w:rFonts w:ascii="Sylfaen" w:hAnsi="Sylfaen"/>
        </w:rPr>
        <w:t>;</w:t>
      </w:r>
      <w:r w:rsidRPr="00477D8F">
        <w:rPr>
          <w:rFonts w:ascii="Sylfaen" w:hAnsi="Sylfaen"/>
        </w:rPr>
        <w:t xml:space="preserve"> however</w:t>
      </w:r>
      <w:r w:rsidR="000B0ADB" w:rsidRPr="00477D8F">
        <w:rPr>
          <w:rFonts w:ascii="Sylfaen" w:hAnsi="Sylfaen"/>
        </w:rPr>
        <w:t>,</w:t>
      </w:r>
      <w:r w:rsidRPr="00477D8F">
        <w:rPr>
          <w:rFonts w:ascii="Sylfaen" w:hAnsi="Sylfaen"/>
        </w:rPr>
        <w:t xml:space="preserve"> most of the central</w:t>
      </w:r>
      <w:r w:rsidR="000B0ADB" w:rsidRPr="00477D8F">
        <w:rPr>
          <w:rFonts w:ascii="Sylfaen" w:hAnsi="Sylfaen"/>
        </w:rPr>
        <w:t>-</w:t>
      </w:r>
      <w:r w:rsidRPr="00477D8F">
        <w:rPr>
          <w:rFonts w:ascii="Sylfaen" w:hAnsi="Sylfaen"/>
        </w:rPr>
        <w:t xml:space="preserve">level non-personnel spending </w:t>
      </w:r>
      <w:r w:rsidR="000B0ADB" w:rsidRPr="00477D8F">
        <w:rPr>
          <w:rFonts w:ascii="Sylfaen" w:hAnsi="Sylfaen"/>
        </w:rPr>
        <w:t>is</w:t>
      </w:r>
      <w:r w:rsidRPr="00477D8F">
        <w:rPr>
          <w:rFonts w:ascii="Sylfaen" w:hAnsi="Sylfaen"/>
        </w:rPr>
        <w:t xml:space="preserve"> transferred to other institutions</w:t>
      </w:r>
      <w:r w:rsidR="00F503F8" w:rsidRPr="00477D8F">
        <w:rPr>
          <w:rFonts w:ascii="Sylfaen" w:hAnsi="Sylfaen"/>
        </w:rPr>
        <w:t xml:space="preserve"> </w:t>
      </w:r>
      <w:r w:rsidRPr="00477D8F">
        <w:rPr>
          <w:rFonts w:ascii="Sylfaen" w:hAnsi="Sylfaen"/>
        </w:rPr>
        <w:t>instead of serving as school</w:t>
      </w:r>
      <w:r w:rsidR="00BA7C71" w:rsidRPr="00477D8F">
        <w:rPr>
          <w:rFonts w:ascii="Sylfaen" w:hAnsi="Sylfaen"/>
        </w:rPr>
        <w:t>-</w:t>
      </w:r>
      <w:r w:rsidRPr="00477D8F">
        <w:rPr>
          <w:rFonts w:ascii="Sylfaen" w:hAnsi="Sylfaen"/>
        </w:rPr>
        <w:t>based input for quality improvement (</w:t>
      </w:r>
      <w:r w:rsidRPr="00477D8F">
        <w:rPr>
          <w:rFonts w:ascii="Sylfaen" w:hAnsi="Sylfaen"/>
        </w:rPr>
        <w:fldChar w:fldCharType="begin"/>
      </w:r>
      <w:r w:rsidRPr="00477D8F">
        <w:rPr>
          <w:rFonts w:ascii="Sylfaen" w:hAnsi="Sylfaen"/>
        </w:rPr>
        <w:instrText xml:space="preserve"> REF _Ref484469475 \h  \* MERGEFORMAT </w:instrText>
      </w:r>
      <w:r w:rsidRPr="00477D8F">
        <w:rPr>
          <w:rFonts w:ascii="Sylfaen" w:hAnsi="Sylfaen"/>
        </w:rPr>
      </w:r>
      <w:r w:rsidRPr="00477D8F">
        <w:rPr>
          <w:rFonts w:ascii="Sylfaen" w:hAnsi="Sylfaen"/>
        </w:rPr>
        <w:fldChar w:fldCharType="separate"/>
      </w:r>
      <w:r w:rsidR="00F800F3" w:rsidRPr="00477D8F">
        <w:rPr>
          <w:rFonts w:ascii="Sylfaen" w:hAnsi="Sylfaen"/>
          <w:bCs/>
        </w:rPr>
        <w:t xml:space="preserve">Figure </w:t>
      </w:r>
      <w:r w:rsidR="00F800F3" w:rsidRPr="00477D8F">
        <w:rPr>
          <w:rFonts w:ascii="Sylfaen" w:hAnsi="Sylfaen"/>
          <w:bCs/>
          <w:noProof/>
        </w:rPr>
        <w:t>23</w:t>
      </w:r>
      <w:r w:rsidRPr="00477D8F">
        <w:rPr>
          <w:rFonts w:ascii="Sylfaen" w:hAnsi="Sylfaen"/>
        </w:rPr>
        <w:fldChar w:fldCharType="end"/>
      </w:r>
      <w:r w:rsidRPr="00477D8F">
        <w:rPr>
          <w:rFonts w:ascii="Sylfaen" w:hAnsi="Sylfaen"/>
        </w:rPr>
        <w:t xml:space="preserve"> right panel). Overall, although the economic allocation of the budget seems to leave room for non-salary spending, such spending does not always filter down to the school level for quality improvements.</w:t>
      </w:r>
      <w:r w:rsidR="00272695" w:rsidRPr="00477D8F">
        <w:rPr>
          <w:rFonts w:ascii="Sylfaen" w:hAnsi="Sylfaen"/>
        </w:rPr>
        <w:t xml:space="preserve"> </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84FB9" w:rsidRPr="00477D8F" w14:paraId="1920706E" w14:textId="77777777" w:rsidTr="0052768C">
        <w:trPr>
          <w:trHeight w:val="10"/>
        </w:trPr>
        <w:tc>
          <w:tcPr>
            <w:tcW w:w="9350" w:type="dxa"/>
            <w:hideMark/>
          </w:tcPr>
          <w:p w14:paraId="0FED2E93" w14:textId="2B5B0979" w:rsidR="00684FB9" w:rsidRPr="00477D8F" w:rsidRDefault="00684FB9" w:rsidP="0052768C">
            <w:pPr>
              <w:pStyle w:val="Caption1"/>
            </w:pPr>
            <w:bookmarkStart w:id="132" w:name="_Ref484469475"/>
            <w:bookmarkStart w:id="133" w:name="_Toc497171793"/>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23</w:t>
            </w:r>
            <w:r w:rsidR="002E5BDF" w:rsidRPr="00477D8F">
              <w:rPr>
                <w:noProof/>
              </w:rPr>
              <w:fldChar w:fldCharType="end"/>
            </w:r>
            <w:bookmarkEnd w:id="132"/>
            <w:r w:rsidRPr="00477D8F">
              <w:t xml:space="preserve">: </w:t>
            </w:r>
            <w:r w:rsidR="00C07E72" w:rsidRPr="00477D8F">
              <w:t xml:space="preserve">Trends of breakdown budget allocation </w:t>
            </w:r>
            <w:r w:rsidR="00807FA3" w:rsidRPr="00477D8F">
              <w:t>by central and regional</w:t>
            </w:r>
            <w:r w:rsidR="00F503F8" w:rsidRPr="00477D8F">
              <w:t xml:space="preserve"> (left)</w:t>
            </w:r>
            <w:r w:rsidR="00807FA3" w:rsidRPr="00477D8F">
              <w:t xml:space="preserve"> and breakdown of non-salary recurrent spending at central level by major categories</w:t>
            </w:r>
            <w:r w:rsidR="00F503F8" w:rsidRPr="00477D8F">
              <w:t xml:space="preserve"> (right)</w:t>
            </w:r>
            <w:bookmarkEnd w:id="133"/>
          </w:p>
        </w:tc>
      </w:tr>
      <w:tr w:rsidR="00684FB9" w:rsidRPr="00477D8F" w14:paraId="2DA856C8" w14:textId="77777777" w:rsidTr="0052768C">
        <w:trPr>
          <w:trHeight w:val="231"/>
        </w:trPr>
        <w:tc>
          <w:tcPr>
            <w:tcW w:w="9350" w:type="dxa"/>
            <w:hideMark/>
          </w:tcPr>
          <w:p w14:paraId="0C85FA31" w14:textId="58AA332F" w:rsidR="00684FB9" w:rsidRPr="00477D8F" w:rsidRDefault="007963AF" w:rsidP="0052768C">
            <w:pPr>
              <w:jc w:val="both"/>
              <w:rPr>
                <w:rFonts w:ascii="Sylfaen" w:hAnsi="Sylfaen"/>
                <w:bCs/>
              </w:rPr>
            </w:pPr>
            <w:r w:rsidRPr="00477D8F">
              <w:rPr>
                <w:rFonts w:ascii="Sylfaen" w:hAnsi="Sylfaen"/>
                <w:noProof/>
              </w:rPr>
              <w:drawing>
                <wp:inline distT="0" distB="0" distL="0" distR="0" wp14:anchorId="1F843FAE" wp14:editId="2F8BAA96">
                  <wp:extent cx="2661313" cy="2579427"/>
                  <wp:effectExtent l="0" t="0" r="5715" b="1143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00272695" w:rsidRPr="00477D8F">
              <w:rPr>
                <w:rFonts w:ascii="Sylfaen" w:hAnsi="Sylfaen"/>
              </w:rPr>
              <w:t xml:space="preserve"> </w:t>
            </w:r>
            <w:r w:rsidR="00894748" w:rsidRPr="00477D8F">
              <w:rPr>
                <w:rFonts w:ascii="Sylfaen" w:hAnsi="Sylfaen"/>
                <w:noProof/>
              </w:rPr>
              <w:drawing>
                <wp:inline distT="0" distB="0" distL="0" distR="0" wp14:anchorId="1C1C150F" wp14:editId="7C60AEBF">
                  <wp:extent cx="2988310" cy="2565315"/>
                  <wp:effectExtent l="0" t="0" r="2540" b="6985"/>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ADBCF32" w14:textId="77777777" w:rsidR="00684FB9" w:rsidRPr="00477D8F" w:rsidRDefault="00684FB9" w:rsidP="0052768C">
            <w:pPr>
              <w:jc w:val="both"/>
              <w:rPr>
                <w:rFonts w:ascii="Sylfaen" w:hAnsi="Sylfaen"/>
                <w:bCs/>
              </w:rPr>
            </w:pPr>
          </w:p>
        </w:tc>
      </w:tr>
      <w:tr w:rsidR="00684FB9" w:rsidRPr="00477D8F" w14:paraId="0A1D5D4C" w14:textId="77777777" w:rsidTr="0052768C">
        <w:trPr>
          <w:trHeight w:val="296"/>
        </w:trPr>
        <w:tc>
          <w:tcPr>
            <w:tcW w:w="9350" w:type="dxa"/>
            <w:hideMark/>
          </w:tcPr>
          <w:p w14:paraId="2E15F12D" w14:textId="0733B433" w:rsidR="00684FB9" w:rsidRPr="00477D8F" w:rsidRDefault="00684FB9" w:rsidP="0052768C">
            <w:pPr>
              <w:pStyle w:val="Source"/>
            </w:pPr>
            <w:r w:rsidRPr="00477D8F">
              <w:rPr>
                <w:i/>
              </w:rPr>
              <w:t>Source:</w:t>
            </w:r>
            <w:r w:rsidRPr="00477D8F">
              <w:t xml:space="preserve"> MoF</w:t>
            </w:r>
            <w:r w:rsidR="00BA69E5" w:rsidRPr="00477D8F">
              <w:t>EA</w:t>
            </w:r>
            <w:r w:rsidRPr="00477D8F">
              <w:t xml:space="preserve"> </w:t>
            </w:r>
            <w:r w:rsidR="00554CD5" w:rsidRPr="00477D8F">
              <w:t>b</w:t>
            </w:r>
            <w:r w:rsidRPr="00477D8F">
              <w:t xml:space="preserve">udget </w:t>
            </w:r>
            <w:r w:rsidR="00554CD5" w:rsidRPr="00477D8F">
              <w:t>d</w:t>
            </w:r>
            <w:r w:rsidRPr="00477D8F">
              <w:t>ata</w:t>
            </w:r>
            <w:r w:rsidR="002A7B54" w:rsidRPr="00477D8F">
              <w:t>.</w:t>
            </w:r>
          </w:p>
          <w:p w14:paraId="1AD21FDF" w14:textId="0CA4EF63" w:rsidR="001125F6" w:rsidRPr="00477D8F" w:rsidRDefault="001125F6" w:rsidP="0052768C">
            <w:pPr>
              <w:pStyle w:val="Source"/>
            </w:pPr>
            <w:r w:rsidRPr="00477D8F">
              <w:rPr>
                <w:i/>
              </w:rPr>
              <w:t>Note</w:t>
            </w:r>
            <w:r w:rsidR="00807FA3" w:rsidRPr="00477D8F">
              <w:rPr>
                <w:i/>
              </w:rPr>
              <w:t>:</w:t>
            </w:r>
            <w:r w:rsidRPr="00477D8F">
              <w:t xml:space="preserve"> </w:t>
            </w:r>
            <w:r w:rsidR="00867955" w:rsidRPr="00477D8F">
              <w:t>C</w:t>
            </w:r>
            <w:r w:rsidRPr="00477D8F">
              <w:t>entral</w:t>
            </w:r>
            <w:r w:rsidR="00554CD5" w:rsidRPr="00477D8F">
              <w:t>-</w:t>
            </w:r>
            <w:r w:rsidRPr="00477D8F">
              <w:t xml:space="preserve">level spending refers to </w:t>
            </w:r>
            <w:r w:rsidR="00554CD5" w:rsidRPr="00477D8F">
              <w:t xml:space="preserve">the </w:t>
            </w:r>
            <w:r w:rsidRPr="00477D8F">
              <w:t>MoBSE management unit while regional</w:t>
            </w:r>
            <w:r w:rsidR="00554CD5" w:rsidRPr="00477D8F">
              <w:t>-</w:t>
            </w:r>
            <w:r w:rsidRPr="00477D8F">
              <w:t>level spending refers to school</w:t>
            </w:r>
            <w:r w:rsidR="00554CD5" w:rsidRPr="00477D8F">
              <w:t>-</w:t>
            </w:r>
            <w:r w:rsidRPr="00477D8F">
              <w:t>level spending</w:t>
            </w:r>
            <w:r w:rsidR="002A7B54" w:rsidRPr="00477D8F">
              <w:t>.</w:t>
            </w:r>
          </w:p>
        </w:tc>
      </w:tr>
    </w:tbl>
    <w:p w14:paraId="677B1415" w14:textId="77777777" w:rsidR="00894748" w:rsidRPr="00477D8F" w:rsidRDefault="00894748">
      <w:pPr>
        <w:rPr>
          <w:rFonts w:ascii="Sylfaen" w:hAnsi="Sylfaen" w:cs="Times New Roman"/>
          <w:bCs/>
        </w:rPr>
      </w:pPr>
      <w:r w:rsidRPr="00477D8F">
        <w:rPr>
          <w:rFonts w:ascii="Sylfaen" w:hAnsi="Sylfaen" w:cs="Times New Roman"/>
          <w:bCs/>
        </w:rPr>
        <w:br w:type="page"/>
      </w:r>
    </w:p>
    <w:p w14:paraId="77BE5F0A" w14:textId="5E9DAE8B" w:rsidR="00310C1A" w:rsidRPr="00477D8F" w:rsidRDefault="00310C1A" w:rsidP="00ED0E68">
      <w:pPr>
        <w:pStyle w:val="Heading1"/>
      </w:pPr>
      <w:bookmarkStart w:id="134" w:name="_Toc497171868"/>
      <w:r w:rsidRPr="00477D8F">
        <w:lastRenderedPageBreak/>
        <w:t xml:space="preserve">Adequacy and </w:t>
      </w:r>
      <w:r w:rsidR="0080397B" w:rsidRPr="00477D8F">
        <w:t>S</w:t>
      </w:r>
      <w:r w:rsidR="009D7B61" w:rsidRPr="00477D8F">
        <w:t>ustainability</w:t>
      </w:r>
      <w:r w:rsidR="0080397B" w:rsidRPr="00477D8F">
        <w:t xml:space="preserve"> of Public S</w:t>
      </w:r>
      <w:r w:rsidRPr="00477D8F">
        <w:t>pending</w:t>
      </w:r>
      <w:bookmarkEnd w:id="134"/>
    </w:p>
    <w:p w14:paraId="12499683" w14:textId="315862D7" w:rsidR="00823219" w:rsidRPr="00477D8F" w:rsidRDefault="00823219" w:rsidP="00823219">
      <w:pPr>
        <w:spacing w:before="240" w:after="240" w:line="240" w:lineRule="auto"/>
        <w:jc w:val="both"/>
        <w:rPr>
          <w:rFonts w:ascii="Sylfaen" w:hAnsi="Sylfaen"/>
          <w:i/>
        </w:rPr>
      </w:pPr>
      <w:r w:rsidRPr="00477D8F">
        <w:rPr>
          <w:rFonts w:ascii="Sylfaen" w:hAnsi="Sylfaen"/>
          <w:i/>
        </w:rPr>
        <w:t>Key findings from this section include</w:t>
      </w:r>
      <w:r w:rsidR="000070C4" w:rsidRPr="00477D8F">
        <w:rPr>
          <w:rFonts w:ascii="Sylfaen" w:hAnsi="Sylfaen"/>
          <w:i/>
        </w:rPr>
        <w:t xml:space="preserve"> the following</w:t>
      </w:r>
      <w:r w:rsidRPr="00477D8F">
        <w:rPr>
          <w:rFonts w:ascii="Sylfaen" w:hAnsi="Sylfaen"/>
          <w:i/>
        </w:rPr>
        <w:t xml:space="preserve">: (a) </w:t>
      </w:r>
      <w:r w:rsidR="00E518A1" w:rsidRPr="00477D8F">
        <w:rPr>
          <w:rFonts w:ascii="Sylfaen" w:hAnsi="Sylfaen"/>
          <w:i/>
        </w:rPr>
        <w:t>T</w:t>
      </w:r>
      <w:r w:rsidRPr="00477D8F">
        <w:rPr>
          <w:rFonts w:ascii="Sylfaen" w:hAnsi="Sylfaen"/>
          <w:i/>
        </w:rPr>
        <w:t>he education sector is underfunded—it receives only 3.2 percent share of GDP</w:t>
      </w:r>
      <w:r w:rsidR="00FF333E" w:rsidRPr="00477D8F">
        <w:rPr>
          <w:rFonts w:ascii="Sylfaen" w:hAnsi="Sylfaen"/>
          <w:i/>
        </w:rPr>
        <w:t>,</w:t>
      </w:r>
      <w:r w:rsidRPr="00477D8F">
        <w:rPr>
          <w:rFonts w:ascii="Sylfaen" w:hAnsi="Sylfaen"/>
          <w:i/>
        </w:rPr>
        <w:t xml:space="preserve"> which is below the recommended level of 4</w:t>
      </w:r>
      <w:r w:rsidR="00FF333E" w:rsidRPr="00477D8F">
        <w:rPr>
          <w:rFonts w:ascii="Sylfaen" w:hAnsi="Sylfaen"/>
          <w:i/>
        </w:rPr>
        <w:t>–</w:t>
      </w:r>
      <w:r w:rsidRPr="00477D8F">
        <w:rPr>
          <w:rFonts w:ascii="Sylfaen" w:hAnsi="Sylfaen"/>
          <w:i/>
        </w:rPr>
        <w:t>6 percent; (b) The cost of education has been increasing as measured by the unit cost.</w:t>
      </w:r>
      <w:r w:rsidR="00272695" w:rsidRPr="00477D8F">
        <w:rPr>
          <w:rFonts w:ascii="Sylfaen" w:hAnsi="Sylfaen"/>
          <w:i/>
        </w:rPr>
        <w:t xml:space="preserve"> </w:t>
      </w:r>
      <w:r w:rsidRPr="00477D8F">
        <w:rPr>
          <w:rFonts w:ascii="Sylfaen" w:hAnsi="Sylfaen"/>
          <w:i/>
        </w:rPr>
        <w:t xml:space="preserve">This increase might not be sustainable because of the fiscal constraints and </w:t>
      </w:r>
      <w:r w:rsidR="002012BA" w:rsidRPr="00477D8F">
        <w:rPr>
          <w:rFonts w:ascii="Sylfaen" w:hAnsi="Sylfaen"/>
          <w:i/>
        </w:rPr>
        <w:t xml:space="preserve">the </w:t>
      </w:r>
      <w:r w:rsidRPr="00477D8F">
        <w:rPr>
          <w:rFonts w:ascii="Sylfaen" w:hAnsi="Sylfaen"/>
          <w:i/>
        </w:rPr>
        <w:t>large number of children that are still out</w:t>
      </w:r>
      <w:r w:rsidR="002012BA" w:rsidRPr="00477D8F">
        <w:rPr>
          <w:rFonts w:ascii="Sylfaen" w:hAnsi="Sylfaen"/>
          <w:i/>
        </w:rPr>
        <w:t xml:space="preserve"> </w:t>
      </w:r>
      <w:r w:rsidRPr="00477D8F">
        <w:rPr>
          <w:rFonts w:ascii="Sylfaen" w:hAnsi="Sylfaen"/>
          <w:i/>
        </w:rPr>
        <w:t>of</w:t>
      </w:r>
      <w:r w:rsidR="002012BA" w:rsidRPr="00477D8F">
        <w:rPr>
          <w:rFonts w:ascii="Sylfaen" w:hAnsi="Sylfaen"/>
          <w:i/>
        </w:rPr>
        <w:t xml:space="preserve"> </w:t>
      </w:r>
      <w:r w:rsidRPr="00477D8F">
        <w:rPr>
          <w:rFonts w:ascii="Sylfaen" w:hAnsi="Sylfaen"/>
          <w:i/>
        </w:rPr>
        <w:t xml:space="preserve">school; (c) </w:t>
      </w:r>
      <w:r w:rsidR="00E518A1" w:rsidRPr="00477D8F">
        <w:rPr>
          <w:rFonts w:ascii="Sylfaen" w:hAnsi="Sylfaen"/>
          <w:i/>
        </w:rPr>
        <w:t>T</w:t>
      </w:r>
      <w:r w:rsidRPr="00477D8F">
        <w:rPr>
          <w:rFonts w:ascii="Sylfaen" w:hAnsi="Sylfaen"/>
          <w:i/>
        </w:rPr>
        <w:t xml:space="preserve">eacher’s salaries remain low (1.9 times GDP per capita) and below the benchmark level (3.5 times GDP per capita). Although the government does use a varying allowance scheme to attract teachers in remote areas and to cater for special needs such as the </w:t>
      </w:r>
      <w:r w:rsidR="00BA69E5" w:rsidRPr="00477D8F">
        <w:rPr>
          <w:rFonts w:ascii="Sylfaen" w:hAnsi="Sylfaen"/>
          <w:i/>
        </w:rPr>
        <w:t xml:space="preserve">hardship allowance and </w:t>
      </w:r>
      <w:r w:rsidRPr="00477D8F">
        <w:rPr>
          <w:rFonts w:ascii="Sylfaen" w:hAnsi="Sylfaen"/>
          <w:i/>
        </w:rPr>
        <w:t xml:space="preserve">double shift system, teachers are typically paid at a lesser rate than the other public sector workers; (d) </w:t>
      </w:r>
      <w:r w:rsidR="00E518A1" w:rsidRPr="00477D8F">
        <w:rPr>
          <w:rFonts w:ascii="Sylfaen" w:hAnsi="Sylfaen"/>
          <w:i/>
        </w:rPr>
        <w:t>T</w:t>
      </w:r>
      <w:r w:rsidRPr="00477D8F">
        <w:rPr>
          <w:rFonts w:ascii="Sylfaen" w:hAnsi="Sylfaen"/>
          <w:i/>
        </w:rPr>
        <w:t>eachers consume the highest share of the budget at the school level. This is mainly driven by the large growth in the supply of teachers (the number of teachers grew annually by 11 percent compared with student growth of 5 percent between 20</w:t>
      </w:r>
      <w:r w:rsidR="00BA69E5" w:rsidRPr="00477D8F">
        <w:rPr>
          <w:rFonts w:ascii="Sylfaen" w:hAnsi="Sylfaen"/>
          <w:i/>
        </w:rPr>
        <w:t>09</w:t>
      </w:r>
      <w:r w:rsidRPr="00477D8F">
        <w:rPr>
          <w:rFonts w:ascii="Sylfaen" w:hAnsi="Sylfaen"/>
          <w:i/>
        </w:rPr>
        <w:t xml:space="preserve"> and 2015); (e) The student-teacher ratio (STR) has been declining (41:1 to 33:1) and it now stands below the recommended level at LBS (40</w:t>
      </w:r>
      <w:r w:rsidR="00BA69E5" w:rsidRPr="00477D8F">
        <w:rPr>
          <w:rFonts w:ascii="Sylfaen" w:hAnsi="Sylfaen"/>
          <w:i/>
        </w:rPr>
        <w:t>:</w:t>
      </w:r>
      <w:r w:rsidRPr="00477D8F">
        <w:rPr>
          <w:rFonts w:ascii="Sylfaen" w:hAnsi="Sylfaen"/>
          <w:i/>
        </w:rPr>
        <w:t xml:space="preserve">1); (f) The key driver of the growth in the teacher’s supply is </w:t>
      </w:r>
      <w:r w:rsidRPr="00477D8F">
        <w:rPr>
          <w:rFonts w:ascii="Sylfaen" w:hAnsi="Sylfaen" w:cs="Times New Roman"/>
          <w:i/>
        </w:rPr>
        <w:t>the government’s arrangement of teacher trainees</w:t>
      </w:r>
      <w:r w:rsidR="00A36F56" w:rsidRPr="00477D8F">
        <w:rPr>
          <w:rFonts w:ascii="Sylfaen" w:hAnsi="Sylfaen" w:cs="Times New Roman"/>
          <w:i/>
        </w:rPr>
        <w:t>,</w:t>
      </w:r>
      <w:r w:rsidRPr="00477D8F">
        <w:rPr>
          <w:rFonts w:ascii="Sylfaen" w:hAnsi="Sylfaen" w:cs="Times New Roman"/>
          <w:i/>
        </w:rPr>
        <w:t xml:space="preserve"> which is not based on the demand for teachers and is done without prior strategic planning. Given the limited fiscal space and the education sector needs, this approach is not affordable and sustainable; </w:t>
      </w:r>
      <w:r w:rsidR="00CD5E11" w:rsidRPr="00477D8F">
        <w:rPr>
          <w:rFonts w:ascii="Sylfaen" w:hAnsi="Sylfaen" w:cs="Times New Roman"/>
          <w:i/>
        </w:rPr>
        <w:t xml:space="preserve">and </w:t>
      </w:r>
      <w:r w:rsidRPr="00477D8F">
        <w:rPr>
          <w:rFonts w:ascii="Sylfaen" w:hAnsi="Sylfaen" w:cs="Times New Roman"/>
          <w:i/>
        </w:rPr>
        <w:t>(g)</w:t>
      </w:r>
      <w:r w:rsidRPr="00477D8F">
        <w:rPr>
          <w:rFonts w:ascii="Sylfaen" w:hAnsi="Sylfaen"/>
        </w:rPr>
        <w:t xml:space="preserve"> </w:t>
      </w:r>
      <w:r w:rsidR="00E518A1" w:rsidRPr="00477D8F">
        <w:rPr>
          <w:rFonts w:ascii="Sylfaen" w:hAnsi="Sylfaen"/>
          <w:i/>
        </w:rPr>
        <w:t>T</w:t>
      </w:r>
      <w:r w:rsidRPr="00477D8F">
        <w:rPr>
          <w:rFonts w:ascii="Sylfaen" w:hAnsi="Sylfaen"/>
          <w:i/>
        </w:rPr>
        <w:t xml:space="preserve">he disparities in availability of adequate school infrastructure, including school locations, affect the </w:t>
      </w:r>
      <w:r w:rsidR="00D6105C" w:rsidRPr="00477D8F">
        <w:rPr>
          <w:rFonts w:ascii="Sylfaen" w:hAnsi="Sylfaen"/>
          <w:i/>
        </w:rPr>
        <w:t xml:space="preserve">various </w:t>
      </w:r>
      <w:r w:rsidRPr="00477D8F">
        <w:rPr>
          <w:rFonts w:ascii="Sylfaen" w:hAnsi="Sylfaen"/>
          <w:i/>
        </w:rPr>
        <w:t>level</w:t>
      </w:r>
      <w:r w:rsidR="00D6105C" w:rsidRPr="00477D8F">
        <w:rPr>
          <w:rFonts w:ascii="Sylfaen" w:hAnsi="Sylfaen"/>
          <w:i/>
        </w:rPr>
        <w:t>s</w:t>
      </w:r>
      <w:r w:rsidRPr="00477D8F">
        <w:rPr>
          <w:rFonts w:ascii="Sylfaen" w:hAnsi="Sylfaen"/>
          <w:i/>
        </w:rPr>
        <w:t xml:space="preserve"> of education differently, and </w:t>
      </w:r>
      <w:r w:rsidR="00D6105C" w:rsidRPr="00477D8F">
        <w:rPr>
          <w:rFonts w:ascii="Sylfaen" w:hAnsi="Sylfaen"/>
          <w:i/>
        </w:rPr>
        <w:t xml:space="preserve">this </w:t>
      </w:r>
      <w:r w:rsidRPr="00477D8F">
        <w:rPr>
          <w:rFonts w:ascii="Sylfaen" w:hAnsi="Sylfaen"/>
          <w:i/>
        </w:rPr>
        <w:t>is adversely linked to learning outcomes in The Gambia. Although the government is on the right path to achiev</w:t>
      </w:r>
      <w:r w:rsidR="00434BFD" w:rsidRPr="00477D8F">
        <w:rPr>
          <w:rFonts w:ascii="Sylfaen" w:hAnsi="Sylfaen"/>
          <w:i/>
        </w:rPr>
        <w:t>e</w:t>
      </w:r>
      <w:r w:rsidRPr="00477D8F">
        <w:rPr>
          <w:rFonts w:ascii="Sylfaen" w:hAnsi="Sylfaen"/>
          <w:i/>
        </w:rPr>
        <w:t xml:space="preserve"> the goal of providing a school within </w:t>
      </w:r>
      <w:r w:rsidR="008C47B8" w:rsidRPr="00477D8F">
        <w:rPr>
          <w:rFonts w:ascii="Sylfaen" w:hAnsi="Sylfaen"/>
          <w:i/>
        </w:rPr>
        <w:t>3</w:t>
      </w:r>
      <w:r w:rsidRPr="00477D8F">
        <w:rPr>
          <w:rFonts w:ascii="Sylfaen" w:hAnsi="Sylfaen"/>
          <w:i/>
        </w:rPr>
        <w:t>k</w:t>
      </w:r>
      <w:r w:rsidR="008C47B8" w:rsidRPr="00477D8F">
        <w:rPr>
          <w:rFonts w:ascii="Sylfaen" w:hAnsi="Sylfaen"/>
          <w:i/>
        </w:rPr>
        <w:t>m</w:t>
      </w:r>
      <w:r w:rsidRPr="00477D8F">
        <w:rPr>
          <w:rFonts w:ascii="Sylfaen" w:hAnsi="Sylfaen"/>
          <w:i/>
        </w:rPr>
        <w:t xml:space="preserve"> of communities and provision of some school</w:t>
      </w:r>
      <w:r w:rsidR="00434BFD" w:rsidRPr="00477D8F">
        <w:rPr>
          <w:rFonts w:ascii="Sylfaen" w:hAnsi="Sylfaen"/>
          <w:i/>
        </w:rPr>
        <w:t>-</w:t>
      </w:r>
      <w:r w:rsidRPr="00477D8F">
        <w:rPr>
          <w:rFonts w:ascii="Sylfaen" w:hAnsi="Sylfaen"/>
          <w:i/>
        </w:rPr>
        <w:t xml:space="preserve">level inputs </w:t>
      </w:r>
      <w:r w:rsidR="00434BFD" w:rsidRPr="00477D8F">
        <w:rPr>
          <w:rFonts w:ascii="Sylfaen" w:hAnsi="Sylfaen"/>
          <w:i/>
        </w:rPr>
        <w:t>is</w:t>
      </w:r>
      <w:r w:rsidRPr="00477D8F">
        <w:rPr>
          <w:rFonts w:ascii="Sylfaen" w:hAnsi="Sylfaen"/>
          <w:i/>
        </w:rPr>
        <w:t xml:space="preserve"> adequate, there is also a great shortage in some of the important school inputs, </w:t>
      </w:r>
      <w:r w:rsidR="00434BFD" w:rsidRPr="00477D8F">
        <w:rPr>
          <w:rFonts w:ascii="Sylfaen" w:hAnsi="Sylfaen"/>
          <w:i/>
        </w:rPr>
        <w:t>for example,</w:t>
      </w:r>
      <w:r w:rsidRPr="00477D8F">
        <w:rPr>
          <w:rFonts w:ascii="Sylfaen" w:hAnsi="Sylfaen"/>
          <w:i/>
        </w:rPr>
        <w:t xml:space="preserve"> electricity, library</w:t>
      </w:r>
      <w:r w:rsidR="00434BFD" w:rsidRPr="00477D8F">
        <w:rPr>
          <w:rFonts w:ascii="Sylfaen" w:hAnsi="Sylfaen"/>
          <w:i/>
        </w:rPr>
        <w:t>,</w:t>
      </w:r>
      <w:r w:rsidRPr="00477D8F">
        <w:rPr>
          <w:rFonts w:ascii="Sylfaen" w:hAnsi="Sylfaen"/>
          <w:i/>
        </w:rPr>
        <w:t xml:space="preserve"> and textbooks</w:t>
      </w:r>
      <w:r w:rsidR="00434BFD" w:rsidRPr="00477D8F">
        <w:rPr>
          <w:rFonts w:ascii="Sylfaen" w:hAnsi="Sylfaen"/>
          <w:i/>
        </w:rPr>
        <w:t>—</w:t>
      </w:r>
      <w:r w:rsidRPr="00477D8F">
        <w:rPr>
          <w:rFonts w:ascii="Sylfaen" w:hAnsi="Sylfaen"/>
          <w:i/>
        </w:rPr>
        <w:t>although this also varies by region.</w:t>
      </w:r>
      <w:r w:rsidR="00272695" w:rsidRPr="00477D8F">
        <w:rPr>
          <w:rFonts w:ascii="Sylfaen" w:hAnsi="Sylfaen"/>
        </w:rPr>
        <w:t xml:space="preserve"> </w:t>
      </w:r>
    </w:p>
    <w:p w14:paraId="2C1FD910" w14:textId="44C757C3" w:rsidR="00823219" w:rsidRPr="00477D8F" w:rsidRDefault="00823219" w:rsidP="00823219">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The adequacy and sustainability of the education sector finance in The Gambia is measured based on the following key parameters:</w:t>
      </w:r>
      <w:r w:rsidRPr="00477D8F">
        <w:rPr>
          <w:rFonts w:ascii="Sylfaen" w:hAnsi="Sylfaen"/>
        </w:rPr>
        <w:t xml:space="preserve"> (a) public spending on education as a share of GDP and total public spending compared with the best practices benchmark; (b) unit costs; (c) teacher’s compensation and utilization such as STR; (d) classroom availability; (e) adequacy of school facilities such as laboratories, libraries, electricity, water, toilets; and (f) textbooks. </w:t>
      </w:r>
    </w:p>
    <w:p w14:paraId="4B3B574E" w14:textId="77777777" w:rsidR="00310C1A" w:rsidRPr="00477D8F" w:rsidRDefault="00087206" w:rsidP="00ED0E68">
      <w:pPr>
        <w:pStyle w:val="Heading2"/>
        <w:rPr>
          <w:b/>
        </w:rPr>
      </w:pPr>
      <w:bookmarkStart w:id="135" w:name="_Toc497171869"/>
      <w:r w:rsidRPr="00477D8F">
        <w:t>Budget allocation to the education sector</w:t>
      </w:r>
      <w:bookmarkEnd w:id="135"/>
    </w:p>
    <w:p w14:paraId="09F5CA01" w14:textId="7F04BAD2" w:rsidR="00603FB0" w:rsidRPr="00477D8F" w:rsidRDefault="00D53DF3" w:rsidP="000D67AE">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At 20.4 percent (2015), the government spending on education as a share of total public spending is within the recommended range of 17</w:t>
      </w:r>
      <w:r w:rsidR="00FA0D83" w:rsidRPr="00477D8F">
        <w:rPr>
          <w:rFonts w:ascii="Sylfaen" w:hAnsi="Sylfaen"/>
          <w:b/>
        </w:rPr>
        <w:t>–</w:t>
      </w:r>
      <w:r w:rsidRPr="00477D8F">
        <w:rPr>
          <w:rFonts w:ascii="Sylfaen" w:hAnsi="Sylfaen"/>
          <w:b/>
        </w:rPr>
        <w:t xml:space="preserve">25 percent. </w:t>
      </w:r>
      <w:r w:rsidRPr="00477D8F">
        <w:rPr>
          <w:rFonts w:ascii="Sylfaen" w:hAnsi="Sylfaen" w:cs="Times New Roman"/>
          <w:bCs/>
        </w:rPr>
        <w:t>However, the country’s</w:t>
      </w:r>
      <w:r w:rsidRPr="00477D8F">
        <w:rPr>
          <w:rFonts w:ascii="Sylfaen" w:hAnsi="Sylfaen"/>
        </w:rPr>
        <w:t xml:space="preserve"> </w:t>
      </w:r>
      <w:r w:rsidRPr="00477D8F">
        <w:rPr>
          <w:rFonts w:ascii="Sylfaen" w:hAnsi="Sylfaen" w:cs="Times New Roman"/>
          <w:bCs/>
        </w:rPr>
        <w:t>education spending as a share of GDP is lower than the recommended level, standing at 3.2 percent (2015) against a recommended level of 4</w:t>
      </w:r>
      <w:r w:rsidR="0011428E" w:rsidRPr="00477D8F">
        <w:rPr>
          <w:rFonts w:ascii="Sylfaen" w:hAnsi="Sylfaen" w:cs="Times New Roman"/>
          <w:bCs/>
        </w:rPr>
        <w:t>–</w:t>
      </w:r>
      <w:r w:rsidRPr="00477D8F">
        <w:rPr>
          <w:rFonts w:ascii="Sylfaen" w:hAnsi="Sylfaen" w:cs="Times New Roman"/>
          <w:bCs/>
        </w:rPr>
        <w:t>6 percent.</w:t>
      </w:r>
      <w:r w:rsidRPr="00477D8F">
        <w:rPr>
          <w:rFonts w:ascii="Sylfaen" w:hAnsi="Sylfaen" w:cs="Times New Roman"/>
          <w:b/>
          <w:bCs/>
        </w:rPr>
        <w:t xml:space="preserve"> </w:t>
      </w:r>
      <w:r w:rsidR="00F84BC2" w:rsidRPr="00477D8F">
        <w:rPr>
          <w:rFonts w:ascii="Sylfaen" w:hAnsi="Sylfaen"/>
        </w:rPr>
        <w:t xml:space="preserve">The high education </w:t>
      </w:r>
      <w:r w:rsidRPr="00477D8F">
        <w:rPr>
          <w:rFonts w:ascii="Sylfaen" w:hAnsi="Sylfaen"/>
        </w:rPr>
        <w:t xml:space="preserve">allocation </w:t>
      </w:r>
      <w:r w:rsidR="00F84BC2" w:rsidRPr="00477D8F">
        <w:rPr>
          <w:rFonts w:ascii="Sylfaen" w:hAnsi="Sylfaen"/>
        </w:rPr>
        <w:t>a</w:t>
      </w:r>
      <w:r w:rsidR="00E10EF7" w:rsidRPr="00477D8F">
        <w:rPr>
          <w:rFonts w:ascii="Sylfaen" w:hAnsi="Sylfaen"/>
        </w:rPr>
        <w:t>s a</w:t>
      </w:r>
      <w:r w:rsidR="00F84BC2" w:rsidRPr="00477D8F">
        <w:rPr>
          <w:rFonts w:ascii="Sylfaen" w:hAnsi="Sylfaen"/>
        </w:rPr>
        <w:t xml:space="preserve"> share of total public spending is due</w:t>
      </w:r>
      <w:r w:rsidR="00195FCF" w:rsidRPr="00477D8F">
        <w:rPr>
          <w:rFonts w:ascii="Sylfaen" w:hAnsi="Sylfaen"/>
        </w:rPr>
        <w:t xml:space="preserve"> </w:t>
      </w:r>
      <w:r w:rsidR="00E10EF7" w:rsidRPr="00477D8F">
        <w:rPr>
          <w:rFonts w:ascii="Sylfaen" w:hAnsi="Sylfaen"/>
        </w:rPr>
        <w:t>to</w:t>
      </w:r>
      <w:r w:rsidR="004B71DF" w:rsidRPr="00477D8F">
        <w:rPr>
          <w:rFonts w:ascii="Sylfaen" w:hAnsi="Sylfaen"/>
        </w:rPr>
        <w:t xml:space="preserve"> </w:t>
      </w:r>
      <w:r w:rsidRPr="00477D8F">
        <w:rPr>
          <w:rFonts w:ascii="Sylfaen" w:hAnsi="Sylfaen"/>
        </w:rPr>
        <w:t xml:space="preserve">overall </w:t>
      </w:r>
      <w:r w:rsidR="00195FCF" w:rsidRPr="00477D8F">
        <w:rPr>
          <w:rFonts w:ascii="Sylfaen" w:hAnsi="Sylfaen"/>
        </w:rPr>
        <w:t>low public</w:t>
      </w:r>
      <w:r w:rsidR="00F84BC2" w:rsidRPr="00477D8F">
        <w:rPr>
          <w:rFonts w:ascii="Sylfaen" w:hAnsi="Sylfaen"/>
        </w:rPr>
        <w:t xml:space="preserve"> spending as </w:t>
      </w:r>
      <w:r w:rsidR="00E10EF7" w:rsidRPr="00477D8F">
        <w:rPr>
          <w:rFonts w:ascii="Sylfaen" w:hAnsi="Sylfaen"/>
        </w:rPr>
        <w:t xml:space="preserve">a </w:t>
      </w:r>
      <w:r w:rsidR="00F84BC2" w:rsidRPr="00477D8F">
        <w:rPr>
          <w:rFonts w:ascii="Sylfaen" w:hAnsi="Sylfaen"/>
        </w:rPr>
        <w:t xml:space="preserve">share of </w:t>
      </w:r>
      <w:r w:rsidR="004B71DF" w:rsidRPr="00477D8F">
        <w:rPr>
          <w:rFonts w:ascii="Sylfaen" w:hAnsi="Sylfaen"/>
        </w:rPr>
        <w:t>GDP in T</w:t>
      </w:r>
      <w:r w:rsidR="00195FCF" w:rsidRPr="00477D8F">
        <w:rPr>
          <w:rFonts w:ascii="Sylfaen" w:hAnsi="Sylfaen"/>
        </w:rPr>
        <w:t>he Gambia</w:t>
      </w:r>
      <w:r w:rsidR="005E5922" w:rsidRPr="00477D8F">
        <w:rPr>
          <w:rFonts w:ascii="Sylfaen" w:hAnsi="Sylfaen"/>
        </w:rPr>
        <w:t>.</w:t>
      </w:r>
      <w:r w:rsidR="007D7732" w:rsidRPr="00477D8F">
        <w:rPr>
          <w:rFonts w:ascii="Sylfaen" w:hAnsi="Sylfaen"/>
        </w:rPr>
        <w:t xml:space="preserve"> </w:t>
      </w:r>
      <w:r w:rsidR="00E10EF7" w:rsidRPr="00477D8F">
        <w:rPr>
          <w:rFonts w:ascii="Sylfaen" w:hAnsi="Sylfaen"/>
        </w:rPr>
        <w:t>T</w:t>
      </w:r>
      <w:r w:rsidR="007D7732" w:rsidRPr="00477D8F">
        <w:rPr>
          <w:rFonts w:ascii="Sylfaen" w:hAnsi="Sylfaen"/>
        </w:rPr>
        <w:t xml:space="preserve">he portion of public resources committed to the education sector in terms of share of GDP </w:t>
      </w:r>
      <w:r w:rsidR="00E10EF7" w:rsidRPr="00477D8F">
        <w:rPr>
          <w:rFonts w:ascii="Sylfaen" w:hAnsi="Sylfaen"/>
        </w:rPr>
        <w:t xml:space="preserve">did </w:t>
      </w:r>
      <w:r w:rsidR="007D7732" w:rsidRPr="00477D8F">
        <w:rPr>
          <w:rFonts w:ascii="Sylfaen" w:hAnsi="Sylfaen"/>
        </w:rPr>
        <w:t>increase from 2.6 percent in 2010 to 3.2 percent in 2015 (</w:t>
      </w:r>
      <w:r w:rsidR="007D7732" w:rsidRPr="00477D8F">
        <w:rPr>
          <w:rFonts w:ascii="Sylfaen" w:hAnsi="Sylfaen" w:cs="Times New Roman"/>
          <w:bCs/>
        </w:rPr>
        <w:fldChar w:fldCharType="begin"/>
      </w:r>
      <w:r w:rsidR="007D7732" w:rsidRPr="00477D8F">
        <w:rPr>
          <w:rFonts w:ascii="Sylfaen" w:hAnsi="Sylfaen"/>
        </w:rPr>
        <w:instrText xml:space="preserve"> REF _Ref482648753 \h </w:instrText>
      </w:r>
      <w:r w:rsidR="007D7732" w:rsidRPr="00477D8F">
        <w:rPr>
          <w:rFonts w:ascii="Sylfaen" w:hAnsi="Sylfaen" w:cs="Times New Roman"/>
          <w:bCs/>
        </w:rPr>
        <w:instrText xml:space="preserve"> \* MERGEFORMAT </w:instrText>
      </w:r>
      <w:r w:rsidR="007D7732" w:rsidRPr="00477D8F">
        <w:rPr>
          <w:rFonts w:ascii="Sylfaen" w:hAnsi="Sylfaen" w:cs="Times New Roman"/>
          <w:bCs/>
        </w:rPr>
      </w:r>
      <w:r w:rsidR="007D7732" w:rsidRPr="00477D8F">
        <w:rPr>
          <w:rFonts w:ascii="Sylfaen" w:hAnsi="Sylfaen" w:cs="Times New Roman"/>
          <w:bCs/>
        </w:rPr>
        <w:fldChar w:fldCharType="separate"/>
      </w:r>
      <w:r w:rsidR="00F800F3" w:rsidRPr="00477D8F">
        <w:rPr>
          <w:rFonts w:ascii="Sylfaen" w:hAnsi="Sylfaen"/>
          <w:bCs/>
        </w:rPr>
        <w:t>Figure 24</w:t>
      </w:r>
      <w:r w:rsidR="007D7732" w:rsidRPr="00477D8F">
        <w:rPr>
          <w:rFonts w:ascii="Sylfaen" w:hAnsi="Sylfaen" w:cs="Times New Roman"/>
          <w:bCs/>
        </w:rPr>
        <w:fldChar w:fldCharType="end"/>
      </w:r>
      <w:r w:rsidR="007D7732" w:rsidRPr="00477D8F">
        <w:rPr>
          <w:rFonts w:ascii="Sylfaen" w:hAnsi="Sylfaen" w:cs="Times New Roman"/>
          <w:bCs/>
        </w:rPr>
        <w:t>)</w:t>
      </w:r>
      <w:r w:rsidRPr="00477D8F">
        <w:rPr>
          <w:rFonts w:ascii="Sylfaen" w:hAnsi="Sylfaen" w:cs="Times New Roman"/>
          <w:bCs/>
        </w:rPr>
        <w:t>, but, as mentioned</w:t>
      </w:r>
      <w:r w:rsidR="00834A61" w:rsidRPr="00477D8F">
        <w:rPr>
          <w:rFonts w:ascii="Sylfaen" w:hAnsi="Sylfaen" w:cs="Times New Roman"/>
          <w:bCs/>
        </w:rPr>
        <w:t xml:space="preserve"> earlier</w:t>
      </w:r>
      <w:r w:rsidRPr="00477D8F">
        <w:rPr>
          <w:rFonts w:ascii="Sylfaen" w:hAnsi="Sylfaen" w:cs="Times New Roman"/>
          <w:bCs/>
        </w:rPr>
        <w:t xml:space="preserve">, </w:t>
      </w:r>
      <w:r w:rsidR="00D6105C" w:rsidRPr="00477D8F">
        <w:rPr>
          <w:rFonts w:ascii="Sylfaen" w:hAnsi="Sylfaen" w:cs="Times New Roman"/>
          <w:bCs/>
        </w:rPr>
        <w:t xml:space="preserve">it </w:t>
      </w:r>
      <w:r w:rsidRPr="00477D8F">
        <w:rPr>
          <w:rFonts w:ascii="Sylfaen" w:hAnsi="Sylfaen" w:cs="Times New Roman"/>
          <w:bCs/>
        </w:rPr>
        <w:t>remains low</w:t>
      </w:r>
      <w:r w:rsidR="007D7732" w:rsidRPr="00477D8F">
        <w:rPr>
          <w:rFonts w:ascii="Sylfaen" w:hAnsi="Sylfaen" w:cs="Times New Roman"/>
          <w:bCs/>
        </w:rPr>
        <w:t xml:space="preserve">. During the same period, the education spending as a share of GDP for the </w:t>
      </w:r>
      <w:r w:rsidR="00966485" w:rsidRPr="00477D8F">
        <w:rPr>
          <w:rFonts w:ascii="Sylfaen" w:hAnsi="Sylfaen" w:cs="Times New Roman"/>
          <w:bCs/>
        </w:rPr>
        <w:t>M</w:t>
      </w:r>
      <w:r w:rsidR="00E80A69" w:rsidRPr="00477D8F">
        <w:rPr>
          <w:rFonts w:ascii="Sylfaen" w:hAnsi="Sylfaen" w:cs="Times New Roman"/>
          <w:bCs/>
        </w:rPr>
        <w:t>oBSE</w:t>
      </w:r>
      <w:r w:rsidR="007D7732" w:rsidRPr="00477D8F">
        <w:rPr>
          <w:rFonts w:ascii="Sylfaen" w:hAnsi="Sylfaen" w:cs="Times New Roman"/>
          <w:bCs/>
        </w:rPr>
        <w:t xml:space="preserve"> increased the most, from 2.3 percent to 2.8 percent, while the </w:t>
      </w:r>
      <w:r w:rsidR="00E80A69" w:rsidRPr="00477D8F">
        <w:rPr>
          <w:rFonts w:ascii="Sylfaen" w:hAnsi="Sylfaen" w:cs="Times New Roman"/>
          <w:bCs/>
        </w:rPr>
        <w:t>MoHERST</w:t>
      </w:r>
      <w:r w:rsidR="007D7732" w:rsidRPr="00477D8F">
        <w:rPr>
          <w:rFonts w:ascii="Sylfaen" w:hAnsi="Sylfaen" w:cs="Times New Roman"/>
          <w:bCs/>
        </w:rPr>
        <w:t>’</w:t>
      </w:r>
      <w:r w:rsidR="00E10EF7" w:rsidRPr="00477D8F">
        <w:rPr>
          <w:rFonts w:ascii="Sylfaen" w:hAnsi="Sylfaen" w:cs="Times New Roman"/>
          <w:bCs/>
        </w:rPr>
        <w:t>s</w:t>
      </w:r>
      <w:r w:rsidR="007D7732" w:rsidRPr="00477D8F">
        <w:rPr>
          <w:rFonts w:ascii="Sylfaen" w:hAnsi="Sylfaen" w:cs="Times New Roman"/>
          <w:bCs/>
        </w:rPr>
        <w:t xml:space="preserve"> share increased in 2014 </w:t>
      </w:r>
      <w:r w:rsidR="00D6105C" w:rsidRPr="00477D8F">
        <w:rPr>
          <w:rFonts w:ascii="Sylfaen" w:hAnsi="Sylfaen" w:cs="Times New Roman"/>
          <w:bCs/>
        </w:rPr>
        <w:t xml:space="preserve">and </w:t>
      </w:r>
      <w:r w:rsidR="007D7732" w:rsidRPr="00477D8F">
        <w:rPr>
          <w:rFonts w:ascii="Sylfaen" w:hAnsi="Sylfaen" w:cs="Times New Roman"/>
          <w:bCs/>
        </w:rPr>
        <w:t>then stabilized at 0.3 percent.</w:t>
      </w:r>
      <w:r w:rsidR="00272695" w:rsidRPr="00477D8F">
        <w:rPr>
          <w:rFonts w:ascii="Sylfaen" w:hAnsi="Sylfaen" w:cs="Times New Roman"/>
          <w:bCs/>
        </w:rPr>
        <w:t xml:space="preserve"> </w:t>
      </w:r>
      <w:r w:rsidR="00E10EF7" w:rsidRPr="00477D8F">
        <w:rPr>
          <w:rFonts w:ascii="Sylfaen" w:hAnsi="Sylfaen"/>
        </w:rPr>
        <w:t>R</w:t>
      </w:r>
      <w:r w:rsidR="007D7732" w:rsidRPr="00477D8F">
        <w:rPr>
          <w:rFonts w:ascii="Sylfaen" w:hAnsi="Sylfaen"/>
        </w:rPr>
        <w:t>esources committed to the education sector</w:t>
      </w:r>
      <w:r w:rsidR="00E10EF7" w:rsidRPr="00477D8F">
        <w:rPr>
          <w:rFonts w:ascii="Sylfaen" w:hAnsi="Sylfaen"/>
        </w:rPr>
        <w:t xml:space="preserve"> as a share of total public spending</w:t>
      </w:r>
      <w:r w:rsidR="007D7732" w:rsidRPr="00477D8F">
        <w:rPr>
          <w:rFonts w:ascii="Sylfaen" w:hAnsi="Sylfaen"/>
        </w:rPr>
        <w:t xml:space="preserve"> decreased between 2011 and 2013 and increased thereafter</w:t>
      </w:r>
      <w:r w:rsidRPr="00477D8F">
        <w:rPr>
          <w:rFonts w:ascii="Sylfaen" w:hAnsi="Sylfaen"/>
        </w:rPr>
        <w:t>, ultimately shifting from 18.7 percent in 2010 to 20.4 percent in 2015</w:t>
      </w:r>
      <w:r w:rsidR="007D7732" w:rsidRPr="00477D8F">
        <w:rPr>
          <w:rFonts w:ascii="Sylfaen" w:hAnsi="Sylfaen"/>
        </w:rPr>
        <w:t>.</w:t>
      </w:r>
      <w:r w:rsidR="00272695" w:rsidRPr="00477D8F">
        <w:rPr>
          <w:rFonts w:ascii="Sylfaen" w:hAnsi="Sylfaen"/>
        </w:rPr>
        <w:t xml:space="preserve"> </w:t>
      </w:r>
      <w:r w:rsidRPr="00477D8F">
        <w:rPr>
          <w:rFonts w:ascii="Sylfaen" w:hAnsi="Sylfaen"/>
        </w:rPr>
        <w:t>A</w:t>
      </w:r>
      <w:r w:rsidR="00603FB0" w:rsidRPr="00477D8F">
        <w:rPr>
          <w:rFonts w:ascii="Sylfaen" w:hAnsi="Sylfaen"/>
        </w:rPr>
        <w:t>s</w:t>
      </w:r>
      <w:r w:rsidRPr="00477D8F">
        <w:rPr>
          <w:rFonts w:ascii="Sylfaen" w:hAnsi="Sylfaen"/>
        </w:rPr>
        <w:t xml:space="preserve"> shown </w:t>
      </w:r>
      <w:r w:rsidR="00834A61" w:rsidRPr="00477D8F">
        <w:rPr>
          <w:rFonts w:ascii="Sylfaen" w:hAnsi="Sylfaen"/>
        </w:rPr>
        <w:t>in Figure 24</w:t>
      </w:r>
      <w:r w:rsidRPr="00477D8F">
        <w:rPr>
          <w:rFonts w:ascii="Sylfaen" w:hAnsi="Sylfaen"/>
        </w:rPr>
        <w:t>,</w:t>
      </w:r>
      <w:r w:rsidR="00603FB0" w:rsidRPr="00477D8F">
        <w:rPr>
          <w:rFonts w:ascii="Sylfaen" w:hAnsi="Sylfaen"/>
        </w:rPr>
        <w:t xml:space="preserve"> </w:t>
      </w:r>
      <w:r w:rsidRPr="00477D8F">
        <w:rPr>
          <w:rFonts w:ascii="Sylfaen" w:hAnsi="Sylfaen"/>
        </w:rPr>
        <w:t>t</w:t>
      </w:r>
      <w:r w:rsidR="007D7732" w:rsidRPr="00477D8F">
        <w:rPr>
          <w:rFonts w:ascii="Sylfaen" w:hAnsi="Sylfaen"/>
        </w:rPr>
        <w:t>he share of the education budget in both ministries decreased</w:t>
      </w:r>
      <w:r w:rsidR="00EF613B" w:rsidRPr="00477D8F">
        <w:rPr>
          <w:rFonts w:ascii="Sylfaen" w:hAnsi="Sylfaen"/>
        </w:rPr>
        <w:t xml:space="preserve"> between 2012 and </w:t>
      </w:r>
      <w:r w:rsidR="00EF613B" w:rsidRPr="00477D8F">
        <w:rPr>
          <w:rFonts w:ascii="Sylfaen" w:hAnsi="Sylfaen"/>
        </w:rPr>
        <w:lastRenderedPageBreak/>
        <w:t>2014</w:t>
      </w:r>
      <w:r w:rsidR="007D7732" w:rsidRPr="00477D8F">
        <w:rPr>
          <w:rFonts w:ascii="Sylfaen" w:hAnsi="Sylfaen"/>
        </w:rPr>
        <w:t xml:space="preserve"> even thou</w:t>
      </w:r>
      <w:r w:rsidR="004B71DF" w:rsidRPr="00477D8F">
        <w:rPr>
          <w:rFonts w:ascii="Sylfaen" w:hAnsi="Sylfaen"/>
        </w:rPr>
        <w:t>gh the normal budget allocation</w:t>
      </w:r>
      <w:r w:rsidR="007D7732" w:rsidRPr="00477D8F">
        <w:rPr>
          <w:rFonts w:ascii="Sylfaen" w:hAnsi="Sylfaen"/>
        </w:rPr>
        <w:t xml:space="preserve"> increased</w:t>
      </w:r>
      <w:r w:rsidRPr="00477D8F">
        <w:rPr>
          <w:rFonts w:ascii="Sylfaen" w:hAnsi="Sylfaen"/>
        </w:rPr>
        <w:t>, which is likely attributable</w:t>
      </w:r>
      <w:r w:rsidR="00603FB0" w:rsidRPr="00477D8F">
        <w:rPr>
          <w:rFonts w:ascii="Sylfaen" w:hAnsi="Sylfaen"/>
        </w:rPr>
        <w:t xml:space="preserve"> </w:t>
      </w:r>
      <w:r w:rsidR="007D7732" w:rsidRPr="00477D8F">
        <w:rPr>
          <w:rFonts w:ascii="Sylfaen" w:hAnsi="Sylfaen"/>
        </w:rPr>
        <w:t>to the</w:t>
      </w:r>
      <w:r w:rsidR="00EF613B" w:rsidRPr="00477D8F">
        <w:rPr>
          <w:rFonts w:ascii="Sylfaen" w:hAnsi="Sylfaen"/>
        </w:rPr>
        <w:t xml:space="preserve"> political instability and </w:t>
      </w:r>
      <w:r w:rsidR="007D7732" w:rsidRPr="00477D8F">
        <w:rPr>
          <w:rFonts w:ascii="Sylfaen" w:hAnsi="Sylfaen"/>
        </w:rPr>
        <w:t>adverse effect of the Ebola outbreak</w:t>
      </w:r>
      <w:r w:rsidRPr="00477D8F">
        <w:rPr>
          <w:rFonts w:ascii="Sylfaen" w:hAnsi="Sylfaen"/>
        </w:rPr>
        <w:t xml:space="preserve"> in the region</w:t>
      </w:r>
      <w:r w:rsidR="007D7732" w:rsidRPr="00477D8F">
        <w:rPr>
          <w:rFonts w:ascii="Sylfaen" w:hAnsi="Sylfaen"/>
        </w:rPr>
        <w:t xml:space="preserve">. </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313F80" w:rsidRPr="00477D8F" w14:paraId="4EB2D7C4" w14:textId="77777777" w:rsidTr="0052768C">
        <w:trPr>
          <w:trHeight w:val="10"/>
        </w:trPr>
        <w:tc>
          <w:tcPr>
            <w:tcW w:w="9350" w:type="dxa"/>
            <w:hideMark/>
          </w:tcPr>
          <w:p w14:paraId="1CA7068C" w14:textId="16C07A50" w:rsidR="00313F80" w:rsidRPr="00477D8F" w:rsidRDefault="00313F80" w:rsidP="0052768C">
            <w:pPr>
              <w:pStyle w:val="Caption1"/>
            </w:pPr>
            <w:bookmarkStart w:id="136" w:name="_Ref482648753"/>
            <w:bookmarkStart w:id="137" w:name="_Toc482618624"/>
            <w:bookmarkStart w:id="138" w:name="_Toc482649980"/>
            <w:bookmarkStart w:id="139" w:name="_Toc497171794"/>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24</w:t>
            </w:r>
            <w:r w:rsidR="002E5BDF" w:rsidRPr="00477D8F">
              <w:rPr>
                <w:noProof/>
              </w:rPr>
              <w:fldChar w:fldCharType="end"/>
            </w:r>
            <w:bookmarkEnd w:id="136"/>
            <w:r w:rsidRPr="00477D8F">
              <w:t xml:space="preserve">: Education spending as share of GDP </w:t>
            </w:r>
            <w:r w:rsidR="00690C22" w:rsidRPr="00477D8F">
              <w:t xml:space="preserve">(left) and total public spending (right) </w:t>
            </w:r>
            <w:r w:rsidRPr="00477D8F">
              <w:t>by ministry and total (%)</w:t>
            </w:r>
            <w:bookmarkEnd w:id="137"/>
            <w:bookmarkEnd w:id="138"/>
            <w:bookmarkEnd w:id="139"/>
          </w:p>
        </w:tc>
      </w:tr>
      <w:tr w:rsidR="00313F80" w:rsidRPr="00477D8F" w14:paraId="7851CF10" w14:textId="77777777" w:rsidTr="00C536B4">
        <w:trPr>
          <w:trHeight w:val="231"/>
        </w:trPr>
        <w:tc>
          <w:tcPr>
            <w:tcW w:w="9350" w:type="dxa"/>
            <w:hideMark/>
          </w:tcPr>
          <w:p w14:paraId="3E0C48CE" w14:textId="78E36D46" w:rsidR="00313F80" w:rsidRPr="00477D8F" w:rsidRDefault="00C536B4" w:rsidP="0052768C">
            <w:pPr>
              <w:jc w:val="both"/>
              <w:rPr>
                <w:rFonts w:ascii="Sylfaen" w:hAnsi="Sylfaen"/>
                <w:bCs/>
              </w:rPr>
            </w:pPr>
            <w:r w:rsidRPr="00477D8F">
              <w:rPr>
                <w:noProof/>
              </w:rPr>
              <w:drawing>
                <wp:inline distT="0" distB="0" distL="0" distR="0" wp14:anchorId="52CBAC89" wp14:editId="671831A4">
                  <wp:extent cx="2848610" cy="2665242"/>
                  <wp:effectExtent l="0" t="0" r="8890" b="1905"/>
                  <wp:docPr id="112" name="Chart 112">
                    <a:extLst xmlns:a="http://schemas.openxmlformats.org/drawingml/2006/main">
                      <a:ext uri="{FF2B5EF4-FFF2-40B4-BE49-F238E27FC236}">
                        <a16:creationId xmlns:a16="http://schemas.microsoft.com/office/drawing/2014/main" id="{00000000-0008-0000-17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477D8F">
              <w:rPr>
                <w:noProof/>
              </w:rPr>
              <w:drawing>
                <wp:inline distT="0" distB="0" distL="0" distR="0" wp14:anchorId="47E41030" wp14:editId="298C336D">
                  <wp:extent cx="2862776" cy="2655570"/>
                  <wp:effectExtent l="0" t="0" r="13970" b="11430"/>
                  <wp:docPr id="113" name="Chart 113">
                    <a:extLst xmlns:a="http://schemas.openxmlformats.org/drawingml/2006/main">
                      <a:ext uri="{FF2B5EF4-FFF2-40B4-BE49-F238E27FC236}">
                        <a16:creationId xmlns:a16="http://schemas.microsoft.com/office/drawing/2014/main" id="{00000000-0008-0000-17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313F80" w:rsidRPr="00477D8F" w14:paraId="086D797B" w14:textId="77777777" w:rsidTr="0052768C">
        <w:trPr>
          <w:trHeight w:val="296"/>
        </w:trPr>
        <w:tc>
          <w:tcPr>
            <w:tcW w:w="9350" w:type="dxa"/>
            <w:hideMark/>
          </w:tcPr>
          <w:p w14:paraId="75819CE8" w14:textId="10D1E486" w:rsidR="00313F80" w:rsidRPr="00477D8F" w:rsidRDefault="00313F80" w:rsidP="0052768C">
            <w:pPr>
              <w:pStyle w:val="Source"/>
            </w:pPr>
            <w:r w:rsidRPr="00477D8F">
              <w:rPr>
                <w:i/>
              </w:rPr>
              <w:t>Source:</w:t>
            </w:r>
            <w:r w:rsidRPr="00477D8F">
              <w:t xml:space="preserve"> MoF</w:t>
            </w:r>
            <w:r w:rsidR="005E5922" w:rsidRPr="00477D8F">
              <w:t>EA</w:t>
            </w:r>
            <w:r w:rsidRPr="00477D8F">
              <w:t xml:space="preserve"> </w:t>
            </w:r>
            <w:r w:rsidR="00412E00" w:rsidRPr="00477D8F">
              <w:t>b</w:t>
            </w:r>
            <w:r w:rsidRPr="00477D8F">
              <w:t xml:space="preserve">udget </w:t>
            </w:r>
            <w:r w:rsidR="00412E00" w:rsidRPr="00477D8F">
              <w:t>d</w:t>
            </w:r>
            <w:r w:rsidRPr="00477D8F">
              <w:t>ata and WDI</w:t>
            </w:r>
            <w:r w:rsidR="00863CEE" w:rsidRPr="00477D8F">
              <w:t>.</w:t>
            </w:r>
          </w:p>
        </w:tc>
      </w:tr>
    </w:tbl>
    <w:p w14:paraId="5A6D0124" w14:textId="3F86B4DB" w:rsidR="00564B78" w:rsidRPr="00477D8F" w:rsidRDefault="007D7732" w:rsidP="000D67AE">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imes New Roman"/>
          <w:bCs/>
        </w:rPr>
      </w:pPr>
      <w:r w:rsidRPr="00477D8F">
        <w:rPr>
          <w:rFonts w:ascii="Sylfaen" w:hAnsi="Sylfaen"/>
          <w:b/>
        </w:rPr>
        <w:t>An international comparison of The Gambia’s education spending with other SSA countries shows that The Gambia has one of the lowest spending</w:t>
      </w:r>
      <w:r w:rsidR="00D6105C" w:rsidRPr="00477D8F">
        <w:rPr>
          <w:rFonts w:ascii="Sylfaen" w:hAnsi="Sylfaen"/>
          <w:b/>
        </w:rPr>
        <w:t>s</w:t>
      </w:r>
      <w:r w:rsidRPr="00477D8F">
        <w:rPr>
          <w:rFonts w:ascii="Sylfaen" w:hAnsi="Sylfaen"/>
          <w:b/>
        </w:rPr>
        <w:t xml:space="preserve"> on education as a share of GDP</w:t>
      </w:r>
      <w:r w:rsidRPr="00477D8F">
        <w:rPr>
          <w:rFonts w:ascii="Sylfaen" w:hAnsi="Sylfaen" w:cs="Times New Roman"/>
          <w:b/>
          <w:bCs/>
        </w:rPr>
        <w:t>.</w:t>
      </w:r>
      <w:r w:rsidRPr="00477D8F">
        <w:rPr>
          <w:rFonts w:ascii="Sylfaen" w:hAnsi="Sylfaen" w:cs="Times New Roman"/>
          <w:bCs/>
        </w:rPr>
        <w:t xml:space="preserve"> Based on 39 SSA countries, the average education spending as </w:t>
      </w:r>
      <w:r w:rsidR="00384AF4" w:rsidRPr="00477D8F">
        <w:rPr>
          <w:rFonts w:ascii="Sylfaen" w:hAnsi="Sylfaen" w:cs="Times New Roman"/>
          <w:bCs/>
        </w:rPr>
        <w:t xml:space="preserve">a </w:t>
      </w:r>
      <w:r w:rsidRPr="00477D8F">
        <w:rPr>
          <w:rFonts w:ascii="Sylfaen" w:hAnsi="Sylfaen" w:cs="Times New Roman"/>
          <w:bCs/>
        </w:rPr>
        <w:t>share of GDP stands at 4.6 percent</w:t>
      </w:r>
      <w:r w:rsidR="00D67567" w:rsidRPr="00477D8F">
        <w:rPr>
          <w:rFonts w:ascii="Sylfaen" w:hAnsi="Sylfaen" w:cs="Times New Roman"/>
          <w:bCs/>
        </w:rPr>
        <w:t xml:space="preserve">, </w:t>
      </w:r>
      <w:r w:rsidRPr="00477D8F">
        <w:rPr>
          <w:rFonts w:ascii="Sylfaen" w:hAnsi="Sylfaen" w:cs="Times New Roman"/>
          <w:bCs/>
        </w:rPr>
        <w:t xml:space="preserve">and </w:t>
      </w:r>
      <w:r w:rsidR="00D67567" w:rsidRPr="00477D8F">
        <w:rPr>
          <w:rFonts w:ascii="Sylfaen" w:hAnsi="Sylfaen" w:cs="Times New Roman"/>
          <w:bCs/>
        </w:rPr>
        <w:t xml:space="preserve">average education spending </w:t>
      </w:r>
      <w:r w:rsidRPr="00477D8F">
        <w:rPr>
          <w:rFonts w:ascii="Sylfaen" w:hAnsi="Sylfaen" w:cs="Times New Roman"/>
          <w:bCs/>
        </w:rPr>
        <w:t xml:space="preserve">as </w:t>
      </w:r>
      <w:r w:rsidR="00384AF4" w:rsidRPr="00477D8F">
        <w:rPr>
          <w:rFonts w:ascii="Sylfaen" w:hAnsi="Sylfaen" w:cs="Times New Roman"/>
          <w:bCs/>
        </w:rPr>
        <w:t xml:space="preserve">a </w:t>
      </w:r>
      <w:r w:rsidRPr="00477D8F">
        <w:rPr>
          <w:rFonts w:ascii="Sylfaen" w:hAnsi="Sylfaen" w:cs="Times New Roman"/>
          <w:bCs/>
        </w:rPr>
        <w:t xml:space="preserve">share of total public spending </w:t>
      </w:r>
      <w:r w:rsidR="00D67567" w:rsidRPr="00477D8F">
        <w:rPr>
          <w:rFonts w:ascii="Sylfaen" w:hAnsi="Sylfaen" w:cs="Times New Roman"/>
          <w:bCs/>
        </w:rPr>
        <w:t>is</w:t>
      </w:r>
      <w:r w:rsidRPr="00477D8F">
        <w:rPr>
          <w:rFonts w:ascii="Sylfaen" w:hAnsi="Sylfaen" w:cs="Times New Roman"/>
          <w:bCs/>
        </w:rPr>
        <w:t xml:space="preserve"> 17.1 percent. Only 12 countries spent less on education as </w:t>
      </w:r>
      <w:r w:rsidR="00384AF4" w:rsidRPr="00477D8F">
        <w:rPr>
          <w:rFonts w:ascii="Sylfaen" w:hAnsi="Sylfaen" w:cs="Times New Roman"/>
          <w:bCs/>
        </w:rPr>
        <w:t xml:space="preserve">a </w:t>
      </w:r>
      <w:r w:rsidRPr="00477D8F">
        <w:rPr>
          <w:rFonts w:ascii="Sylfaen" w:hAnsi="Sylfaen" w:cs="Times New Roman"/>
          <w:bCs/>
        </w:rPr>
        <w:t>share of GDP than The Gambia (</w:t>
      </w:r>
      <w:r w:rsidRPr="00477D8F">
        <w:rPr>
          <w:rFonts w:ascii="Sylfaen" w:hAnsi="Sylfaen" w:cs="Times New Roman"/>
          <w:bCs/>
        </w:rPr>
        <w:fldChar w:fldCharType="begin"/>
      </w:r>
      <w:r w:rsidRPr="00477D8F">
        <w:rPr>
          <w:rFonts w:ascii="Sylfaen" w:hAnsi="Sylfaen" w:cs="Times New Roman"/>
          <w:bCs/>
        </w:rPr>
        <w:instrText xml:space="preserve"> REF _Ref482648808 \h  \* MERGEFORMAT </w:instrText>
      </w:r>
      <w:r w:rsidRPr="00477D8F">
        <w:rPr>
          <w:rFonts w:ascii="Sylfaen" w:hAnsi="Sylfaen" w:cs="Times New Roman"/>
          <w:bCs/>
        </w:rPr>
      </w:r>
      <w:r w:rsidRPr="00477D8F">
        <w:rPr>
          <w:rFonts w:ascii="Sylfaen" w:hAnsi="Sylfaen" w:cs="Times New Roman"/>
          <w:bCs/>
        </w:rPr>
        <w:fldChar w:fldCharType="separate"/>
      </w:r>
      <w:r w:rsidR="00F800F3" w:rsidRPr="00477D8F">
        <w:rPr>
          <w:rFonts w:ascii="Sylfaen" w:hAnsi="Sylfaen"/>
          <w:bCs/>
        </w:rPr>
        <w:t>Figure 25</w:t>
      </w:r>
      <w:r w:rsidRPr="00477D8F">
        <w:rPr>
          <w:rFonts w:ascii="Sylfaen" w:hAnsi="Sylfaen" w:cs="Times New Roman"/>
          <w:bCs/>
        </w:rPr>
        <w:fldChar w:fldCharType="end"/>
      </w:r>
      <w:r w:rsidRPr="00477D8F">
        <w:rPr>
          <w:rFonts w:ascii="Sylfaen" w:hAnsi="Sylfaen" w:cs="Times New Roman"/>
          <w:bCs/>
        </w:rPr>
        <w:t xml:space="preserve">). </w:t>
      </w:r>
      <w:r w:rsidR="00D67567" w:rsidRPr="00477D8F">
        <w:rPr>
          <w:rFonts w:ascii="Sylfaen" w:hAnsi="Sylfaen" w:cs="Times New Roman"/>
          <w:bCs/>
        </w:rPr>
        <w:t>The Gambia’s</w:t>
      </w:r>
      <w:r w:rsidRPr="00477D8F">
        <w:rPr>
          <w:rFonts w:ascii="Sylfaen" w:hAnsi="Sylfaen" w:cs="Times New Roman"/>
          <w:bCs/>
        </w:rPr>
        <w:t xml:space="preserve"> spending on education as a share of GDP is </w:t>
      </w:r>
      <w:r w:rsidR="00D67567" w:rsidRPr="00477D8F">
        <w:rPr>
          <w:rFonts w:ascii="Sylfaen" w:hAnsi="Sylfaen" w:cs="Times New Roman"/>
          <w:bCs/>
        </w:rPr>
        <w:t xml:space="preserve">1.4 percentage points </w:t>
      </w:r>
      <w:r w:rsidRPr="00477D8F">
        <w:rPr>
          <w:rFonts w:ascii="Sylfaen" w:hAnsi="Sylfaen" w:cs="Times New Roman"/>
          <w:bCs/>
        </w:rPr>
        <w:t>lower than the SSA average</w:t>
      </w:r>
      <w:r w:rsidR="00D67567" w:rsidRPr="00477D8F">
        <w:rPr>
          <w:rFonts w:ascii="Sylfaen" w:hAnsi="Sylfaen" w:cs="Times New Roman"/>
          <w:bCs/>
        </w:rPr>
        <w:t>,</w:t>
      </w:r>
      <w:r w:rsidR="00603FB0" w:rsidRPr="00477D8F">
        <w:rPr>
          <w:rFonts w:ascii="Sylfaen" w:hAnsi="Sylfaen" w:cs="Times New Roman"/>
          <w:bCs/>
        </w:rPr>
        <w:t xml:space="preserve"> </w:t>
      </w:r>
      <w:r w:rsidRPr="00477D8F">
        <w:rPr>
          <w:rFonts w:ascii="Sylfaen" w:hAnsi="Sylfaen" w:cs="Times New Roman"/>
          <w:bCs/>
        </w:rPr>
        <w:t>while its spending on education in terms of total public spending is above the SSA average</w:t>
      </w:r>
      <w:r w:rsidR="00D67567" w:rsidRPr="00477D8F">
        <w:rPr>
          <w:rFonts w:ascii="Sylfaen" w:hAnsi="Sylfaen" w:cs="Times New Roman"/>
          <w:bCs/>
        </w:rPr>
        <w:t>.</w:t>
      </w:r>
      <w:r w:rsidR="00603FB0" w:rsidRPr="00477D8F">
        <w:rPr>
          <w:rFonts w:ascii="Sylfaen" w:hAnsi="Sylfaen" w:cs="Times New Roman"/>
          <w:bCs/>
        </w:rPr>
        <w:t xml:space="preserve"> </w:t>
      </w:r>
      <w:r w:rsidR="00D67567" w:rsidRPr="00477D8F">
        <w:rPr>
          <w:rFonts w:ascii="Sylfaen" w:hAnsi="Sylfaen" w:cs="Times New Roman"/>
          <w:bCs/>
        </w:rPr>
        <w:t>G</w:t>
      </w:r>
      <w:r w:rsidRPr="00477D8F">
        <w:rPr>
          <w:rFonts w:ascii="Sylfaen" w:hAnsi="Sylfaen" w:cs="Times New Roman"/>
          <w:bCs/>
        </w:rPr>
        <w:t>iven that about a third of children are out</w:t>
      </w:r>
      <w:r w:rsidR="001C405A" w:rsidRPr="00477D8F">
        <w:rPr>
          <w:rFonts w:ascii="Sylfaen" w:hAnsi="Sylfaen" w:cs="Times New Roman"/>
          <w:bCs/>
        </w:rPr>
        <w:t xml:space="preserve"> </w:t>
      </w:r>
      <w:r w:rsidRPr="00477D8F">
        <w:rPr>
          <w:rFonts w:ascii="Sylfaen" w:hAnsi="Sylfaen" w:cs="Times New Roman"/>
          <w:bCs/>
        </w:rPr>
        <w:t>of</w:t>
      </w:r>
      <w:r w:rsidR="001C405A" w:rsidRPr="00477D8F">
        <w:rPr>
          <w:rFonts w:ascii="Sylfaen" w:hAnsi="Sylfaen" w:cs="Times New Roman"/>
          <w:bCs/>
        </w:rPr>
        <w:t xml:space="preserve"> </w:t>
      </w:r>
      <w:r w:rsidRPr="00477D8F">
        <w:rPr>
          <w:rFonts w:ascii="Sylfaen" w:hAnsi="Sylfaen" w:cs="Times New Roman"/>
          <w:bCs/>
        </w:rPr>
        <w:t>school, the</w:t>
      </w:r>
      <w:r w:rsidR="0008749E" w:rsidRPr="00477D8F">
        <w:rPr>
          <w:rFonts w:ascii="Sylfaen" w:hAnsi="Sylfaen" w:cs="Times New Roman"/>
          <w:bCs/>
        </w:rPr>
        <w:t>re is</w:t>
      </w:r>
      <w:r w:rsidRPr="00477D8F">
        <w:rPr>
          <w:rFonts w:ascii="Sylfaen" w:hAnsi="Sylfaen" w:cs="Times New Roman"/>
          <w:bCs/>
        </w:rPr>
        <w:t xml:space="preserve"> heavy reliance on donors, and </w:t>
      </w:r>
      <w:r w:rsidR="00D67567" w:rsidRPr="00477D8F">
        <w:rPr>
          <w:rFonts w:ascii="Sylfaen" w:hAnsi="Sylfaen" w:cs="Times New Roman"/>
          <w:bCs/>
        </w:rPr>
        <w:t>the share of spending as a share of GDP</w:t>
      </w:r>
      <w:r w:rsidR="0008749E" w:rsidRPr="00477D8F">
        <w:rPr>
          <w:rFonts w:ascii="Sylfaen" w:hAnsi="Sylfaen" w:cs="Times New Roman"/>
          <w:bCs/>
        </w:rPr>
        <w:t xml:space="preserve"> is low</w:t>
      </w:r>
      <w:r w:rsidR="00D67567" w:rsidRPr="00477D8F">
        <w:rPr>
          <w:rFonts w:ascii="Sylfaen" w:hAnsi="Sylfaen" w:cs="Times New Roman"/>
          <w:bCs/>
        </w:rPr>
        <w:t xml:space="preserve">, </w:t>
      </w:r>
      <w:r w:rsidRPr="00477D8F">
        <w:rPr>
          <w:rFonts w:ascii="Sylfaen" w:hAnsi="Sylfaen" w:cs="Times New Roman"/>
          <w:bCs/>
        </w:rPr>
        <w:t xml:space="preserve">investment </w:t>
      </w:r>
      <w:r w:rsidR="00D67567" w:rsidRPr="00477D8F">
        <w:rPr>
          <w:rFonts w:ascii="Sylfaen" w:hAnsi="Sylfaen" w:cs="Times New Roman"/>
          <w:bCs/>
        </w:rPr>
        <w:t>i</w:t>
      </w:r>
      <w:r w:rsidRPr="00477D8F">
        <w:rPr>
          <w:rFonts w:ascii="Sylfaen" w:hAnsi="Sylfaen" w:cs="Times New Roman"/>
          <w:bCs/>
        </w:rPr>
        <w:t xml:space="preserve">n education </w:t>
      </w:r>
      <w:r w:rsidR="00D67567" w:rsidRPr="00477D8F">
        <w:rPr>
          <w:rFonts w:ascii="Sylfaen" w:hAnsi="Sylfaen" w:cs="Times New Roman"/>
          <w:bCs/>
        </w:rPr>
        <w:t xml:space="preserve">remains inadequate in The Gambia. In addition, fiscal space is limited, which presents risks to the adequacy and sustainability of the sector financing. </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13F80" w:rsidRPr="00477D8F" w14:paraId="2B0CC5B4" w14:textId="77777777" w:rsidTr="0052768C">
        <w:trPr>
          <w:trHeight w:val="10"/>
        </w:trPr>
        <w:tc>
          <w:tcPr>
            <w:tcW w:w="9350" w:type="dxa"/>
            <w:hideMark/>
          </w:tcPr>
          <w:p w14:paraId="4CAD2FBA" w14:textId="11685827" w:rsidR="00313F80" w:rsidRPr="00477D8F" w:rsidRDefault="00313F80" w:rsidP="0052768C">
            <w:pPr>
              <w:pStyle w:val="Caption1"/>
            </w:pPr>
            <w:bookmarkStart w:id="140" w:name="_Ref482648808"/>
            <w:bookmarkStart w:id="141" w:name="_Toc482618626"/>
            <w:bookmarkStart w:id="142" w:name="_Toc482649982"/>
            <w:bookmarkStart w:id="143" w:name="_Toc497171795"/>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25</w:t>
            </w:r>
            <w:r w:rsidR="002E5BDF" w:rsidRPr="00477D8F">
              <w:rPr>
                <w:noProof/>
              </w:rPr>
              <w:fldChar w:fldCharType="end"/>
            </w:r>
            <w:bookmarkEnd w:id="140"/>
            <w:r w:rsidRPr="00477D8F">
              <w:t xml:space="preserve">: International comparison </w:t>
            </w:r>
            <w:r w:rsidR="008E54E3" w:rsidRPr="00477D8F">
              <w:t>of</w:t>
            </w:r>
            <w:r w:rsidRPr="00477D8F">
              <w:t xml:space="preserve"> education spending as share of GDP and total public spending (%)</w:t>
            </w:r>
            <w:bookmarkEnd w:id="141"/>
            <w:bookmarkEnd w:id="142"/>
            <w:bookmarkEnd w:id="143"/>
          </w:p>
        </w:tc>
      </w:tr>
      <w:tr w:rsidR="00313F80" w:rsidRPr="00477D8F" w14:paraId="17821B2B" w14:textId="77777777" w:rsidTr="0052768C">
        <w:trPr>
          <w:trHeight w:val="231"/>
        </w:trPr>
        <w:tc>
          <w:tcPr>
            <w:tcW w:w="9350" w:type="dxa"/>
            <w:hideMark/>
          </w:tcPr>
          <w:p w14:paraId="2409655B" w14:textId="77777777" w:rsidR="00313F80" w:rsidRPr="00477D8F" w:rsidRDefault="00426AD0" w:rsidP="0052768C">
            <w:pPr>
              <w:jc w:val="both"/>
              <w:rPr>
                <w:rFonts w:ascii="Sylfaen" w:hAnsi="Sylfaen"/>
                <w:bCs/>
              </w:rPr>
            </w:pPr>
            <w:r w:rsidRPr="00477D8F">
              <w:rPr>
                <w:rFonts w:ascii="Sylfaen" w:hAnsi="Sylfaen"/>
                <w:noProof/>
              </w:rPr>
              <w:drawing>
                <wp:inline distT="0" distB="0" distL="0" distR="0" wp14:anchorId="667E924E" wp14:editId="26486633">
                  <wp:extent cx="5822315" cy="2231136"/>
                  <wp:effectExtent l="0" t="0" r="6985" b="17145"/>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313F80" w:rsidRPr="00477D8F" w14:paraId="72C3FBCB" w14:textId="77777777" w:rsidTr="0052768C">
        <w:trPr>
          <w:trHeight w:val="296"/>
        </w:trPr>
        <w:tc>
          <w:tcPr>
            <w:tcW w:w="9350" w:type="dxa"/>
            <w:hideMark/>
          </w:tcPr>
          <w:p w14:paraId="7559028E" w14:textId="60F076E8" w:rsidR="00313F80" w:rsidRPr="00477D8F" w:rsidRDefault="00313F80" w:rsidP="0052768C">
            <w:pPr>
              <w:pStyle w:val="Source"/>
            </w:pPr>
            <w:r w:rsidRPr="00477D8F">
              <w:rPr>
                <w:i/>
              </w:rPr>
              <w:t>Source:</w:t>
            </w:r>
            <w:r w:rsidRPr="00477D8F">
              <w:t xml:space="preserve"> Estima</w:t>
            </w:r>
            <w:r w:rsidR="008E54E3" w:rsidRPr="00477D8F">
              <w:t xml:space="preserve">tions based on </w:t>
            </w:r>
            <w:r w:rsidR="00412E00" w:rsidRPr="00477D8F">
              <w:t xml:space="preserve">the </w:t>
            </w:r>
            <w:r w:rsidR="008E54E3" w:rsidRPr="00477D8F">
              <w:t>MoF</w:t>
            </w:r>
            <w:r w:rsidR="00413AC8" w:rsidRPr="00477D8F">
              <w:t>EA</w:t>
            </w:r>
            <w:r w:rsidR="008E54E3" w:rsidRPr="00477D8F">
              <w:t xml:space="preserve"> </w:t>
            </w:r>
            <w:r w:rsidR="00412E00" w:rsidRPr="00477D8F">
              <w:t>b</w:t>
            </w:r>
            <w:r w:rsidR="008E54E3" w:rsidRPr="00477D8F">
              <w:t xml:space="preserve">udget </w:t>
            </w:r>
            <w:r w:rsidR="00412E00" w:rsidRPr="00477D8F">
              <w:t>d</w:t>
            </w:r>
            <w:r w:rsidR="008E54E3" w:rsidRPr="00477D8F">
              <w:t>ata, WDI</w:t>
            </w:r>
            <w:r w:rsidR="00412E00" w:rsidRPr="00477D8F">
              <w:t>,</w:t>
            </w:r>
            <w:r w:rsidR="008E54E3" w:rsidRPr="00477D8F">
              <w:t xml:space="preserve"> and UIS</w:t>
            </w:r>
            <w:r w:rsidR="00863CEE" w:rsidRPr="00477D8F">
              <w:t>.</w:t>
            </w:r>
          </w:p>
        </w:tc>
      </w:tr>
    </w:tbl>
    <w:p w14:paraId="78C3DF2A" w14:textId="70C8FA0D" w:rsidR="00310C1A" w:rsidRPr="00477D8F" w:rsidRDefault="001D69D4" w:rsidP="00ED0E68">
      <w:pPr>
        <w:pStyle w:val="Heading2"/>
        <w:rPr>
          <w:b/>
        </w:rPr>
      </w:pPr>
      <w:bookmarkStart w:id="144" w:name="_Toc497171870"/>
      <w:r w:rsidRPr="00477D8F">
        <w:t>Per student allocation (unit cost)</w:t>
      </w:r>
      <w:bookmarkEnd w:id="144"/>
    </w:p>
    <w:p w14:paraId="1CA17757" w14:textId="67611E3D" w:rsidR="00195FCF" w:rsidRPr="00477D8F" w:rsidRDefault="00384AF4" w:rsidP="000D67AE">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imes New Roman"/>
          <w:bCs/>
        </w:rPr>
      </w:pPr>
      <w:r w:rsidRPr="00477D8F">
        <w:rPr>
          <w:rFonts w:ascii="Sylfaen" w:hAnsi="Sylfaen"/>
          <w:b/>
        </w:rPr>
        <w:t>The u</w:t>
      </w:r>
      <w:r w:rsidR="007D7732" w:rsidRPr="00477D8F">
        <w:rPr>
          <w:rFonts w:ascii="Sylfaen" w:hAnsi="Sylfaen"/>
          <w:b/>
        </w:rPr>
        <w:t>nit cost estimat</w:t>
      </w:r>
      <w:r w:rsidR="006E4802" w:rsidRPr="00477D8F">
        <w:rPr>
          <w:rFonts w:ascii="Sylfaen" w:hAnsi="Sylfaen"/>
          <w:b/>
        </w:rPr>
        <w:t>e</w:t>
      </w:r>
      <w:r w:rsidR="007D7732" w:rsidRPr="00477D8F">
        <w:rPr>
          <w:rFonts w:ascii="Sylfaen" w:hAnsi="Sylfaen"/>
          <w:b/>
        </w:rPr>
        <w:t xml:space="preserve"> by level of education has been increasing over</w:t>
      </w:r>
      <w:r w:rsidR="00741D59" w:rsidRPr="00477D8F">
        <w:rPr>
          <w:rFonts w:ascii="Sylfaen" w:hAnsi="Sylfaen"/>
          <w:b/>
        </w:rPr>
        <w:t xml:space="preserve"> </w:t>
      </w:r>
      <w:r w:rsidR="007D7732" w:rsidRPr="00477D8F">
        <w:rPr>
          <w:rFonts w:ascii="Sylfaen" w:hAnsi="Sylfaen"/>
          <w:b/>
        </w:rPr>
        <w:t xml:space="preserve">time both in nominal </w:t>
      </w:r>
      <w:r w:rsidRPr="00477D8F">
        <w:rPr>
          <w:rFonts w:ascii="Sylfaen" w:hAnsi="Sylfaen"/>
          <w:b/>
        </w:rPr>
        <w:t xml:space="preserve">value </w:t>
      </w:r>
      <w:r w:rsidR="007D7732" w:rsidRPr="00477D8F">
        <w:rPr>
          <w:rFonts w:ascii="Sylfaen" w:hAnsi="Sylfaen"/>
          <w:b/>
        </w:rPr>
        <w:t xml:space="preserve">and as a share of GDP per </w:t>
      </w:r>
      <w:r w:rsidR="00195FCF" w:rsidRPr="00477D8F">
        <w:rPr>
          <w:rFonts w:ascii="Sylfaen" w:hAnsi="Sylfaen"/>
          <w:b/>
        </w:rPr>
        <w:t>capita</w:t>
      </w:r>
      <w:r w:rsidR="00D67567" w:rsidRPr="00477D8F">
        <w:rPr>
          <w:rFonts w:ascii="Sylfaen" w:hAnsi="Sylfaen"/>
          <w:b/>
        </w:rPr>
        <w:t>.</w:t>
      </w:r>
      <w:r w:rsidR="00272695" w:rsidRPr="00477D8F">
        <w:rPr>
          <w:rFonts w:ascii="Sylfaen" w:hAnsi="Sylfaen"/>
        </w:rPr>
        <w:t xml:space="preserve"> </w:t>
      </w:r>
      <w:r w:rsidR="00D67567" w:rsidRPr="00477D8F">
        <w:rPr>
          <w:rFonts w:ascii="Sylfaen" w:hAnsi="Sylfaen"/>
        </w:rPr>
        <w:t xml:space="preserve">This </w:t>
      </w:r>
      <w:r w:rsidR="00195FCF" w:rsidRPr="00477D8F">
        <w:rPr>
          <w:rFonts w:ascii="Sylfaen" w:hAnsi="Sylfaen"/>
        </w:rPr>
        <w:t xml:space="preserve">implies </w:t>
      </w:r>
      <w:r w:rsidRPr="00477D8F">
        <w:rPr>
          <w:rFonts w:ascii="Sylfaen" w:hAnsi="Sylfaen"/>
        </w:rPr>
        <w:t xml:space="preserve">that the </w:t>
      </w:r>
      <w:r w:rsidR="00195FCF" w:rsidRPr="00477D8F">
        <w:rPr>
          <w:rFonts w:ascii="Sylfaen" w:hAnsi="Sylfaen"/>
        </w:rPr>
        <w:t>cost of educating a child is increasing</w:t>
      </w:r>
      <w:r w:rsidR="007D7732" w:rsidRPr="00477D8F">
        <w:rPr>
          <w:rFonts w:ascii="Sylfaen" w:hAnsi="Sylfaen"/>
        </w:rPr>
        <w:t>. At the basic education level, the unit cost grew by 34 percent between 2011 and 2015</w:t>
      </w:r>
      <w:r w:rsidR="001A6A7C" w:rsidRPr="00477D8F">
        <w:rPr>
          <w:rFonts w:ascii="Sylfaen" w:hAnsi="Sylfaen"/>
        </w:rPr>
        <w:t>,</w:t>
      </w:r>
      <w:r w:rsidR="00D67567" w:rsidRPr="00477D8F">
        <w:rPr>
          <w:rFonts w:ascii="Sylfaen" w:hAnsi="Sylfaen"/>
        </w:rPr>
        <w:t xml:space="preserve"> while the </w:t>
      </w:r>
      <w:r w:rsidR="007D7732" w:rsidRPr="00477D8F">
        <w:rPr>
          <w:rFonts w:ascii="Sylfaen" w:hAnsi="Sylfaen"/>
        </w:rPr>
        <w:t xml:space="preserve">corresponding growth rates for senior secondary and postsecondary education level </w:t>
      </w:r>
      <w:r w:rsidR="00564B78" w:rsidRPr="00477D8F">
        <w:rPr>
          <w:rFonts w:ascii="Sylfaen" w:hAnsi="Sylfaen"/>
        </w:rPr>
        <w:t>were</w:t>
      </w:r>
      <w:r w:rsidR="007D7732" w:rsidRPr="00477D8F">
        <w:rPr>
          <w:rFonts w:ascii="Sylfaen" w:hAnsi="Sylfaen"/>
        </w:rPr>
        <w:t xml:space="preserve"> 73 percent and 110 percent, respectively (</w:t>
      </w:r>
      <w:r w:rsidR="007D7732" w:rsidRPr="00477D8F">
        <w:rPr>
          <w:rFonts w:ascii="Sylfaen" w:hAnsi="Sylfaen"/>
        </w:rPr>
        <w:fldChar w:fldCharType="begin"/>
      </w:r>
      <w:r w:rsidR="007D7732" w:rsidRPr="00477D8F">
        <w:rPr>
          <w:rFonts w:ascii="Sylfaen" w:hAnsi="Sylfaen"/>
        </w:rPr>
        <w:instrText xml:space="preserve"> REF _Ref483650405 \h </w:instrText>
      </w:r>
      <w:r w:rsidR="00CC4B27" w:rsidRPr="00477D8F">
        <w:rPr>
          <w:rFonts w:ascii="Sylfaen" w:hAnsi="Sylfaen"/>
        </w:rPr>
        <w:instrText xml:space="preserve"> \* MERGEFORMAT </w:instrText>
      </w:r>
      <w:r w:rsidR="007D7732" w:rsidRPr="00477D8F">
        <w:rPr>
          <w:rFonts w:ascii="Sylfaen" w:hAnsi="Sylfaen"/>
        </w:rPr>
      </w:r>
      <w:r w:rsidR="007D7732" w:rsidRPr="00477D8F">
        <w:rPr>
          <w:rFonts w:ascii="Sylfaen" w:hAnsi="Sylfaen"/>
        </w:rPr>
        <w:fldChar w:fldCharType="separate"/>
      </w:r>
      <w:r w:rsidR="00F800F3" w:rsidRPr="00477D8F">
        <w:rPr>
          <w:rFonts w:ascii="Sylfaen" w:hAnsi="Sylfaen"/>
          <w:bCs/>
        </w:rPr>
        <w:t xml:space="preserve">Figure </w:t>
      </w:r>
      <w:r w:rsidR="00F800F3" w:rsidRPr="00477D8F">
        <w:rPr>
          <w:rFonts w:ascii="Sylfaen" w:hAnsi="Sylfaen"/>
          <w:bCs/>
          <w:noProof/>
        </w:rPr>
        <w:t>26</w:t>
      </w:r>
      <w:r w:rsidR="007D7732" w:rsidRPr="00477D8F">
        <w:rPr>
          <w:rFonts w:ascii="Sylfaen" w:hAnsi="Sylfaen"/>
        </w:rPr>
        <w:fldChar w:fldCharType="end"/>
      </w:r>
      <w:r w:rsidR="007D7732" w:rsidRPr="00477D8F">
        <w:rPr>
          <w:rFonts w:ascii="Sylfaen" w:hAnsi="Sylfaen"/>
        </w:rPr>
        <w:t>). At the postsecondary level, per student spending as a share of GDP per capita increased from 59 percent in 2011 to 111 percent in 2015</w:t>
      </w:r>
      <w:r w:rsidR="00EE6803" w:rsidRPr="00477D8F">
        <w:rPr>
          <w:rFonts w:ascii="Sylfaen" w:hAnsi="Sylfaen"/>
        </w:rPr>
        <w:t>, although the unit cost was actually expected to decrease because of the increase in postsecondary GER</w:t>
      </w:r>
      <w:r w:rsidR="0008749E" w:rsidRPr="00477D8F">
        <w:rPr>
          <w:rFonts w:ascii="Sylfaen" w:hAnsi="Sylfaen"/>
        </w:rPr>
        <w:t>,</w:t>
      </w:r>
      <w:r w:rsidR="00EE6803" w:rsidRPr="00477D8F">
        <w:rPr>
          <w:rFonts w:ascii="Sylfaen" w:hAnsi="Sylfaen"/>
        </w:rPr>
        <w:t xml:space="preserve"> as described earlier.</w:t>
      </w:r>
      <w:r w:rsidR="00272695" w:rsidRPr="00477D8F">
        <w:rPr>
          <w:rFonts w:ascii="Sylfaen" w:hAnsi="Sylfaen"/>
        </w:rPr>
        <w:t xml:space="preserve"> </w:t>
      </w:r>
      <w:r w:rsidR="007D7732" w:rsidRPr="00477D8F">
        <w:rPr>
          <w:rFonts w:ascii="Sylfaen" w:hAnsi="Sylfaen"/>
        </w:rPr>
        <w:t xml:space="preserve">At the MoBSE level, although per student spending as a share of GDP per capita increased slightly, this rise is largely associated with the increase in the personnel staff </w:t>
      </w:r>
      <w:r w:rsidR="00EE6803" w:rsidRPr="00477D8F">
        <w:rPr>
          <w:rFonts w:ascii="Sylfaen" w:hAnsi="Sylfaen"/>
        </w:rPr>
        <w:t>where the majority of funds are allocated</w:t>
      </w:r>
      <w:r w:rsidR="007D7732" w:rsidRPr="00477D8F">
        <w:rPr>
          <w:rFonts w:ascii="Sylfaen" w:hAnsi="Sylfaen"/>
        </w:rPr>
        <w:t xml:space="preserve">—between 2010 and 2015 the average annual growth rate of the number of teachers </w:t>
      </w:r>
      <w:r w:rsidR="00EE6803" w:rsidRPr="00477D8F">
        <w:rPr>
          <w:rFonts w:ascii="Sylfaen" w:hAnsi="Sylfaen"/>
        </w:rPr>
        <w:t xml:space="preserve">was </w:t>
      </w:r>
      <w:r w:rsidR="007D7732" w:rsidRPr="00477D8F">
        <w:rPr>
          <w:rFonts w:ascii="Sylfaen" w:hAnsi="Sylfaen"/>
        </w:rPr>
        <w:t xml:space="preserve">11 percent compared with an enrollment growth rate of 5 percent. </w:t>
      </w:r>
      <w:r w:rsidR="00EE6803" w:rsidRPr="00477D8F">
        <w:rPr>
          <w:rFonts w:ascii="Sylfaen" w:hAnsi="Sylfaen"/>
        </w:rPr>
        <w:t>D</w:t>
      </w:r>
      <w:r w:rsidR="007D7732" w:rsidRPr="00477D8F">
        <w:rPr>
          <w:rFonts w:ascii="Sylfaen" w:hAnsi="Sylfaen"/>
        </w:rPr>
        <w:t>ue to the high rate of the out</w:t>
      </w:r>
      <w:r w:rsidR="001A6A7C" w:rsidRPr="00477D8F">
        <w:rPr>
          <w:rFonts w:ascii="Sylfaen" w:hAnsi="Sylfaen"/>
        </w:rPr>
        <w:t>-</w:t>
      </w:r>
      <w:r w:rsidR="007D7732" w:rsidRPr="00477D8F">
        <w:rPr>
          <w:rFonts w:ascii="Sylfaen" w:hAnsi="Sylfaen"/>
        </w:rPr>
        <w:t xml:space="preserve">of-school incidence in the country, an increase in the unit cost is </w:t>
      </w:r>
      <w:r w:rsidR="00EE6803" w:rsidRPr="00477D8F">
        <w:rPr>
          <w:rFonts w:ascii="Sylfaen" w:hAnsi="Sylfaen"/>
        </w:rPr>
        <w:t xml:space="preserve">difficult to reconcile. Further, growth in unit cost is unsustainable given current fiscal challenges. </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60"/>
      </w:tblGrid>
      <w:tr w:rsidR="00310C1A" w:rsidRPr="00477D8F" w14:paraId="3D7536AC" w14:textId="77777777" w:rsidTr="0052768C">
        <w:trPr>
          <w:trHeight w:val="229"/>
        </w:trPr>
        <w:tc>
          <w:tcPr>
            <w:tcW w:w="5000" w:type="pct"/>
          </w:tcPr>
          <w:p w14:paraId="796BF3CF" w14:textId="2640746C" w:rsidR="00310C1A" w:rsidRPr="00477D8F" w:rsidRDefault="00310C1A" w:rsidP="0052768C">
            <w:pPr>
              <w:pStyle w:val="Caption1"/>
              <w:rPr>
                <w:rFonts w:eastAsia="Times New Roman"/>
              </w:rPr>
            </w:pPr>
            <w:bookmarkStart w:id="145" w:name="_Ref483650405"/>
            <w:bookmarkStart w:id="146" w:name="_Toc497171796"/>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26</w:t>
            </w:r>
            <w:r w:rsidR="002E5BDF" w:rsidRPr="00477D8F">
              <w:rPr>
                <w:noProof/>
              </w:rPr>
              <w:fldChar w:fldCharType="end"/>
            </w:r>
            <w:bookmarkEnd w:id="145"/>
            <w:r w:rsidRPr="00477D8F">
              <w:t xml:space="preserve">: </w:t>
            </w:r>
            <w:r w:rsidR="00426AD0" w:rsidRPr="00477D8F">
              <w:t xml:space="preserve">Trends of </w:t>
            </w:r>
            <w:r w:rsidR="009D65C3" w:rsidRPr="00477D8F">
              <w:t xml:space="preserve">public </w:t>
            </w:r>
            <w:r w:rsidR="00426AD0" w:rsidRPr="00477D8F">
              <w:t>u</w:t>
            </w:r>
            <w:r w:rsidR="009D65C3" w:rsidRPr="00477D8F">
              <w:t xml:space="preserve">nit cost comparison </w:t>
            </w:r>
            <w:r w:rsidR="00412E00" w:rsidRPr="00477D8F">
              <w:t xml:space="preserve">(left) </w:t>
            </w:r>
            <w:r w:rsidR="009D65C3" w:rsidRPr="00477D8F">
              <w:t xml:space="preserve">and per student per capita spending (right) </w:t>
            </w:r>
            <w:r w:rsidRPr="00477D8F">
              <w:t>by level of education</w:t>
            </w:r>
            <w:bookmarkEnd w:id="146"/>
            <w:r w:rsidR="009D65C3" w:rsidRPr="00477D8F">
              <w:t xml:space="preserve"> </w:t>
            </w:r>
          </w:p>
        </w:tc>
      </w:tr>
      <w:tr w:rsidR="00310C1A" w:rsidRPr="00477D8F" w14:paraId="486D8053" w14:textId="77777777" w:rsidTr="0052768C">
        <w:trPr>
          <w:trHeight w:val="1513"/>
        </w:trPr>
        <w:tc>
          <w:tcPr>
            <w:tcW w:w="5000" w:type="pct"/>
          </w:tcPr>
          <w:p w14:paraId="54BF42AB" w14:textId="77777777" w:rsidR="00310C1A" w:rsidRPr="00477D8F" w:rsidRDefault="003022A0" w:rsidP="0052768C">
            <w:pPr>
              <w:jc w:val="both"/>
              <w:rPr>
                <w:rFonts w:ascii="Sylfaen" w:hAnsi="Sylfaen" w:cs="Times New Roman"/>
                <w:bCs/>
              </w:rPr>
            </w:pPr>
            <w:r w:rsidRPr="00477D8F">
              <w:rPr>
                <w:rFonts w:ascii="Sylfaen" w:hAnsi="Sylfaen"/>
                <w:noProof/>
              </w:rPr>
              <w:drawing>
                <wp:inline distT="0" distB="0" distL="0" distR="0" wp14:anchorId="73BDB053" wp14:editId="4F224707">
                  <wp:extent cx="2797175" cy="2719222"/>
                  <wp:effectExtent l="0" t="0" r="3175" b="508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477D8F">
              <w:rPr>
                <w:rFonts w:ascii="Sylfaen" w:hAnsi="Sylfaen"/>
              </w:rPr>
              <w:t xml:space="preserve"> </w:t>
            </w:r>
            <w:r w:rsidRPr="00477D8F">
              <w:rPr>
                <w:rFonts w:ascii="Sylfaen" w:hAnsi="Sylfaen"/>
                <w:noProof/>
              </w:rPr>
              <w:drawing>
                <wp:inline distT="0" distB="0" distL="0" distR="0" wp14:anchorId="710BC084" wp14:editId="1EE53BD6">
                  <wp:extent cx="2872740" cy="2662606"/>
                  <wp:effectExtent l="0" t="0" r="3810" b="4445"/>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r w:rsidR="00310C1A" w:rsidRPr="00477D8F" w14:paraId="684D76FB" w14:textId="77777777" w:rsidTr="0052768C">
        <w:trPr>
          <w:trHeight w:val="53"/>
        </w:trPr>
        <w:tc>
          <w:tcPr>
            <w:tcW w:w="5000" w:type="pct"/>
            <w:hideMark/>
          </w:tcPr>
          <w:p w14:paraId="2BE0C0B4" w14:textId="5CF6CEAB" w:rsidR="00310C1A" w:rsidRPr="00477D8F" w:rsidRDefault="00310C1A" w:rsidP="0052768C">
            <w:pPr>
              <w:pStyle w:val="Source"/>
            </w:pPr>
            <w:r w:rsidRPr="00477D8F">
              <w:rPr>
                <w:rFonts w:eastAsia="Times New Roman"/>
                <w:i/>
              </w:rPr>
              <w:t>Source:</w:t>
            </w:r>
            <w:r w:rsidRPr="00477D8F">
              <w:rPr>
                <w:rFonts w:eastAsia="Times New Roman"/>
              </w:rPr>
              <w:t xml:space="preserve"> Authors’ estimations</w:t>
            </w:r>
            <w:r w:rsidRPr="00477D8F">
              <w:t xml:space="preserve"> based </w:t>
            </w:r>
            <w:r w:rsidR="009D65C3" w:rsidRPr="00477D8F">
              <w:t xml:space="preserve">on Ministry of Budget, EMIS, </w:t>
            </w:r>
            <w:r w:rsidR="00A40F5C" w:rsidRPr="00477D8F">
              <w:t>IHS 2015</w:t>
            </w:r>
            <w:r w:rsidR="00412E00" w:rsidRPr="00477D8F">
              <w:t>,</w:t>
            </w:r>
            <w:r w:rsidR="009D65C3" w:rsidRPr="00477D8F">
              <w:t xml:space="preserve"> and WDI</w:t>
            </w:r>
            <w:r w:rsidR="00863CEE" w:rsidRPr="00477D8F">
              <w:t>.</w:t>
            </w:r>
          </w:p>
        </w:tc>
      </w:tr>
    </w:tbl>
    <w:p w14:paraId="1AC2C46C" w14:textId="300CCF38" w:rsidR="002D7BC4" w:rsidRPr="00477D8F" w:rsidRDefault="007D7732" w:rsidP="007D0071">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imes New Roman"/>
          <w:bCs/>
        </w:rPr>
      </w:pPr>
      <w:r w:rsidRPr="00477D8F">
        <w:rPr>
          <w:rFonts w:ascii="Sylfaen" w:hAnsi="Sylfaen"/>
          <w:b/>
        </w:rPr>
        <w:t>An international comparison of the public spending per student as a share of GDP per capita indicates that The Gambia spends relatively higher at the primary and secondary levels</w:t>
      </w:r>
      <w:r w:rsidR="00EE6803" w:rsidRPr="00477D8F">
        <w:rPr>
          <w:rFonts w:ascii="Sylfaen" w:hAnsi="Sylfaen"/>
          <w:b/>
        </w:rPr>
        <w:t>,</w:t>
      </w:r>
      <w:r w:rsidRPr="00477D8F">
        <w:rPr>
          <w:rFonts w:ascii="Sylfaen" w:hAnsi="Sylfaen"/>
          <w:b/>
        </w:rPr>
        <w:t xml:space="preserve"> but </w:t>
      </w:r>
      <w:r w:rsidR="0008749E" w:rsidRPr="00477D8F">
        <w:rPr>
          <w:rFonts w:ascii="Sylfaen" w:hAnsi="Sylfaen"/>
          <w:b/>
        </w:rPr>
        <w:t xml:space="preserve">this </w:t>
      </w:r>
      <w:r w:rsidRPr="00477D8F">
        <w:rPr>
          <w:rFonts w:ascii="Sylfaen" w:hAnsi="Sylfaen"/>
          <w:b/>
        </w:rPr>
        <w:t>is below the SSA average at the postsecondary level</w:t>
      </w:r>
      <w:r w:rsidR="008D4F79" w:rsidRPr="00477D8F">
        <w:rPr>
          <w:rFonts w:ascii="Sylfaen" w:hAnsi="Sylfaen"/>
          <w:b/>
        </w:rPr>
        <w:t>.</w:t>
      </w:r>
      <w:r w:rsidRPr="00477D8F">
        <w:rPr>
          <w:rFonts w:ascii="Sylfaen" w:hAnsi="Sylfaen"/>
          <w:bCs/>
          <w:vertAlign w:val="superscript"/>
        </w:rPr>
        <w:footnoteReference w:id="19"/>
      </w:r>
      <w:r w:rsidRPr="00477D8F">
        <w:rPr>
          <w:rFonts w:ascii="Sylfaen" w:hAnsi="Sylfaen" w:cs="Times New Roman"/>
          <w:bCs/>
        </w:rPr>
        <w:t xml:space="preserve"> The Gambia spends the equivalent of 15 percent of GDP per capita on each student at the primary level</w:t>
      </w:r>
      <w:r w:rsidR="0008749E" w:rsidRPr="00477D8F">
        <w:rPr>
          <w:rFonts w:ascii="Sylfaen" w:hAnsi="Sylfaen" w:cs="Times New Roman"/>
          <w:bCs/>
        </w:rPr>
        <w:t>,</w:t>
      </w:r>
      <w:r w:rsidRPr="00477D8F">
        <w:rPr>
          <w:rFonts w:ascii="Sylfaen" w:hAnsi="Sylfaen" w:cs="Times New Roman"/>
          <w:bCs/>
        </w:rPr>
        <w:t xml:space="preserve"> which is higher than the SSA average (13</w:t>
      </w:r>
      <w:r w:rsidR="00EE6803" w:rsidRPr="00477D8F">
        <w:rPr>
          <w:rFonts w:ascii="Sylfaen" w:hAnsi="Sylfaen" w:cs="Times New Roman"/>
          <w:bCs/>
        </w:rPr>
        <w:t xml:space="preserve"> percent</w:t>
      </w:r>
      <w:r w:rsidRPr="00477D8F">
        <w:rPr>
          <w:rFonts w:ascii="Sylfaen" w:hAnsi="Sylfaen" w:cs="Times New Roman"/>
          <w:bCs/>
        </w:rPr>
        <w:t>)</w:t>
      </w:r>
      <w:r w:rsidR="0008749E" w:rsidRPr="00477D8F">
        <w:rPr>
          <w:rFonts w:ascii="Sylfaen" w:hAnsi="Sylfaen" w:cs="Times New Roman"/>
          <w:bCs/>
        </w:rPr>
        <w:t>,</w:t>
      </w:r>
      <w:r w:rsidR="00EE6803" w:rsidRPr="00477D8F">
        <w:rPr>
          <w:rFonts w:ascii="Sylfaen" w:hAnsi="Sylfaen" w:cs="Times New Roman"/>
          <w:bCs/>
        </w:rPr>
        <w:t xml:space="preserve"> and </w:t>
      </w:r>
      <w:r w:rsidRPr="00477D8F">
        <w:rPr>
          <w:rFonts w:ascii="Sylfaen" w:hAnsi="Sylfaen" w:cs="Times New Roman"/>
          <w:bCs/>
        </w:rPr>
        <w:t>spends about 27 percent at the secondary level</w:t>
      </w:r>
      <w:r w:rsidR="0008749E" w:rsidRPr="00477D8F">
        <w:rPr>
          <w:rFonts w:ascii="Sylfaen" w:hAnsi="Sylfaen" w:cs="Times New Roman"/>
          <w:bCs/>
        </w:rPr>
        <w:t>,</w:t>
      </w:r>
      <w:r w:rsidRPr="00477D8F">
        <w:rPr>
          <w:rFonts w:ascii="Sylfaen" w:hAnsi="Sylfaen" w:cs="Times New Roman"/>
          <w:bCs/>
        </w:rPr>
        <w:t xml:space="preserve"> which is slightly above the SSA average (22</w:t>
      </w:r>
      <w:r w:rsidR="00EE6803" w:rsidRPr="00477D8F">
        <w:rPr>
          <w:rFonts w:ascii="Sylfaen" w:hAnsi="Sylfaen" w:cs="Times New Roman"/>
          <w:bCs/>
        </w:rPr>
        <w:t xml:space="preserve"> percent</w:t>
      </w:r>
      <w:r w:rsidRPr="00477D8F">
        <w:rPr>
          <w:rFonts w:ascii="Sylfaen" w:hAnsi="Sylfaen" w:cs="Times New Roman"/>
          <w:bCs/>
        </w:rPr>
        <w:t>)</w:t>
      </w:r>
      <w:r w:rsidR="00EE6803" w:rsidRPr="00477D8F">
        <w:rPr>
          <w:rFonts w:ascii="Sylfaen" w:hAnsi="Sylfaen" w:cs="Times New Roman"/>
          <w:bCs/>
        </w:rPr>
        <w:t xml:space="preserve">. At the </w:t>
      </w:r>
      <w:r w:rsidR="00603FB0" w:rsidRPr="00477D8F">
        <w:rPr>
          <w:rFonts w:ascii="Sylfaen" w:hAnsi="Sylfaen" w:cs="Times New Roman"/>
          <w:bCs/>
        </w:rPr>
        <w:t>postsecondary</w:t>
      </w:r>
      <w:r w:rsidR="00EE6803" w:rsidRPr="00477D8F">
        <w:rPr>
          <w:rFonts w:ascii="Sylfaen" w:hAnsi="Sylfaen" w:cs="Times New Roman"/>
          <w:bCs/>
        </w:rPr>
        <w:t xml:space="preserve"> level</w:t>
      </w:r>
      <w:r w:rsidR="000F47AC" w:rsidRPr="00477D8F">
        <w:rPr>
          <w:rFonts w:ascii="Sylfaen" w:hAnsi="Sylfaen" w:cs="Times New Roman"/>
          <w:bCs/>
        </w:rPr>
        <w:t>,</w:t>
      </w:r>
      <w:r w:rsidR="00EE6803" w:rsidRPr="00477D8F">
        <w:rPr>
          <w:rFonts w:ascii="Sylfaen" w:hAnsi="Sylfaen" w:cs="Times New Roman"/>
          <w:bCs/>
        </w:rPr>
        <w:t xml:space="preserve"> spending is</w:t>
      </w:r>
      <w:r w:rsidRPr="00477D8F">
        <w:rPr>
          <w:rFonts w:ascii="Sylfaen" w:hAnsi="Sylfaen" w:cs="Times New Roman"/>
          <w:bCs/>
        </w:rPr>
        <w:t xml:space="preserve"> 111 percent</w:t>
      </w:r>
      <w:r w:rsidR="0008749E" w:rsidRPr="00477D8F">
        <w:rPr>
          <w:rFonts w:ascii="Sylfaen" w:hAnsi="Sylfaen" w:cs="Times New Roman"/>
          <w:bCs/>
        </w:rPr>
        <w:t>,</w:t>
      </w:r>
      <w:r w:rsidRPr="00477D8F">
        <w:rPr>
          <w:rFonts w:ascii="Sylfaen" w:hAnsi="Sylfaen" w:cs="Times New Roman"/>
          <w:bCs/>
        </w:rPr>
        <w:t xml:space="preserve"> which </w:t>
      </w:r>
      <w:r w:rsidR="003324F8" w:rsidRPr="00477D8F">
        <w:rPr>
          <w:rFonts w:ascii="Sylfaen" w:hAnsi="Sylfaen" w:cs="Times New Roman"/>
          <w:bCs/>
        </w:rPr>
        <w:t xml:space="preserve">is </w:t>
      </w:r>
      <w:r w:rsidRPr="00477D8F">
        <w:rPr>
          <w:rFonts w:ascii="Sylfaen" w:hAnsi="Sylfaen" w:cs="Times New Roman"/>
          <w:bCs/>
        </w:rPr>
        <w:t>below the SSA average</w:t>
      </w:r>
      <w:r w:rsidR="00EE6803" w:rsidRPr="00477D8F">
        <w:rPr>
          <w:rFonts w:ascii="Sylfaen" w:hAnsi="Sylfaen" w:cs="Times New Roman"/>
          <w:bCs/>
        </w:rPr>
        <w:t xml:space="preserve"> of 153 percent</w:t>
      </w:r>
      <w:r w:rsidRPr="00477D8F">
        <w:rPr>
          <w:rFonts w:ascii="Sylfaen" w:hAnsi="Sylfaen" w:cs="Times New Roman"/>
          <w:bCs/>
        </w:rPr>
        <w:t xml:space="preserve"> (</w:t>
      </w:r>
      <w:r w:rsidRPr="00477D8F">
        <w:rPr>
          <w:rFonts w:ascii="Sylfaen" w:hAnsi="Sylfaen" w:cs="Times New Roman"/>
          <w:bCs/>
        </w:rPr>
        <w:fldChar w:fldCharType="begin"/>
      </w:r>
      <w:r w:rsidRPr="00477D8F">
        <w:rPr>
          <w:rFonts w:ascii="Sylfaen" w:hAnsi="Sylfaen" w:cs="Times New Roman"/>
          <w:bCs/>
        </w:rPr>
        <w:instrText xml:space="preserve"> REF _Ref415826762 \h </w:instrText>
      </w:r>
      <w:r w:rsidR="00CC4B27" w:rsidRPr="00477D8F">
        <w:rPr>
          <w:rFonts w:ascii="Sylfaen" w:hAnsi="Sylfaen" w:cs="Times New Roman"/>
          <w:bCs/>
        </w:rPr>
        <w:instrText xml:space="preserve"> \* MERGEFORMAT </w:instrText>
      </w:r>
      <w:r w:rsidRPr="00477D8F">
        <w:rPr>
          <w:rFonts w:ascii="Sylfaen" w:hAnsi="Sylfaen" w:cs="Times New Roman"/>
          <w:bCs/>
        </w:rPr>
      </w:r>
      <w:r w:rsidRPr="00477D8F">
        <w:rPr>
          <w:rFonts w:ascii="Sylfaen" w:hAnsi="Sylfaen" w:cs="Times New Roman"/>
          <w:bCs/>
        </w:rPr>
        <w:fldChar w:fldCharType="separate"/>
      </w:r>
      <w:r w:rsidR="00F800F3" w:rsidRPr="00477D8F">
        <w:rPr>
          <w:rFonts w:ascii="Sylfaen" w:hAnsi="Sylfaen"/>
          <w:bCs/>
        </w:rPr>
        <w:t xml:space="preserve">Figure </w:t>
      </w:r>
      <w:r w:rsidR="00F800F3" w:rsidRPr="00477D8F">
        <w:rPr>
          <w:rFonts w:ascii="Sylfaen" w:hAnsi="Sylfaen"/>
          <w:bCs/>
          <w:noProof/>
        </w:rPr>
        <w:t>27</w:t>
      </w:r>
      <w:r w:rsidRPr="00477D8F">
        <w:rPr>
          <w:rFonts w:ascii="Sylfaen" w:hAnsi="Sylfaen" w:cs="Times New Roman"/>
          <w:bCs/>
        </w:rPr>
        <w:fldChar w:fldCharType="end"/>
      </w:r>
      <w:r w:rsidRPr="00477D8F">
        <w:rPr>
          <w:rFonts w:ascii="Sylfaen" w:hAnsi="Sylfaen" w:cs="Times New Roman"/>
          <w:bCs/>
        </w:rPr>
        <w:t>).</w:t>
      </w:r>
      <w:r w:rsidR="00272695" w:rsidRPr="00477D8F">
        <w:rPr>
          <w:rFonts w:ascii="Sylfaen" w:hAnsi="Sylfaen" w:cs="Times New Roman"/>
          <w:bCs/>
        </w:rPr>
        <w:t xml:space="preserve"> </w:t>
      </w:r>
      <w:r w:rsidRPr="00477D8F">
        <w:rPr>
          <w:rFonts w:ascii="Sylfaen" w:hAnsi="Sylfaen" w:cs="Times New Roman"/>
          <w:bCs/>
        </w:rPr>
        <w:t>Th</w:t>
      </w:r>
      <w:r w:rsidR="00EE6803" w:rsidRPr="00477D8F">
        <w:rPr>
          <w:rFonts w:ascii="Sylfaen" w:hAnsi="Sylfaen" w:cs="Times New Roman"/>
          <w:bCs/>
        </w:rPr>
        <w:t xml:space="preserve">e comparison suggests that </w:t>
      </w:r>
      <w:r w:rsidRPr="00477D8F">
        <w:rPr>
          <w:rFonts w:ascii="Sylfaen" w:hAnsi="Sylfaen" w:cs="Times New Roman"/>
          <w:bCs/>
        </w:rPr>
        <w:t>spending is suitable for the children within the system</w:t>
      </w:r>
      <w:r w:rsidR="003324F8" w:rsidRPr="00477D8F">
        <w:rPr>
          <w:rFonts w:ascii="Sylfaen" w:hAnsi="Sylfaen" w:cs="Times New Roman"/>
          <w:bCs/>
        </w:rPr>
        <w:t xml:space="preserve"> except at postsecondary level</w:t>
      </w:r>
      <w:r w:rsidR="00F04FB8" w:rsidRPr="00477D8F">
        <w:rPr>
          <w:rFonts w:ascii="Sylfaen" w:hAnsi="Sylfaen" w:cs="Times New Roman"/>
          <w:bCs/>
        </w:rPr>
        <w:t>;</w:t>
      </w:r>
      <w:r w:rsidRPr="00477D8F">
        <w:rPr>
          <w:rFonts w:ascii="Sylfaen" w:hAnsi="Sylfaen" w:cs="Times New Roman"/>
          <w:bCs/>
        </w:rPr>
        <w:t xml:space="preserve"> however</w:t>
      </w:r>
      <w:r w:rsidR="00F04FB8" w:rsidRPr="00477D8F">
        <w:rPr>
          <w:rFonts w:ascii="Sylfaen" w:hAnsi="Sylfaen" w:cs="Times New Roman"/>
          <w:bCs/>
        </w:rPr>
        <w:t>,</w:t>
      </w:r>
      <w:r w:rsidRPr="00477D8F">
        <w:rPr>
          <w:rFonts w:ascii="Sylfaen" w:hAnsi="Sylfaen" w:cs="Times New Roman"/>
          <w:bCs/>
        </w:rPr>
        <w:t xml:space="preserve"> it is at the expense of the children outside the system (out-of-school children).</w:t>
      </w:r>
      <w:r w:rsidR="004732F8" w:rsidRPr="00477D8F">
        <w:rPr>
          <w:rFonts w:ascii="Sylfaen" w:hAnsi="Sylfaen" w:cs="Times New Roman"/>
          <w:bCs/>
        </w:rPr>
        <w:t xml:space="preserve"> </w:t>
      </w:r>
    </w:p>
    <w:tbl>
      <w:tblPr>
        <w:tblStyle w:val="TableGrid11"/>
        <w:tblW w:w="9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1"/>
      </w:tblGrid>
      <w:tr w:rsidR="002D7BC4" w:rsidRPr="00477D8F" w14:paraId="47E914C1" w14:textId="77777777" w:rsidTr="001259A1">
        <w:trPr>
          <w:trHeight w:val="17"/>
        </w:trPr>
        <w:tc>
          <w:tcPr>
            <w:tcW w:w="9281" w:type="dxa"/>
            <w:hideMark/>
          </w:tcPr>
          <w:p w14:paraId="3CF6174F" w14:textId="0E2B0C04" w:rsidR="002D7BC4" w:rsidRPr="00477D8F" w:rsidRDefault="002D7BC4" w:rsidP="001259A1">
            <w:pPr>
              <w:pStyle w:val="Caption1"/>
              <w:rPr>
                <w:rFonts w:eastAsia="Times New Roman"/>
                <w:lang w:eastAsia="ko-KR"/>
              </w:rPr>
            </w:pPr>
            <w:bookmarkStart w:id="147" w:name="_Ref415826762"/>
            <w:bookmarkStart w:id="148" w:name="_Toc415934624"/>
            <w:bookmarkStart w:id="149" w:name="_Toc416121864"/>
            <w:bookmarkStart w:id="150" w:name="_Toc473728799"/>
            <w:bookmarkStart w:id="151" w:name="_Toc497171797"/>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27</w:t>
            </w:r>
            <w:r w:rsidR="002E5BDF" w:rsidRPr="00477D8F">
              <w:rPr>
                <w:noProof/>
              </w:rPr>
              <w:fldChar w:fldCharType="end"/>
            </w:r>
            <w:bookmarkEnd w:id="147"/>
            <w:r w:rsidRPr="00477D8F">
              <w:t>:</w:t>
            </w:r>
            <w:r w:rsidR="00272695" w:rsidRPr="00477D8F">
              <w:t xml:space="preserve"> </w:t>
            </w:r>
            <w:r w:rsidR="009D65C3" w:rsidRPr="00477D8F">
              <w:t>International comparison p</w:t>
            </w:r>
            <w:r w:rsidRPr="00477D8F">
              <w:t>er student public spending</w:t>
            </w:r>
            <w:r w:rsidR="009D65C3" w:rsidRPr="00477D8F">
              <w:t xml:space="preserve"> as share </w:t>
            </w:r>
            <w:r w:rsidRPr="00477D8F">
              <w:t>GDP per capita</w:t>
            </w:r>
            <w:bookmarkEnd w:id="148"/>
            <w:bookmarkEnd w:id="149"/>
            <w:r w:rsidR="009D65C3" w:rsidRPr="00477D8F">
              <w:t xml:space="preserve"> (%</w:t>
            </w:r>
            <w:r w:rsidRPr="00477D8F">
              <w:t>)</w:t>
            </w:r>
            <w:bookmarkEnd w:id="150"/>
            <w:bookmarkEnd w:id="151"/>
          </w:p>
        </w:tc>
      </w:tr>
      <w:tr w:rsidR="002D7BC4" w:rsidRPr="00477D8F" w14:paraId="5F26CE3C" w14:textId="77777777" w:rsidTr="001259A1">
        <w:trPr>
          <w:trHeight w:val="5268"/>
        </w:trPr>
        <w:tc>
          <w:tcPr>
            <w:tcW w:w="9281" w:type="dxa"/>
            <w:hideMark/>
          </w:tcPr>
          <w:p w14:paraId="53CE0EE6" w14:textId="77777777" w:rsidR="002D7BC4" w:rsidRPr="00477D8F" w:rsidRDefault="002D7BC4" w:rsidP="001259A1">
            <w:pPr>
              <w:ind w:hanging="23"/>
              <w:jc w:val="both"/>
              <w:rPr>
                <w:rFonts w:ascii="Sylfaen" w:hAnsi="Sylfaen"/>
              </w:rPr>
            </w:pPr>
            <w:r w:rsidRPr="00477D8F">
              <w:rPr>
                <w:rFonts w:ascii="Sylfaen" w:hAnsi="Sylfaen"/>
              </w:rPr>
              <w:t xml:space="preserve"> </w:t>
            </w:r>
            <w:r w:rsidR="00463504" w:rsidRPr="00477D8F">
              <w:rPr>
                <w:rFonts w:ascii="Sylfaen" w:hAnsi="Sylfaen"/>
                <w:noProof/>
              </w:rPr>
              <w:drawing>
                <wp:inline distT="0" distB="0" distL="0" distR="0" wp14:anchorId="7FA5BABB" wp14:editId="13F98B8D">
                  <wp:extent cx="1951630" cy="3793490"/>
                  <wp:effectExtent l="0" t="0" r="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463504" w:rsidRPr="00477D8F">
              <w:rPr>
                <w:rFonts w:ascii="Sylfaen" w:hAnsi="Sylfaen"/>
                <w:noProof/>
              </w:rPr>
              <w:drawing>
                <wp:inline distT="0" distB="0" distL="0" distR="0" wp14:anchorId="676B5E30" wp14:editId="1D093999">
                  <wp:extent cx="1644556" cy="3875405"/>
                  <wp:effectExtent l="0" t="0" r="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3D3C2E" w:rsidRPr="00477D8F">
              <w:rPr>
                <w:rFonts w:ascii="Sylfaen" w:hAnsi="Sylfaen"/>
                <w:noProof/>
              </w:rPr>
              <w:drawing>
                <wp:inline distT="0" distB="0" distL="0" distR="0" wp14:anchorId="05F3541D" wp14:editId="05B18B1B">
                  <wp:extent cx="2115403" cy="3842385"/>
                  <wp:effectExtent l="0" t="0" r="0" b="571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31E5EC7" w14:textId="77777777" w:rsidR="002D7BC4" w:rsidRPr="00477D8F" w:rsidRDefault="002D7BC4" w:rsidP="001259A1">
            <w:pPr>
              <w:ind w:hanging="23"/>
              <w:jc w:val="both"/>
              <w:rPr>
                <w:rFonts w:ascii="Sylfaen" w:hAnsi="Sylfaen" w:cs="Times New Roman"/>
                <w:bCs/>
              </w:rPr>
            </w:pPr>
          </w:p>
        </w:tc>
      </w:tr>
      <w:tr w:rsidR="002D7BC4" w:rsidRPr="00477D8F" w14:paraId="3F832141" w14:textId="77777777" w:rsidTr="001259A1">
        <w:trPr>
          <w:trHeight w:val="17"/>
        </w:trPr>
        <w:tc>
          <w:tcPr>
            <w:tcW w:w="9281" w:type="dxa"/>
            <w:hideMark/>
          </w:tcPr>
          <w:p w14:paraId="6EC2BABF" w14:textId="6698D66D" w:rsidR="002D7BC4" w:rsidRPr="00477D8F" w:rsidRDefault="002D7BC4" w:rsidP="001259A1">
            <w:pPr>
              <w:pStyle w:val="Source"/>
            </w:pPr>
            <w:r w:rsidRPr="00477D8F">
              <w:rPr>
                <w:rFonts w:eastAsia="Times New Roman"/>
                <w:i/>
              </w:rPr>
              <w:t>Source:</w:t>
            </w:r>
            <w:r w:rsidRPr="00477D8F">
              <w:rPr>
                <w:rFonts w:eastAsia="Times New Roman"/>
              </w:rPr>
              <w:t xml:space="preserve"> Authors’ calculation</w:t>
            </w:r>
            <w:r w:rsidRPr="00477D8F">
              <w:t xml:space="preserve"> based on Ministry of Budge</w:t>
            </w:r>
            <w:r w:rsidR="009D65C3" w:rsidRPr="00477D8F">
              <w:t xml:space="preserve">t </w:t>
            </w:r>
            <w:r w:rsidRPr="00477D8F">
              <w:t>and UIS for comparison countries</w:t>
            </w:r>
            <w:r w:rsidR="00863CEE" w:rsidRPr="00477D8F">
              <w:t>.</w:t>
            </w:r>
          </w:p>
        </w:tc>
      </w:tr>
    </w:tbl>
    <w:p w14:paraId="1A28AB24" w14:textId="359F5405" w:rsidR="00FF647D" w:rsidRPr="00477D8F" w:rsidRDefault="00FF647D" w:rsidP="00ED0E68">
      <w:pPr>
        <w:pStyle w:val="Heading2"/>
        <w:rPr>
          <w:b/>
        </w:rPr>
      </w:pPr>
      <w:bookmarkStart w:id="152" w:name="_Toc497171871"/>
      <w:r w:rsidRPr="00477D8F">
        <w:t>Teachers</w:t>
      </w:r>
      <w:r w:rsidR="0008749E" w:rsidRPr="00477D8F">
        <w:t>’</w:t>
      </w:r>
      <w:r w:rsidR="001D69D4" w:rsidRPr="00477D8F">
        <w:t xml:space="preserve"> compensations</w:t>
      </w:r>
      <w:bookmarkEnd w:id="152"/>
      <w:r w:rsidR="001D69D4" w:rsidRPr="00477D8F">
        <w:t xml:space="preserve"> </w:t>
      </w:r>
    </w:p>
    <w:p w14:paraId="17651AAC" w14:textId="18BDFF05" w:rsidR="00C647A8" w:rsidRPr="00477D8F" w:rsidRDefault="00C51960" w:rsidP="007D0071">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imes New Roman"/>
        </w:rPr>
      </w:pPr>
      <w:r w:rsidRPr="00477D8F">
        <w:rPr>
          <w:rFonts w:ascii="Sylfaen" w:hAnsi="Sylfaen" w:cs="Times New Roman"/>
          <w:b/>
        </w:rPr>
        <w:t>Even though the personnel cost is the largest portion of the educatio</w:t>
      </w:r>
      <w:r w:rsidR="0073085C" w:rsidRPr="00477D8F">
        <w:rPr>
          <w:rFonts w:ascii="Sylfaen" w:hAnsi="Sylfaen" w:cs="Times New Roman"/>
          <w:b/>
        </w:rPr>
        <w:t>n sector budget, estimates based on</w:t>
      </w:r>
      <w:r w:rsidRPr="00477D8F">
        <w:rPr>
          <w:rFonts w:ascii="Sylfaen" w:hAnsi="Sylfaen" w:cs="Times New Roman"/>
          <w:b/>
        </w:rPr>
        <w:t xml:space="preserve"> the 2015 IHS indicate that the education sector staff are paid at a lesser rate than other public sector staff.</w:t>
      </w:r>
      <w:r w:rsidR="00272695" w:rsidRPr="00477D8F">
        <w:rPr>
          <w:rFonts w:ascii="Sylfaen" w:hAnsi="Sylfaen" w:cs="Times New Roman"/>
        </w:rPr>
        <w:t xml:space="preserve"> </w:t>
      </w:r>
      <w:r w:rsidRPr="00477D8F">
        <w:rPr>
          <w:rFonts w:ascii="Sylfaen" w:hAnsi="Sylfaen" w:cs="Times New Roman"/>
        </w:rPr>
        <w:t xml:space="preserve">The education sector staff accounts for close to a third (28 percent) of the wage bill in the public sector. The salary of the education sector staff is below the </w:t>
      </w:r>
      <w:r w:rsidR="00416D23" w:rsidRPr="00477D8F">
        <w:rPr>
          <w:rFonts w:ascii="Sylfaen" w:hAnsi="Sylfaen" w:cs="Times New Roman"/>
        </w:rPr>
        <w:t>public sector</w:t>
      </w:r>
      <w:r w:rsidRPr="00477D8F">
        <w:rPr>
          <w:rFonts w:ascii="Sylfaen" w:hAnsi="Sylfaen" w:cs="Times New Roman"/>
        </w:rPr>
        <w:t xml:space="preserve"> average wage (</w:t>
      </w:r>
      <w:r w:rsidR="00123993" w:rsidRPr="00477D8F">
        <w:rPr>
          <w:rFonts w:ascii="Sylfaen" w:hAnsi="Sylfaen" w:cs="Times New Roman"/>
        </w:rPr>
        <w:t xml:space="preserve">GMD </w:t>
      </w:r>
      <w:r w:rsidRPr="00477D8F">
        <w:rPr>
          <w:rFonts w:ascii="Sylfaen" w:hAnsi="Sylfaen" w:cs="Times New Roman"/>
        </w:rPr>
        <w:t>3</w:t>
      </w:r>
      <w:r w:rsidR="00910966" w:rsidRPr="00477D8F">
        <w:rPr>
          <w:rFonts w:ascii="Sylfaen" w:hAnsi="Sylfaen" w:cs="Times New Roman"/>
        </w:rPr>
        <w:t>,</w:t>
      </w:r>
      <w:r w:rsidRPr="00477D8F">
        <w:rPr>
          <w:rFonts w:ascii="Sylfaen" w:hAnsi="Sylfaen" w:cs="Times New Roman"/>
        </w:rPr>
        <w:t xml:space="preserve">913 per month) </w:t>
      </w:r>
      <w:r w:rsidR="0073085C" w:rsidRPr="00477D8F">
        <w:rPr>
          <w:rFonts w:ascii="Sylfaen" w:hAnsi="Sylfaen" w:cs="Times New Roman"/>
        </w:rPr>
        <w:t xml:space="preserve">and is </w:t>
      </w:r>
      <w:r w:rsidRPr="00477D8F">
        <w:rPr>
          <w:rFonts w:ascii="Sylfaen" w:hAnsi="Sylfaen" w:cs="Times New Roman"/>
        </w:rPr>
        <w:t>significantly less than the health sector staff salary (</w:t>
      </w:r>
      <w:r w:rsidRPr="00477D8F">
        <w:rPr>
          <w:rFonts w:ascii="Sylfaen" w:hAnsi="Sylfaen" w:cs="Times New Roman"/>
        </w:rPr>
        <w:fldChar w:fldCharType="begin"/>
      </w:r>
      <w:r w:rsidRPr="00477D8F">
        <w:rPr>
          <w:rFonts w:ascii="Sylfaen" w:hAnsi="Sylfaen" w:cs="Times New Roman"/>
        </w:rPr>
        <w:instrText xml:space="preserve"> REF _Ref415917705 \h  \* MERGEFORMAT </w:instrText>
      </w:r>
      <w:r w:rsidRPr="00477D8F">
        <w:rPr>
          <w:rFonts w:ascii="Sylfaen" w:hAnsi="Sylfaen" w:cs="Times New Roman"/>
        </w:rPr>
      </w:r>
      <w:r w:rsidRPr="00477D8F">
        <w:rPr>
          <w:rFonts w:ascii="Sylfaen" w:hAnsi="Sylfaen" w:cs="Times New Roman"/>
        </w:rPr>
        <w:fldChar w:fldCharType="separate"/>
      </w:r>
      <w:r w:rsidR="00F800F3" w:rsidRPr="00477D8F">
        <w:rPr>
          <w:rFonts w:ascii="Sylfaen" w:hAnsi="Sylfaen" w:cs="Times New Roman"/>
        </w:rPr>
        <w:t>Figure 28</w:t>
      </w:r>
      <w:r w:rsidRPr="00477D8F">
        <w:rPr>
          <w:rFonts w:ascii="Sylfaen" w:hAnsi="Sylfaen" w:cs="Times New Roman"/>
        </w:rPr>
        <w:fldChar w:fldCharType="end"/>
      </w:r>
      <w:r w:rsidRPr="00477D8F">
        <w:rPr>
          <w:rFonts w:ascii="Sylfaen" w:hAnsi="Sylfaen" w:cs="Times New Roman"/>
        </w:rPr>
        <w:t>).</w:t>
      </w:r>
      <w:r w:rsidR="00272695" w:rsidRPr="00477D8F">
        <w:rPr>
          <w:rFonts w:ascii="Sylfaen" w:hAnsi="Sylfaen" w:cs="Times New Roman"/>
        </w:rPr>
        <w:t xml:space="preserve"> </w:t>
      </w:r>
      <w:r w:rsidRPr="00477D8F">
        <w:rPr>
          <w:rFonts w:ascii="Sylfaen" w:hAnsi="Sylfaen" w:cs="Times New Roman"/>
        </w:rPr>
        <w:t xml:space="preserve">Overall, the high spending on personnel cost </w:t>
      </w:r>
      <w:r w:rsidR="009638A3" w:rsidRPr="00477D8F">
        <w:rPr>
          <w:rFonts w:ascii="Sylfaen" w:hAnsi="Sylfaen" w:cs="Times New Roman"/>
        </w:rPr>
        <w:t xml:space="preserve">in the sector </w:t>
      </w:r>
      <w:r w:rsidRPr="00477D8F">
        <w:rPr>
          <w:rFonts w:ascii="Sylfaen" w:hAnsi="Sylfaen" w:cs="Times New Roman"/>
        </w:rPr>
        <w:t xml:space="preserve">is associated with high growth in the </w:t>
      </w:r>
      <w:r w:rsidR="009638A3" w:rsidRPr="00477D8F">
        <w:rPr>
          <w:rFonts w:ascii="Sylfaen" w:hAnsi="Sylfaen" w:cs="Times New Roman"/>
        </w:rPr>
        <w:t xml:space="preserve">number of </w:t>
      </w:r>
      <w:r w:rsidRPr="00477D8F">
        <w:rPr>
          <w:rFonts w:ascii="Sylfaen" w:hAnsi="Sylfaen" w:cs="Times New Roman"/>
        </w:rPr>
        <w:t>staff but not in the improvement of</w:t>
      </w:r>
      <w:r w:rsidR="009638A3" w:rsidRPr="00477D8F">
        <w:rPr>
          <w:rFonts w:ascii="Sylfaen" w:hAnsi="Sylfaen" w:cs="Times New Roman"/>
        </w:rPr>
        <w:t xml:space="preserve"> </w:t>
      </w:r>
      <w:r w:rsidRPr="00477D8F">
        <w:rPr>
          <w:rFonts w:ascii="Sylfaen" w:hAnsi="Sylfaen" w:cs="Times New Roman"/>
        </w:rPr>
        <w:t xml:space="preserve">salaries. This might discourage talented and motivated teachers </w:t>
      </w:r>
      <w:r w:rsidR="009638A3" w:rsidRPr="00477D8F">
        <w:rPr>
          <w:rFonts w:ascii="Sylfaen" w:hAnsi="Sylfaen" w:cs="Times New Roman"/>
        </w:rPr>
        <w:t>from joining and staying in the teaching force.</w:t>
      </w:r>
    </w:p>
    <w:tbl>
      <w:tblPr>
        <w:tblStyle w:val="TableGrid2"/>
        <w:tblW w:w="93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9"/>
      </w:tblGrid>
      <w:tr w:rsidR="00FF647D" w:rsidRPr="00477D8F" w14:paraId="081B313B" w14:textId="77777777" w:rsidTr="001259A1">
        <w:trPr>
          <w:trHeight w:val="20"/>
        </w:trPr>
        <w:tc>
          <w:tcPr>
            <w:tcW w:w="9339" w:type="dxa"/>
            <w:hideMark/>
          </w:tcPr>
          <w:p w14:paraId="6D699F8F" w14:textId="1F586793" w:rsidR="00FF647D" w:rsidRPr="00477D8F" w:rsidRDefault="00FF647D" w:rsidP="001259A1">
            <w:pPr>
              <w:pStyle w:val="Caption1"/>
              <w:rPr>
                <w:lang w:eastAsia="ko-KR"/>
              </w:rPr>
            </w:pPr>
            <w:bookmarkStart w:id="153" w:name="_Ref415917705"/>
            <w:bookmarkStart w:id="154" w:name="_Toc415934648"/>
            <w:bookmarkStart w:id="155" w:name="_Toc416121888"/>
            <w:bookmarkStart w:id="156" w:name="_Toc430866163"/>
            <w:bookmarkStart w:id="157" w:name="_Toc497171798"/>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28</w:t>
            </w:r>
            <w:r w:rsidR="002E5BDF" w:rsidRPr="00477D8F">
              <w:rPr>
                <w:noProof/>
              </w:rPr>
              <w:fldChar w:fldCharType="end"/>
            </w:r>
            <w:bookmarkEnd w:id="153"/>
            <w:r w:rsidRPr="00477D8F">
              <w:t xml:space="preserve">: </w:t>
            </w:r>
            <w:r w:rsidR="009D65C3" w:rsidRPr="00477D8F">
              <w:t xml:space="preserve">Average public sector salaries by key sectors and their share of </w:t>
            </w:r>
            <w:r w:rsidRPr="00477D8F">
              <w:t>wage bill</w:t>
            </w:r>
            <w:bookmarkEnd w:id="154"/>
            <w:bookmarkEnd w:id="155"/>
            <w:bookmarkEnd w:id="156"/>
            <w:r w:rsidR="009D65C3" w:rsidRPr="00477D8F">
              <w:t>, 2015</w:t>
            </w:r>
            <w:bookmarkEnd w:id="157"/>
          </w:p>
        </w:tc>
      </w:tr>
      <w:tr w:rsidR="00FF647D" w:rsidRPr="00477D8F" w14:paraId="178CF991" w14:textId="77777777" w:rsidTr="00BA2A07">
        <w:trPr>
          <w:trHeight w:val="20"/>
        </w:trPr>
        <w:tc>
          <w:tcPr>
            <w:tcW w:w="9339" w:type="dxa"/>
            <w:hideMark/>
          </w:tcPr>
          <w:p w14:paraId="23D75963" w14:textId="18CA5238" w:rsidR="00FF647D" w:rsidRPr="00477D8F" w:rsidRDefault="00FF647D" w:rsidP="001259A1">
            <w:pPr>
              <w:jc w:val="both"/>
              <w:rPr>
                <w:rFonts w:ascii="Sylfaen" w:hAnsi="Sylfaen" w:cs="Times New Roman"/>
              </w:rPr>
            </w:pPr>
            <w:r w:rsidRPr="00477D8F">
              <w:rPr>
                <w:rFonts w:ascii="Sylfaen" w:hAnsi="Sylfaen"/>
                <w:noProof/>
              </w:rPr>
              <w:drawing>
                <wp:inline distT="0" distB="0" distL="0" distR="0" wp14:anchorId="7576707E" wp14:editId="0821BCEC">
                  <wp:extent cx="2120900" cy="2077517"/>
                  <wp:effectExtent l="0" t="0" r="12700" b="18415"/>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01432B" w:rsidRPr="00477D8F">
              <w:rPr>
                <w:rFonts w:ascii="Sylfaen" w:hAnsi="Sylfaen"/>
              </w:rPr>
              <w:t xml:space="preserve"> </w:t>
            </w:r>
            <w:r w:rsidR="00BA2A07" w:rsidRPr="00477D8F">
              <w:rPr>
                <w:noProof/>
              </w:rPr>
              <w:drawing>
                <wp:inline distT="0" distB="0" distL="0" distR="0" wp14:anchorId="1CC11220" wp14:editId="6203DD42">
                  <wp:extent cx="3580130" cy="2082018"/>
                  <wp:effectExtent l="0" t="0" r="1270" b="13970"/>
                  <wp:docPr id="124" name="Chart 124">
                    <a:extLst xmlns:a="http://schemas.openxmlformats.org/drawingml/2006/main">
                      <a:ext uri="{FF2B5EF4-FFF2-40B4-BE49-F238E27FC236}">
                        <a16:creationId xmlns:a16="http://schemas.microsoft.com/office/drawing/2014/main" id="{00000000-0008-0000-1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BA2A07" w:rsidRPr="00477D8F">
              <w:rPr>
                <w:rStyle w:val="CommentReference"/>
              </w:rPr>
              <w:t xml:space="preserve"> </w:t>
            </w:r>
          </w:p>
        </w:tc>
      </w:tr>
      <w:tr w:rsidR="00FF647D" w:rsidRPr="00477D8F" w14:paraId="6E895D04" w14:textId="77777777" w:rsidTr="001259A1">
        <w:trPr>
          <w:trHeight w:val="20"/>
        </w:trPr>
        <w:tc>
          <w:tcPr>
            <w:tcW w:w="9339" w:type="dxa"/>
            <w:hideMark/>
          </w:tcPr>
          <w:p w14:paraId="164EF7E9" w14:textId="269037FA" w:rsidR="00FF647D" w:rsidRPr="00477D8F" w:rsidRDefault="00FF647D" w:rsidP="001259A1">
            <w:pPr>
              <w:pStyle w:val="Source"/>
            </w:pPr>
            <w:r w:rsidRPr="00477D8F">
              <w:rPr>
                <w:i/>
              </w:rPr>
              <w:t>Source:</w:t>
            </w:r>
            <w:r w:rsidRPr="00477D8F">
              <w:t xml:space="preserve"> Authors’ estimations based </w:t>
            </w:r>
            <w:r w:rsidR="009D65C3" w:rsidRPr="00477D8F">
              <w:t>IHS 2015</w:t>
            </w:r>
            <w:r w:rsidR="00863CEE" w:rsidRPr="00477D8F">
              <w:t>.</w:t>
            </w:r>
          </w:p>
        </w:tc>
      </w:tr>
    </w:tbl>
    <w:p w14:paraId="1C37BC1A" w14:textId="1829DCB5" w:rsidR="00C647A8" w:rsidRPr="00477D8F" w:rsidRDefault="00C51960" w:rsidP="007D0071">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imes New Roman"/>
        </w:rPr>
      </w:pPr>
      <w:r w:rsidRPr="00477D8F">
        <w:rPr>
          <w:rFonts w:ascii="Sylfaen" w:hAnsi="Sylfaen" w:cs="Times New Roman"/>
          <w:b/>
        </w:rPr>
        <w:t xml:space="preserve">The breakdown of the </w:t>
      </w:r>
      <w:r w:rsidR="005A6E17" w:rsidRPr="00477D8F">
        <w:rPr>
          <w:rFonts w:ascii="Sylfaen" w:hAnsi="Sylfaen" w:cs="Times New Roman"/>
          <w:b/>
        </w:rPr>
        <w:t xml:space="preserve">pay of </w:t>
      </w:r>
      <w:r w:rsidRPr="00477D8F">
        <w:rPr>
          <w:rFonts w:ascii="Sylfaen" w:hAnsi="Sylfaen" w:cs="Times New Roman"/>
          <w:b/>
        </w:rPr>
        <w:t>education staff by level of education</w:t>
      </w:r>
      <w:r w:rsidR="005A6E17" w:rsidRPr="00477D8F">
        <w:rPr>
          <w:rFonts w:ascii="Sylfaen" w:hAnsi="Sylfaen" w:cs="Times New Roman"/>
          <w:b/>
        </w:rPr>
        <w:t xml:space="preserve"> shows low pay for primary education staff</w:t>
      </w:r>
      <w:r w:rsidR="00123993" w:rsidRPr="00477D8F">
        <w:rPr>
          <w:rFonts w:ascii="Sylfaen" w:hAnsi="Sylfaen" w:cs="Times New Roman"/>
          <w:b/>
        </w:rPr>
        <w:t>—</w:t>
      </w:r>
      <w:r w:rsidR="004C5FBA" w:rsidRPr="00477D8F">
        <w:rPr>
          <w:rFonts w:ascii="Sylfaen" w:hAnsi="Sylfaen" w:cs="Times New Roman"/>
          <w:b/>
        </w:rPr>
        <w:t>1.9</w:t>
      </w:r>
      <w:r w:rsidRPr="00477D8F">
        <w:rPr>
          <w:rFonts w:ascii="Sylfaen" w:hAnsi="Sylfaen" w:cs="Times New Roman"/>
          <w:b/>
        </w:rPr>
        <w:t xml:space="preserve"> ti</w:t>
      </w:r>
      <w:r w:rsidR="007A1142" w:rsidRPr="00477D8F">
        <w:rPr>
          <w:rFonts w:ascii="Sylfaen" w:hAnsi="Sylfaen" w:cs="Times New Roman"/>
          <w:b/>
        </w:rPr>
        <w:t>mes GDP per capita compared to</w:t>
      </w:r>
      <w:r w:rsidRPr="00477D8F">
        <w:rPr>
          <w:rFonts w:ascii="Sylfaen" w:hAnsi="Sylfaen" w:cs="Times New Roman"/>
          <w:b/>
        </w:rPr>
        <w:t xml:space="preserve"> the recommended level of 3.5 times GDP per capita. </w:t>
      </w:r>
      <w:r w:rsidR="00603FB0" w:rsidRPr="00477D8F">
        <w:rPr>
          <w:rFonts w:ascii="Sylfaen" w:hAnsi="Sylfaen" w:cs="Times New Roman"/>
        </w:rPr>
        <w:t>The education staff in</w:t>
      </w:r>
      <w:r w:rsidRPr="00477D8F">
        <w:rPr>
          <w:rFonts w:ascii="Sylfaen" w:hAnsi="Sylfaen" w:cs="Times New Roman"/>
        </w:rPr>
        <w:t xml:space="preserve"> secondary schools are paid significantly more than those at the primary level. </w:t>
      </w:r>
      <w:r w:rsidR="005A6E17" w:rsidRPr="00477D8F">
        <w:rPr>
          <w:rFonts w:ascii="Sylfaen" w:hAnsi="Sylfaen" w:cs="Times New Roman"/>
        </w:rPr>
        <w:t>In contrast</w:t>
      </w:r>
      <w:r w:rsidR="00123993" w:rsidRPr="00477D8F">
        <w:rPr>
          <w:rFonts w:ascii="Sylfaen" w:hAnsi="Sylfaen" w:cs="Times New Roman"/>
        </w:rPr>
        <w:t>,</w:t>
      </w:r>
      <w:r w:rsidR="00603FB0" w:rsidRPr="00477D8F">
        <w:rPr>
          <w:rFonts w:ascii="Sylfaen" w:hAnsi="Sylfaen" w:cs="Times New Roman"/>
        </w:rPr>
        <w:t xml:space="preserve"> </w:t>
      </w:r>
      <w:r w:rsidR="005A6E17" w:rsidRPr="00477D8F">
        <w:rPr>
          <w:rFonts w:ascii="Sylfaen" w:hAnsi="Sylfaen" w:cs="Times New Roman"/>
        </w:rPr>
        <w:t>t</w:t>
      </w:r>
      <w:r w:rsidRPr="00477D8F">
        <w:rPr>
          <w:rFonts w:ascii="Sylfaen" w:hAnsi="Sylfaen" w:cs="Times New Roman"/>
        </w:rPr>
        <w:t xml:space="preserve">he salary </w:t>
      </w:r>
      <w:r w:rsidR="005A6E17" w:rsidRPr="00477D8F">
        <w:rPr>
          <w:rFonts w:ascii="Sylfaen" w:hAnsi="Sylfaen" w:cs="Times New Roman"/>
        </w:rPr>
        <w:t>in higher education</w:t>
      </w:r>
      <w:r w:rsidRPr="00477D8F">
        <w:rPr>
          <w:rFonts w:ascii="Sylfaen" w:hAnsi="Sylfaen" w:cs="Times New Roman"/>
        </w:rPr>
        <w:t xml:space="preserve"> is higher in the public sector</w:t>
      </w:r>
      <w:r w:rsidR="00123993" w:rsidRPr="00477D8F">
        <w:rPr>
          <w:rFonts w:ascii="Sylfaen" w:hAnsi="Sylfaen" w:cs="Times New Roman"/>
        </w:rPr>
        <w:t>,</w:t>
      </w:r>
      <w:r w:rsidR="005A6E17" w:rsidRPr="00477D8F">
        <w:rPr>
          <w:rFonts w:ascii="Sylfaen" w:hAnsi="Sylfaen" w:cs="Times New Roman"/>
        </w:rPr>
        <w:t xml:space="preserve"> </w:t>
      </w:r>
      <w:r w:rsidRPr="00477D8F">
        <w:rPr>
          <w:rFonts w:ascii="Sylfaen" w:hAnsi="Sylfaen" w:cs="Times New Roman"/>
        </w:rPr>
        <w:t>which is reflected in the higher unit cost at that level (</w:t>
      </w:r>
      <w:r w:rsidRPr="00477D8F">
        <w:rPr>
          <w:rFonts w:ascii="Sylfaen" w:hAnsi="Sylfaen" w:cs="Times New Roman"/>
        </w:rPr>
        <w:fldChar w:fldCharType="begin"/>
      </w:r>
      <w:r w:rsidRPr="00477D8F">
        <w:rPr>
          <w:rFonts w:ascii="Sylfaen" w:hAnsi="Sylfaen" w:cs="Times New Roman"/>
        </w:rPr>
        <w:instrText xml:space="preserve"> REF _Ref415918361 \h  \* MERGEFORMAT </w:instrText>
      </w:r>
      <w:r w:rsidRPr="00477D8F">
        <w:rPr>
          <w:rFonts w:ascii="Sylfaen" w:hAnsi="Sylfaen" w:cs="Times New Roman"/>
        </w:rPr>
      </w:r>
      <w:r w:rsidRPr="00477D8F">
        <w:rPr>
          <w:rFonts w:ascii="Sylfaen" w:hAnsi="Sylfaen" w:cs="Times New Roman"/>
        </w:rPr>
        <w:fldChar w:fldCharType="separate"/>
      </w:r>
      <w:r w:rsidR="00F800F3" w:rsidRPr="00477D8F">
        <w:rPr>
          <w:rFonts w:ascii="Sylfaen" w:hAnsi="Sylfaen"/>
        </w:rPr>
        <w:t>Figure 29</w:t>
      </w:r>
      <w:r w:rsidRPr="00477D8F">
        <w:rPr>
          <w:rFonts w:ascii="Sylfaen" w:hAnsi="Sylfaen" w:cs="Times New Roman"/>
        </w:rPr>
        <w:fldChar w:fldCharType="end"/>
      </w:r>
      <w:r w:rsidRPr="00477D8F">
        <w:rPr>
          <w:rFonts w:ascii="Sylfaen" w:hAnsi="Sylfaen" w:cs="Times New Roman"/>
        </w:rPr>
        <w:t>). At the primary and secondary levels, the private sector remunerates its teachers better than the public sector while it is the opposite at the postsecondary due to the nature of the provision</w:t>
      </w:r>
      <w:r w:rsidR="003324F8" w:rsidRPr="00477D8F">
        <w:rPr>
          <w:rFonts w:ascii="Sylfaen" w:hAnsi="Sylfaen" w:cs="Times New Roman"/>
        </w:rPr>
        <w:t xml:space="preserve"> (short </w:t>
      </w:r>
      <w:r w:rsidR="002828F4" w:rsidRPr="00477D8F">
        <w:rPr>
          <w:rFonts w:ascii="Sylfaen" w:hAnsi="Sylfaen" w:cs="Times New Roman"/>
        </w:rPr>
        <w:t>term</w:t>
      </w:r>
      <w:r w:rsidR="003324F8" w:rsidRPr="00477D8F">
        <w:rPr>
          <w:rFonts w:ascii="Sylfaen" w:hAnsi="Sylfaen" w:cs="Times New Roman"/>
        </w:rPr>
        <w:t xml:space="preserve"> and non-tertiary levels)</w:t>
      </w:r>
      <w:r w:rsidRPr="00477D8F">
        <w:rPr>
          <w:rFonts w:ascii="Sylfaen" w:hAnsi="Sylfaen" w:cs="Times New Roman"/>
        </w:rPr>
        <w:t xml:space="preserve"> in </w:t>
      </w:r>
      <w:r w:rsidR="00123993" w:rsidRPr="00477D8F">
        <w:rPr>
          <w:rFonts w:ascii="Sylfaen" w:hAnsi="Sylfaen" w:cs="Times New Roman"/>
        </w:rPr>
        <w:t xml:space="preserve">the </w:t>
      </w:r>
      <w:r w:rsidRPr="00477D8F">
        <w:rPr>
          <w:rFonts w:ascii="Sylfaen" w:hAnsi="Sylfaen" w:cs="Times New Roman"/>
        </w:rPr>
        <w:t>private postsecondary institutions</w:t>
      </w:r>
      <w:r w:rsidR="0008749E" w:rsidRPr="00477D8F">
        <w:rPr>
          <w:rFonts w:ascii="Sylfaen" w:hAnsi="Sylfaen" w:cs="Times New Roman"/>
        </w:rPr>
        <w:t>,</w:t>
      </w:r>
      <w:r w:rsidRPr="00477D8F">
        <w:rPr>
          <w:rFonts w:ascii="Sylfaen" w:hAnsi="Sylfaen" w:cs="Times New Roman"/>
        </w:rPr>
        <w:t xml:space="preserve"> as </w:t>
      </w:r>
      <w:r w:rsidR="005A6E17" w:rsidRPr="00477D8F">
        <w:rPr>
          <w:rFonts w:ascii="Sylfaen" w:hAnsi="Sylfaen" w:cs="Times New Roman"/>
        </w:rPr>
        <w:t>discussed earli</w:t>
      </w:r>
      <w:r w:rsidR="00603FB0" w:rsidRPr="00477D8F">
        <w:rPr>
          <w:rFonts w:ascii="Sylfaen" w:hAnsi="Sylfaen" w:cs="Times New Roman"/>
        </w:rPr>
        <w:t>er</w:t>
      </w:r>
      <w:r w:rsidRPr="00477D8F">
        <w:rPr>
          <w:rFonts w:ascii="Sylfaen" w:hAnsi="Sylfaen" w:cs="Times New Roman"/>
        </w:rPr>
        <w:t xml:space="preserve">. The underpayment of </w:t>
      </w:r>
      <w:r w:rsidR="00E80A69" w:rsidRPr="00477D8F">
        <w:rPr>
          <w:rFonts w:ascii="Sylfaen" w:hAnsi="Sylfaen" w:cs="Times New Roman"/>
        </w:rPr>
        <w:t>The Gambia</w:t>
      </w:r>
      <w:r w:rsidRPr="00477D8F">
        <w:rPr>
          <w:rFonts w:ascii="Sylfaen" w:hAnsi="Sylfaen" w:cs="Times New Roman"/>
        </w:rPr>
        <w:t>n teachers was also documented in the 2011 CSR. The salary rate</w:t>
      </w:r>
      <w:r w:rsidR="00123993" w:rsidRPr="00477D8F">
        <w:rPr>
          <w:rFonts w:ascii="Sylfaen" w:hAnsi="Sylfaen" w:cs="Times New Roman"/>
        </w:rPr>
        <w:t>,</w:t>
      </w:r>
      <w:r w:rsidRPr="00477D8F">
        <w:rPr>
          <w:rFonts w:ascii="Sylfaen" w:hAnsi="Sylfaen" w:cs="Times New Roman"/>
        </w:rPr>
        <w:t xml:space="preserve"> which was 2.5 times GDP per capita in 20</w:t>
      </w:r>
      <w:r w:rsidR="00A6153E" w:rsidRPr="00477D8F">
        <w:rPr>
          <w:rFonts w:ascii="Sylfaen" w:hAnsi="Sylfaen" w:cs="Times New Roman"/>
        </w:rPr>
        <w:t>1</w:t>
      </w:r>
      <w:r w:rsidRPr="00477D8F">
        <w:rPr>
          <w:rFonts w:ascii="Sylfaen" w:hAnsi="Sylfaen" w:cs="Times New Roman"/>
        </w:rPr>
        <w:t>1</w:t>
      </w:r>
      <w:r w:rsidR="003324F8" w:rsidRPr="00477D8F">
        <w:rPr>
          <w:rFonts w:ascii="Sylfaen" w:hAnsi="Sylfaen" w:cs="Times New Roman"/>
        </w:rPr>
        <w:t xml:space="preserve"> at LBS</w:t>
      </w:r>
      <w:r w:rsidRPr="00477D8F">
        <w:rPr>
          <w:rFonts w:ascii="Sylfaen" w:hAnsi="Sylfaen" w:cs="Times New Roman"/>
        </w:rPr>
        <w:t xml:space="preserve">, </w:t>
      </w:r>
      <w:r w:rsidR="005A6E17" w:rsidRPr="00477D8F">
        <w:rPr>
          <w:rFonts w:ascii="Sylfaen" w:hAnsi="Sylfaen" w:cs="Times New Roman"/>
        </w:rPr>
        <w:t xml:space="preserve">has </w:t>
      </w:r>
      <w:r w:rsidRPr="00477D8F">
        <w:rPr>
          <w:rFonts w:ascii="Sylfaen" w:hAnsi="Sylfaen" w:cs="Times New Roman"/>
        </w:rPr>
        <w:t>worsen</w:t>
      </w:r>
      <w:r w:rsidR="005A6E17" w:rsidRPr="00477D8F">
        <w:rPr>
          <w:rFonts w:ascii="Sylfaen" w:hAnsi="Sylfaen" w:cs="Times New Roman"/>
        </w:rPr>
        <w:t>ed</w:t>
      </w:r>
      <w:r w:rsidRPr="00477D8F">
        <w:rPr>
          <w:rFonts w:ascii="Sylfaen" w:hAnsi="Sylfaen" w:cs="Times New Roman"/>
        </w:rPr>
        <w:t xml:space="preserve"> over</w:t>
      </w:r>
      <w:r w:rsidR="00123993" w:rsidRPr="00477D8F">
        <w:rPr>
          <w:rFonts w:ascii="Sylfaen" w:hAnsi="Sylfaen" w:cs="Times New Roman"/>
        </w:rPr>
        <w:t xml:space="preserve"> </w:t>
      </w:r>
      <w:r w:rsidRPr="00477D8F">
        <w:rPr>
          <w:rFonts w:ascii="Sylfaen" w:hAnsi="Sylfaen" w:cs="Times New Roman"/>
        </w:rPr>
        <w:t xml:space="preserve">time and now stands at </w:t>
      </w:r>
      <w:r w:rsidR="003324F8" w:rsidRPr="00477D8F">
        <w:rPr>
          <w:rFonts w:ascii="Sylfaen" w:hAnsi="Sylfaen" w:cs="Times New Roman"/>
        </w:rPr>
        <w:t>1.9</w:t>
      </w:r>
      <w:r w:rsidRPr="00477D8F">
        <w:rPr>
          <w:rFonts w:ascii="Sylfaen" w:hAnsi="Sylfaen" w:cs="Times New Roman"/>
        </w:rPr>
        <w:t xml:space="preserve"> time</w:t>
      </w:r>
      <w:r w:rsidR="005A6E17" w:rsidRPr="00477D8F">
        <w:rPr>
          <w:rFonts w:ascii="Sylfaen" w:hAnsi="Sylfaen" w:cs="Times New Roman"/>
        </w:rPr>
        <w:t>s</w:t>
      </w:r>
      <w:r w:rsidRPr="00477D8F">
        <w:rPr>
          <w:rFonts w:ascii="Sylfaen" w:hAnsi="Sylfaen" w:cs="Times New Roman"/>
        </w:rPr>
        <w:t xml:space="preserve"> GDP per capita</w:t>
      </w:r>
      <w:r w:rsidR="003324F8" w:rsidRPr="00477D8F">
        <w:rPr>
          <w:rFonts w:ascii="Sylfaen" w:hAnsi="Sylfaen" w:cs="Times New Roman"/>
        </w:rPr>
        <w:t xml:space="preserve"> at LBS</w:t>
      </w:r>
      <w:r w:rsidRPr="00477D8F">
        <w:rPr>
          <w:rFonts w:ascii="Sylfaen" w:hAnsi="Sylfaen" w:cs="Times New Roman"/>
        </w:rPr>
        <w:t>. While several policy actions are required to solve the staff management issues</w:t>
      </w:r>
      <w:r w:rsidR="00F8023B" w:rsidRPr="00477D8F">
        <w:rPr>
          <w:rFonts w:ascii="Sylfaen" w:hAnsi="Sylfaen" w:cs="Times New Roman"/>
        </w:rPr>
        <w:t>,</w:t>
      </w:r>
      <w:r w:rsidRPr="00477D8F">
        <w:rPr>
          <w:rFonts w:ascii="Sylfaen" w:hAnsi="Sylfaen" w:cs="Times New Roman"/>
        </w:rPr>
        <w:t xml:space="preserve"> including the rapid </w:t>
      </w:r>
      <w:r w:rsidR="00603FB0" w:rsidRPr="00477D8F">
        <w:rPr>
          <w:rFonts w:ascii="Sylfaen" w:hAnsi="Sylfaen" w:cs="Times New Roman"/>
        </w:rPr>
        <w:t xml:space="preserve">growth in </w:t>
      </w:r>
      <w:r w:rsidR="00123993" w:rsidRPr="00477D8F">
        <w:rPr>
          <w:rFonts w:ascii="Sylfaen" w:hAnsi="Sylfaen" w:cs="Times New Roman"/>
        </w:rPr>
        <w:t xml:space="preserve">the </w:t>
      </w:r>
      <w:r w:rsidR="00603FB0" w:rsidRPr="00477D8F">
        <w:rPr>
          <w:rFonts w:ascii="Sylfaen" w:hAnsi="Sylfaen" w:cs="Times New Roman"/>
        </w:rPr>
        <w:t>number of teachers</w:t>
      </w:r>
      <w:r w:rsidRPr="00477D8F">
        <w:rPr>
          <w:rFonts w:ascii="Sylfaen" w:hAnsi="Sylfaen" w:cs="Times New Roman"/>
        </w:rPr>
        <w:t>, a budget increase to the sector is imperative to stimulate a competitive teacher remuneration to attract qualified and motivated teachers</w:t>
      </w:r>
      <w:r w:rsidR="005A6E17" w:rsidRPr="00477D8F">
        <w:rPr>
          <w:rFonts w:ascii="Sylfaen" w:hAnsi="Sylfaen" w:cs="Times New Roman"/>
        </w:rPr>
        <w:t>.</w:t>
      </w:r>
    </w:p>
    <w:tbl>
      <w:tblPr>
        <w:tblStyle w:val="TableGrid2"/>
        <w:tblW w:w="9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FF647D" w:rsidRPr="00477D8F" w14:paraId="71EA1CF9" w14:textId="77777777" w:rsidTr="001259A1">
        <w:trPr>
          <w:trHeight w:val="18"/>
        </w:trPr>
        <w:tc>
          <w:tcPr>
            <w:tcW w:w="9246" w:type="dxa"/>
            <w:hideMark/>
          </w:tcPr>
          <w:p w14:paraId="608F3B7D" w14:textId="0B5A6241" w:rsidR="00FF647D" w:rsidRPr="00477D8F" w:rsidRDefault="00FF647D" w:rsidP="001259A1">
            <w:pPr>
              <w:pStyle w:val="Caption1"/>
              <w:rPr>
                <w:lang w:eastAsia="ko-KR"/>
              </w:rPr>
            </w:pPr>
            <w:bookmarkStart w:id="158" w:name="_Ref415918361"/>
            <w:bookmarkStart w:id="159" w:name="_Toc415934649"/>
            <w:bookmarkStart w:id="160" w:name="_Toc416121889"/>
            <w:bookmarkStart w:id="161" w:name="_Toc497171799"/>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29</w:t>
            </w:r>
            <w:r w:rsidR="002E5BDF" w:rsidRPr="00477D8F">
              <w:rPr>
                <w:noProof/>
              </w:rPr>
              <w:fldChar w:fldCharType="end"/>
            </w:r>
            <w:bookmarkEnd w:id="158"/>
            <w:r w:rsidRPr="00477D8F">
              <w:t xml:space="preserve">: Average monthly earnings </w:t>
            </w:r>
            <w:bookmarkEnd w:id="159"/>
            <w:bookmarkEnd w:id="160"/>
            <w:r w:rsidRPr="00477D8F">
              <w:t>by level of education for education sector and other sector</w:t>
            </w:r>
            <w:r w:rsidR="00123993" w:rsidRPr="00477D8F">
              <w:t>s</w:t>
            </w:r>
            <w:r w:rsidRPr="00477D8F">
              <w:t xml:space="preserve"> (in </w:t>
            </w:r>
            <w:r w:rsidR="009D65C3" w:rsidRPr="00477D8F">
              <w:t>GMD</w:t>
            </w:r>
            <w:r w:rsidRPr="00477D8F">
              <w:t>)</w:t>
            </w:r>
            <w:bookmarkEnd w:id="161"/>
          </w:p>
        </w:tc>
      </w:tr>
      <w:tr w:rsidR="00FF647D" w:rsidRPr="00477D8F" w14:paraId="2430B3C4" w14:textId="77777777" w:rsidTr="00FE20A1">
        <w:trPr>
          <w:trHeight w:val="18"/>
        </w:trPr>
        <w:tc>
          <w:tcPr>
            <w:tcW w:w="9246" w:type="dxa"/>
            <w:hideMark/>
          </w:tcPr>
          <w:p w14:paraId="1E39A30C" w14:textId="6E491748" w:rsidR="00FF647D" w:rsidRPr="00477D8F" w:rsidRDefault="00FE20A1" w:rsidP="001259A1">
            <w:pPr>
              <w:keepNext/>
              <w:jc w:val="both"/>
              <w:rPr>
                <w:rFonts w:ascii="Sylfaen" w:hAnsi="Sylfaen" w:cs="Times New Roman"/>
              </w:rPr>
            </w:pPr>
            <w:r w:rsidRPr="00477D8F">
              <w:rPr>
                <w:noProof/>
              </w:rPr>
              <w:drawing>
                <wp:inline distT="0" distB="0" distL="0" distR="0" wp14:anchorId="050F14BA" wp14:editId="75DD7281">
                  <wp:extent cx="5943600" cy="2486025"/>
                  <wp:effectExtent l="0" t="0" r="0" b="9525"/>
                  <wp:docPr id="125" name="Chart 125">
                    <a:extLst xmlns:a="http://schemas.openxmlformats.org/drawingml/2006/main">
                      <a:ext uri="{FF2B5EF4-FFF2-40B4-BE49-F238E27FC236}">
                        <a16:creationId xmlns:a16="http://schemas.microsoft.com/office/drawing/2014/main" id="{00000000-0008-0000-1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FF647D" w:rsidRPr="00477D8F" w14:paraId="25732362" w14:textId="77777777" w:rsidTr="001259A1">
        <w:trPr>
          <w:trHeight w:val="18"/>
        </w:trPr>
        <w:tc>
          <w:tcPr>
            <w:tcW w:w="9246" w:type="dxa"/>
            <w:hideMark/>
          </w:tcPr>
          <w:p w14:paraId="7B6D26B7" w14:textId="448C5EC9" w:rsidR="00FF647D" w:rsidRPr="00477D8F" w:rsidRDefault="00FF647D" w:rsidP="001259A1">
            <w:pPr>
              <w:pStyle w:val="Source"/>
            </w:pPr>
            <w:r w:rsidRPr="00477D8F">
              <w:rPr>
                <w:i/>
              </w:rPr>
              <w:t>Source:</w:t>
            </w:r>
            <w:r w:rsidRPr="00477D8F">
              <w:t xml:space="preserve"> Authors’ estimations</w:t>
            </w:r>
            <w:r w:rsidR="00943A68" w:rsidRPr="00477D8F">
              <w:t xml:space="preserve"> based on IHS 2015</w:t>
            </w:r>
            <w:r w:rsidR="00863CEE" w:rsidRPr="00477D8F">
              <w:t>.</w:t>
            </w:r>
          </w:p>
        </w:tc>
      </w:tr>
    </w:tbl>
    <w:p w14:paraId="17FDFCD0" w14:textId="24E4E70A" w:rsidR="009D65C3" w:rsidRPr="00477D8F" w:rsidRDefault="00943A68" w:rsidP="007D0071">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imes New Roman"/>
        </w:rPr>
      </w:pPr>
      <w:r w:rsidRPr="00477D8F">
        <w:rPr>
          <w:rFonts w:ascii="Sylfaen" w:hAnsi="Sylfaen"/>
          <w:b/>
        </w:rPr>
        <w:t>The go</w:t>
      </w:r>
      <w:r w:rsidR="00FD7CA8" w:rsidRPr="00477D8F">
        <w:rPr>
          <w:rFonts w:ascii="Sylfaen" w:hAnsi="Sylfaen"/>
          <w:b/>
        </w:rPr>
        <w:t>vernment established a</w:t>
      </w:r>
      <w:r w:rsidRPr="00477D8F">
        <w:rPr>
          <w:rFonts w:ascii="Sylfaen" w:hAnsi="Sylfaen"/>
          <w:b/>
        </w:rPr>
        <w:t xml:space="preserve"> compensation system to attract and deploy teachers to </w:t>
      </w:r>
      <w:r w:rsidR="007A1142" w:rsidRPr="00477D8F">
        <w:rPr>
          <w:rFonts w:ascii="Sylfaen" w:hAnsi="Sylfaen"/>
          <w:b/>
        </w:rPr>
        <w:t xml:space="preserve">remote areas and </w:t>
      </w:r>
      <w:r w:rsidR="00857C4C" w:rsidRPr="00477D8F">
        <w:rPr>
          <w:rFonts w:ascii="Sylfaen" w:hAnsi="Sylfaen"/>
          <w:b/>
        </w:rPr>
        <w:t>to incentivize them to take on additional</w:t>
      </w:r>
      <w:r w:rsidR="00603FB0" w:rsidRPr="00477D8F">
        <w:rPr>
          <w:rFonts w:ascii="Sylfaen" w:hAnsi="Sylfaen"/>
          <w:b/>
        </w:rPr>
        <w:t xml:space="preserve"> </w:t>
      </w:r>
      <w:r w:rsidR="007A1142" w:rsidRPr="00477D8F">
        <w:rPr>
          <w:rFonts w:ascii="Sylfaen" w:hAnsi="Sylfaen"/>
          <w:b/>
        </w:rPr>
        <w:t>responsibilities</w:t>
      </w:r>
      <w:r w:rsidR="003324F8" w:rsidRPr="00477D8F">
        <w:rPr>
          <w:rFonts w:ascii="Sylfaen" w:hAnsi="Sylfaen"/>
          <w:b/>
        </w:rPr>
        <w:t xml:space="preserve"> such as </w:t>
      </w:r>
      <w:r w:rsidR="00415762" w:rsidRPr="00477D8F">
        <w:rPr>
          <w:rFonts w:ascii="Sylfaen" w:hAnsi="Sylfaen"/>
          <w:b/>
        </w:rPr>
        <w:t xml:space="preserve">hardship allowance and </w:t>
      </w:r>
      <w:r w:rsidR="003324F8" w:rsidRPr="00477D8F">
        <w:rPr>
          <w:rFonts w:ascii="Sylfaen" w:hAnsi="Sylfaen"/>
          <w:b/>
        </w:rPr>
        <w:t>double shift teaching</w:t>
      </w:r>
      <w:r w:rsidR="00123993" w:rsidRPr="00477D8F">
        <w:rPr>
          <w:rFonts w:ascii="Sylfaen" w:hAnsi="Sylfaen"/>
          <w:b/>
        </w:rPr>
        <w:t>—</w:t>
      </w:r>
      <w:r w:rsidR="00603FB0" w:rsidRPr="00477D8F">
        <w:rPr>
          <w:rFonts w:ascii="Sylfaen" w:hAnsi="Sylfaen"/>
          <w:b/>
        </w:rPr>
        <w:t xml:space="preserve">it is made up </w:t>
      </w:r>
      <w:r w:rsidR="003324F8" w:rsidRPr="00477D8F">
        <w:rPr>
          <w:rFonts w:ascii="Sylfaen" w:hAnsi="Sylfaen"/>
          <w:b/>
        </w:rPr>
        <w:t>of a</w:t>
      </w:r>
      <w:r w:rsidR="00A73701" w:rsidRPr="00477D8F">
        <w:rPr>
          <w:rFonts w:ascii="Sylfaen" w:hAnsi="Sylfaen"/>
          <w:b/>
        </w:rPr>
        <w:t xml:space="preserve"> basic salary and allowances</w:t>
      </w:r>
      <w:r w:rsidR="00406FA9" w:rsidRPr="00477D8F">
        <w:rPr>
          <w:rFonts w:ascii="Sylfaen" w:hAnsi="Sylfaen"/>
          <w:b/>
        </w:rPr>
        <w:t>.</w:t>
      </w:r>
      <w:r w:rsidRPr="00477D8F">
        <w:rPr>
          <w:rStyle w:val="FootnoteReference"/>
          <w:rFonts w:ascii="Sylfaen" w:hAnsi="Sylfaen"/>
        </w:rPr>
        <w:footnoteReference w:id="20"/>
      </w:r>
      <w:r w:rsidR="00A73701" w:rsidRPr="00477D8F">
        <w:rPr>
          <w:rFonts w:ascii="Sylfaen" w:hAnsi="Sylfaen"/>
        </w:rPr>
        <w:t xml:space="preserve"> The basic salary scale</w:t>
      </w:r>
      <w:r w:rsidR="00A73701" w:rsidRPr="00477D8F">
        <w:rPr>
          <w:rFonts w:ascii="Sylfaen" w:hAnsi="Sylfaen" w:cs="Times New Roman"/>
        </w:rPr>
        <w:t xml:space="preserve"> increases with the level of education </w:t>
      </w:r>
      <w:r w:rsidR="00857C4C" w:rsidRPr="00477D8F">
        <w:rPr>
          <w:rFonts w:ascii="Sylfaen" w:hAnsi="Sylfaen" w:cs="Times New Roman"/>
        </w:rPr>
        <w:t xml:space="preserve">taught </w:t>
      </w:r>
      <w:r w:rsidR="00A73701" w:rsidRPr="00477D8F">
        <w:rPr>
          <w:rFonts w:ascii="Sylfaen" w:hAnsi="Sylfaen" w:cs="Times New Roman"/>
        </w:rPr>
        <w:t>and teachers in the same level of education receive almost the same salary</w:t>
      </w:r>
      <w:r w:rsidR="00857C4C" w:rsidRPr="00477D8F">
        <w:rPr>
          <w:rFonts w:ascii="Sylfaen" w:hAnsi="Sylfaen" w:cs="Times New Roman"/>
        </w:rPr>
        <w:t>, regardless of</w:t>
      </w:r>
      <w:r w:rsidR="003324F8" w:rsidRPr="00477D8F">
        <w:rPr>
          <w:rFonts w:ascii="Sylfaen" w:hAnsi="Sylfaen" w:cs="Times New Roman"/>
        </w:rPr>
        <w:t xml:space="preserve"> which region they are teaching</w:t>
      </w:r>
      <w:r w:rsidR="00123993" w:rsidRPr="00477D8F">
        <w:rPr>
          <w:rFonts w:ascii="Sylfaen" w:hAnsi="Sylfaen" w:cs="Times New Roman"/>
        </w:rPr>
        <w:t>:</w:t>
      </w:r>
      <w:r w:rsidR="003324F8" w:rsidRPr="00477D8F">
        <w:rPr>
          <w:rFonts w:ascii="Sylfaen" w:hAnsi="Sylfaen" w:cs="Times New Roman"/>
        </w:rPr>
        <w:t xml:space="preserve"> </w:t>
      </w:r>
      <w:r w:rsidR="00A73701" w:rsidRPr="00477D8F">
        <w:rPr>
          <w:rFonts w:ascii="Sylfaen" w:hAnsi="Sylfaen" w:cs="Times New Roman"/>
        </w:rPr>
        <w:t xml:space="preserve">LBS teachers receive an average monthly salary of </w:t>
      </w:r>
      <w:r w:rsidR="00896DA9" w:rsidRPr="00477D8F">
        <w:rPr>
          <w:rFonts w:ascii="Sylfaen" w:hAnsi="Sylfaen" w:cs="Times New Roman"/>
        </w:rPr>
        <w:t>GMD</w:t>
      </w:r>
      <w:r w:rsidR="00A73701" w:rsidRPr="00477D8F">
        <w:rPr>
          <w:rFonts w:ascii="Sylfaen" w:hAnsi="Sylfaen" w:cs="Times New Roman"/>
        </w:rPr>
        <w:t xml:space="preserve"> </w:t>
      </w:r>
      <w:r w:rsidR="00123993" w:rsidRPr="00477D8F">
        <w:rPr>
          <w:rFonts w:ascii="Sylfaen" w:hAnsi="Sylfaen" w:cs="Times New Roman"/>
        </w:rPr>
        <w:t xml:space="preserve">1,330 </w:t>
      </w:r>
      <w:r w:rsidR="00A73701" w:rsidRPr="00477D8F">
        <w:rPr>
          <w:rFonts w:ascii="Sylfaen" w:hAnsi="Sylfaen" w:cs="Times New Roman"/>
        </w:rPr>
        <w:t xml:space="preserve">whereas the SSS teachers are paid </w:t>
      </w:r>
      <w:r w:rsidR="00896DA9" w:rsidRPr="00477D8F">
        <w:rPr>
          <w:rFonts w:ascii="Sylfaen" w:hAnsi="Sylfaen" w:cs="Times New Roman"/>
        </w:rPr>
        <w:t>GMD</w:t>
      </w:r>
      <w:r w:rsidR="00A73701" w:rsidRPr="00477D8F">
        <w:rPr>
          <w:rFonts w:ascii="Sylfaen" w:hAnsi="Sylfaen" w:cs="Times New Roman"/>
        </w:rPr>
        <w:t xml:space="preserve"> </w:t>
      </w:r>
      <w:r w:rsidR="00123993" w:rsidRPr="00477D8F">
        <w:rPr>
          <w:rFonts w:ascii="Sylfaen" w:hAnsi="Sylfaen" w:cs="Times New Roman"/>
        </w:rPr>
        <w:t xml:space="preserve">3,350 </w:t>
      </w:r>
      <w:r w:rsidR="00A73701" w:rsidRPr="00477D8F">
        <w:rPr>
          <w:rFonts w:ascii="Sylfaen" w:hAnsi="Sylfaen" w:cs="Times New Roman"/>
        </w:rPr>
        <w:t>(Figure 3</w:t>
      </w:r>
      <w:r w:rsidR="00123993" w:rsidRPr="00477D8F">
        <w:rPr>
          <w:rFonts w:ascii="Sylfaen" w:hAnsi="Sylfaen" w:cs="Times New Roman"/>
        </w:rPr>
        <w:t>0</w:t>
      </w:r>
      <w:r w:rsidR="00A73701" w:rsidRPr="00477D8F">
        <w:rPr>
          <w:rFonts w:ascii="Sylfaen" w:hAnsi="Sylfaen" w:cs="Times New Roman"/>
        </w:rPr>
        <w:t xml:space="preserve">). Allowances are also increasing with the level of </w:t>
      </w:r>
      <w:r w:rsidR="00603FB0" w:rsidRPr="00477D8F">
        <w:rPr>
          <w:rFonts w:ascii="Sylfaen" w:hAnsi="Sylfaen" w:cs="Times New Roman"/>
        </w:rPr>
        <w:t>education but are</w:t>
      </w:r>
      <w:r w:rsidR="00A73701" w:rsidRPr="00477D8F">
        <w:rPr>
          <w:rFonts w:ascii="Sylfaen" w:hAnsi="Sylfaen" w:cs="Times New Roman"/>
        </w:rPr>
        <w:t xml:space="preserve"> higher in the remote areas (region</w:t>
      </w:r>
      <w:r w:rsidR="00DF0A3A" w:rsidRPr="00477D8F">
        <w:rPr>
          <w:rFonts w:ascii="Sylfaen" w:hAnsi="Sylfaen" w:cs="Times New Roman"/>
        </w:rPr>
        <w:t>s</w:t>
      </w:r>
      <w:r w:rsidR="00A73701" w:rsidRPr="00477D8F">
        <w:rPr>
          <w:rFonts w:ascii="Sylfaen" w:hAnsi="Sylfaen" w:cs="Times New Roman"/>
        </w:rPr>
        <w:t xml:space="preserve"> 3</w:t>
      </w:r>
      <w:r w:rsidR="00DF0A3A" w:rsidRPr="00477D8F">
        <w:rPr>
          <w:rFonts w:ascii="Sylfaen" w:hAnsi="Sylfaen" w:cs="Times New Roman"/>
        </w:rPr>
        <w:t>–</w:t>
      </w:r>
      <w:r w:rsidR="00A73701" w:rsidRPr="00477D8F">
        <w:rPr>
          <w:rFonts w:ascii="Sylfaen" w:hAnsi="Sylfaen" w:cs="Times New Roman"/>
        </w:rPr>
        <w:t xml:space="preserve">6) in </w:t>
      </w:r>
      <w:r w:rsidR="00BE7A1E" w:rsidRPr="00477D8F">
        <w:rPr>
          <w:rFonts w:ascii="Sylfaen" w:hAnsi="Sylfaen" w:cs="Times New Roman"/>
        </w:rPr>
        <w:t>post primary</w:t>
      </w:r>
      <w:r w:rsidR="00A73701" w:rsidRPr="00477D8F">
        <w:rPr>
          <w:rFonts w:ascii="Sylfaen" w:hAnsi="Sylfaen" w:cs="Times New Roman"/>
        </w:rPr>
        <w:t xml:space="preserve"> levels of education because they are used as an incentive to attract qualified teachers. For instance, the average allowances in region 6 is 4.58 times the average allowances in region 1 </w:t>
      </w:r>
      <w:r w:rsidR="00857C4C" w:rsidRPr="00477D8F">
        <w:rPr>
          <w:rFonts w:ascii="Sylfaen" w:hAnsi="Sylfaen" w:cs="Times New Roman"/>
        </w:rPr>
        <w:t xml:space="preserve">at the upper basic level </w:t>
      </w:r>
      <w:r w:rsidR="00A73701" w:rsidRPr="00477D8F">
        <w:rPr>
          <w:rFonts w:ascii="Sylfaen" w:hAnsi="Sylfaen" w:cs="Times New Roman"/>
        </w:rPr>
        <w:t>(</w:t>
      </w:r>
      <w:r w:rsidR="00DF0A3A" w:rsidRPr="00477D8F">
        <w:rPr>
          <w:rFonts w:ascii="Sylfaen" w:hAnsi="Sylfaen" w:cs="Times New Roman"/>
        </w:rPr>
        <w:t xml:space="preserve">GMD </w:t>
      </w:r>
      <w:r w:rsidR="00A73701" w:rsidRPr="00477D8F">
        <w:rPr>
          <w:rFonts w:ascii="Sylfaen" w:hAnsi="Sylfaen" w:cs="Times New Roman"/>
        </w:rPr>
        <w:t>8,218 v</w:t>
      </w:r>
      <w:r w:rsidR="00DF0A3A" w:rsidRPr="00477D8F">
        <w:rPr>
          <w:rFonts w:ascii="Sylfaen" w:hAnsi="Sylfaen" w:cs="Times New Roman"/>
        </w:rPr>
        <w:t>ersu</w:t>
      </w:r>
      <w:r w:rsidR="00A73701" w:rsidRPr="00477D8F">
        <w:rPr>
          <w:rFonts w:ascii="Sylfaen" w:hAnsi="Sylfaen" w:cs="Times New Roman"/>
        </w:rPr>
        <w:t xml:space="preserve">s </w:t>
      </w:r>
      <w:r w:rsidR="00DF0A3A" w:rsidRPr="00477D8F">
        <w:rPr>
          <w:rFonts w:ascii="Sylfaen" w:hAnsi="Sylfaen" w:cs="Times New Roman"/>
        </w:rPr>
        <w:t xml:space="preserve">GMD </w:t>
      </w:r>
      <w:r w:rsidR="00A73701" w:rsidRPr="00477D8F">
        <w:rPr>
          <w:rFonts w:ascii="Sylfaen" w:hAnsi="Sylfaen" w:cs="Times New Roman"/>
        </w:rPr>
        <w:t>1</w:t>
      </w:r>
      <w:r w:rsidR="00857C4C" w:rsidRPr="00477D8F">
        <w:rPr>
          <w:rFonts w:ascii="Sylfaen" w:hAnsi="Sylfaen" w:cs="Times New Roman"/>
        </w:rPr>
        <w:t>,</w:t>
      </w:r>
      <w:r w:rsidR="00A73701" w:rsidRPr="00477D8F">
        <w:rPr>
          <w:rFonts w:ascii="Sylfaen" w:hAnsi="Sylfaen" w:cs="Times New Roman"/>
        </w:rPr>
        <w:t xml:space="preserve">793 per </w:t>
      </w:r>
      <w:r w:rsidR="003324F8" w:rsidRPr="00477D8F">
        <w:rPr>
          <w:rFonts w:ascii="Sylfaen" w:hAnsi="Sylfaen" w:cs="Times New Roman"/>
        </w:rPr>
        <w:t>month) (</w:t>
      </w:r>
      <w:r w:rsidR="00A73701" w:rsidRPr="00477D8F">
        <w:rPr>
          <w:rFonts w:ascii="Sylfaen" w:hAnsi="Sylfaen" w:cs="Times New Roman"/>
        </w:rPr>
        <w:fldChar w:fldCharType="begin"/>
      </w:r>
      <w:r w:rsidR="00A73701" w:rsidRPr="00477D8F">
        <w:rPr>
          <w:rFonts w:ascii="Sylfaen" w:hAnsi="Sylfaen" w:cs="Times New Roman"/>
        </w:rPr>
        <w:instrText xml:space="preserve"> REF _Ref484943003 \h </w:instrText>
      </w:r>
      <w:r w:rsidR="00CC4B27" w:rsidRPr="00477D8F">
        <w:rPr>
          <w:rFonts w:ascii="Sylfaen" w:hAnsi="Sylfaen" w:cs="Times New Roman"/>
        </w:rPr>
        <w:instrText xml:space="preserve"> \* MERGEFORMAT </w:instrText>
      </w:r>
      <w:r w:rsidR="00A73701" w:rsidRPr="00477D8F">
        <w:rPr>
          <w:rFonts w:ascii="Sylfaen" w:hAnsi="Sylfaen" w:cs="Times New Roman"/>
        </w:rPr>
      </w:r>
      <w:r w:rsidR="00A73701" w:rsidRPr="00477D8F">
        <w:rPr>
          <w:rFonts w:ascii="Sylfaen" w:hAnsi="Sylfaen" w:cs="Times New Roman"/>
        </w:rPr>
        <w:fldChar w:fldCharType="separate"/>
      </w:r>
      <w:r w:rsidR="00F800F3" w:rsidRPr="00477D8F">
        <w:rPr>
          <w:rFonts w:ascii="Sylfaen" w:eastAsia="Times New Roman" w:hAnsi="Sylfaen" w:cs="Times New Roman"/>
          <w:bCs/>
        </w:rPr>
        <w:t xml:space="preserve">Figure </w:t>
      </w:r>
      <w:r w:rsidR="00F800F3" w:rsidRPr="00477D8F">
        <w:rPr>
          <w:rFonts w:ascii="Sylfaen" w:eastAsia="Times New Roman" w:hAnsi="Sylfaen" w:cs="Times New Roman"/>
          <w:bCs/>
          <w:noProof/>
        </w:rPr>
        <w:t>30</w:t>
      </w:r>
      <w:r w:rsidR="00A73701" w:rsidRPr="00477D8F">
        <w:rPr>
          <w:rFonts w:ascii="Sylfaen" w:hAnsi="Sylfaen" w:cs="Times New Roman"/>
        </w:rPr>
        <w:fldChar w:fldCharType="end"/>
      </w:r>
      <w:r w:rsidR="00A73701" w:rsidRPr="00477D8F">
        <w:rPr>
          <w:rFonts w:ascii="Sylfaen" w:hAnsi="Sylfaen" w:cs="Times New Roman"/>
        </w:rPr>
        <w:t>). The objective of paying high allowances in the remote regions is to reduce the disparities in access and learning outcomes</w:t>
      </w:r>
      <w:r w:rsidR="00857C4C" w:rsidRPr="00477D8F">
        <w:rPr>
          <w:rFonts w:ascii="Sylfaen" w:hAnsi="Sylfaen" w:cs="Times New Roman"/>
        </w:rPr>
        <w:t>. Although deployment of qualified teachers has improved due to these policies</w:t>
      </w:r>
      <w:r w:rsidR="00A73701" w:rsidRPr="00477D8F">
        <w:rPr>
          <w:rFonts w:ascii="Sylfaen" w:hAnsi="Sylfaen" w:cs="Times New Roman"/>
        </w:rPr>
        <w:t xml:space="preserve">, access </w:t>
      </w:r>
      <w:r w:rsidR="00857C4C" w:rsidRPr="00477D8F">
        <w:rPr>
          <w:rFonts w:ascii="Sylfaen" w:hAnsi="Sylfaen" w:cs="Times New Roman"/>
        </w:rPr>
        <w:t xml:space="preserve">rates </w:t>
      </w:r>
      <w:r w:rsidR="00A73701" w:rsidRPr="00477D8F">
        <w:rPr>
          <w:rFonts w:ascii="Sylfaen" w:hAnsi="Sylfaen" w:cs="Times New Roman"/>
        </w:rPr>
        <w:t>and learning outcomes remain low in these remote areas. The available data do not allow the evaluation of qualified teachers and the analysis of salary differentiation by level of education</w:t>
      </w:r>
      <w:r w:rsidR="00DF0A3A" w:rsidRPr="00477D8F">
        <w:rPr>
          <w:rFonts w:ascii="Sylfaen" w:hAnsi="Sylfaen" w:cs="Times New Roman"/>
        </w:rPr>
        <w:t>.</w:t>
      </w:r>
      <w:r w:rsidR="00A73701" w:rsidRPr="00477D8F">
        <w:rPr>
          <w:rFonts w:ascii="Sylfaen" w:hAnsi="Sylfaen"/>
          <w:vertAlign w:val="superscript"/>
        </w:rPr>
        <w:footnoteReference w:id="21"/>
      </w:r>
      <w:r w:rsidR="00A73701" w:rsidRPr="00477D8F">
        <w:rPr>
          <w:rFonts w:ascii="Sylfaen" w:hAnsi="Sylfaen" w:cs="Times New Roman"/>
        </w:rPr>
        <w:t xml:space="preserve"> </w:t>
      </w:r>
      <w:r w:rsidR="003324F8" w:rsidRPr="00477D8F">
        <w:rPr>
          <w:rFonts w:ascii="Sylfaen" w:hAnsi="Sylfaen" w:cs="Times New Roman"/>
        </w:rPr>
        <w:t>However, the</w:t>
      </w:r>
      <w:r w:rsidR="00A73701" w:rsidRPr="00477D8F">
        <w:rPr>
          <w:rFonts w:ascii="Sylfaen" w:hAnsi="Sylfaen" w:cs="Times New Roman"/>
        </w:rPr>
        <w:t xml:space="preserve"> distribution of teachers by experience, region</w:t>
      </w:r>
      <w:r w:rsidR="00DF0A3A" w:rsidRPr="00477D8F">
        <w:rPr>
          <w:rFonts w:ascii="Sylfaen" w:hAnsi="Sylfaen" w:cs="Times New Roman"/>
        </w:rPr>
        <w:t>,</w:t>
      </w:r>
      <w:r w:rsidR="00A73701" w:rsidRPr="00477D8F">
        <w:rPr>
          <w:rFonts w:ascii="Sylfaen" w:hAnsi="Sylfaen" w:cs="Times New Roman"/>
        </w:rPr>
        <w:t xml:space="preserve"> and level of education displays some patterns of salary differentiation (see </w:t>
      </w:r>
      <w:r w:rsidR="00C807F3" w:rsidRPr="00477D8F">
        <w:rPr>
          <w:rFonts w:ascii="Sylfaen" w:hAnsi="Sylfaen" w:cs="Times New Roman"/>
        </w:rPr>
        <w:fldChar w:fldCharType="begin"/>
      </w:r>
      <w:r w:rsidR="00C807F3" w:rsidRPr="00477D8F">
        <w:rPr>
          <w:rFonts w:ascii="Sylfaen" w:hAnsi="Sylfaen" w:cs="Times New Roman"/>
        </w:rPr>
        <w:instrText xml:space="preserve"> REF _Ref496879733 \h  \* MERGEFORMAT </w:instrText>
      </w:r>
      <w:r w:rsidR="00C807F3" w:rsidRPr="00477D8F">
        <w:rPr>
          <w:rFonts w:ascii="Sylfaen" w:hAnsi="Sylfaen" w:cs="Times New Roman"/>
        </w:rPr>
      </w:r>
      <w:r w:rsidR="00C807F3" w:rsidRPr="00477D8F">
        <w:rPr>
          <w:rFonts w:ascii="Sylfaen" w:hAnsi="Sylfaen" w:cs="Times New Roman"/>
        </w:rPr>
        <w:fldChar w:fldCharType="separate"/>
      </w:r>
      <w:r w:rsidR="00C807F3" w:rsidRPr="00477D8F">
        <w:rPr>
          <w:rFonts w:ascii="Sylfaen" w:hAnsi="Sylfaen"/>
        </w:rPr>
        <w:t>Figure C</w:t>
      </w:r>
      <w:r w:rsidR="00C807F3" w:rsidRPr="00477D8F">
        <w:rPr>
          <w:rFonts w:ascii="Sylfaen" w:hAnsi="Sylfaen"/>
          <w:noProof/>
        </w:rPr>
        <w:t>1</w:t>
      </w:r>
      <w:r w:rsidR="00C807F3" w:rsidRPr="00477D8F">
        <w:rPr>
          <w:rFonts w:ascii="Sylfaen" w:hAnsi="Sylfaen" w:cs="Times New Roman"/>
        </w:rPr>
        <w:fldChar w:fldCharType="end"/>
      </w:r>
      <w:r w:rsidR="00C807F3" w:rsidRPr="00477D8F">
        <w:rPr>
          <w:rFonts w:ascii="Sylfaen" w:hAnsi="Sylfaen" w:cs="Times New Roman"/>
        </w:rPr>
        <w:t xml:space="preserve"> </w:t>
      </w:r>
      <w:r w:rsidR="003324F8" w:rsidRPr="00477D8F">
        <w:rPr>
          <w:rFonts w:ascii="Sylfaen" w:hAnsi="Sylfaen" w:cs="Times New Roman"/>
        </w:rPr>
        <w:t>for</w:t>
      </w:r>
      <w:r w:rsidR="00A73701" w:rsidRPr="00477D8F">
        <w:rPr>
          <w:rFonts w:ascii="Sylfaen" w:hAnsi="Sylfaen" w:cs="Times New Roman"/>
        </w:rPr>
        <w:t xml:space="preserve"> teachers</w:t>
      </w:r>
      <w:r w:rsidR="00857C4C" w:rsidRPr="00477D8F">
        <w:rPr>
          <w:rFonts w:ascii="Sylfaen" w:hAnsi="Sylfaen" w:cs="Times New Roman"/>
        </w:rPr>
        <w:t>’</w:t>
      </w:r>
      <w:r w:rsidR="00A73701" w:rsidRPr="00477D8F">
        <w:rPr>
          <w:rFonts w:ascii="Sylfaen" w:hAnsi="Sylfaen" w:cs="Times New Roman"/>
        </w:rPr>
        <w:t xml:space="preserve"> average </w:t>
      </w:r>
      <w:r w:rsidR="003324F8" w:rsidRPr="00477D8F">
        <w:rPr>
          <w:rFonts w:ascii="Sylfaen" w:hAnsi="Sylfaen" w:cs="Times New Roman"/>
        </w:rPr>
        <w:t xml:space="preserve">salary by </w:t>
      </w:r>
      <w:r w:rsidR="00A73701" w:rsidRPr="00477D8F">
        <w:rPr>
          <w:rFonts w:ascii="Sylfaen" w:hAnsi="Sylfaen" w:cs="Times New Roman"/>
        </w:rPr>
        <w:t>experience</w:t>
      </w:r>
      <w:r w:rsidR="003324F8" w:rsidRPr="00477D8F">
        <w:rPr>
          <w:rFonts w:ascii="Sylfaen" w:hAnsi="Sylfaen" w:cs="Times New Roman"/>
        </w:rPr>
        <w:t>, region</w:t>
      </w:r>
      <w:r w:rsidR="00A73701" w:rsidRPr="00477D8F">
        <w:rPr>
          <w:rFonts w:ascii="Sylfaen" w:hAnsi="Sylfaen" w:cs="Times New Roman"/>
        </w:rPr>
        <w:t>, type of school</w:t>
      </w:r>
      <w:r w:rsidR="00DF0A3A" w:rsidRPr="00477D8F">
        <w:rPr>
          <w:rFonts w:ascii="Sylfaen" w:hAnsi="Sylfaen" w:cs="Times New Roman"/>
        </w:rPr>
        <w:t>,</w:t>
      </w:r>
      <w:r w:rsidR="00A73701" w:rsidRPr="00477D8F">
        <w:rPr>
          <w:rFonts w:ascii="Sylfaen" w:hAnsi="Sylfaen" w:cs="Times New Roman"/>
        </w:rPr>
        <w:t xml:space="preserve"> and level of education). </w:t>
      </w:r>
    </w:p>
    <w:tbl>
      <w:tblPr>
        <w:tblStyle w:val="TableGrid2"/>
        <w:tblW w:w="9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6"/>
      </w:tblGrid>
      <w:tr w:rsidR="00A41EEF" w:rsidRPr="00477D8F" w14:paraId="5E77834C" w14:textId="77777777" w:rsidTr="001259A1">
        <w:trPr>
          <w:trHeight w:val="18"/>
        </w:trPr>
        <w:tc>
          <w:tcPr>
            <w:tcW w:w="9246" w:type="dxa"/>
            <w:hideMark/>
          </w:tcPr>
          <w:p w14:paraId="05D8851E" w14:textId="0F971F3D" w:rsidR="00A41EEF" w:rsidRPr="00477D8F" w:rsidRDefault="007860AF" w:rsidP="001259A1">
            <w:pPr>
              <w:pStyle w:val="Caption1"/>
              <w:rPr>
                <w:lang w:eastAsia="ko-KR"/>
              </w:rPr>
            </w:pPr>
            <w:bookmarkStart w:id="162" w:name="_Ref484943003"/>
            <w:bookmarkStart w:id="163" w:name="_Toc497171800"/>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30</w:t>
            </w:r>
            <w:r w:rsidR="002E5BDF" w:rsidRPr="00477D8F">
              <w:rPr>
                <w:noProof/>
              </w:rPr>
              <w:fldChar w:fldCharType="end"/>
            </w:r>
            <w:bookmarkEnd w:id="162"/>
            <w:r w:rsidR="00A41EEF" w:rsidRPr="00477D8F">
              <w:t>: Average monthly earnings</w:t>
            </w:r>
            <w:r w:rsidR="009D65C3" w:rsidRPr="00477D8F">
              <w:t xml:space="preserve"> breakdown by </w:t>
            </w:r>
            <w:r w:rsidR="0058087F" w:rsidRPr="00477D8F">
              <w:t>basic salary and allowances by level of education and region, 2015</w:t>
            </w:r>
            <w:r w:rsidR="00A41EEF" w:rsidRPr="00477D8F">
              <w:t xml:space="preserve"> (in GMD)</w:t>
            </w:r>
            <w:bookmarkEnd w:id="163"/>
            <w:r w:rsidR="00BC7D07" w:rsidRPr="00477D8F">
              <w:t xml:space="preserve"> </w:t>
            </w:r>
          </w:p>
        </w:tc>
      </w:tr>
      <w:tr w:rsidR="00A41EEF" w:rsidRPr="00477D8F" w14:paraId="3402295C" w14:textId="77777777" w:rsidTr="001259A1">
        <w:trPr>
          <w:trHeight w:val="18"/>
        </w:trPr>
        <w:tc>
          <w:tcPr>
            <w:tcW w:w="9246" w:type="dxa"/>
            <w:hideMark/>
          </w:tcPr>
          <w:p w14:paraId="29F4EBAE" w14:textId="77777777" w:rsidR="00A41EEF" w:rsidRPr="00477D8F" w:rsidRDefault="00A41EEF" w:rsidP="001259A1">
            <w:pPr>
              <w:keepNext/>
              <w:jc w:val="both"/>
              <w:rPr>
                <w:rFonts w:ascii="Sylfaen" w:hAnsi="Sylfaen" w:cs="Times New Roman"/>
                <w:bCs/>
              </w:rPr>
            </w:pPr>
            <w:r w:rsidRPr="00477D8F">
              <w:rPr>
                <w:rFonts w:ascii="Sylfaen" w:hAnsi="Sylfaen"/>
                <w:noProof/>
              </w:rPr>
              <w:drawing>
                <wp:inline distT="0" distB="0" distL="0" distR="0" wp14:anchorId="4CB9E3DA" wp14:editId="12670375">
                  <wp:extent cx="5702785" cy="2701290"/>
                  <wp:effectExtent l="0" t="0" r="12700" b="381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A41EEF" w:rsidRPr="00477D8F" w14:paraId="7954D1F8" w14:textId="77777777" w:rsidTr="001259A1">
        <w:trPr>
          <w:trHeight w:val="18"/>
        </w:trPr>
        <w:tc>
          <w:tcPr>
            <w:tcW w:w="9246" w:type="dxa"/>
            <w:hideMark/>
          </w:tcPr>
          <w:p w14:paraId="51F97C46" w14:textId="15999D5D" w:rsidR="00A41EEF" w:rsidRPr="00477D8F" w:rsidRDefault="00A41EEF" w:rsidP="001259A1">
            <w:pPr>
              <w:pStyle w:val="Source"/>
            </w:pPr>
            <w:r w:rsidRPr="00477D8F">
              <w:rPr>
                <w:i/>
              </w:rPr>
              <w:t>Source:</w:t>
            </w:r>
            <w:r w:rsidRPr="00477D8F">
              <w:t xml:space="preserve"> Payroll data</w:t>
            </w:r>
            <w:r w:rsidR="009D65C3" w:rsidRPr="00477D8F">
              <w:t xml:space="preserve"> and EMIS</w:t>
            </w:r>
            <w:r w:rsidR="00C5736C" w:rsidRPr="00477D8F">
              <w:t>.</w:t>
            </w:r>
          </w:p>
          <w:p w14:paraId="6B2158B4" w14:textId="31126849" w:rsidR="00A41EEF" w:rsidRPr="00477D8F" w:rsidRDefault="00C15C5D" w:rsidP="001259A1">
            <w:pPr>
              <w:pStyle w:val="Source"/>
            </w:pPr>
            <w:r w:rsidRPr="00477D8F">
              <w:rPr>
                <w:i/>
              </w:rPr>
              <w:t xml:space="preserve">Note: </w:t>
            </w:r>
            <w:r w:rsidR="00A41EEF" w:rsidRPr="00477D8F">
              <w:t>There are</w:t>
            </w:r>
            <w:r w:rsidR="00863CEE" w:rsidRPr="00477D8F">
              <w:t xml:space="preserve"> no government </w:t>
            </w:r>
            <w:r w:rsidR="00E2013D" w:rsidRPr="00477D8F">
              <w:t xml:space="preserve">Basic Cycle Schools (BCS) </w:t>
            </w:r>
            <w:r w:rsidR="00863CEE" w:rsidRPr="00477D8F">
              <w:t xml:space="preserve">in </w:t>
            </w:r>
            <w:r w:rsidRPr="00477D8F">
              <w:t>r</w:t>
            </w:r>
            <w:r w:rsidR="00863CEE" w:rsidRPr="00477D8F">
              <w:t>egion 1.</w:t>
            </w:r>
          </w:p>
        </w:tc>
      </w:tr>
    </w:tbl>
    <w:p w14:paraId="1F51682C" w14:textId="1176DB43" w:rsidR="009D65C3" w:rsidRPr="00477D8F" w:rsidRDefault="00A73701" w:rsidP="007D0071">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The STR has been declining at all levels of education mainly because the hiring rate of teachers has been growing faster than the student enrollment</w:t>
      </w:r>
      <w:r w:rsidR="00857C4C" w:rsidRPr="00477D8F">
        <w:rPr>
          <w:rFonts w:ascii="Sylfaen" w:hAnsi="Sylfaen"/>
          <w:b/>
        </w:rPr>
        <w:t xml:space="preserve">. </w:t>
      </w:r>
      <w:r w:rsidR="00857C4C" w:rsidRPr="00477D8F">
        <w:rPr>
          <w:rFonts w:ascii="Sylfaen" w:hAnsi="Sylfaen"/>
        </w:rPr>
        <w:t>T</w:t>
      </w:r>
      <w:r w:rsidR="004F451D" w:rsidRPr="00477D8F">
        <w:rPr>
          <w:rFonts w:ascii="Sylfaen" w:hAnsi="Sylfaen"/>
        </w:rPr>
        <w:t>he supply</w:t>
      </w:r>
      <w:r w:rsidR="00857C4C" w:rsidRPr="00477D8F">
        <w:rPr>
          <w:rFonts w:ascii="Sylfaen" w:hAnsi="Sylfaen"/>
        </w:rPr>
        <w:t xml:space="preserve"> </w:t>
      </w:r>
      <w:r w:rsidR="00943A68" w:rsidRPr="00477D8F">
        <w:rPr>
          <w:rFonts w:ascii="Sylfaen" w:hAnsi="Sylfaen"/>
        </w:rPr>
        <w:t xml:space="preserve">of teachers grew by 11 percent </w:t>
      </w:r>
      <w:r w:rsidR="00F8023B" w:rsidRPr="00477D8F">
        <w:rPr>
          <w:rFonts w:ascii="Sylfaen" w:hAnsi="Sylfaen"/>
        </w:rPr>
        <w:t xml:space="preserve">annually </w:t>
      </w:r>
      <w:r w:rsidR="00857C4C" w:rsidRPr="00477D8F">
        <w:rPr>
          <w:rFonts w:ascii="Sylfaen" w:hAnsi="Sylfaen"/>
        </w:rPr>
        <w:t>while</w:t>
      </w:r>
      <w:r w:rsidR="00272695" w:rsidRPr="00477D8F">
        <w:rPr>
          <w:rFonts w:ascii="Sylfaen" w:hAnsi="Sylfaen"/>
        </w:rPr>
        <w:t xml:space="preserve"> </w:t>
      </w:r>
      <w:r w:rsidR="00943A68" w:rsidRPr="00477D8F">
        <w:rPr>
          <w:rFonts w:ascii="Sylfaen" w:hAnsi="Sylfaen"/>
        </w:rPr>
        <w:t xml:space="preserve">student </w:t>
      </w:r>
      <w:r w:rsidR="004F451D" w:rsidRPr="00477D8F">
        <w:rPr>
          <w:rFonts w:ascii="Sylfaen" w:hAnsi="Sylfaen"/>
        </w:rPr>
        <w:t>enrol</w:t>
      </w:r>
      <w:r w:rsidR="00857C4C" w:rsidRPr="00477D8F">
        <w:rPr>
          <w:rFonts w:ascii="Sylfaen" w:hAnsi="Sylfaen"/>
        </w:rPr>
        <w:t>l</w:t>
      </w:r>
      <w:r w:rsidR="004F451D" w:rsidRPr="00477D8F">
        <w:rPr>
          <w:rFonts w:ascii="Sylfaen" w:hAnsi="Sylfaen"/>
        </w:rPr>
        <w:t xml:space="preserve">ment </w:t>
      </w:r>
      <w:r w:rsidR="00943A68" w:rsidRPr="00477D8F">
        <w:rPr>
          <w:rFonts w:ascii="Sylfaen" w:hAnsi="Sylfaen"/>
        </w:rPr>
        <w:t>grew by 5 percent between 2010 and 2015</w:t>
      </w:r>
      <w:r w:rsidRPr="00477D8F">
        <w:rPr>
          <w:rFonts w:ascii="Sylfaen" w:hAnsi="Sylfaen"/>
        </w:rPr>
        <w:t xml:space="preserve">. In 2015, the STR </w:t>
      </w:r>
      <w:r w:rsidR="00857C4C" w:rsidRPr="00477D8F">
        <w:rPr>
          <w:rFonts w:ascii="Sylfaen" w:hAnsi="Sylfaen"/>
        </w:rPr>
        <w:t>in</w:t>
      </w:r>
      <w:r w:rsidRPr="00477D8F">
        <w:rPr>
          <w:rFonts w:ascii="Sylfaen" w:hAnsi="Sylfaen"/>
        </w:rPr>
        <w:t xml:space="preserve"> lower basic public schools stood at 33:1, which is well below the government policy target </w:t>
      </w:r>
      <w:r w:rsidR="00857C4C" w:rsidRPr="00477D8F">
        <w:rPr>
          <w:rFonts w:ascii="Sylfaen" w:hAnsi="Sylfaen"/>
        </w:rPr>
        <w:t>(</w:t>
      </w:r>
      <w:r w:rsidRPr="00477D8F">
        <w:rPr>
          <w:rFonts w:ascii="Sylfaen" w:hAnsi="Sylfaen"/>
        </w:rPr>
        <w:t>45:1) and the SSA average recommended level (40:1) (Figure 3</w:t>
      </w:r>
      <w:r w:rsidR="006B7A83" w:rsidRPr="00477D8F">
        <w:rPr>
          <w:rFonts w:ascii="Sylfaen" w:hAnsi="Sylfaen"/>
        </w:rPr>
        <w:t>1</w:t>
      </w:r>
      <w:r w:rsidRPr="00477D8F">
        <w:rPr>
          <w:rFonts w:ascii="Sylfaen" w:hAnsi="Sylfaen"/>
        </w:rPr>
        <w:t xml:space="preserve">). </w:t>
      </w:r>
      <w:r w:rsidRPr="00477D8F">
        <w:rPr>
          <w:rFonts w:ascii="Sylfaen" w:hAnsi="Sylfaen" w:cs="Times New Roman"/>
        </w:rPr>
        <w:t xml:space="preserve">One of the key drivers of the lower </w:t>
      </w:r>
      <w:r w:rsidR="00FD0FF5" w:rsidRPr="00477D8F">
        <w:rPr>
          <w:rFonts w:ascii="Sylfaen" w:eastAsia="Times New Roman" w:hAnsi="Sylfaen" w:cs="Times New Roman"/>
          <w:color w:val="000000"/>
        </w:rPr>
        <w:t>STR</w:t>
      </w:r>
      <w:r w:rsidRPr="00477D8F">
        <w:rPr>
          <w:rFonts w:ascii="Sylfaen" w:hAnsi="Sylfaen" w:cs="Times New Roman"/>
        </w:rPr>
        <w:t xml:space="preserve"> in </w:t>
      </w:r>
      <w:r w:rsidR="00E80A69" w:rsidRPr="00477D8F">
        <w:rPr>
          <w:rFonts w:ascii="Sylfaen" w:hAnsi="Sylfaen" w:cs="Times New Roman"/>
        </w:rPr>
        <w:t>The Gambia</w:t>
      </w:r>
      <w:r w:rsidRPr="00477D8F">
        <w:rPr>
          <w:rFonts w:ascii="Sylfaen" w:hAnsi="Sylfaen" w:cs="Times New Roman"/>
        </w:rPr>
        <w:t xml:space="preserve"> is the government’s arrangement concerning the teacher trainees who are not </w:t>
      </w:r>
      <w:r w:rsidR="00A11090" w:rsidRPr="00477D8F">
        <w:rPr>
          <w:rFonts w:ascii="Sylfaen" w:hAnsi="Sylfaen" w:cs="Times New Roman"/>
        </w:rPr>
        <w:t xml:space="preserve">technically </w:t>
      </w:r>
      <w:r w:rsidRPr="00477D8F">
        <w:rPr>
          <w:rFonts w:ascii="Sylfaen" w:hAnsi="Sylfaen" w:cs="Times New Roman"/>
        </w:rPr>
        <w:t>mandated to teach</w:t>
      </w:r>
      <w:r w:rsidR="00A11090" w:rsidRPr="00477D8F">
        <w:rPr>
          <w:rFonts w:ascii="Sylfaen" w:hAnsi="Sylfaen" w:cs="Times New Roman"/>
        </w:rPr>
        <w:t xml:space="preserve"> </w:t>
      </w:r>
      <w:r w:rsidR="00F8023B" w:rsidRPr="00477D8F">
        <w:rPr>
          <w:rFonts w:ascii="Sylfaen" w:hAnsi="Sylfaen" w:cs="Times New Roman"/>
        </w:rPr>
        <w:t>before</w:t>
      </w:r>
      <w:r w:rsidR="00A11090" w:rsidRPr="00477D8F">
        <w:rPr>
          <w:rFonts w:ascii="Sylfaen" w:hAnsi="Sylfaen" w:cs="Times New Roman"/>
        </w:rPr>
        <w:t xml:space="preserve"> graduating from The Gambia College</w:t>
      </w:r>
      <w:r w:rsidRPr="00477D8F">
        <w:rPr>
          <w:rFonts w:ascii="Sylfaen" w:hAnsi="Sylfaen" w:cs="Times New Roman"/>
        </w:rPr>
        <w:t xml:space="preserve"> unless there is a shortage of regular teachers</w:t>
      </w:r>
      <w:r w:rsidR="00A11090" w:rsidRPr="00477D8F">
        <w:rPr>
          <w:rFonts w:ascii="Sylfaen" w:hAnsi="Sylfaen" w:cs="Times New Roman"/>
        </w:rPr>
        <w:t>.</w:t>
      </w:r>
      <w:r w:rsidR="00272695" w:rsidRPr="00477D8F">
        <w:rPr>
          <w:rFonts w:ascii="Sylfaen" w:hAnsi="Sylfaen" w:cs="Times New Roman"/>
        </w:rPr>
        <w:t xml:space="preserve"> </w:t>
      </w:r>
      <w:r w:rsidRPr="00477D8F">
        <w:rPr>
          <w:rFonts w:ascii="Sylfaen" w:hAnsi="Sylfaen" w:cs="Times New Roman"/>
        </w:rPr>
        <w:t xml:space="preserve">However, </w:t>
      </w:r>
      <w:r w:rsidR="00A11090" w:rsidRPr="00477D8F">
        <w:rPr>
          <w:rFonts w:ascii="Sylfaen" w:hAnsi="Sylfaen" w:cs="Times New Roman"/>
        </w:rPr>
        <w:t>in practice</w:t>
      </w:r>
      <w:r w:rsidR="00F8023B" w:rsidRPr="00477D8F">
        <w:rPr>
          <w:rFonts w:ascii="Sylfaen" w:hAnsi="Sylfaen" w:cs="Times New Roman"/>
        </w:rPr>
        <w:t>,</w:t>
      </w:r>
      <w:r w:rsidR="00A11090" w:rsidRPr="00477D8F">
        <w:rPr>
          <w:rFonts w:ascii="Sylfaen" w:hAnsi="Sylfaen" w:cs="Times New Roman"/>
        </w:rPr>
        <w:t xml:space="preserve"> </w:t>
      </w:r>
      <w:r w:rsidRPr="00477D8F">
        <w:rPr>
          <w:rFonts w:ascii="Sylfaen" w:hAnsi="Sylfaen" w:cs="Times New Roman"/>
        </w:rPr>
        <w:t>the supply of t</w:t>
      </w:r>
      <w:r w:rsidR="00A11090" w:rsidRPr="00477D8F">
        <w:rPr>
          <w:rFonts w:ascii="Sylfaen" w:hAnsi="Sylfaen" w:cs="Times New Roman"/>
        </w:rPr>
        <w:t>hese t</w:t>
      </w:r>
      <w:r w:rsidRPr="00477D8F">
        <w:rPr>
          <w:rFonts w:ascii="Sylfaen" w:hAnsi="Sylfaen" w:cs="Times New Roman"/>
        </w:rPr>
        <w:t xml:space="preserve">eachers is not based on the demand and is done without prior strategic planning. Additionally, the distribution of regular teachers and teacher trainees by region and level </w:t>
      </w:r>
      <w:r w:rsidR="00171DF5" w:rsidRPr="00477D8F">
        <w:rPr>
          <w:rFonts w:ascii="Sylfaen" w:hAnsi="Sylfaen" w:cs="Times New Roman"/>
        </w:rPr>
        <w:t xml:space="preserve">of </w:t>
      </w:r>
      <w:r w:rsidRPr="00477D8F">
        <w:rPr>
          <w:rFonts w:ascii="Sylfaen" w:hAnsi="Sylfaen" w:cs="Times New Roman"/>
        </w:rPr>
        <w:t>education indicates that some regions have a high STR</w:t>
      </w:r>
      <w:r w:rsidR="00A11090" w:rsidRPr="00477D8F">
        <w:rPr>
          <w:rFonts w:ascii="Sylfaen" w:hAnsi="Sylfaen" w:cs="Times New Roman"/>
        </w:rPr>
        <w:t>, which suggests issues with deployment.</w:t>
      </w:r>
      <w:r w:rsidR="00272695" w:rsidRPr="00477D8F">
        <w:rPr>
          <w:rFonts w:ascii="Sylfaen" w:hAnsi="Sylfaen" w:cs="Times New Roman"/>
        </w:rPr>
        <w:t xml:space="preserve"> </w:t>
      </w:r>
      <w:r w:rsidRPr="00477D8F">
        <w:rPr>
          <w:rFonts w:ascii="Sylfaen" w:hAnsi="Sylfaen" w:cs="Times New Roman"/>
        </w:rPr>
        <w:t xml:space="preserve">For example, in region 6, </w:t>
      </w:r>
      <w:r w:rsidR="00ED43A6" w:rsidRPr="00477D8F">
        <w:rPr>
          <w:rFonts w:ascii="Sylfaen" w:hAnsi="Sylfaen" w:cs="Times New Roman"/>
        </w:rPr>
        <w:t>there is large variation in STR</w:t>
      </w:r>
      <w:r w:rsidR="00F8023B" w:rsidRPr="00477D8F">
        <w:rPr>
          <w:rFonts w:ascii="Sylfaen" w:hAnsi="Sylfaen" w:cs="Times New Roman"/>
        </w:rPr>
        <w:t>,</w:t>
      </w:r>
      <w:r w:rsidR="00ED43A6" w:rsidRPr="00477D8F">
        <w:rPr>
          <w:rFonts w:ascii="Sylfaen" w:hAnsi="Sylfaen" w:cs="Times New Roman"/>
        </w:rPr>
        <w:t xml:space="preserve"> as shown by the spread of the box plot</w:t>
      </w:r>
      <w:r w:rsidRPr="00477D8F">
        <w:rPr>
          <w:rFonts w:ascii="Sylfaen" w:hAnsi="Sylfaen" w:cs="Times New Roman"/>
        </w:rPr>
        <w:t xml:space="preserve"> (Figure 3</w:t>
      </w:r>
      <w:r w:rsidR="00415762" w:rsidRPr="00477D8F">
        <w:rPr>
          <w:rFonts w:ascii="Sylfaen" w:hAnsi="Sylfaen" w:cs="Times New Roman"/>
        </w:rPr>
        <w:t>1</w:t>
      </w:r>
      <w:r w:rsidRPr="00477D8F">
        <w:rPr>
          <w:rFonts w:ascii="Sylfaen" w:hAnsi="Sylfaen" w:cs="Times New Roman"/>
        </w:rPr>
        <w:t>). Given the tighten</w:t>
      </w:r>
      <w:r w:rsidR="00A11090" w:rsidRPr="00477D8F">
        <w:rPr>
          <w:rFonts w:ascii="Sylfaen" w:hAnsi="Sylfaen" w:cs="Times New Roman"/>
        </w:rPr>
        <w:t>ed</w:t>
      </w:r>
      <w:r w:rsidRPr="00477D8F">
        <w:rPr>
          <w:rFonts w:ascii="Sylfaen" w:hAnsi="Sylfaen" w:cs="Times New Roman"/>
        </w:rPr>
        <w:t xml:space="preserve"> fiscal space,</w:t>
      </w:r>
      <w:r w:rsidR="00A11090" w:rsidRPr="00477D8F">
        <w:rPr>
          <w:rFonts w:ascii="Sylfaen" w:hAnsi="Sylfaen" w:cs="Times New Roman"/>
        </w:rPr>
        <w:t xml:space="preserve"> </w:t>
      </w:r>
      <w:r w:rsidRPr="00477D8F">
        <w:rPr>
          <w:rFonts w:ascii="Sylfaen" w:hAnsi="Sylfaen" w:cs="Times New Roman"/>
        </w:rPr>
        <w:t>better deployment</w:t>
      </w:r>
      <w:r w:rsidR="00A11090" w:rsidRPr="00477D8F">
        <w:rPr>
          <w:rFonts w:ascii="Sylfaen" w:hAnsi="Sylfaen" w:cs="Times New Roman"/>
        </w:rPr>
        <w:t xml:space="preserve"> could address areas with high STRs and optimize resource utilization, especially given that teacher salaries consume the largest share of the education sector budget. </w:t>
      </w:r>
    </w:p>
    <w:tbl>
      <w:tblPr>
        <w:tblStyle w:val="TableGrid2"/>
        <w:tblW w:w="9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6"/>
      </w:tblGrid>
      <w:tr w:rsidR="00A41EEF" w:rsidRPr="00477D8F" w14:paraId="18347930" w14:textId="77777777" w:rsidTr="001259A1">
        <w:trPr>
          <w:trHeight w:val="18"/>
        </w:trPr>
        <w:tc>
          <w:tcPr>
            <w:tcW w:w="9246" w:type="dxa"/>
            <w:hideMark/>
          </w:tcPr>
          <w:p w14:paraId="11161BC8" w14:textId="17C6629F" w:rsidR="00A41EEF" w:rsidRPr="00477D8F" w:rsidRDefault="007860AF" w:rsidP="001259A1">
            <w:pPr>
              <w:pStyle w:val="Caption1"/>
              <w:rPr>
                <w:lang w:eastAsia="ko-KR"/>
              </w:rPr>
            </w:pPr>
            <w:bookmarkStart w:id="164" w:name="_Ref484942947"/>
            <w:bookmarkStart w:id="165" w:name="_Toc497171801"/>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31</w:t>
            </w:r>
            <w:r w:rsidR="002E5BDF" w:rsidRPr="00477D8F">
              <w:rPr>
                <w:noProof/>
              </w:rPr>
              <w:fldChar w:fldCharType="end"/>
            </w:r>
            <w:bookmarkEnd w:id="164"/>
            <w:r w:rsidR="00A41EEF" w:rsidRPr="00477D8F">
              <w:t xml:space="preserve">: </w:t>
            </w:r>
            <w:r w:rsidR="009D65C3" w:rsidRPr="00477D8F">
              <w:t>T</w:t>
            </w:r>
            <w:r w:rsidR="00943A68" w:rsidRPr="00477D8F">
              <w:t xml:space="preserve">rends of STR </w:t>
            </w:r>
            <w:r w:rsidR="009D65C3" w:rsidRPr="00477D8F">
              <w:t xml:space="preserve">by level of education (left) </w:t>
            </w:r>
            <w:r w:rsidR="00943A68" w:rsidRPr="00477D8F">
              <w:t xml:space="preserve">and regional distribution of total teachers with and without </w:t>
            </w:r>
            <w:r w:rsidR="006B7A83" w:rsidRPr="00477D8F">
              <w:t>teacher trainees</w:t>
            </w:r>
            <w:r w:rsidR="00943A68" w:rsidRPr="00477D8F">
              <w:t xml:space="preserve"> by level </w:t>
            </w:r>
            <w:r w:rsidR="009D65C3" w:rsidRPr="00477D8F">
              <w:t xml:space="preserve">of education </w:t>
            </w:r>
            <w:r w:rsidR="00943A68" w:rsidRPr="00477D8F">
              <w:t>2015</w:t>
            </w:r>
            <w:r w:rsidR="006B7A83" w:rsidRPr="00477D8F">
              <w:t xml:space="preserve"> </w:t>
            </w:r>
            <w:r w:rsidR="003E3DFC" w:rsidRPr="00477D8F">
              <w:t>(right)</w:t>
            </w:r>
            <w:bookmarkEnd w:id="165"/>
            <w:r w:rsidR="00943A68" w:rsidRPr="00477D8F">
              <w:t xml:space="preserve"> </w:t>
            </w:r>
          </w:p>
        </w:tc>
      </w:tr>
      <w:tr w:rsidR="00A41EEF" w:rsidRPr="00477D8F" w14:paraId="6B289369" w14:textId="77777777" w:rsidTr="001259A1">
        <w:trPr>
          <w:trHeight w:val="18"/>
        </w:trPr>
        <w:tc>
          <w:tcPr>
            <w:tcW w:w="9246" w:type="dxa"/>
            <w:hideMark/>
          </w:tcPr>
          <w:p w14:paraId="3019DC63" w14:textId="77777777" w:rsidR="00A41EEF" w:rsidRPr="00477D8F" w:rsidRDefault="00A41EEF" w:rsidP="001259A1">
            <w:pPr>
              <w:keepNext/>
              <w:jc w:val="both"/>
              <w:rPr>
                <w:rFonts w:ascii="Sylfaen" w:hAnsi="Sylfaen" w:cs="Times New Roman"/>
                <w:bCs/>
              </w:rPr>
            </w:pPr>
            <w:r w:rsidRPr="00477D8F">
              <w:rPr>
                <w:rFonts w:ascii="Sylfaen" w:hAnsi="Sylfaen"/>
                <w:noProof/>
              </w:rPr>
              <w:drawing>
                <wp:inline distT="0" distB="0" distL="0" distR="0" wp14:anchorId="14FC4A24" wp14:editId="2DB5081E">
                  <wp:extent cx="2962275" cy="1894637"/>
                  <wp:effectExtent l="0" t="0" r="9525" b="10795"/>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Pr="00477D8F">
              <w:rPr>
                <w:rFonts w:ascii="Sylfaen" w:hAnsi="Sylfaen" w:cs="Times New Roman"/>
                <w:noProof/>
                <w:sz w:val="24"/>
                <w:szCs w:val="24"/>
              </w:rPr>
              <w:drawing>
                <wp:inline distT="0" distB="0" distL="0" distR="0" wp14:anchorId="150533DA" wp14:editId="03A2FA94">
                  <wp:extent cx="2727915" cy="1887322"/>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0594" cy="1916850"/>
                          </a:xfrm>
                          <a:prstGeom prst="rect">
                            <a:avLst/>
                          </a:prstGeom>
                          <a:noFill/>
                          <a:ln>
                            <a:noFill/>
                          </a:ln>
                        </pic:spPr>
                      </pic:pic>
                    </a:graphicData>
                  </a:graphic>
                </wp:inline>
              </w:drawing>
            </w:r>
            <w:r w:rsidRPr="00477D8F">
              <w:rPr>
                <w:rFonts w:ascii="Sylfaen" w:hAnsi="Sylfaen" w:cs="Times New Roman"/>
                <w:noProof/>
                <w:sz w:val="24"/>
                <w:szCs w:val="24"/>
              </w:rPr>
              <w:drawing>
                <wp:inline distT="0" distB="0" distL="0" distR="0" wp14:anchorId="1E73C514" wp14:editId="5A5C446A">
                  <wp:extent cx="2998718" cy="190893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53976" cy="1944113"/>
                          </a:xfrm>
                          <a:prstGeom prst="rect">
                            <a:avLst/>
                          </a:prstGeom>
                          <a:noFill/>
                          <a:ln>
                            <a:noFill/>
                          </a:ln>
                        </pic:spPr>
                      </pic:pic>
                    </a:graphicData>
                  </a:graphic>
                </wp:inline>
              </w:drawing>
            </w:r>
            <w:r w:rsidRPr="00477D8F">
              <w:rPr>
                <w:rFonts w:ascii="Sylfaen" w:hAnsi="Sylfaen" w:cs="Times New Roman"/>
                <w:noProof/>
                <w:sz w:val="24"/>
                <w:szCs w:val="24"/>
              </w:rPr>
              <w:drawing>
                <wp:inline distT="0" distB="0" distL="0" distR="0" wp14:anchorId="20B98089" wp14:editId="0784BC13">
                  <wp:extent cx="2676525" cy="1901401"/>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8721" cy="1931377"/>
                          </a:xfrm>
                          <a:prstGeom prst="rect">
                            <a:avLst/>
                          </a:prstGeom>
                          <a:noFill/>
                          <a:ln>
                            <a:noFill/>
                          </a:ln>
                        </pic:spPr>
                      </pic:pic>
                    </a:graphicData>
                  </a:graphic>
                </wp:inline>
              </w:drawing>
            </w:r>
          </w:p>
        </w:tc>
      </w:tr>
      <w:tr w:rsidR="00A41EEF" w:rsidRPr="00477D8F" w14:paraId="79A1A402" w14:textId="77777777" w:rsidTr="001259A1">
        <w:trPr>
          <w:trHeight w:val="18"/>
        </w:trPr>
        <w:tc>
          <w:tcPr>
            <w:tcW w:w="9246" w:type="dxa"/>
            <w:hideMark/>
          </w:tcPr>
          <w:p w14:paraId="0EAC0DFF" w14:textId="61F4222E" w:rsidR="00A41EEF" w:rsidRPr="00477D8F" w:rsidRDefault="00A41EEF" w:rsidP="001259A1">
            <w:pPr>
              <w:pStyle w:val="Source"/>
            </w:pPr>
            <w:r w:rsidRPr="00477D8F">
              <w:rPr>
                <w:i/>
              </w:rPr>
              <w:t>Source:</w:t>
            </w:r>
            <w:r w:rsidRPr="00477D8F">
              <w:t xml:space="preserve"> Authors’ estimations based on EMIS</w:t>
            </w:r>
            <w:r w:rsidR="00863CEE" w:rsidRPr="00477D8F">
              <w:t>.</w:t>
            </w:r>
          </w:p>
        </w:tc>
      </w:tr>
    </w:tbl>
    <w:p w14:paraId="74C20F62" w14:textId="03F750E1" w:rsidR="001D69D4" w:rsidRPr="00477D8F" w:rsidRDefault="001D69D4" w:rsidP="00ED0E68">
      <w:pPr>
        <w:pStyle w:val="Heading2"/>
        <w:rPr>
          <w:b/>
        </w:rPr>
      </w:pPr>
      <w:bookmarkStart w:id="166" w:name="_Toc497171872"/>
      <w:r w:rsidRPr="00477D8F">
        <w:t>Supply of school facilities and materials</w:t>
      </w:r>
      <w:bookmarkEnd w:id="166"/>
    </w:p>
    <w:p w14:paraId="72449557" w14:textId="69463F3B" w:rsidR="00D85043" w:rsidRPr="00477D8F" w:rsidRDefault="00A11090" w:rsidP="007D0071">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imes New Roman"/>
          <w:sz w:val="24"/>
          <w:szCs w:val="24"/>
        </w:rPr>
      </w:pPr>
      <w:r w:rsidRPr="00477D8F">
        <w:rPr>
          <w:rFonts w:ascii="Sylfaen" w:hAnsi="Sylfaen" w:cs="Times New Roman"/>
          <w:b/>
        </w:rPr>
        <w:t>Some other school inputs, such as sc</w:t>
      </w:r>
      <w:r w:rsidR="00603FB0" w:rsidRPr="00477D8F">
        <w:rPr>
          <w:rFonts w:ascii="Sylfaen" w:hAnsi="Sylfaen" w:cs="Times New Roman"/>
          <w:b/>
        </w:rPr>
        <w:t>hool materials, and electricity</w:t>
      </w:r>
      <w:r w:rsidR="00943A68" w:rsidRPr="00477D8F">
        <w:rPr>
          <w:rFonts w:ascii="Sylfaen" w:hAnsi="Sylfaen" w:cs="Times New Roman"/>
          <w:b/>
        </w:rPr>
        <w:t xml:space="preserve"> are not </w:t>
      </w:r>
      <w:r w:rsidRPr="00477D8F">
        <w:rPr>
          <w:rFonts w:ascii="Sylfaen" w:hAnsi="Sylfaen" w:cs="Times New Roman"/>
          <w:b/>
        </w:rPr>
        <w:t xml:space="preserve">always </w:t>
      </w:r>
      <w:r w:rsidR="00943A68" w:rsidRPr="00477D8F">
        <w:rPr>
          <w:rFonts w:ascii="Sylfaen" w:hAnsi="Sylfaen" w:cs="Times New Roman"/>
          <w:b/>
        </w:rPr>
        <w:t xml:space="preserve">widely available in </w:t>
      </w:r>
      <w:r w:rsidR="00E80A69" w:rsidRPr="00477D8F">
        <w:rPr>
          <w:rFonts w:ascii="Sylfaen" w:hAnsi="Sylfaen" w:cs="Times New Roman"/>
          <w:b/>
        </w:rPr>
        <w:t>The Gambia</w:t>
      </w:r>
      <w:r w:rsidRPr="00477D8F">
        <w:rPr>
          <w:rFonts w:ascii="Sylfaen" w:hAnsi="Sylfaen" w:cs="Times New Roman"/>
          <w:b/>
        </w:rPr>
        <w:t>.</w:t>
      </w:r>
      <w:r w:rsidR="00A73701" w:rsidRPr="00477D8F">
        <w:rPr>
          <w:rFonts w:ascii="Sylfaen" w:hAnsi="Sylfaen" w:cs="Times New Roman"/>
        </w:rPr>
        <w:t xml:space="preserve"> </w:t>
      </w:r>
      <w:r w:rsidRPr="00477D8F">
        <w:rPr>
          <w:rFonts w:ascii="Sylfaen" w:hAnsi="Sylfaen" w:cs="Times New Roman"/>
        </w:rPr>
        <w:t xml:space="preserve">As </w:t>
      </w:r>
      <w:r w:rsidR="00BE7A1E" w:rsidRPr="00477D8F">
        <w:rPr>
          <w:rFonts w:ascii="Sylfaen" w:hAnsi="Sylfaen" w:cs="Times New Roman"/>
        </w:rPr>
        <w:t>post primary</w:t>
      </w:r>
      <w:r w:rsidRPr="00477D8F">
        <w:rPr>
          <w:rFonts w:ascii="Sylfaen" w:hAnsi="Sylfaen" w:cs="Times New Roman"/>
        </w:rPr>
        <w:t xml:space="preserve"> schools have better infrastructure inputs and learning materials, </w:t>
      </w:r>
      <w:r w:rsidR="00A73701" w:rsidRPr="00477D8F">
        <w:rPr>
          <w:rFonts w:ascii="Sylfaen" w:hAnsi="Sylfaen" w:cs="Times New Roman"/>
        </w:rPr>
        <w:t xml:space="preserve">school inputs are therefore evaluated at the </w:t>
      </w:r>
      <w:r w:rsidR="007C0E54" w:rsidRPr="00477D8F">
        <w:rPr>
          <w:rFonts w:ascii="Sylfaen" w:hAnsi="Sylfaen" w:cs="Times New Roman"/>
        </w:rPr>
        <w:t xml:space="preserve">LBE </w:t>
      </w:r>
      <w:r w:rsidR="00A73701" w:rsidRPr="00477D8F">
        <w:rPr>
          <w:rFonts w:ascii="Sylfaen" w:hAnsi="Sylfaen" w:cs="Times New Roman"/>
        </w:rPr>
        <w:t xml:space="preserve">level where there is a higher variation of the availability of such inputs. Key input indicators on adequately available resources (classroom, class size, seats, desk, </w:t>
      </w:r>
      <w:r w:rsidR="0075521B" w:rsidRPr="00477D8F">
        <w:rPr>
          <w:rFonts w:ascii="Sylfaen" w:hAnsi="Sylfaen" w:cs="Times New Roman"/>
        </w:rPr>
        <w:t>and so on</w:t>
      </w:r>
      <w:r w:rsidR="00A73701" w:rsidRPr="00477D8F">
        <w:rPr>
          <w:rFonts w:ascii="Sylfaen" w:hAnsi="Sylfaen" w:cs="Times New Roman"/>
        </w:rPr>
        <w:t>) and resources that are in shortage (electricity, textbook, library</w:t>
      </w:r>
      <w:r w:rsidR="0075521B" w:rsidRPr="00477D8F">
        <w:rPr>
          <w:rFonts w:ascii="Sylfaen" w:hAnsi="Sylfaen" w:cs="Times New Roman"/>
        </w:rPr>
        <w:t>, and so on</w:t>
      </w:r>
      <w:r w:rsidR="00A73701" w:rsidRPr="00477D8F">
        <w:rPr>
          <w:rFonts w:ascii="Sylfaen" w:hAnsi="Sylfaen" w:cs="Times New Roman"/>
        </w:rPr>
        <w:t xml:space="preserve">) are presented in </w:t>
      </w:r>
      <w:r w:rsidR="008F235B" w:rsidRPr="00477D8F">
        <w:rPr>
          <w:rFonts w:ascii="Sylfaen" w:hAnsi="Sylfaen" w:cs="Times New Roman"/>
        </w:rPr>
        <w:t xml:space="preserve">the </w:t>
      </w:r>
      <w:r w:rsidR="00A73701" w:rsidRPr="00477D8F">
        <w:rPr>
          <w:rFonts w:ascii="Sylfaen" w:hAnsi="Sylfaen" w:cs="Times New Roman"/>
        </w:rPr>
        <w:t>annex section by level of education. The results of the assessment of the nonfinancial school inputs at public LBS are mixed—some schools have adequate inputs whereas other schools face a</w:t>
      </w:r>
      <w:r w:rsidRPr="00477D8F">
        <w:rPr>
          <w:rFonts w:ascii="Sylfaen" w:hAnsi="Sylfaen" w:cs="Times New Roman"/>
        </w:rPr>
        <w:t xml:space="preserve"> significant shortage.</w:t>
      </w:r>
      <w:r w:rsidR="00272695" w:rsidRPr="00477D8F">
        <w:rPr>
          <w:rFonts w:ascii="Sylfaen" w:hAnsi="Sylfaen" w:cs="Times New Roman"/>
        </w:rPr>
        <w:t xml:space="preserve"> </w:t>
      </w:r>
      <w:r w:rsidR="00A73701" w:rsidRPr="00477D8F">
        <w:rPr>
          <w:rFonts w:ascii="Sylfaen" w:hAnsi="Sylfaen" w:cs="Times New Roman"/>
        </w:rPr>
        <w:t xml:space="preserve">An index of key school inputs was computed by district at the LBS </w:t>
      </w:r>
      <w:r w:rsidRPr="00477D8F">
        <w:rPr>
          <w:rFonts w:ascii="Sylfaen" w:hAnsi="Sylfaen" w:cs="Times New Roman"/>
        </w:rPr>
        <w:t xml:space="preserve">level </w:t>
      </w:r>
      <w:r w:rsidR="00A73701" w:rsidRPr="00477D8F">
        <w:rPr>
          <w:rFonts w:ascii="Sylfaen" w:hAnsi="Sylfaen" w:cs="Times New Roman"/>
        </w:rPr>
        <w:t>to investigate the adequacy of the resources. The resource index captures the following: (a) the share of schools with electricity</w:t>
      </w:r>
      <w:r w:rsidR="0075521B" w:rsidRPr="00477D8F">
        <w:rPr>
          <w:rFonts w:ascii="Sylfaen" w:hAnsi="Sylfaen" w:cs="Times New Roman"/>
        </w:rPr>
        <w:t>,</w:t>
      </w:r>
      <w:r w:rsidR="00A73701" w:rsidRPr="00477D8F">
        <w:rPr>
          <w:rFonts w:ascii="Sylfaen" w:hAnsi="Sylfaen" w:cs="Times New Roman"/>
        </w:rPr>
        <w:t xml:space="preserve"> (b) the share of schools with a library</w:t>
      </w:r>
      <w:r w:rsidR="0075521B" w:rsidRPr="00477D8F">
        <w:rPr>
          <w:rFonts w:ascii="Sylfaen" w:hAnsi="Sylfaen" w:cs="Times New Roman"/>
        </w:rPr>
        <w:t>,</w:t>
      </w:r>
      <w:r w:rsidR="00A73701" w:rsidRPr="00477D8F">
        <w:rPr>
          <w:rFonts w:ascii="Sylfaen" w:hAnsi="Sylfaen" w:cs="Times New Roman"/>
        </w:rPr>
        <w:t xml:space="preserve"> (c) the availability of clean water</w:t>
      </w:r>
      <w:r w:rsidR="0075521B" w:rsidRPr="00477D8F">
        <w:rPr>
          <w:rFonts w:ascii="Sylfaen" w:hAnsi="Sylfaen" w:cs="Times New Roman"/>
        </w:rPr>
        <w:t>,</w:t>
      </w:r>
      <w:r w:rsidR="00A73701" w:rsidRPr="00477D8F">
        <w:rPr>
          <w:rFonts w:ascii="Sylfaen" w:hAnsi="Sylfaen" w:cs="Times New Roman"/>
        </w:rPr>
        <w:t xml:space="preserve"> (</w:t>
      </w:r>
      <w:r w:rsidRPr="00477D8F">
        <w:rPr>
          <w:rFonts w:ascii="Sylfaen" w:hAnsi="Sylfaen" w:cs="Times New Roman"/>
        </w:rPr>
        <w:t>d</w:t>
      </w:r>
      <w:r w:rsidR="00A73701" w:rsidRPr="00477D8F">
        <w:rPr>
          <w:rFonts w:ascii="Sylfaen" w:hAnsi="Sylfaen" w:cs="Times New Roman"/>
        </w:rPr>
        <w:t>) the share of adequate separate toilets</w:t>
      </w:r>
      <w:r w:rsidR="0075521B" w:rsidRPr="00477D8F">
        <w:rPr>
          <w:rFonts w:ascii="Sylfaen" w:hAnsi="Sylfaen" w:cs="Times New Roman"/>
        </w:rPr>
        <w:t>,</w:t>
      </w:r>
      <w:r w:rsidR="00A73701" w:rsidRPr="00477D8F">
        <w:rPr>
          <w:rFonts w:ascii="Sylfaen" w:hAnsi="Sylfaen" w:cs="Times New Roman"/>
        </w:rPr>
        <w:t xml:space="preserve"> (</w:t>
      </w:r>
      <w:r w:rsidRPr="00477D8F">
        <w:rPr>
          <w:rFonts w:ascii="Sylfaen" w:hAnsi="Sylfaen" w:cs="Times New Roman"/>
        </w:rPr>
        <w:t>e</w:t>
      </w:r>
      <w:r w:rsidR="00A73701" w:rsidRPr="00477D8F">
        <w:rPr>
          <w:rFonts w:ascii="Sylfaen" w:hAnsi="Sylfaen" w:cs="Times New Roman"/>
        </w:rPr>
        <w:t>) the share of seats in good condition</w:t>
      </w:r>
      <w:r w:rsidR="0075521B" w:rsidRPr="00477D8F">
        <w:rPr>
          <w:rFonts w:ascii="Sylfaen" w:hAnsi="Sylfaen" w:cs="Times New Roman"/>
        </w:rPr>
        <w:t>,</w:t>
      </w:r>
      <w:r w:rsidR="00A73701" w:rsidRPr="00477D8F">
        <w:rPr>
          <w:rFonts w:ascii="Sylfaen" w:hAnsi="Sylfaen" w:cs="Times New Roman"/>
        </w:rPr>
        <w:t xml:space="preserve"> (</w:t>
      </w:r>
      <w:r w:rsidRPr="00477D8F">
        <w:rPr>
          <w:rFonts w:ascii="Sylfaen" w:hAnsi="Sylfaen" w:cs="Times New Roman"/>
        </w:rPr>
        <w:t>f</w:t>
      </w:r>
      <w:r w:rsidR="00A73701" w:rsidRPr="00477D8F">
        <w:rPr>
          <w:rFonts w:ascii="Sylfaen" w:hAnsi="Sylfaen" w:cs="Times New Roman"/>
        </w:rPr>
        <w:t>) the share of desks in good condition</w:t>
      </w:r>
      <w:r w:rsidR="0075521B" w:rsidRPr="00477D8F">
        <w:rPr>
          <w:rFonts w:ascii="Sylfaen" w:hAnsi="Sylfaen" w:cs="Times New Roman"/>
        </w:rPr>
        <w:t>,</w:t>
      </w:r>
      <w:r w:rsidR="00A73701" w:rsidRPr="00477D8F">
        <w:rPr>
          <w:rFonts w:ascii="Sylfaen" w:hAnsi="Sylfaen" w:cs="Times New Roman"/>
        </w:rPr>
        <w:t xml:space="preserve"> (</w:t>
      </w:r>
      <w:r w:rsidRPr="00477D8F">
        <w:rPr>
          <w:rFonts w:ascii="Sylfaen" w:hAnsi="Sylfaen" w:cs="Times New Roman"/>
        </w:rPr>
        <w:t>g</w:t>
      </w:r>
      <w:r w:rsidR="00A73701" w:rsidRPr="00477D8F">
        <w:rPr>
          <w:rFonts w:ascii="Sylfaen" w:hAnsi="Sylfaen" w:cs="Times New Roman"/>
        </w:rPr>
        <w:t>) the share of classrooms in good condition</w:t>
      </w:r>
      <w:r w:rsidR="0075521B" w:rsidRPr="00477D8F">
        <w:rPr>
          <w:rFonts w:ascii="Sylfaen" w:hAnsi="Sylfaen" w:cs="Times New Roman"/>
        </w:rPr>
        <w:t>,</w:t>
      </w:r>
      <w:r w:rsidR="00A73701" w:rsidRPr="00477D8F">
        <w:rPr>
          <w:rFonts w:ascii="Sylfaen" w:hAnsi="Sylfaen" w:cs="Times New Roman"/>
        </w:rPr>
        <w:t xml:space="preserve"> (</w:t>
      </w:r>
      <w:r w:rsidRPr="00477D8F">
        <w:rPr>
          <w:rFonts w:ascii="Sylfaen" w:hAnsi="Sylfaen" w:cs="Times New Roman"/>
        </w:rPr>
        <w:t>h</w:t>
      </w:r>
      <w:r w:rsidR="00A73701" w:rsidRPr="00477D8F">
        <w:rPr>
          <w:rFonts w:ascii="Sylfaen" w:hAnsi="Sylfaen" w:cs="Times New Roman"/>
        </w:rPr>
        <w:t>) the availability of computer labs</w:t>
      </w:r>
      <w:r w:rsidR="0075521B" w:rsidRPr="00477D8F">
        <w:rPr>
          <w:rFonts w:ascii="Sylfaen" w:hAnsi="Sylfaen" w:cs="Times New Roman"/>
        </w:rPr>
        <w:t>,</w:t>
      </w:r>
      <w:r w:rsidR="00A73701" w:rsidRPr="00477D8F">
        <w:rPr>
          <w:rFonts w:ascii="Sylfaen" w:hAnsi="Sylfaen" w:cs="Times New Roman"/>
        </w:rPr>
        <w:t xml:space="preserve"> and (</w:t>
      </w:r>
      <w:r w:rsidRPr="00477D8F">
        <w:rPr>
          <w:rFonts w:ascii="Sylfaen" w:hAnsi="Sylfaen" w:cs="Times New Roman"/>
        </w:rPr>
        <w:t>i</w:t>
      </w:r>
      <w:r w:rsidR="00A73701" w:rsidRPr="00477D8F">
        <w:rPr>
          <w:rFonts w:ascii="Sylfaen" w:hAnsi="Sylfaen" w:cs="Times New Roman"/>
        </w:rPr>
        <w:t xml:space="preserve">) the average student textbook ratio for English and </w:t>
      </w:r>
      <w:r w:rsidR="009A436A" w:rsidRPr="00477D8F">
        <w:rPr>
          <w:rFonts w:ascii="Sylfaen" w:hAnsi="Sylfaen" w:cs="Times New Roman"/>
        </w:rPr>
        <w:t>m</w:t>
      </w:r>
      <w:r w:rsidR="00A73701" w:rsidRPr="00477D8F">
        <w:rPr>
          <w:rFonts w:ascii="Sylfaen" w:hAnsi="Sylfaen" w:cs="Times New Roman"/>
        </w:rPr>
        <w:t>athematics. Overall, there is a huge variation in the distribution of the resource index by district, ranging from 0.47 to 0.94 with a national average of 0.74 (Figure 3</w:t>
      </w:r>
      <w:r w:rsidR="006C23F1" w:rsidRPr="00477D8F">
        <w:rPr>
          <w:rFonts w:ascii="Sylfaen" w:hAnsi="Sylfaen" w:cs="Times New Roman"/>
        </w:rPr>
        <w:t>2</w:t>
      </w:r>
      <w:r w:rsidR="00A73701" w:rsidRPr="00477D8F">
        <w:rPr>
          <w:rFonts w:ascii="Sylfaen" w:hAnsi="Sylfaen" w:cs="Times New Roman"/>
        </w:rPr>
        <w:t xml:space="preserve">). </w:t>
      </w:r>
      <w:r w:rsidR="0075521B" w:rsidRPr="00477D8F">
        <w:rPr>
          <w:rFonts w:ascii="Sylfaen" w:hAnsi="Sylfaen" w:cs="Times New Roman"/>
        </w:rPr>
        <w:t>Because</w:t>
      </w:r>
      <w:r w:rsidR="00A73701" w:rsidRPr="00477D8F">
        <w:rPr>
          <w:rFonts w:ascii="Sylfaen" w:hAnsi="Sylfaen"/>
        </w:rPr>
        <w:t xml:space="preserve"> learning outcomes are positively correlated </w:t>
      </w:r>
      <w:r w:rsidR="0075521B" w:rsidRPr="00477D8F">
        <w:rPr>
          <w:rFonts w:ascii="Sylfaen" w:hAnsi="Sylfaen"/>
        </w:rPr>
        <w:t xml:space="preserve">with </w:t>
      </w:r>
      <w:r w:rsidR="00A73701" w:rsidRPr="00477D8F">
        <w:rPr>
          <w:rFonts w:ascii="Sylfaen" w:hAnsi="Sylfaen"/>
        </w:rPr>
        <w:t>the resource index (annex</w:t>
      </w:r>
      <w:r w:rsidR="005365D6" w:rsidRPr="00477D8F">
        <w:rPr>
          <w:rFonts w:ascii="Sylfaen" w:hAnsi="Sylfaen"/>
        </w:rPr>
        <w:t xml:space="preserve"> C Figure C5</w:t>
      </w:r>
      <w:r w:rsidR="00A73701" w:rsidRPr="00477D8F">
        <w:rPr>
          <w:rFonts w:ascii="Sylfaen" w:hAnsi="Sylfaen"/>
        </w:rPr>
        <w:t>), it is</w:t>
      </w:r>
      <w:r w:rsidRPr="00477D8F">
        <w:rPr>
          <w:rFonts w:ascii="Sylfaen" w:hAnsi="Sylfaen"/>
        </w:rPr>
        <w:t xml:space="preserve"> critical to focus on</w:t>
      </w:r>
      <w:r w:rsidR="00A73701" w:rsidRPr="00477D8F">
        <w:rPr>
          <w:rFonts w:ascii="Sylfaen" w:hAnsi="Sylfaen"/>
        </w:rPr>
        <w:t xml:space="preserve"> optimiz</w:t>
      </w:r>
      <w:r w:rsidRPr="00477D8F">
        <w:rPr>
          <w:rFonts w:ascii="Sylfaen" w:hAnsi="Sylfaen"/>
        </w:rPr>
        <w:t>ing</w:t>
      </w:r>
      <w:r w:rsidR="00A73701" w:rsidRPr="00477D8F">
        <w:rPr>
          <w:rFonts w:ascii="Sylfaen" w:hAnsi="Sylfaen"/>
        </w:rPr>
        <w:t xml:space="preserve"> the distribution of resources based on defined criteria such as school size, number of students, location of school.</w:t>
      </w:r>
    </w:p>
    <w:tbl>
      <w:tblPr>
        <w:tblStyle w:val="TableGrid2"/>
        <w:tblW w:w="9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D85043" w:rsidRPr="00477D8F" w14:paraId="51E30636" w14:textId="77777777" w:rsidTr="001259A1">
        <w:trPr>
          <w:trHeight w:val="18"/>
        </w:trPr>
        <w:tc>
          <w:tcPr>
            <w:tcW w:w="9246" w:type="dxa"/>
            <w:hideMark/>
          </w:tcPr>
          <w:p w14:paraId="4C221095" w14:textId="519A64BE" w:rsidR="00D85043" w:rsidRPr="00477D8F" w:rsidRDefault="007860AF" w:rsidP="001259A1">
            <w:pPr>
              <w:pStyle w:val="Caption1"/>
              <w:rPr>
                <w:bCs/>
                <w:lang w:eastAsia="ko-KR"/>
              </w:rPr>
            </w:pPr>
            <w:bookmarkStart w:id="167" w:name="_Ref484942193"/>
            <w:bookmarkStart w:id="168" w:name="_Toc497171802"/>
            <w:r w:rsidRPr="00477D8F">
              <w:rPr>
                <w:rFonts w:eastAsia="Times New Roman"/>
                <w:bCs/>
              </w:rPr>
              <w:lastRenderedPageBreak/>
              <w:t xml:space="preserve">Figure </w:t>
            </w:r>
            <w:r w:rsidRPr="00477D8F">
              <w:rPr>
                <w:rFonts w:eastAsia="Times New Roman"/>
                <w:bCs/>
              </w:rPr>
              <w:fldChar w:fldCharType="begin"/>
            </w:r>
            <w:r w:rsidRPr="00477D8F">
              <w:rPr>
                <w:rFonts w:eastAsia="Times New Roman"/>
                <w:bCs/>
              </w:rPr>
              <w:instrText xml:space="preserve"> SEQ Figure \* ARABIC </w:instrText>
            </w:r>
            <w:r w:rsidRPr="00477D8F">
              <w:rPr>
                <w:rFonts w:eastAsia="Times New Roman"/>
                <w:bCs/>
              </w:rPr>
              <w:fldChar w:fldCharType="separate"/>
            </w:r>
            <w:r w:rsidR="00F800F3" w:rsidRPr="00477D8F">
              <w:rPr>
                <w:rFonts w:eastAsia="Times New Roman"/>
                <w:bCs/>
                <w:noProof/>
              </w:rPr>
              <w:t>32</w:t>
            </w:r>
            <w:r w:rsidRPr="00477D8F">
              <w:rPr>
                <w:rFonts w:eastAsia="Times New Roman"/>
                <w:bCs/>
              </w:rPr>
              <w:fldChar w:fldCharType="end"/>
            </w:r>
            <w:bookmarkEnd w:id="167"/>
            <w:r w:rsidR="00D85043" w:rsidRPr="00477D8F">
              <w:rPr>
                <w:rFonts w:eastAsia="Times New Roman"/>
                <w:bCs/>
              </w:rPr>
              <w:t>:</w:t>
            </w:r>
            <w:r w:rsidR="00272695" w:rsidRPr="00477D8F">
              <w:rPr>
                <w:rFonts w:eastAsia="Times New Roman"/>
                <w:bCs/>
              </w:rPr>
              <w:t xml:space="preserve"> </w:t>
            </w:r>
            <w:r w:rsidR="00D85043" w:rsidRPr="00477D8F">
              <w:t xml:space="preserve">School resource index </w:t>
            </w:r>
            <w:r w:rsidR="003E3DFC" w:rsidRPr="00477D8F">
              <w:t>in</w:t>
            </w:r>
            <w:r w:rsidR="00D85043" w:rsidRPr="00477D8F">
              <w:t xml:space="preserve"> public LBS, 201</w:t>
            </w:r>
            <w:r w:rsidR="003E3DFC" w:rsidRPr="00477D8F">
              <w:t>5</w:t>
            </w:r>
            <w:bookmarkEnd w:id="168"/>
          </w:p>
        </w:tc>
      </w:tr>
      <w:tr w:rsidR="00D85043" w:rsidRPr="00477D8F" w14:paraId="6CD78C90" w14:textId="77777777" w:rsidTr="001259A1">
        <w:trPr>
          <w:trHeight w:val="325"/>
        </w:trPr>
        <w:tc>
          <w:tcPr>
            <w:tcW w:w="9246" w:type="dxa"/>
            <w:hideMark/>
          </w:tcPr>
          <w:p w14:paraId="0D72168B" w14:textId="77777777" w:rsidR="00D85043" w:rsidRPr="00477D8F" w:rsidRDefault="003E3DFC" w:rsidP="001259A1">
            <w:pPr>
              <w:keepNext/>
              <w:jc w:val="both"/>
              <w:rPr>
                <w:rFonts w:ascii="Sylfaen" w:hAnsi="Sylfaen" w:cs="Times New Roman"/>
                <w:bCs/>
              </w:rPr>
            </w:pPr>
            <w:r w:rsidRPr="00477D8F">
              <w:rPr>
                <w:rFonts w:ascii="Sylfaen" w:hAnsi="Sylfaen"/>
                <w:noProof/>
              </w:rPr>
              <w:drawing>
                <wp:inline distT="0" distB="0" distL="0" distR="0" wp14:anchorId="0A2FD024" wp14:editId="6750A122">
                  <wp:extent cx="5822899" cy="2978785"/>
                  <wp:effectExtent l="0" t="0" r="6985" b="12065"/>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c>
      </w:tr>
      <w:tr w:rsidR="00D85043" w:rsidRPr="00477D8F" w14:paraId="22F0F8E8" w14:textId="77777777" w:rsidTr="001259A1">
        <w:trPr>
          <w:trHeight w:val="18"/>
        </w:trPr>
        <w:tc>
          <w:tcPr>
            <w:tcW w:w="9246" w:type="dxa"/>
            <w:hideMark/>
          </w:tcPr>
          <w:p w14:paraId="243867C0" w14:textId="7EC4C8BD" w:rsidR="00D85043" w:rsidRPr="00477D8F" w:rsidRDefault="00D85043" w:rsidP="001259A1">
            <w:pPr>
              <w:pStyle w:val="Source"/>
            </w:pPr>
            <w:r w:rsidRPr="00477D8F">
              <w:rPr>
                <w:i/>
              </w:rPr>
              <w:t>Source:</w:t>
            </w:r>
            <w:r w:rsidRPr="00477D8F">
              <w:t xml:space="preserve"> Authors’ estimations based on EMIS</w:t>
            </w:r>
            <w:r w:rsidR="00C5736C" w:rsidRPr="00477D8F">
              <w:t>.</w:t>
            </w:r>
          </w:p>
        </w:tc>
      </w:tr>
    </w:tbl>
    <w:p w14:paraId="194378B3" w14:textId="2BB6E723" w:rsidR="007860AF" w:rsidRPr="00477D8F" w:rsidRDefault="00A73701" w:rsidP="008351A5">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imes New Roman"/>
        </w:rPr>
      </w:pPr>
      <w:r w:rsidRPr="00477D8F">
        <w:rPr>
          <w:rFonts w:ascii="Sylfaen" w:hAnsi="Sylfaen" w:cs="Times New Roman"/>
          <w:b/>
        </w:rPr>
        <w:t>Most primary schools are located within a 3 k</w:t>
      </w:r>
      <w:r w:rsidR="00A91B2A" w:rsidRPr="00477D8F">
        <w:rPr>
          <w:rFonts w:ascii="Sylfaen" w:hAnsi="Sylfaen" w:cs="Times New Roman"/>
          <w:b/>
        </w:rPr>
        <w:t>m</w:t>
      </w:r>
      <w:r w:rsidRPr="00477D8F">
        <w:rPr>
          <w:rFonts w:ascii="Sylfaen" w:hAnsi="Sylfaen" w:cs="Times New Roman"/>
          <w:b/>
        </w:rPr>
        <w:t xml:space="preserve"> radius</w:t>
      </w:r>
      <w:r w:rsidR="005A6E17" w:rsidRPr="00477D8F">
        <w:rPr>
          <w:rFonts w:ascii="Sylfaen" w:hAnsi="Sylfaen" w:cs="Times New Roman"/>
          <w:b/>
        </w:rPr>
        <w:t xml:space="preserve"> of each community</w:t>
      </w:r>
      <w:r w:rsidR="00F8023B" w:rsidRPr="00477D8F">
        <w:rPr>
          <w:rFonts w:ascii="Sylfaen" w:hAnsi="Sylfaen" w:cs="Times New Roman"/>
          <w:b/>
        </w:rPr>
        <w:t>,</w:t>
      </w:r>
      <w:r w:rsidRPr="00477D8F">
        <w:rPr>
          <w:rFonts w:ascii="Sylfaen" w:hAnsi="Sylfaen" w:cs="Times New Roman"/>
          <w:b/>
        </w:rPr>
        <w:t xml:space="preserve"> which is in line with the government policy to reduce the walking distance to schools and reduce the out-of-school rate due to the inaccessibility of schools.</w:t>
      </w:r>
      <w:r w:rsidRPr="00477D8F">
        <w:rPr>
          <w:rFonts w:ascii="Sylfaen" w:hAnsi="Sylfaen" w:cs="Times New Roman"/>
        </w:rPr>
        <w:t xml:space="preserve"> However, this measure only considers students who are enrolled in the system and not those who are out of school</w:t>
      </w:r>
      <w:r w:rsidR="003324F8" w:rsidRPr="00477D8F">
        <w:rPr>
          <w:rFonts w:ascii="Sylfaen" w:hAnsi="Sylfaen" w:cs="Times New Roman"/>
        </w:rPr>
        <w:t xml:space="preserve"> (if no child enrolled from a community the measure does not capture)</w:t>
      </w:r>
      <w:r w:rsidRPr="00477D8F">
        <w:rPr>
          <w:rFonts w:ascii="Sylfaen" w:hAnsi="Sylfaen" w:cs="Times New Roman"/>
        </w:rPr>
        <w:t xml:space="preserve"> so the available data assess the distance of school from communities of the enrolled students. Out of the total number of enrolled students, 92 percent are located within 3 k</w:t>
      </w:r>
      <w:r w:rsidR="00A91B2A" w:rsidRPr="00477D8F">
        <w:rPr>
          <w:rFonts w:ascii="Sylfaen" w:hAnsi="Sylfaen" w:cs="Times New Roman"/>
        </w:rPr>
        <w:t>m</w:t>
      </w:r>
      <w:r w:rsidRPr="00477D8F">
        <w:rPr>
          <w:rFonts w:ascii="Sylfaen" w:hAnsi="Sylfaen" w:cs="Times New Roman"/>
        </w:rPr>
        <w:t xml:space="preserve"> from primary schools and the corresponding proportions for UBS and SSS are 76 percent and 64 percent, respectively (</w:t>
      </w:r>
      <w:r w:rsidRPr="00477D8F">
        <w:rPr>
          <w:rFonts w:ascii="Sylfaen" w:hAnsi="Sylfaen" w:cs="Times New Roman"/>
        </w:rPr>
        <w:fldChar w:fldCharType="begin"/>
      </w:r>
      <w:r w:rsidRPr="00477D8F">
        <w:rPr>
          <w:rFonts w:ascii="Sylfaen" w:hAnsi="Sylfaen" w:cs="Times New Roman"/>
        </w:rPr>
        <w:instrText xml:space="preserve"> REF _Ref484910184 \h  \* MERGEFORMAT </w:instrText>
      </w:r>
      <w:r w:rsidRPr="00477D8F">
        <w:rPr>
          <w:rFonts w:ascii="Sylfaen" w:hAnsi="Sylfaen" w:cs="Times New Roman"/>
        </w:rPr>
      </w:r>
      <w:r w:rsidRPr="00477D8F">
        <w:rPr>
          <w:rFonts w:ascii="Sylfaen" w:hAnsi="Sylfaen" w:cs="Times New Roman"/>
        </w:rPr>
        <w:fldChar w:fldCharType="separate"/>
      </w:r>
      <w:r w:rsidR="00F800F3" w:rsidRPr="00477D8F">
        <w:rPr>
          <w:rFonts w:ascii="Sylfaen" w:hAnsi="Sylfaen" w:cs="Times New Roman"/>
        </w:rPr>
        <w:t>Figure 33</w:t>
      </w:r>
      <w:r w:rsidRPr="00477D8F">
        <w:rPr>
          <w:rFonts w:ascii="Sylfaen" w:hAnsi="Sylfaen" w:cs="Times New Roman"/>
        </w:rPr>
        <w:fldChar w:fldCharType="end"/>
      </w:r>
      <w:r w:rsidRPr="00477D8F">
        <w:rPr>
          <w:rFonts w:ascii="Sylfaen" w:hAnsi="Sylfaen" w:cs="Times New Roman"/>
        </w:rPr>
        <w:t>). At the regional level, 57 percent of the students are located within 1 k</w:t>
      </w:r>
      <w:r w:rsidR="00A91B2A" w:rsidRPr="00477D8F">
        <w:rPr>
          <w:rFonts w:ascii="Sylfaen" w:hAnsi="Sylfaen" w:cs="Times New Roman"/>
        </w:rPr>
        <w:t>m</w:t>
      </w:r>
      <w:r w:rsidRPr="00477D8F">
        <w:rPr>
          <w:rFonts w:ascii="Sylfaen" w:hAnsi="Sylfaen" w:cs="Times New Roman"/>
        </w:rPr>
        <w:t xml:space="preserve"> from primary schools</w:t>
      </w:r>
      <w:r w:rsidR="00857C4C" w:rsidRPr="00477D8F">
        <w:rPr>
          <w:rFonts w:ascii="Sylfaen" w:hAnsi="Sylfaen" w:cs="Times New Roman"/>
        </w:rPr>
        <w:t>, which</w:t>
      </w:r>
      <w:r w:rsidRPr="00477D8F">
        <w:rPr>
          <w:rFonts w:ascii="Sylfaen" w:hAnsi="Sylfaen" w:cs="Times New Roman"/>
        </w:rPr>
        <w:t xml:space="preserve"> varies slightly across regions</w:t>
      </w:r>
      <w:r w:rsidR="00A91B2A" w:rsidRPr="00477D8F">
        <w:rPr>
          <w:rFonts w:ascii="Sylfaen" w:hAnsi="Sylfaen" w:cs="Times New Roman"/>
        </w:rPr>
        <w:t>—i</w:t>
      </w:r>
      <w:r w:rsidR="00857C4C" w:rsidRPr="00477D8F">
        <w:rPr>
          <w:rFonts w:ascii="Sylfaen" w:hAnsi="Sylfaen" w:cs="Times New Roman"/>
        </w:rPr>
        <w:t xml:space="preserve">t is </w:t>
      </w:r>
      <w:r w:rsidRPr="00477D8F">
        <w:rPr>
          <w:rFonts w:ascii="Sylfaen" w:hAnsi="Sylfaen" w:cs="Times New Roman"/>
        </w:rPr>
        <w:t xml:space="preserve">lowest in region 2 at 49 </w:t>
      </w:r>
      <w:r w:rsidR="00857C4C" w:rsidRPr="00477D8F">
        <w:rPr>
          <w:rFonts w:ascii="Sylfaen" w:hAnsi="Sylfaen" w:cs="Times New Roman"/>
        </w:rPr>
        <w:t>percent</w:t>
      </w:r>
      <w:r w:rsidRPr="00477D8F">
        <w:rPr>
          <w:rFonts w:ascii="Sylfaen" w:hAnsi="Sylfaen" w:cs="Times New Roman"/>
        </w:rPr>
        <w:t xml:space="preserve"> and highest in region 3 at 7</w:t>
      </w:r>
      <w:r w:rsidR="00857C4C" w:rsidRPr="00477D8F">
        <w:rPr>
          <w:rFonts w:ascii="Sylfaen" w:hAnsi="Sylfaen" w:cs="Times New Roman"/>
        </w:rPr>
        <w:t>5 percent.</w:t>
      </w:r>
      <w:r w:rsidRPr="00477D8F">
        <w:rPr>
          <w:rFonts w:ascii="Sylfaen" w:hAnsi="Sylfaen" w:cs="Times New Roman"/>
        </w:rPr>
        <w:t xml:space="preserve"> However, at the secondary level (SSS), the variation by region is high with 51 percent of children in region 6 traveling more than 3 k</w:t>
      </w:r>
      <w:r w:rsidR="00A91B2A" w:rsidRPr="00477D8F">
        <w:rPr>
          <w:rFonts w:ascii="Sylfaen" w:hAnsi="Sylfaen" w:cs="Times New Roman"/>
        </w:rPr>
        <w:t>m</w:t>
      </w:r>
      <w:r w:rsidRPr="00477D8F">
        <w:rPr>
          <w:rFonts w:ascii="Sylfaen" w:hAnsi="Sylfaen" w:cs="Times New Roman"/>
        </w:rPr>
        <w:t xml:space="preserve"> to get to school compared to 20 percent in region 3. </w:t>
      </w:r>
    </w:p>
    <w:tbl>
      <w:tblPr>
        <w:tblStyle w:val="TableGrid2"/>
        <w:tblW w:w="9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6"/>
      </w:tblGrid>
      <w:tr w:rsidR="007860AF" w:rsidRPr="00477D8F" w14:paraId="05A5F8E2" w14:textId="77777777" w:rsidTr="001259A1">
        <w:trPr>
          <w:trHeight w:val="624"/>
        </w:trPr>
        <w:tc>
          <w:tcPr>
            <w:tcW w:w="9246" w:type="dxa"/>
          </w:tcPr>
          <w:p w14:paraId="4C7A29E4" w14:textId="057A4DA0" w:rsidR="007860AF" w:rsidRPr="00477D8F" w:rsidRDefault="007860AF" w:rsidP="004329B0">
            <w:pPr>
              <w:pStyle w:val="Caption1"/>
            </w:pPr>
            <w:bookmarkStart w:id="169" w:name="_Ref484910184"/>
            <w:bookmarkStart w:id="170" w:name="_Toc473728805"/>
            <w:bookmarkStart w:id="171" w:name="_Toc483335933"/>
            <w:bookmarkStart w:id="172" w:name="_Toc497171803"/>
            <w:r w:rsidRPr="00477D8F">
              <w:rPr>
                <w:rFonts w:eastAsia="Times New Roman"/>
              </w:rPr>
              <w:lastRenderedPageBreak/>
              <w:t xml:space="preserve">Figure </w:t>
            </w:r>
            <w:r w:rsidRPr="00477D8F">
              <w:rPr>
                <w:rFonts w:eastAsia="Times New Roman"/>
              </w:rPr>
              <w:fldChar w:fldCharType="begin"/>
            </w:r>
            <w:r w:rsidRPr="00477D8F">
              <w:rPr>
                <w:rFonts w:eastAsia="Times New Roman"/>
              </w:rPr>
              <w:instrText xml:space="preserve"> SEQ Figure \* ARABIC </w:instrText>
            </w:r>
            <w:r w:rsidRPr="00477D8F">
              <w:rPr>
                <w:rFonts w:eastAsia="Times New Roman"/>
              </w:rPr>
              <w:fldChar w:fldCharType="separate"/>
            </w:r>
            <w:r w:rsidR="00F800F3" w:rsidRPr="00477D8F">
              <w:rPr>
                <w:rFonts w:eastAsia="Times New Roman"/>
                <w:noProof/>
              </w:rPr>
              <w:t>33</w:t>
            </w:r>
            <w:r w:rsidRPr="00477D8F">
              <w:rPr>
                <w:rFonts w:eastAsia="Times New Roman"/>
              </w:rPr>
              <w:fldChar w:fldCharType="end"/>
            </w:r>
            <w:bookmarkEnd w:id="169"/>
            <w:r w:rsidRPr="00477D8F">
              <w:rPr>
                <w:rFonts w:eastAsia="Times New Roman"/>
              </w:rPr>
              <w:t>:</w:t>
            </w:r>
            <w:r w:rsidR="00272695" w:rsidRPr="00477D8F">
              <w:rPr>
                <w:rFonts w:eastAsia="Times New Roman"/>
              </w:rPr>
              <w:t xml:space="preserve"> </w:t>
            </w:r>
            <w:r w:rsidR="00A63784" w:rsidRPr="00477D8F">
              <w:t>Share of enrollment by average distance from schools by level of education and region</w:t>
            </w:r>
            <w:r w:rsidRPr="00477D8F">
              <w:t>, 2015</w:t>
            </w:r>
            <w:bookmarkEnd w:id="170"/>
            <w:bookmarkEnd w:id="171"/>
            <w:bookmarkEnd w:id="172"/>
          </w:p>
        </w:tc>
      </w:tr>
      <w:tr w:rsidR="007860AF" w:rsidRPr="00477D8F" w14:paraId="62073AF0" w14:textId="77777777" w:rsidTr="001259A1">
        <w:trPr>
          <w:trHeight w:val="18"/>
        </w:trPr>
        <w:tc>
          <w:tcPr>
            <w:tcW w:w="9246" w:type="dxa"/>
          </w:tcPr>
          <w:p w14:paraId="4B499C8A" w14:textId="77777777" w:rsidR="007860AF" w:rsidRPr="00477D8F" w:rsidRDefault="007860AF" w:rsidP="004329B0">
            <w:pPr>
              <w:keepNext/>
              <w:jc w:val="both"/>
              <w:rPr>
                <w:rFonts w:ascii="Sylfaen" w:hAnsi="Sylfaen" w:cs="Times New Roman"/>
                <w:bCs/>
              </w:rPr>
            </w:pPr>
            <w:r w:rsidRPr="00477D8F">
              <w:rPr>
                <w:rFonts w:ascii="Sylfaen" w:hAnsi="Sylfaen"/>
                <w:noProof/>
              </w:rPr>
              <w:drawing>
                <wp:inline distT="0" distB="0" distL="0" distR="0" wp14:anchorId="1B428E10" wp14:editId="017E2B53">
                  <wp:extent cx="5709765" cy="2743200"/>
                  <wp:effectExtent l="0" t="0" r="5715" b="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r w:rsidR="007860AF" w:rsidRPr="00477D8F" w14:paraId="5236A835" w14:textId="77777777" w:rsidTr="001259A1">
        <w:trPr>
          <w:trHeight w:val="18"/>
        </w:trPr>
        <w:tc>
          <w:tcPr>
            <w:tcW w:w="9246" w:type="dxa"/>
          </w:tcPr>
          <w:p w14:paraId="4A6CFD1A" w14:textId="30ACD812" w:rsidR="007860AF" w:rsidRPr="00477D8F" w:rsidRDefault="007860AF" w:rsidP="004329B0">
            <w:pPr>
              <w:pStyle w:val="Source"/>
            </w:pPr>
            <w:r w:rsidRPr="00477D8F">
              <w:rPr>
                <w:i/>
              </w:rPr>
              <w:t>Source:</w:t>
            </w:r>
            <w:r w:rsidR="00272695" w:rsidRPr="00477D8F">
              <w:t xml:space="preserve"> </w:t>
            </w:r>
            <w:r w:rsidR="007D5C30" w:rsidRPr="00477D8F">
              <w:t xml:space="preserve">Authors’ estimations based on IHS </w:t>
            </w:r>
            <w:r w:rsidRPr="00477D8F">
              <w:t>2015</w:t>
            </w:r>
            <w:r w:rsidR="003A3B4A" w:rsidRPr="00477D8F">
              <w:t>.</w:t>
            </w:r>
          </w:p>
        </w:tc>
      </w:tr>
    </w:tbl>
    <w:p w14:paraId="4A2D294D" w14:textId="77777777" w:rsidR="002E2DC1" w:rsidRPr="00477D8F" w:rsidRDefault="002E2DC1">
      <w:pPr>
        <w:rPr>
          <w:rFonts w:ascii="Sylfaen" w:hAnsi="Sylfaen" w:cs="Times New Roman"/>
          <w:sz w:val="24"/>
          <w:szCs w:val="24"/>
        </w:rPr>
      </w:pPr>
      <w:r w:rsidRPr="00477D8F">
        <w:rPr>
          <w:rFonts w:ascii="Sylfaen" w:hAnsi="Sylfaen" w:cs="Times New Roman"/>
          <w:sz w:val="24"/>
          <w:szCs w:val="24"/>
        </w:rPr>
        <w:br w:type="page"/>
      </w:r>
    </w:p>
    <w:p w14:paraId="3BA839ED" w14:textId="29FF85C8" w:rsidR="008C0D4D" w:rsidRPr="00477D8F" w:rsidRDefault="00242583" w:rsidP="00ED0E68">
      <w:pPr>
        <w:pStyle w:val="Heading1"/>
      </w:pPr>
      <w:bookmarkStart w:id="173" w:name="_Toc416121796"/>
      <w:bookmarkStart w:id="174" w:name="_Toc497171873"/>
      <w:r w:rsidRPr="00477D8F">
        <w:lastRenderedPageBreak/>
        <w:t xml:space="preserve">Efficiency </w:t>
      </w:r>
      <w:r w:rsidR="0080397B" w:rsidRPr="00477D8F">
        <w:t>of The Gambia Education S</w:t>
      </w:r>
      <w:r w:rsidR="008C0D4D" w:rsidRPr="00477D8F">
        <w:t>ystem</w:t>
      </w:r>
      <w:bookmarkEnd w:id="174"/>
    </w:p>
    <w:p w14:paraId="3FC319AE" w14:textId="36681F21" w:rsidR="002E2DC1" w:rsidRPr="00477D8F" w:rsidRDefault="002E2DC1" w:rsidP="002E2DC1">
      <w:pPr>
        <w:pStyle w:val="NoSpacing"/>
        <w:jc w:val="both"/>
        <w:rPr>
          <w:rFonts w:ascii="Sylfaen" w:hAnsi="Sylfaen"/>
          <w:i/>
        </w:rPr>
      </w:pPr>
      <w:r w:rsidRPr="00477D8F">
        <w:rPr>
          <w:rFonts w:ascii="Sylfaen" w:hAnsi="Sylfaen"/>
          <w:i/>
        </w:rPr>
        <w:t xml:space="preserve">The Gambia education sector efficiency is based on </w:t>
      </w:r>
      <w:r w:rsidR="00FD35AA" w:rsidRPr="00477D8F">
        <w:rPr>
          <w:rFonts w:ascii="Sylfaen" w:hAnsi="Sylfaen"/>
          <w:i/>
        </w:rPr>
        <w:t xml:space="preserve">an assessment of </w:t>
      </w:r>
      <w:r w:rsidRPr="00477D8F">
        <w:rPr>
          <w:rFonts w:ascii="Sylfaen" w:hAnsi="Sylfaen"/>
          <w:i/>
        </w:rPr>
        <w:t>the resource utilization efficiency</w:t>
      </w:r>
      <w:r w:rsidR="00FD35AA" w:rsidRPr="00477D8F">
        <w:rPr>
          <w:rFonts w:ascii="Sylfaen" w:hAnsi="Sylfaen"/>
          <w:i/>
        </w:rPr>
        <w:t>;</w:t>
      </w:r>
      <w:r w:rsidRPr="00477D8F">
        <w:rPr>
          <w:rFonts w:ascii="Sylfaen" w:hAnsi="Sylfaen"/>
          <w:i/>
        </w:rPr>
        <w:t xml:space="preserve"> internal efficiency (delayed entry, repetition, survival</w:t>
      </w:r>
      <w:r w:rsidR="00423EC8" w:rsidRPr="00477D8F">
        <w:rPr>
          <w:rFonts w:ascii="Sylfaen" w:hAnsi="Sylfaen"/>
          <w:i/>
        </w:rPr>
        <w:t>,</w:t>
      </w:r>
      <w:r w:rsidRPr="00477D8F">
        <w:rPr>
          <w:rFonts w:ascii="Sylfaen" w:hAnsi="Sylfaen"/>
          <w:i/>
        </w:rPr>
        <w:t xml:space="preserve"> and completion)</w:t>
      </w:r>
      <w:r w:rsidR="00FD35AA" w:rsidRPr="00477D8F">
        <w:rPr>
          <w:rFonts w:ascii="Sylfaen" w:hAnsi="Sylfaen"/>
          <w:i/>
        </w:rPr>
        <w:t>;</w:t>
      </w:r>
      <w:r w:rsidRPr="00477D8F">
        <w:rPr>
          <w:rFonts w:ascii="Sylfaen" w:hAnsi="Sylfaen"/>
          <w:i/>
        </w:rPr>
        <w:t xml:space="preserve"> and the external efficiency</w:t>
      </w:r>
      <w:r w:rsidR="00FD35AA" w:rsidRPr="00477D8F">
        <w:rPr>
          <w:rFonts w:ascii="Sylfaen" w:hAnsi="Sylfaen"/>
          <w:i/>
        </w:rPr>
        <w:t>,</w:t>
      </w:r>
      <w:r w:rsidRPr="00477D8F">
        <w:rPr>
          <w:rFonts w:ascii="Sylfaen" w:hAnsi="Sylfaen"/>
          <w:i/>
        </w:rPr>
        <w:t xml:space="preserve"> focusing on key labor market indicators. </w:t>
      </w:r>
      <w:r w:rsidR="007D5C30" w:rsidRPr="00477D8F">
        <w:rPr>
          <w:rFonts w:ascii="Sylfaen" w:hAnsi="Sylfaen"/>
          <w:i/>
        </w:rPr>
        <w:t>Key findings include</w:t>
      </w:r>
      <w:r w:rsidR="00423EC8" w:rsidRPr="00477D8F">
        <w:rPr>
          <w:rFonts w:ascii="Sylfaen" w:hAnsi="Sylfaen"/>
          <w:i/>
        </w:rPr>
        <w:t xml:space="preserve"> the following</w:t>
      </w:r>
      <w:r w:rsidR="007D5C30" w:rsidRPr="00477D8F">
        <w:rPr>
          <w:rFonts w:ascii="Sylfaen" w:hAnsi="Sylfaen"/>
          <w:i/>
        </w:rPr>
        <w:t>: (a)</w:t>
      </w:r>
      <w:r w:rsidRPr="00477D8F">
        <w:rPr>
          <w:rFonts w:ascii="Sylfaen" w:hAnsi="Sylfaen"/>
          <w:i/>
        </w:rPr>
        <w:t xml:space="preserve"> </w:t>
      </w:r>
      <w:r w:rsidR="00E518A1" w:rsidRPr="00477D8F">
        <w:rPr>
          <w:rFonts w:ascii="Sylfaen" w:hAnsi="Sylfaen"/>
          <w:i/>
        </w:rPr>
        <w:t>T</w:t>
      </w:r>
      <w:r w:rsidRPr="00477D8F">
        <w:rPr>
          <w:rFonts w:ascii="Sylfaen" w:hAnsi="Sylfaen"/>
          <w:i/>
        </w:rPr>
        <w:t xml:space="preserve">he education sector can achieve efficiency gains through optimal resource utilization. The average efficiency scores at the national level stand at 82 percent, implying that the same educational outcome could be realized using 18 percent less </w:t>
      </w:r>
      <w:r w:rsidR="00FD35AA" w:rsidRPr="00477D8F">
        <w:rPr>
          <w:rFonts w:ascii="Sylfaen" w:hAnsi="Sylfaen"/>
          <w:i/>
        </w:rPr>
        <w:t>resources or that</w:t>
      </w:r>
      <w:r w:rsidRPr="00477D8F">
        <w:rPr>
          <w:rFonts w:ascii="Sylfaen" w:hAnsi="Sylfaen"/>
          <w:i/>
        </w:rPr>
        <w:t xml:space="preserve"> the same inputs could </w:t>
      </w:r>
      <w:r w:rsidR="00FD35AA" w:rsidRPr="00477D8F">
        <w:rPr>
          <w:rFonts w:ascii="Sylfaen" w:hAnsi="Sylfaen"/>
          <w:i/>
        </w:rPr>
        <w:t>produce</w:t>
      </w:r>
      <w:r w:rsidRPr="00477D8F">
        <w:rPr>
          <w:rFonts w:ascii="Sylfaen" w:hAnsi="Sylfaen"/>
          <w:i/>
        </w:rPr>
        <w:t xml:space="preserve"> higher outcome</w:t>
      </w:r>
      <w:r w:rsidR="00FD35AA" w:rsidRPr="00477D8F">
        <w:rPr>
          <w:rFonts w:ascii="Sylfaen" w:hAnsi="Sylfaen"/>
          <w:i/>
        </w:rPr>
        <w:t>s</w:t>
      </w:r>
      <w:r w:rsidRPr="00477D8F">
        <w:rPr>
          <w:rFonts w:ascii="Sylfaen" w:hAnsi="Sylfaen"/>
          <w:i/>
        </w:rPr>
        <w:t xml:space="preserve"> if resources were efficiently us</w:t>
      </w:r>
      <w:r w:rsidR="007D5C30" w:rsidRPr="00477D8F">
        <w:rPr>
          <w:rFonts w:ascii="Sylfaen" w:hAnsi="Sylfaen"/>
          <w:i/>
        </w:rPr>
        <w:t>ed across all schools</w:t>
      </w:r>
      <w:r w:rsidR="00FD35AA" w:rsidRPr="00477D8F">
        <w:rPr>
          <w:rFonts w:ascii="Sylfaen" w:hAnsi="Sylfaen"/>
          <w:i/>
        </w:rPr>
        <w:t>;</w:t>
      </w:r>
      <w:r w:rsidR="007D5C30" w:rsidRPr="00477D8F">
        <w:rPr>
          <w:rFonts w:ascii="Sylfaen" w:hAnsi="Sylfaen"/>
          <w:i/>
        </w:rPr>
        <w:t xml:space="preserve"> (b) </w:t>
      </w:r>
      <w:r w:rsidR="00FD35AA" w:rsidRPr="00477D8F">
        <w:rPr>
          <w:rFonts w:ascii="Sylfaen" w:hAnsi="Sylfaen"/>
          <w:i/>
        </w:rPr>
        <w:t>T</w:t>
      </w:r>
      <w:r w:rsidRPr="00477D8F">
        <w:rPr>
          <w:rFonts w:ascii="Sylfaen" w:hAnsi="Sylfaen"/>
          <w:i/>
        </w:rPr>
        <w:t>here is large variation of the unit cost by school level and type of school across regions. The key driver of the unit cost is teacher salaries</w:t>
      </w:r>
      <w:r w:rsidR="00F44241" w:rsidRPr="00477D8F">
        <w:rPr>
          <w:rFonts w:ascii="Sylfaen" w:hAnsi="Sylfaen"/>
          <w:i/>
        </w:rPr>
        <w:t>:</w:t>
      </w:r>
      <w:r w:rsidRPr="00477D8F">
        <w:rPr>
          <w:rFonts w:ascii="Sylfaen" w:hAnsi="Sylfaen"/>
          <w:i/>
        </w:rPr>
        <w:t xml:space="preserve"> more than 90 percent of the education budget at the school level</w:t>
      </w:r>
      <w:r w:rsidR="00F44241" w:rsidRPr="00477D8F">
        <w:rPr>
          <w:rFonts w:ascii="Sylfaen" w:hAnsi="Sylfaen"/>
          <w:i/>
        </w:rPr>
        <w:t xml:space="preserve"> </w:t>
      </w:r>
      <w:r w:rsidR="00603FB0" w:rsidRPr="00477D8F">
        <w:rPr>
          <w:rFonts w:ascii="Sylfaen" w:hAnsi="Sylfaen"/>
          <w:i/>
        </w:rPr>
        <w:t>goes toward teacher salaries</w:t>
      </w:r>
      <w:r w:rsidRPr="00477D8F">
        <w:rPr>
          <w:rFonts w:ascii="Sylfaen" w:hAnsi="Sylfaen"/>
          <w:i/>
        </w:rPr>
        <w:t xml:space="preserve">. </w:t>
      </w:r>
      <w:r w:rsidR="007D5C30" w:rsidRPr="00477D8F">
        <w:rPr>
          <w:rFonts w:ascii="Sylfaen" w:hAnsi="Sylfaen"/>
          <w:i/>
        </w:rPr>
        <w:t>A</w:t>
      </w:r>
      <w:r w:rsidRPr="00477D8F">
        <w:rPr>
          <w:rFonts w:ascii="Sylfaen" w:hAnsi="Sylfaen"/>
          <w:i/>
        </w:rPr>
        <w:t xml:space="preserve"> large number of teachers</w:t>
      </w:r>
      <w:r w:rsidR="00F44241" w:rsidRPr="00477D8F">
        <w:rPr>
          <w:rFonts w:ascii="Sylfaen" w:hAnsi="Sylfaen"/>
          <w:i/>
        </w:rPr>
        <w:t xml:space="preserve">, as is evidenced by the </w:t>
      </w:r>
      <w:r w:rsidRPr="00477D8F">
        <w:rPr>
          <w:rFonts w:ascii="Sylfaen" w:hAnsi="Sylfaen"/>
          <w:i/>
        </w:rPr>
        <w:t>low STR</w:t>
      </w:r>
      <w:r w:rsidR="00F44241" w:rsidRPr="00477D8F">
        <w:rPr>
          <w:rFonts w:ascii="Sylfaen" w:hAnsi="Sylfaen"/>
          <w:i/>
        </w:rPr>
        <w:t>,</w:t>
      </w:r>
      <w:r w:rsidRPr="00477D8F">
        <w:rPr>
          <w:rFonts w:ascii="Sylfaen" w:hAnsi="Sylfaen"/>
          <w:i/>
        </w:rPr>
        <w:t xml:space="preserve"> and the disparities in the deployment of teachers, together with the low compensation of teachers in The Gambia, have contributed to the variations in the unit cost</w:t>
      </w:r>
      <w:r w:rsidR="00BD3312" w:rsidRPr="00477D8F">
        <w:rPr>
          <w:rFonts w:ascii="Sylfaen" w:hAnsi="Sylfaen"/>
          <w:i/>
        </w:rPr>
        <w:t>;</w:t>
      </w:r>
      <w:r w:rsidR="00272695" w:rsidRPr="00477D8F">
        <w:rPr>
          <w:rFonts w:ascii="Sylfaen" w:hAnsi="Sylfaen"/>
          <w:i/>
        </w:rPr>
        <w:t xml:space="preserve"> </w:t>
      </w:r>
      <w:r w:rsidR="00F44241" w:rsidRPr="00477D8F">
        <w:rPr>
          <w:rFonts w:ascii="Sylfaen" w:hAnsi="Sylfaen"/>
          <w:i/>
        </w:rPr>
        <w:t xml:space="preserve">(c) </w:t>
      </w:r>
      <w:r w:rsidRPr="00477D8F">
        <w:rPr>
          <w:rFonts w:ascii="Sylfaen" w:hAnsi="Sylfaen"/>
          <w:i/>
        </w:rPr>
        <w:t>Grant-aided schools are generally associated with a lower unit cost</w:t>
      </w:r>
      <w:r w:rsidR="009A2559" w:rsidRPr="00477D8F">
        <w:rPr>
          <w:rFonts w:ascii="Sylfaen" w:hAnsi="Sylfaen"/>
          <w:i/>
        </w:rPr>
        <w:t>,</w:t>
      </w:r>
      <w:r w:rsidRPr="00477D8F">
        <w:rPr>
          <w:rFonts w:ascii="Sylfaen" w:hAnsi="Sylfaen"/>
          <w:i/>
        </w:rPr>
        <w:t xml:space="preserve"> implying better efficiency</w:t>
      </w:r>
      <w:r w:rsidR="00725DAC" w:rsidRPr="00477D8F">
        <w:rPr>
          <w:rFonts w:ascii="Sylfaen" w:hAnsi="Sylfaen"/>
          <w:i/>
        </w:rPr>
        <w:t>;</w:t>
      </w:r>
      <w:r w:rsidRPr="00477D8F">
        <w:rPr>
          <w:rFonts w:ascii="Sylfaen" w:hAnsi="Sylfaen"/>
          <w:i/>
        </w:rPr>
        <w:t xml:space="preserve"> however, the data </w:t>
      </w:r>
      <w:r w:rsidR="00725DAC" w:rsidRPr="00477D8F">
        <w:rPr>
          <w:rFonts w:ascii="Sylfaen" w:hAnsi="Sylfaen"/>
          <w:i/>
        </w:rPr>
        <w:t>are</w:t>
      </w:r>
      <w:r w:rsidRPr="00477D8F">
        <w:rPr>
          <w:rFonts w:ascii="Sylfaen" w:hAnsi="Sylfaen"/>
          <w:i/>
        </w:rPr>
        <w:t xml:space="preserve"> not available to carry</w:t>
      </w:r>
      <w:r w:rsidR="00725DAC" w:rsidRPr="00477D8F">
        <w:rPr>
          <w:rFonts w:ascii="Sylfaen" w:hAnsi="Sylfaen"/>
          <w:i/>
        </w:rPr>
        <w:t xml:space="preserve"> </w:t>
      </w:r>
      <w:r w:rsidRPr="00477D8F">
        <w:rPr>
          <w:rFonts w:ascii="Sylfaen" w:hAnsi="Sylfaen"/>
          <w:i/>
        </w:rPr>
        <w:t xml:space="preserve">out in-depth analysis </w:t>
      </w:r>
      <w:r w:rsidR="00F44241" w:rsidRPr="00477D8F">
        <w:rPr>
          <w:rFonts w:ascii="Sylfaen" w:hAnsi="Sylfaen"/>
          <w:i/>
        </w:rPr>
        <w:t xml:space="preserve">which might more clearly </w:t>
      </w:r>
      <w:r w:rsidR="00603FB0" w:rsidRPr="00477D8F">
        <w:rPr>
          <w:rFonts w:ascii="Sylfaen" w:hAnsi="Sylfaen"/>
          <w:i/>
        </w:rPr>
        <w:t>explain</w:t>
      </w:r>
      <w:r w:rsidRPr="00477D8F">
        <w:rPr>
          <w:rFonts w:ascii="Sylfaen" w:hAnsi="Sylfaen"/>
          <w:i/>
        </w:rPr>
        <w:t xml:space="preserve"> the </w:t>
      </w:r>
      <w:r w:rsidR="00F44241" w:rsidRPr="00477D8F">
        <w:rPr>
          <w:rFonts w:ascii="Sylfaen" w:hAnsi="Sylfaen"/>
          <w:i/>
        </w:rPr>
        <w:t xml:space="preserve">comparatively </w:t>
      </w:r>
      <w:r w:rsidRPr="00477D8F">
        <w:rPr>
          <w:rFonts w:ascii="Sylfaen" w:hAnsi="Sylfaen"/>
          <w:i/>
        </w:rPr>
        <w:t>higher efficiency of the grant-aided schools</w:t>
      </w:r>
      <w:r w:rsidR="00F44241" w:rsidRPr="00477D8F">
        <w:rPr>
          <w:rFonts w:ascii="Sylfaen" w:hAnsi="Sylfaen"/>
          <w:i/>
        </w:rPr>
        <w:t>;</w:t>
      </w:r>
      <w:r w:rsidR="00603FB0" w:rsidRPr="00477D8F">
        <w:rPr>
          <w:rFonts w:ascii="Sylfaen" w:hAnsi="Sylfaen"/>
          <w:i/>
        </w:rPr>
        <w:t xml:space="preserve"> </w:t>
      </w:r>
      <w:r w:rsidR="007D5C30" w:rsidRPr="00477D8F">
        <w:rPr>
          <w:rFonts w:ascii="Sylfaen" w:hAnsi="Sylfaen"/>
          <w:i/>
        </w:rPr>
        <w:t xml:space="preserve">(d) </w:t>
      </w:r>
      <w:r w:rsidR="00F44241" w:rsidRPr="00477D8F">
        <w:rPr>
          <w:rFonts w:ascii="Sylfaen" w:hAnsi="Sylfaen"/>
          <w:i/>
        </w:rPr>
        <w:t>T</w:t>
      </w:r>
      <w:r w:rsidRPr="00477D8F">
        <w:rPr>
          <w:rFonts w:ascii="Sylfaen" w:hAnsi="Sylfaen"/>
          <w:i/>
        </w:rPr>
        <w:t xml:space="preserve">he government </w:t>
      </w:r>
      <w:r w:rsidR="00F44241" w:rsidRPr="00477D8F">
        <w:rPr>
          <w:rFonts w:ascii="Sylfaen" w:hAnsi="Sylfaen"/>
          <w:i/>
        </w:rPr>
        <w:t xml:space="preserve">has </w:t>
      </w:r>
      <w:r w:rsidRPr="00477D8F">
        <w:rPr>
          <w:rFonts w:ascii="Sylfaen" w:hAnsi="Sylfaen"/>
          <w:i/>
        </w:rPr>
        <w:t>made tremendous efforts to reduc</w:t>
      </w:r>
      <w:r w:rsidR="00F44241" w:rsidRPr="00477D8F">
        <w:rPr>
          <w:rFonts w:ascii="Sylfaen" w:hAnsi="Sylfaen"/>
          <w:i/>
        </w:rPr>
        <w:t>e</w:t>
      </w:r>
      <w:r w:rsidRPr="00477D8F">
        <w:rPr>
          <w:rFonts w:ascii="Sylfaen" w:hAnsi="Sylfaen"/>
          <w:i/>
        </w:rPr>
        <w:t xml:space="preserve"> the internal inefficiency caused by repetition</w:t>
      </w:r>
      <w:r w:rsidR="00725DAC" w:rsidRPr="00477D8F">
        <w:rPr>
          <w:rFonts w:ascii="Sylfaen" w:hAnsi="Sylfaen"/>
          <w:i/>
        </w:rPr>
        <w:t>;</w:t>
      </w:r>
      <w:r w:rsidRPr="00477D8F">
        <w:rPr>
          <w:rFonts w:ascii="Sylfaen" w:hAnsi="Sylfaen"/>
          <w:i/>
        </w:rPr>
        <w:t xml:space="preserve"> however, delayed entry, </w:t>
      </w:r>
      <w:r w:rsidR="00F44241" w:rsidRPr="00477D8F">
        <w:rPr>
          <w:rFonts w:ascii="Sylfaen" w:hAnsi="Sylfaen"/>
          <w:i/>
        </w:rPr>
        <w:t xml:space="preserve">and </w:t>
      </w:r>
      <w:r w:rsidRPr="00477D8F">
        <w:rPr>
          <w:rFonts w:ascii="Sylfaen" w:hAnsi="Sylfaen"/>
          <w:i/>
        </w:rPr>
        <w:t xml:space="preserve">survival and completion </w:t>
      </w:r>
      <w:r w:rsidR="00F44241" w:rsidRPr="00477D8F">
        <w:rPr>
          <w:rFonts w:ascii="Sylfaen" w:hAnsi="Sylfaen"/>
          <w:i/>
        </w:rPr>
        <w:t xml:space="preserve">rates </w:t>
      </w:r>
      <w:r w:rsidRPr="00477D8F">
        <w:rPr>
          <w:rFonts w:ascii="Sylfaen" w:hAnsi="Sylfaen"/>
          <w:i/>
        </w:rPr>
        <w:t xml:space="preserve">still </w:t>
      </w:r>
      <w:r w:rsidR="00F44241" w:rsidRPr="00477D8F">
        <w:rPr>
          <w:rFonts w:ascii="Sylfaen" w:hAnsi="Sylfaen"/>
          <w:i/>
        </w:rPr>
        <w:t xml:space="preserve">result in large internal inefficiencies. </w:t>
      </w:r>
      <w:r w:rsidRPr="00477D8F">
        <w:rPr>
          <w:rFonts w:ascii="Sylfaen" w:hAnsi="Sylfaen"/>
          <w:i/>
        </w:rPr>
        <w:t>About 38 percent of children do not start school at the official school</w:t>
      </w:r>
      <w:r w:rsidR="009A2559" w:rsidRPr="00477D8F">
        <w:rPr>
          <w:rFonts w:ascii="Sylfaen" w:hAnsi="Sylfaen"/>
          <w:i/>
        </w:rPr>
        <w:t>-</w:t>
      </w:r>
      <w:r w:rsidRPr="00477D8F">
        <w:rPr>
          <w:rFonts w:ascii="Sylfaen" w:hAnsi="Sylfaen"/>
          <w:i/>
        </w:rPr>
        <w:t>starting age (age 7) and the proportion of overage students in grade 6 is 72 percent</w:t>
      </w:r>
      <w:r w:rsidR="00F44241" w:rsidRPr="00477D8F">
        <w:rPr>
          <w:rFonts w:ascii="Sylfaen" w:hAnsi="Sylfaen"/>
          <w:i/>
        </w:rPr>
        <w:t>;</w:t>
      </w:r>
      <w:r w:rsidRPr="00477D8F">
        <w:rPr>
          <w:rFonts w:ascii="Sylfaen" w:hAnsi="Sylfaen"/>
          <w:i/>
        </w:rPr>
        <w:t xml:space="preserve"> </w:t>
      </w:r>
      <w:r w:rsidR="007D5C30" w:rsidRPr="00477D8F">
        <w:rPr>
          <w:rFonts w:ascii="Sylfaen" w:hAnsi="Sylfaen"/>
          <w:i/>
        </w:rPr>
        <w:t>(e)</w:t>
      </w:r>
      <w:r w:rsidR="00F44241" w:rsidRPr="00477D8F">
        <w:rPr>
          <w:rFonts w:ascii="Sylfaen" w:hAnsi="Sylfaen"/>
          <w:i/>
        </w:rPr>
        <w:t xml:space="preserve"> In terms of school survival rate, </w:t>
      </w:r>
      <w:r w:rsidR="00725DAC" w:rsidRPr="00477D8F">
        <w:rPr>
          <w:rFonts w:ascii="Sylfaen" w:hAnsi="Sylfaen"/>
          <w:i/>
        </w:rPr>
        <w:t>f</w:t>
      </w:r>
      <w:r w:rsidRPr="00477D8F">
        <w:rPr>
          <w:rFonts w:ascii="Sylfaen" w:hAnsi="Sylfaen"/>
          <w:i/>
        </w:rPr>
        <w:t>rom the total number of students who started grade 1</w:t>
      </w:r>
      <w:r w:rsidR="009A2559" w:rsidRPr="00477D8F">
        <w:rPr>
          <w:rFonts w:ascii="Sylfaen" w:hAnsi="Sylfaen"/>
          <w:i/>
        </w:rPr>
        <w:t>,</w:t>
      </w:r>
      <w:r w:rsidRPr="00477D8F">
        <w:rPr>
          <w:rFonts w:ascii="Sylfaen" w:hAnsi="Sylfaen"/>
          <w:i/>
        </w:rPr>
        <w:t xml:space="preserve"> only 56 percent survive to grade 6, 43 percent </w:t>
      </w:r>
      <w:r w:rsidR="00F44241" w:rsidRPr="00477D8F">
        <w:rPr>
          <w:rFonts w:ascii="Sylfaen" w:hAnsi="Sylfaen"/>
          <w:i/>
        </w:rPr>
        <w:t xml:space="preserve">survive </w:t>
      </w:r>
      <w:r w:rsidRPr="00477D8F">
        <w:rPr>
          <w:rFonts w:ascii="Sylfaen" w:hAnsi="Sylfaen"/>
          <w:i/>
        </w:rPr>
        <w:t>to grade 9</w:t>
      </w:r>
      <w:r w:rsidR="00725DAC" w:rsidRPr="00477D8F">
        <w:rPr>
          <w:rFonts w:ascii="Sylfaen" w:hAnsi="Sylfaen"/>
          <w:i/>
        </w:rPr>
        <w:t>,</w:t>
      </w:r>
      <w:r w:rsidRPr="00477D8F">
        <w:rPr>
          <w:rFonts w:ascii="Sylfaen" w:hAnsi="Sylfaen"/>
          <w:i/>
        </w:rPr>
        <w:t xml:space="preserve"> and 24 percent to grade 12</w:t>
      </w:r>
      <w:r w:rsidR="00725DAC" w:rsidRPr="00477D8F">
        <w:rPr>
          <w:rFonts w:ascii="Sylfaen" w:hAnsi="Sylfaen"/>
          <w:i/>
        </w:rPr>
        <w:t>;</w:t>
      </w:r>
      <w:r w:rsidRPr="00477D8F">
        <w:rPr>
          <w:rFonts w:ascii="Sylfaen" w:hAnsi="Sylfaen"/>
          <w:i/>
        </w:rPr>
        <w:t xml:space="preserve"> </w:t>
      </w:r>
      <w:r w:rsidR="00CD5E11" w:rsidRPr="00477D8F">
        <w:rPr>
          <w:rFonts w:ascii="Sylfaen" w:hAnsi="Sylfaen"/>
          <w:i/>
        </w:rPr>
        <w:t xml:space="preserve">and </w:t>
      </w:r>
      <w:r w:rsidR="007D5C30" w:rsidRPr="00477D8F">
        <w:rPr>
          <w:rFonts w:ascii="Sylfaen" w:hAnsi="Sylfaen"/>
          <w:i/>
        </w:rPr>
        <w:t>(f)</w:t>
      </w:r>
      <w:r w:rsidRPr="00477D8F">
        <w:rPr>
          <w:rFonts w:ascii="Sylfaen" w:hAnsi="Sylfaen"/>
          <w:i/>
        </w:rPr>
        <w:t xml:space="preserve"> </w:t>
      </w:r>
      <w:r w:rsidR="00E518A1" w:rsidRPr="00477D8F">
        <w:rPr>
          <w:rFonts w:ascii="Sylfaen" w:hAnsi="Sylfaen"/>
          <w:i/>
        </w:rPr>
        <w:t>T</w:t>
      </w:r>
      <w:r w:rsidRPr="00477D8F">
        <w:rPr>
          <w:rFonts w:ascii="Sylfaen" w:hAnsi="Sylfaen"/>
          <w:i/>
        </w:rPr>
        <w:t xml:space="preserve">he labor </w:t>
      </w:r>
      <w:r w:rsidR="00603FB0" w:rsidRPr="00477D8F">
        <w:rPr>
          <w:rFonts w:ascii="Sylfaen" w:hAnsi="Sylfaen"/>
          <w:i/>
        </w:rPr>
        <w:t>market signals</w:t>
      </w:r>
      <w:r w:rsidRPr="00477D8F">
        <w:rPr>
          <w:rFonts w:ascii="Sylfaen" w:hAnsi="Sylfaen"/>
          <w:i/>
        </w:rPr>
        <w:t xml:space="preserve"> that private and public investments in education are associated with </w:t>
      </w:r>
      <w:r w:rsidR="00F44241" w:rsidRPr="00477D8F">
        <w:rPr>
          <w:rFonts w:ascii="Sylfaen" w:hAnsi="Sylfaen"/>
          <w:i/>
        </w:rPr>
        <w:t xml:space="preserve">a </w:t>
      </w:r>
      <w:r w:rsidRPr="00477D8F">
        <w:rPr>
          <w:rFonts w:ascii="Sylfaen" w:hAnsi="Sylfaen"/>
          <w:i/>
        </w:rPr>
        <w:t>high rate of return. The private rate of return to education is positive for all levels of education</w:t>
      </w:r>
      <w:r w:rsidR="00F44241" w:rsidRPr="00477D8F">
        <w:rPr>
          <w:rFonts w:ascii="Sylfaen" w:hAnsi="Sylfaen"/>
          <w:i/>
        </w:rPr>
        <w:t>. I</w:t>
      </w:r>
      <w:r w:rsidRPr="00477D8F">
        <w:rPr>
          <w:rFonts w:ascii="Sylfaen" w:hAnsi="Sylfaen"/>
          <w:i/>
        </w:rPr>
        <w:t>ndividuals with a higher level of education tend to work in the public sector</w:t>
      </w:r>
      <w:r w:rsidR="003324F8" w:rsidRPr="00477D8F">
        <w:rPr>
          <w:rFonts w:ascii="Sylfaen" w:hAnsi="Sylfaen"/>
          <w:i/>
        </w:rPr>
        <w:t xml:space="preserve"> for several reasons including job security</w:t>
      </w:r>
      <w:r w:rsidRPr="00477D8F">
        <w:rPr>
          <w:rFonts w:ascii="Sylfaen" w:hAnsi="Sylfaen"/>
          <w:i/>
        </w:rPr>
        <w:t xml:space="preserve">. However, about 58 percent of </w:t>
      </w:r>
      <w:r w:rsidR="00E80A69" w:rsidRPr="00477D8F">
        <w:rPr>
          <w:rFonts w:ascii="Sylfaen" w:hAnsi="Sylfaen"/>
          <w:i/>
        </w:rPr>
        <w:t>The Gambia</w:t>
      </w:r>
      <w:r w:rsidRPr="00477D8F">
        <w:rPr>
          <w:rFonts w:ascii="Sylfaen" w:hAnsi="Sylfaen"/>
          <w:i/>
        </w:rPr>
        <w:t>n working</w:t>
      </w:r>
      <w:r w:rsidR="007A694D" w:rsidRPr="00477D8F">
        <w:rPr>
          <w:rFonts w:ascii="Sylfaen" w:hAnsi="Sylfaen"/>
          <w:i/>
        </w:rPr>
        <w:t>-</w:t>
      </w:r>
      <w:r w:rsidRPr="00477D8F">
        <w:rPr>
          <w:rFonts w:ascii="Sylfaen" w:hAnsi="Sylfaen"/>
          <w:i/>
        </w:rPr>
        <w:t>age population has not received formal education and the investments in education are not translat</w:t>
      </w:r>
      <w:r w:rsidR="00F44241" w:rsidRPr="00477D8F">
        <w:rPr>
          <w:rFonts w:ascii="Sylfaen" w:hAnsi="Sylfaen"/>
          <w:i/>
        </w:rPr>
        <w:t>ing</w:t>
      </w:r>
      <w:r w:rsidRPr="00477D8F">
        <w:rPr>
          <w:rFonts w:ascii="Sylfaen" w:hAnsi="Sylfaen"/>
          <w:i/>
        </w:rPr>
        <w:t xml:space="preserve"> into higher educational attainment (years of schooling) to create better economic outcomes both for the public and private individuals.</w:t>
      </w:r>
    </w:p>
    <w:p w14:paraId="006C4C8A" w14:textId="24804232" w:rsidR="006F511F" w:rsidRPr="00477D8F" w:rsidRDefault="006F511F" w:rsidP="00ED0E68">
      <w:pPr>
        <w:pStyle w:val="Heading2"/>
      </w:pPr>
      <w:bookmarkStart w:id="175" w:name="_Toc474319887"/>
      <w:bookmarkStart w:id="176" w:name="_Toc497171874"/>
      <w:r w:rsidRPr="00477D8F">
        <w:t xml:space="preserve">Efficiency of </w:t>
      </w:r>
      <w:r w:rsidR="00335843" w:rsidRPr="00477D8F">
        <w:t>r</w:t>
      </w:r>
      <w:r w:rsidRPr="00477D8F">
        <w:t xml:space="preserve">esource </w:t>
      </w:r>
      <w:r w:rsidR="00335843" w:rsidRPr="00477D8F">
        <w:t>u</w:t>
      </w:r>
      <w:r w:rsidRPr="00477D8F">
        <w:t>tilization—</w:t>
      </w:r>
      <w:r w:rsidR="00335843" w:rsidRPr="00477D8F">
        <w:t>v</w:t>
      </w:r>
      <w:r w:rsidRPr="00477D8F">
        <w:t xml:space="preserve">alue for </w:t>
      </w:r>
      <w:r w:rsidR="00335843" w:rsidRPr="00477D8F">
        <w:t>m</w:t>
      </w:r>
      <w:r w:rsidRPr="00477D8F">
        <w:t xml:space="preserve">oney </w:t>
      </w:r>
      <w:r w:rsidR="00335843" w:rsidRPr="00477D8F">
        <w:t>a</w:t>
      </w:r>
      <w:r w:rsidRPr="00477D8F">
        <w:t>nalysis</w:t>
      </w:r>
      <w:bookmarkEnd w:id="175"/>
      <w:bookmarkEnd w:id="176"/>
    </w:p>
    <w:p w14:paraId="69F04E45" w14:textId="77777777" w:rsidR="00C729A3" w:rsidRPr="00477D8F" w:rsidRDefault="00C729A3" w:rsidP="000217D4">
      <w:pPr>
        <w:pStyle w:val="Heading3"/>
        <w:rPr>
          <w:b/>
          <w:bCs/>
        </w:rPr>
      </w:pPr>
      <w:bookmarkStart w:id="177" w:name="_Toc448736589"/>
      <w:bookmarkStart w:id="178" w:name="_Toc449974708"/>
      <w:r w:rsidRPr="00477D8F">
        <w:t>Methodology of efficiency measurement</w:t>
      </w:r>
      <w:bookmarkEnd w:id="177"/>
    </w:p>
    <w:bookmarkEnd w:id="178"/>
    <w:p w14:paraId="2F130C07" w14:textId="715E93E3" w:rsidR="00D30519" w:rsidRPr="00477D8F" w:rsidRDefault="00D30519" w:rsidP="00D20338">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cs="Times New Roman"/>
          <w:b/>
        </w:rPr>
        <w:t>The DEA is used to examine the efficiency of resource utilization by linking the inputs to outcomes through a value for money analysis.</w:t>
      </w:r>
      <w:r w:rsidRPr="00477D8F">
        <w:rPr>
          <w:rFonts w:ascii="Sylfaen" w:hAnsi="Sylfaen" w:cs="Times New Roman"/>
        </w:rPr>
        <w:t xml:space="preserve"> In particular, this section aims to investigate the efficiency and effectiveness of resource utilization in relation to how schools in different areas transform input to output in relative terms. The main purpose of the DEA model is to analyze how different schools utilize the available resources to generate education outcomes and to identify the input mix needed to improve efficiency and effectiveness of service delivery outcomes. </w:t>
      </w:r>
      <w:r w:rsidRPr="00477D8F">
        <w:rPr>
          <w:rFonts w:ascii="Sylfaen" w:hAnsi="Sylfaen"/>
        </w:rPr>
        <w:t>The analysis is especially helpful in identifying lessons to be learn</w:t>
      </w:r>
      <w:r w:rsidR="00F44241" w:rsidRPr="00477D8F">
        <w:rPr>
          <w:rFonts w:ascii="Sylfaen" w:hAnsi="Sylfaen"/>
        </w:rPr>
        <w:t>ed</w:t>
      </w:r>
      <w:r w:rsidRPr="00477D8F">
        <w:rPr>
          <w:rFonts w:ascii="Sylfaen" w:hAnsi="Sylfaen"/>
        </w:rPr>
        <w:t xml:space="preserve"> or good practices to be adopted from more efficient schools in the country. In other words, how can</w:t>
      </w:r>
      <w:r w:rsidR="00F44241" w:rsidRPr="00477D8F">
        <w:rPr>
          <w:rFonts w:ascii="Sylfaen" w:hAnsi="Sylfaen"/>
        </w:rPr>
        <w:t xml:space="preserve"> the same amount of funding be used</w:t>
      </w:r>
      <w:r w:rsidR="00132FD8" w:rsidRPr="00477D8F">
        <w:rPr>
          <w:rFonts w:ascii="Sylfaen" w:hAnsi="Sylfaen"/>
        </w:rPr>
        <w:t xml:space="preserve"> more </w:t>
      </w:r>
      <w:r w:rsidR="00603FB0" w:rsidRPr="00477D8F">
        <w:rPr>
          <w:rFonts w:ascii="Sylfaen" w:hAnsi="Sylfaen"/>
        </w:rPr>
        <w:t>efficiently</w:t>
      </w:r>
      <w:r w:rsidR="00F44241" w:rsidRPr="00477D8F">
        <w:rPr>
          <w:rFonts w:ascii="Sylfaen" w:hAnsi="Sylfaen"/>
        </w:rPr>
        <w:t xml:space="preserve"> to </w:t>
      </w:r>
      <w:r w:rsidR="00132FD8" w:rsidRPr="00477D8F">
        <w:rPr>
          <w:rFonts w:ascii="Sylfaen" w:hAnsi="Sylfaen"/>
        </w:rPr>
        <w:t>produce improved gains in learning outcomes and access</w:t>
      </w:r>
      <w:r w:rsidRPr="00477D8F">
        <w:rPr>
          <w:rFonts w:ascii="Sylfaen" w:hAnsi="Sylfaen"/>
        </w:rPr>
        <w:t>.</w:t>
      </w:r>
      <w:r w:rsidRPr="00477D8F">
        <w:rPr>
          <w:rStyle w:val="FootnoteReference"/>
          <w:rFonts w:ascii="Sylfaen" w:hAnsi="Sylfaen"/>
        </w:rPr>
        <w:footnoteReference w:id="22"/>
      </w:r>
      <w:r w:rsidRPr="00477D8F">
        <w:rPr>
          <w:rFonts w:ascii="Sylfaen" w:hAnsi="Sylfaen"/>
        </w:rPr>
        <w:t xml:space="preserve"> The methodology is presented in </w:t>
      </w:r>
      <w:r w:rsidR="00D75B75" w:rsidRPr="00477D8F">
        <w:rPr>
          <w:rFonts w:ascii="Sylfaen" w:hAnsi="Sylfaen"/>
        </w:rPr>
        <w:t xml:space="preserve">Annex </w:t>
      </w:r>
      <w:r w:rsidR="00AB2179" w:rsidRPr="00477D8F">
        <w:rPr>
          <w:rFonts w:ascii="Sylfaen" w:hAnsi="Sylfaen"/>
        </w:rPr>
        <w:t>A</w:t>
      </w:r>
      <w:r w:rsidRPr="00477D8F">
        <w:rPr>
          <w:rFonts w:ascii="Sylfaen" w:hAnsi="Sylfaen"/>
        </w:rPr>
        <w:t>.</w:t>
      </w:r>
    </w:p>
    <w:p w14:paraId="79C613A4" w14:textId="60A2EE54" w:rsidR="00D30519" w:rsidRPr="00477D8F" w:rsidRDefault="00D30519" w:rsidP="001D272B">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cs="Times New Roman"/>
          <w:b/>
        </w:rPr>
        <w:lastRenderedPageBreak/>
        <w:t xml:space="preserve">Given </w:t>
      </w:r>
      <w:r w:rsidR="00132FD8" w:rsidRPr="00477D8F">
        <w:rPr>
          <w:rFonts w:ascii="Sylfaen" w:hAnsi="Sylfaen" w:cs="Times New Roman"/>
          <w:b/>
        </w:rPr>
        <w:t>that</w:t>
      </w:r>
      <w:r w:rsidRPr="00477D8F">
        <w:rPr>
          <w:rFonts w:ascii="Sylfaen" w:hAnsi="Sylfaen" w:cs="Times New Roman"/>
          <w:b/>
        </w:rPr>
        <w:t xml:space="preserve"> the financial and human resources requirements differ at all levels of education, the efficiency analysis is first conducted for each level of education</w:t>
      </w:r>
      <w:r w:rsidR="00132FD8" w:rsidRPr="00477D8F">
        <w:rPr>
          <w:rFonts w:ascii="Sylfaen" w:hAnsi="Sylfaen" w:cs="Times New Roman"/>
          <w:b/>
        </w:rPr>
        <w:t xml:space="preserve"> </w:t>
      </w:r>
      <w:r w:rsidRPr="00477D8F">
        <w:rPr>
          <w:rFonts w:ascii="Sylfaen" w:hAnsi="Sylfaen" w:cs="Times New Roman"/>
          <w:b/>
        </w:rPr>
        <w:t>and then</w:t>
      </w:r>
      <w:r w:rsidR="00132FD8" w:rsidRPr="00477D8F">
        <w:rPr>
          <w:rFonts w:ascii="Sylfaen" w:hAnsi="Sylfaen" w:cs="Times New Roman"/>
          <w:b/>
        </w:rPr>
        <w:t>,</w:t>
      </w:r>
      <w:r w:rsidRPr="00477D8F">
        <w:rPr>
          <w:rFonts w:ascii="Sylfaen" w:hAnsi="Sylfaen" w:cs="Times New Roman"/>
          <w:b/>
        </w:rPr>
        <w:t xml:space="preserve"> at all levels of educ</w:t>
      </w:r>
      <w:r w:rsidR="009F0CA4" w:rsidRPr="00477D8F">
        <w:rPr>
          <w:rFonts w:ascii="Sylfaen" w:hAnsi="Sylfaen" w:cs="Times New Roman"/>
          <w:b/>
        </w:rPr>
        <w:t>ation</w:t>
      </w:r>
      <w:r w:rsidR="00132FD8" w:rsidRPr="00477D8F">
        <w:rPr>
          <w:rFonts w:ascii="Sylfaen" w:hAnsi="Sylfaen" w:cs="Times New Roman"/>
          <w:b/>
        </w:rPr>
        <w:t>,</w:t>
      </w:r>
      <w:r w:rsidR="009F0CA4" w:rsidRPr="00477D8F">
        <w:rPr>
          <w:rFonts w:ascii="Sylfaen" w:hAnsi="Sylfaen" w:cs="Times New Roman"/>
          <w:b/>
        </w:rPr>
        <w:t xml:space="preserve"> based on the common input and output</w:t>
      </w:r>
      <w:r w:rsidRPr="00477D8F">
        <w:rPr>
          <w:rFonts w:ascii="Sylfaen" w:hAnsi="Sylfaen" w:cs="Times New Roman"/>
          <w:b/>
        </w:rPr>
        <w:t xml:space="preserve"> measures.</w:t>
      </w:r>
      <w:r w:rsidR="00272695" w:rsidRPr="00477D8F">
        <w:rPr>
          <w:rFonts w:ascii="Sylfaen" w:hAnsi="Sylfaen" w:cs="Times New Roman"/>
        </w:rPr>
        <w:t xml:space="preserve"> </w:t>
      </w:r>
      <w:r w:rsidRPr="00477D8F">
        <w:rPr>
          <w:rFonts w:ascii="Sylfaen" w:hAnsi="Sylfaen" w:cs="Times New Roman"/>
        </w:rPr>
        <w:t>The output measures are captured by three indicators: (</w:t>
      </w:r>
      <w:r w:rsidR="00D75B75" w:rsidRPr="00477D8F">
        <w:rPr>
          <w:rFonts w:ascii="Sylfaen" w:hAnsi="Sylfaen" w:cs="Times New Roman"/>
        </w:rPr>
        <w:t>a</w:t>
      </w:r>
      <w:r w:rsidRPr="00477D8F">
        <w:rPr>
          <w:rFonts w:ascii="Sylfaen" w:hAnsi="Sylfaen" w:cs="Times New Roman"/>
        </w:rPr>
        <w:t>) the total number of enrolled students in school</w:t>
      </w:r>
      <w:r w:rsidR="005A5F64" w:rsidRPr="00477D8F">
        <w:rPr>
          <w:rFonts w:ascii="Sylfaen" w:hAnsi="Sylfaen" w:cs="Times New Roman"/>
        </w:rPr>
        <w:t>s</w:t>
      </w:r>
      <w:r w:rsidRPr="00477D8F">
        <w:rPr>
          <w:rFonts w:ascii="Sylfaen" w:hAnsi="Sylfaen" w:cs="Times New Roman"/>
        </w:rPr>
        <w:t xml:space="preserve"> receiving public resources</w:t>
      </w:r>
      <w:r w:rsidR="00D75B75" w:rsidRPr="00477D8F">
        <w:rPr>
          <w:rFonts w:ascii="Sylfaen" w:hAnsi="Sylfaen" w:cs="Times New Roman"/>
        </w:rPr>
        <w:t>,</w:t>
      </w:r>
      <w:r w:rsidRPr="00477D8F">
        <w:rPr>
          <w:rFonts w:ascii="Sylfaen" w:hAnsi="Sylfaen" w:cs="Times New Roman"/>
        </w:rPr>
        <w:t xml:space="preserve"> (</w:t>
      </w:r>
      <w:r w:rsidR="00D75B75" w:rsidRPr="00477D8F">
        <w:rPr>
          <w:rFonts w:ascii="Sylfaen" w:hAnsi="Sylfaen" w:cs="Times New Roman"/>
        </w:rPr>
        <w:t>b</w:t>
      </w:r>
      <w:r w:rsidRPr="00477D8F">
        <w:rPr>
          <w:rFonts w:ascii="Sylfaen" w:hAnsi="Sylfaen" w:cs="Times New Roman"/>
        </w:rPr>
        <w:t>) the repetition rate</w:t>
      </w:r>
      <w:r w:rsidR="00D75B75" w:rsidRPr="00477D8F">
        <w:rPr>
          <w:rFonts w:ascii="Sylfaen" w:hAnsi="Sylfaen" w:cs="Times New Roman"/>
        </w:rPr>
        <w:t>,</w:t>
      </w:r>
      <w:r w:rsidRPr="00477D8F">
        <w:rPr>
          <w:rFonts w:ascii="Sylfaen" w:hAnsi="Sylfaen" w:cs="Times New Roman"/>
        </w:rPr>
        <w:t xml:space="preserve"> (</w:t>
      </w:r>
      <w:r w:rsidR="00D75B75" w:rsidRPr="00477D8F">
        <w:rPr>
          <w:rFonts w:ascii="Sylfaen" w:hAnsi="Sylfaen" w:cs="Times New Roman"/>
        </w:rPr>
        <w:t>c</w:t>
      </w:r>
      <w:r w:rsidRPr="00477D8F">
        <w:rPr>
          <w:rFonts w:ascii="Sylfaen" w:hAnsi="Sylfaen" w:cs="Times New Roman"/>
        </w:rPr>
        <w:t>) the respective learning test results—NAT grade</w:t>
      </w:r>
      <w:r w:rsidR="005A5F64" w:rsidRPr="00477D8F">
        <w:rPr>
          <w:rFonts w:ascii="Sylfaen" w:hAnsi="Sylfaen" w:cs="Times New Roman"/>
        </w:rPr>
        <w:t>s</w:t>
      </w:r>
      <w:r w:rsidRPr="00477D8F">
        <w:rPr>
          <w:rFonts w:ascii="Sylfaen" w:hAnsi="Sylfaen" w:cs="Times New Roman"/>
        </w:rPr>
        <w:t xml:space="preserve"> 3 and 5 for </w:t>
      </w:r>
      <w:r w:rsidR="00B40AA3" w:rsidRPr="00477D8F">
        <w:rPr>
          <w:rFonts w:ascii="Sylfaen" w:hAnsi="Sylfaen" w:cs="Times New Roman"/>
        </w:rPr>
        <w:t>lower basic</w:t>
      </w:r>
      <w:r w:rsidRPr="00477D8F">
        <w:rPr>
          <w:rFonts w:ascii="Sylfaen" w:hAnsi="Sylfaen" w:cs="Times New Roman"/>
        </w:rPr>
        <w:t>, NAT grade 8 and G</w:t>
      </w:r>
      <w:r w:rsidR="00B40AA3" w:rsidRPr="00477D8F">
        <w:rPr>
          <w:rFonts w:ascii="Sylfaen" w:hAnsi="Sylfaen" w:cs="Times New Roman"/>
        </w:rPr>
        <w:t>A</w:t>
      </w:r>
      <w:r w:rsidRPr="00477D8F">
        <w:rPr>
          <w:rFonts w:ascii="Sylfaen" w:hAnsi="Sylfaen" w:cs="Times New Roman"/>
        </w:rPr>
        <w:t>BECE grade 9 for</w:t>
      </w:r>
      <w:r w:rsidR="00B40AA3" w:rsidRPr="00477D8F">
        <w:rPr>
          <w:rFonts w:ascii="Sylfaen" w:hAnsi="Sylfaen" w:cs="Times New Roman"/>
        </w:rPr>
        <w:t xml:space="preserve"> upper </w:t>
      </w:r>
      <w:r w:rsidR="00762CFA" w:rsidRPr="00477D8F">
        <w:rPr>
          <w:rFonts w:ascii="Sylfaen" w:hAnsi="Sylfaen" w:cs="Times New Roman"/>
        </w:rPr>
        <w:t>basic,</w:t>
      </w:r>
      <w:r w:rsidRPr="00477D8F">
        <w:rPr>
          <w:rFonts w:ascii="Sylfaen" w:hAnsi="Sylfaen" w:cs="Times New Roman"/>
        </w:rPr>
        <w:t xml:space="preserve"> and WASS</w:t>
      </w:r>
      <w:r w:rsidR="00B40AA3" w:rsidRPr="00477D8F">
        <w:rPr>
          <w:rFonts w:ascii="Sylfaen" w:hAnsi="Sylfaen" w:cs="Times New Roman"/>
        </w:rPr>
        <w:t>C</w:t>
      </w:r>
      <w:r w:rsidRPr="00477D8F">
        <w:rPr>
          <w:rFonts w:ascii="Sylfaen" w:hAnsi="Sylfaen" w:cs="Times New Roman"/>
        </w:rPr>
        <w:t>E for grade 12. The input resources include (</w:t>
      </w:r>
      <w:r w:rsidR="00D75B75" w:rsidRPr="00477D8F">
        <w:rPr>
          <w:rFonts w:ascii="Sylfaen" w:hAnsi="Sylfaen" w:cs="Times New Roman"/>
        </w:rPr>
        <w:t>a</w:t>
      </w:r>
      <w:r w:rsidRPr="00477D8F">
        <w:rPr>
          <w:rFonts w:ascii="Sylfaen" w:hAnsi="Sylfaen" w:cs="Times New Roman"/>
        </w:rPr>
        <w:t xml:space="preserve">) the total salary allocation at </w:t>
      </w:r>
      <w:r w:rsidR="00D75B75" w:rsidRPr="00477D8F">
        <w:rPr>
          <w:rFonts w:ascii="Sylfaen" w:hAnsi="Sylfaen" w:cs="Times New Roman"/>
        </w:rPr>
        <w:t xml:space="preserve">the </w:t>
      </w:r>
      <w:r w:rsidRPr="00477D8F">
        <w:rPr>
          <w:rFonts w:ascii="Sylfaen" w:hAnsi="Sylfaen" w:cs="Times New Roman"/>
        </w:rPr>
        <w:t>school level</w:t>
      </w:r>
      <w:r w:rsidR="00132FD8" w:rsidRPr="00477D8F">
        <w:rPr>
          <w:rFonts w:ascii="Sylfaen" w:hAnsi="Sylfaen" w:cs="Times New Roman"/>
        </w:rPr>
        <w:t>;</w:t>
      </w:r>
      <w:r w:rsidRPr="00477D8F">
        <w:rPr>
          <w:rFonts w:ascii="Sylfaen" w:hAnsi="Sylfaen" w:cs="Times New Roman"/>
        </w:rPr>
        <w:t xml:space="preserve"> (</w:t>
      </w:r>
      <w:r w:rsidR="00D75B75" w:rsidRPr="00477D8F">
        <w:rPr>
          <w:rFonts w:ascii="Sylfaen" w:hAnsi="Sylfaen" w:cs="Times New Roman"/>
        </w:rPr>
        <w:t>b</w:t>
      </w:r>
      <w:r w:rsidRPr="00477D8F">
        <w:rPr>
          <w:rFonts w:ascii="Sylfaen" w:hAnsi="Sylfaen" w:cs="Times New Roman"/>
        </w:rPr>
        <w:t>) the STR</w:t>
      </w:r>
      <w:r w:rsidR="00132FD8" w:rsidRPr="00477D8F">
        <w:rPr>
          <w:rFonts w:ascii="Sylfaen" w:hAnsi="Sylfaen" w:cs="Times New Roman"/>
        </w:rPr>
        <w:t>;</w:t>
      </w:r>
      <w:r w:rsidRPr="00477D8F">
        <w:rPr>
          <w:rFonts w:ascii="Sylfaen" w:hAnsi="Sylfaen" w:cs="Times New Roman"/>
        </w:rPr>
        <w:t xml:space="preserve"> (</w:t>
      </w:r>
      <w:r w:rsidR="00D75B75" w:rsidRPr="00477D8F">
        <w:rPr>
          <w:rFonts w:ascii="Sylfaen" w:hAnsi="Sylfaen" w:cs="Times New Roman"/>
        </w:rPr>
        <w:t>c</w:t>
      </w:r>
      <w:r w:rsidRPr="00477D8F">
        <w:rPr>
          <w:rFonts w:ascii="Sylfaen" w:hAnsi="Sylfaen" w:cs="Times New Roman"/>
        </w:rPr>
        <w:t xml:space="preserve">) the teacher’s average weekly </w:t>
      </w:r>
      <w:r w:rsidR="00132FD8" w:rsidRPr="00477D8F">
        <w:rPr>
          <w:rFonts w:ascii="Sylfaen" w:hAnsi="Sylfaen" w:cs="Times New Roman"/>
        </w:rPr>
        <w:t xml:space="preserve">work </w:t>
      </w:r>
      <w:r w:rsidRPr="00477D8F">
        <w:rPr>
          <w:rFonts w:ascii="Sylfaen" w:hAnsi="Sylfaen" w:cs="Times New Roman"/>
        </w:rPr>
        <w:t>period</w:t>
      </w:r>
      <w:r w:rsidR="00132FD8" w:rsidRPr="00477D8F">
        <w:rPr>
          <w:rFonts w:ascii="Sylfaen" w:hAnsi="Sylfaen" w:cs="Times New Roman"/>
        </w:rPr>
        <w:t>;</w:t>
      </w:r>
      <w:r w:rsidRPr="00477D8F">
        <w:rPr>
          <w:rFonts w:ascii="Sylfaen" w:hAnsi="Sylfaen" w:cs="Times New Roman"/>
        </w:rPr>
        <w:t xml:space="preserve"> (</w:t>
      </w:r>
      <w:r w:rsidR="00D75B75" w:rsidRPr="00477D8F">
        <w:rPr>
          <w:rFonts w:ascii="Sylfaen" w:hAnsi="Sylfaen" w:cs="Times New Roman"/>
        </w:rPr>
        <w:t>d</w:t>
      </w:r>
      <w:r w:rsidRPr="00477D8F">
        <w:rPr>
          <w:rFonts w:ascii="Sylfaen" w:hAnsi="Sylfaen" w:cs="Times New Roman"/>
        </w:rPr>
        <w:t>) the teachers</w:t>
      </w:r>
      <w:r w:rsidR="00132FD8" w:rsidRPr="00477D8F">
        <w:rPr>
          <w:rFonts w:ascii="Sylfaen" w:hAnsi="Sylfaen" w:cs="Times New Roman"/>
        </w:rPr>
        <w:t>’</w:t>
      </w:r>
      <w:r w:rsidRPr="00477D8F">
        <w:rPr>
          <w:rFonts w:ascii="Sylfaen" w:hAnsi="Sylfaen" w:cs="Times New Roman"/>
        </w:rPr>
        <w:t xml:space="preserve"> years of experience</w:t>
      </w:r>
      <w:r w:rsidR="00132FD8" w:rsidRPr="00477D8F">
        <w:rPr>
          <w:rFonts w:ascii="Sylfaen" w:hAnsi="Sylfaen" w:cs="Times New Roman"/>
        </w:rPr>
        <w:t>;</w:t>
      </w:r>
      <w:r w:rsidRPr="00477D8F">
        <w:rPr>
          <w:rFonts w:ascii="Sylfaen" w:hAnsi="Sylfaen" w:cs="Times New Roman"/>
        </w:rPr>
        <w:t xml:space="preserve"> (</w:t>
      </w:r>
      <w:r w:rsidR="00D75B75" w:rsidRPr="00477D8F">
        <w:rPr>
          <w:rFonts w:ascii="Sylfaen" w:hAnsi="Sylfaen" w:cs="Times New Roman"/>
        </w:rPr>
        <w:t>e</w:t>
      </w:r>
      <w:r w:rsidRPr="00477D8F">
        <w:rPr>
          <w:rFonts w:ascii="Sylfaen" w:hAnsi="Sylfaen" w:cs="Times New Roman"/>
        </w:rPr>
        <w:t>) the distribution of teacher</w:t>
      </w:r>
      <w:r w:rsidR="00132FD8" w:rsidRPr="00477D8F">
        <w:rPr>
          <w:rFonts w:ascii="Sylfaen" w:hAnsi="Sylfaen" w:cs="Times New Roman"/>
        </w:rPr>
        <w:t>s’</w:t>
      </w:r>
      <w:r w:rsidRPr="00477D8F">
        <w:rPr>
          <w:rFonts w:ascii="Sylfaen" w:hAnsi="Sylfaen" w:cs="Times New Roman"/>
        </w:rPr>
        <w:t xml:space="preserve"> </w:t>
      </w:r>
      <w:r w:rsidR="00132FD8" w:rsidRPr="00477D8F">
        <w:rPr>
          <w:rFonts w:ascii="Sylfaen" w:hAnsi="Sylfaen" w:cs="Times New Roman"/>
        </w:rPr>
        <w:t>qualifications;</w:t>
      </w:r>
      <w:r w:rsidRPr="00477D8F">
        <w:rPr>
          <w:rFonts w:ascii="Sylfaen" w:hAnsi="Sylfaen" w:cs="Times New Roman"/>
        </w:rPr>
        <w:t xml:space="preserve"> (</w:t>
      </w:r>
      <w:r w:rsidR="00334CDA" w:rsidRPr="00477D8F">
        <w:rPr>
          <w:rFonts w:ascii="Sylfaen" w:hAnsi="Sylfaen" w:cs="Times New Roman"/>
        </w:rPr>
        <w:t>f</w:t>
      </w:r>
      <w:r w:rsidRPr="00477D8F">
        <w:rPr>
          <w:rFonts w:ascii="Sylfaen" w:hAnsi="Sylfaen" w:cs="Times New Roman"/>
        </w:rPr>
        <w:t xml:space="preserve">) textbook availability at </w:t>
      </w:r>
      <w:r w:rsidR="00CD5E11" w:rsidRPr="00477D8F">
        <w:rPr>
          <w:rFonts w:ascii="Sylfaen" w:hAnsi="Sylfaen" w:cs="Times New Roman"/>
        </w:rPr>
        <w:t xml:space="preserve">the </w:t>
      </w:r>
      <w:r w:rsidRPr="00477D8F">
        <w:rPr>
          <w:rFonts w:ascii="Sylfaen" w:hAnsi="Sylfaen" w:cs="Times New Roman"/>
        </w:rPr>
        <w:t>LBS, UBS</w:t>
      </w:r>
      <w:r w:rsidR="00334CDA" w:rsidRPr="00477D8F">
        <w:rPr>
          <w:rFonts w:ascii="Sylfaen" w:hAnsi="Sylfaen" w:cs="Times New Roman"/>
        </w:rPr>
        <w:t>,</w:t>
      </w:r>
      <w:r w:rsidRPr="00477D8F">
        <w:rPr>
          <w:rFonts w:ascii="Sylfaen" w:hAnsi="Sylfaen" w:cs="Times New Roman"/>
        </w:rPr>
        <w:t xml:space="preserve"> and BCS levels</w:t>
      </w:r>
      <w:r w:rsidR="00132FD8" w:rsidRPr="00477D8F">
        <w:rPr>
          <w:rFonts w:ascii="Sylfaen" w:hAnsi="Sylfaen" w:cs="Times New Roman"/>
        </w:rPr>
        <w:t>; and</w:t>
      </w:r>
      <w:r w:rsidRPr="00477D8F">
        <w:rPr>
          <w:rFonts w:ascii="Sylfaen" w:hAnsi="Sylfaen" w:cs="Times New Roman"/>
        </w:rPr>
        <w:t xml:space="preserve"> (</w:t>
      </w:r>
      <w:r w:rsidR="00334CDA" w:rsidRPr="00477D8F">
        <w:rPr>
          <w:rFonts w:ascii="Sylfaen" w:hAnsi="Sylfaen" w:cs="Times New Roman"/>
        </w:rPr>
        <w:t>g</w:t>
      </w:r>
      <w:r w:rsidRPr="00477D8F">
        <w:rPr>
          <w:rFonts w:ascii="Sylfaen" w:hAnsi="Sylfaen" w:cs="Times New Roman"/>
        </w:rPr>
        <w:t>) the indexes of different school inputs such as classroom</w:t>
      </w:r>
      <w:r w:rsidR="00132FD8" w:rsidRPr="00477D8F">
        <w:rPr>
          <w:rFonts w:ascii="Sylfaen" w:hAnsi="Sylfaen" w:cs="Times New Roman"/>
        </w:rPr>
        <w:t>s</w:t>
      </w:r>
      <w:r w:rsidRPr="00477D8F">
        <w:rPr>
          <w:rFonts w:ascii="Sylfaen" w:hAnsi="Sylfaen" w:cs="Times New Roman"/>
        </w:rPr>
        <w:t>, seat</w:t>
      </w:r>
      <w:r w:rsidR="00132FD8" w:rsidRPr="00477D8F">
        <w:rPr>
          <w:rFonts w:ascii="Sylfaen" w:hAnsi="Sylfaen" w:cs="Times New Roman"/>
        </w:rPr>
        <w:t>s</w:t>
      </w:r>
      <w:r w:rsidRPr="00477D8F">
        <w:rPr>
          <w:rFonts w:ascii="Sylfaen" w:hAnsi="Sylfaen" w:cs="Times New Roman"/>
        </w:rPr>
        <w:t>, desk</w:t>
      </w:r>
      <w:r w:rsidR="00132FD8" w:rsidRPr="00477D8F">
        <w:rPr>
          <w:rFonts w:ascii="Sylfaen" w:hAnsi="Sylfaen" w:cs="Times New Roman"/>
        </w:rPr>
        <w:t>s</w:t>
      </w:r>
      <w:r w:rsidRPr="00477D8F">
        <w:rPr>
          <w:rFonts w:ascii="Sylfaen" w:hAnsi="Sylfaen" w:cs="Times New Roman"/>
        </w:rPr>
        <w:t>, laborator</w:t>
      </w:r>
      <w:r w:rsidR="00132FD8" w:rsidRPr="00477D8F">
        <w:rPr>
          <w:rFonts w:ascii="Sylfaen" w:hAnsi="Sylfaen" w:cs="Times New Roman"/>
        </w:rPr>
        <w:t>ies</w:t>
      </w:r>
      <w:r w:rsidRPr="00477D8F">
        <w:rPr>
          <w:rFonts w:ascii="Sylfaen" w:hAnsi="Sylfaen" w:cs="Times New Roman"/>
        </w:rPr>
        <w:t>, librar</w:t>
      </w:r>
      <w:r w:rsidR="00132FD8" w:rsidRPr="00477D8F">
        <w:rPr>
          <w:rFonts w:ascii="Sylfaen" w:hAnsi="Sylfaen" w:cs="Times New Roman"/>
        </w:rPr>
        <w:t>ies</w:t>
      </w:r>
      <w:r w:rsidRPr="00477D8F">
        <w:rPr>
          <w:rFonts w:ascii="Sylfaen" w:hAnsi="Sylfaen" w:cs="Times New Roman"/>
        </w:rPr>
        <w:t>, electricity, water, toilet</w:t>
      </w:r>
      <w:r w:rsidR="00132FD8" w:rsidRPr="00477D8F">
        <w:rPr>
          <w:rFonts w:ascii="Sylfaen" w:hAnsi="Sylfaen" w:cs="Times New Roman"/>
        </w:rPr>
        <w:t>s</w:t>
      </w:r>
      <w:r w:rsidRPr="00477D8F">
        <w:rPr>
          <w:rFonts w:ascii="Sylfaen" w:hAnsi="Sylfaen" w:cs="Times New Roman"/>
        </w:rPr>
        <w:t>.</w:t>
      </w:r>
    </w:p>
    <w:p w14:paraId="0F2C937B" w14:textId="5AB17E8E" w:rsidR="001566A4" w:rsidRPr="00477D8F" w:rsidRDefault="00D30519" w:rsidP="008351A5">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At the primary level, the efficiency estimate shows that, on average, the same services can be provided with 18 percent less resources through</w:t>
      </w:r>
      <w:r w:rsidR="00643EE0" w:rsidRPr="00477D8F">
        <w:rPr>
          <w:rFonts w:ascii="Sylfaen" w:hAnsi="Sylfaen"/>
          <w:b/>
        </w:rPr>
        <w:t xml:space="preserve"> </w:t>
      </w:r>
      <w:r w:rsidRPr="00477D8F">
        <w:rPr>
          <w:rFonts w:ascii="Sylfaen" w:hAnsi="Sylfaen"/>
          <w:b/>
        </w:rPr>
        <w:t>optimal resource utilization.</w:t>
      </w:r>
      <w:r w:rsidRPr="00477D8F">
        <w:rPr>
          <w:rFonts w:ascii="Sylfaen" w:hAnsi="Sylfaen"/>
        </w:rPr>
        <w:t xml:space="preserve"> At the national level, the efficiency score at the primary education level is 82 percent. </w:t>
      </w:r>
      <w:r w:rsidR="006E4802" w:rsidRPr="00477D8F">
        <w:rPr>
          <w:rFonts w:ascii="Sylfaen" w:hAnsi="Sylfaen"/>
        </w:rPr>
        <w:t>Although</w:t>
      </w:r>
      <w:r w:rsidRPr="00477D8F">
        <w:rPr>
          <w:rFonts w:ascii="Sylfaen" w:hAnsi="Sylfaen"/>
        </w:rPr>
        <w:t xml:space="preserve"> the </w:t>
      </w:r>
      <w:r w:rsidR="006E4802" w:rsidRPr="00477D8F">
        <w:rPr>
          <w:rFonts w:ascii="Sylfaen" w:hAnsi="Sylfaen"/>
        </w:rPr>
        <w:t>leas</w:t>
      </w:r>
      <w:r w:rsidRPr="00477D8F">
        <w:rPr>
          <w:rFonts w:ascii="Sylfaen" w:hAnsi="Sylfaen"/>
        </w:rPr>
        <w:t xml:space="preserve">t efficient school is found in region 3, </w:t>
      </w:r>
      <w:r w:rsidR="006E4802" w:rsidRPr="00477D8F">
        <w:rPr>
          <w:rFonts w:ascii="Sylfaen" w:hAnsi="Sylfaen"/>
        </w:rPr>
        <w:t xml:space="preserve">on average, </w:t>
      </w:r>
      <w:r w:rsidRPr="00477D8F">
        <w:rPr>
          <w:rFonts w:ascii="Sylfaen" w:hAnsi="Sylfaen"/>
        </w:rPr>
        <w:t xml:space="preserve">the schools in region 2 appear to be </w:t>
      </w:r>
      <w:r w:rsidR="006E4802" w:rsidRPr="00477D8F">
        <w:rPr>
          <w:rFonts w:ascii="Sylfaen" w:hAnsi="Sylfaen"/>
        </w:rPr>
        <w:t xml:space="preserve">the </w:t>
      </w:r>
      <w:r w:rsidRPr="00477D8F">
        <w:rPr>
          <w:rFonts w:ascii="Sylfaen" w:hAnsi="Sylfaen"/>
        </w:rPr>
        <w:t>le</w:t>
      </w:r>
      <w:r w:rsidR="006E4802" w:rsidRPr="00477D8F">
        <w:rPr>
          <w:rFonts w:ascii="Sylfaen" w:hAnsi="Sylfaen"/>
        </w:rPr>
        <w:t>ast</w:t>
      </w:r>
      <w:r w:rsidRPr="00477D8F">
        <w:rPr>
          <w:rFonts w:ascii="Sylfaen" w:hAnsi="Sylfaen"/>
        </w:rPr>
        <w:t xml:space="preserve"> efficient.</w:t>
      </w:r>
      <w:r w:rsidR="00272695" w:rsidRPr="00477D8F">
        <w:rPr>
          <w:rFonts w:ascii="Sylfaen" w:hAnsi="Sylfaen"/>
        </w:rPr>
        <w:t xml:space="preserve"> </w:t>
      </w:r>
      <w:r w:rsidRPr="00477D8F">
        <w:rPr>
          <w:rFonts w:ascii="Sylfaen" w:hAnsi="Sylfaen"/>
        </w:rPr>
        <w:t>In each region, there is at least one fully efficient school</w:t>
      </w:r>
      <w:r w:rsidR="006E4802" w:rsidRPr="00477D8F">
        <w:rPr>
          <w:rFonts w:ascii="Sylfaen" w:hAnsi="Sylfaen"/>
        </w:rPr>
        <w:t xml:space="preserve">, suggesting that </w:t>
      </w:r>
      <w:r w:rsidRPr="00477D8F">
        <w:rPr>
          <w:rFonts w:ascii="Sylfaen" w:hAnsi="Sylfaen"/>
        </w:rPr>
        <w:t>the other schools in the same region could employ similar effort</w:t>
      </w:r>
      <w:r w:rsidR="00932701" w:rsidRPr="00477D8F">
        <w:rPr>
          <w:rFonts w:ascii="Sylfaen" w:hAnsi="Sylfaen"/>
        </w:rPr>
        <w:t>s</w:t>
      </w:r>
      <w:r w:rsidRPr="00477D8F">
        <w:rPr>
          <w:rFonts w:ascii="Sylfaen" w:hAnsi="Sylfaen"/>
        </w:rPr>
        <w:t xml:space="preserve"> for </w:t>
      </w:r>
      <w:r w:rsidR="006E4802" w:rsidRPr="00477D8F">
        <w:rPr>
          <w:rFonts w:ascii="Sylfaen" w:hAnsi="Sylfaen"/>
        </w:rPr>
        <w:t xml:space="preserve">improved </w:t>
      </w:r>
      <w:r w:rsidRPr="00477D8F">
        <w:rPr>
          <w:rFonts w:ascii="Sylfaen" w:hAnsi="Sylfaen"/>
        </w:rPr>
        <w:t>efficiency</w:t>
      </w:r>
      <w:r w:rsidR="006E4802" w:rsidRPr="00477D8F">
        <w:rPr>
          <w:rFonts w:ascii="Sylfaen" w:hAnsi="Sylfaen"/>
        </w:rPr>
        <w:t>.</w:t>
      </w:r>
      <w:r w:rsidRPr="00477D8F">
        <w:rPr>
          <w:rFonts w:ascii="Sylfaen" w:hAnsi="Sylfaen"/>
        </w:rPr>
        <w:t xml:space="preserve"> In particular, given that region 2 is the most populated region, more efficiency gain</w:t>
      </w:r>
      <w:r w:rsidR="006E4802" w:rsidRPr="00477D8F">
        <w:rPr>
          <w:rFonts w:ascii="Sylfaen" w:hAnsi="Sylfaen"/>
        </w:rPr>
        <w:t>s</w:t>
      </w:r>
      <w:r w:rsidRPr="00477D8F">
        <w:rPr>
          <w:rFonts w:ascii="Sylfaen" w:hAnsi="Sylfaen"/>
        </w:rPr>
        <w:t xml:space="preserve"> </w:t>
      </w:r>
      <w:r w:rsidRPr="00477D8F">
        <w:rPr>
          <w:rFonts w:ascii="Sylfaen" w:eastAsia="Times New Roman" w:hAnsi="Sylfaen" w:cs="Arial"/>
        </w:rPr>
        <w:t>can be realized in the region</w:t>
      </w:r>
      <w:r w:rsidR="00932701" w:rsidRPr="00477D8F">
        <w:rPr>
          <w:rFonts w:ascii="Sylfaen" w:eastAsia="Times New Roman" w:hAnsi="Sylfaen" w:cs="Arial"/>
        </w:rPr>
        <w:t xml:space="preserve"> because</w:t>
      </w:r>
      <w:r w:rsidRPr="00477D8F">
        <w:rPr>
          <w:rFonts w:ascii="Sylfaen" w:eastAsia="Times New Roman" w:hAnsi="Sylfaen" w:cs="Arial"/>
        </w:rPr>
        <w:t xml:space="preserve"> both human and financial allocation </w:t>
      </w:r>
      <w:r w:rsidR="00E318EC" w:rsidRPr="00477D8F">
        <w:rPr>
          <w:rFonts w:ascii="Sylfaen" w:eastAsia="Times New Roman" w:hAnsi="Sylfaen" w:cs="Arial"/>
        </w:rPr>
        <w:t xml:space="preserve">are </w:t>
      </w:r>
      <w:r w:rsidRPr="00477D8F">
        <w:rPr>
          <w:rFonts w:ascii="Sylfaen" w:eastAsia="Times New Roman" w:hAnsi="Sylfaen" w:cs="Arial"/>
        </w:rPr>
        <w:t xml:space="preserve">high in relative terms. </w:t>
      </w:r>
      <w:r w:rsidR="006E4802" w:rsidRPr="00477D8F">
        <w:rPr>
          <w:rFonts w:ascii="Sylfaen" w:eastAsia="Times New Roman" w:hAnsi="Sylfaen" w:cs="Arial"/>
        </w:rPr>
        <w:t>A</w:t>
      </w:r>
      <w:r w:rsidRPr="00477D8F">
        <w:rPr>
          <w:rFonts w:ascii="Sylfaen" w:eastAsia="Times New Roman" w:hAnsi="Sylfaen" w:cs="Arial"/>
        </w:rPr>
        <w:t xml:space="preserve">n appropriate policy should be designed to maximize the potential savings, keeping in mind the </w:t>
      </w:r>
      <w:r w:rsidR="006E4802" w:rsidRPr="00477D8F">
        <w:rPr>
          <w:rFonts w:ascii="Sylfaen" w:eastAsia="Times New Roman" w:hAnsi="Sylfaen" w:cs="Arial"/>
        </w:rPr>
        <w:t xml:space="preserve">varying context </w:t>
      </w:r>
      <w:r w:rsidRPr="00477D8F">
        <w:rPr>
          <w:rFonts w:ascii="Sylfaen" w:eastAsia="Times New Roman" w:hAnsi="Sylfaen" w:cs="Arial"/>
        </w:rPr>
        <w:t>across regions.</w:t>
      </w:r>
    </w:p>
    <w:tbl>
      <w:tblPr>
        <w:tblStyle w:val="TableGrid2"/>
        <w:tblW w:w="9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9246F8" w:rsidRPr="00477D8F" w14:paraId="1533CD37" w14:textId="77777777" w:rsidTr="00C61A2E">
        <w:trPr>
          <w:trHeight w:val="18"/>
        </w:trPr>
        <w:tc>
          <w:tcPr>
            <w:tcW w:w="9246" w:type="dxa"/>
            <w:hideMark/>
          </w:tcPr>
          <w:p w14:paraId="3C22917A" w14:textId="6F3E3A32" w:rsidR="009246F8" w:rsidRPr="00477D8F" w:rsidRDefault="009246F8" w:rsidP="00C61A2E">
            <w:pPr>
              <w:pStyle w:val="Caption1"/>
              <w:rPr>
                <w:lang w:eastAsia="ko-KR"/>
              </w:rPr>
            </w:pPr>
            <w:bookmarkStart w:id="179" w:name="_Toc497171804"/>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34</w:t>
            </w:r>
            <w:r w:rsidR="002E5BDF" w:rsidRPr="00477D8F">
              <w:rPr>
                <w:noProof/>
              </w:rPr>
              <w:fldChar w:fldCharType="end"/>
            </w:r>
            <w:r w:rsidRPr="00477D8F">
              <w:t xml:space="preserve">: </w:t>
            </w:r>
            <w:r w:rsidR="0054118C" w:rsidRPr="00477D8F">
              <w:t>Distributions of e</w:t>
            </w:r>
            <w:r w:rsidR="007D5C30" w:rsidRPr="00477D8F">
              <w:t>fficiency score by district at LBS, 2015</w:t>
            </w:r>
            <w:bookmarkEnd w:id="179"/>
            <w:r w:rsidR="007D5C30" w:rsidRPr="00477D8F">
              <w:t xml:space="preserve"> </w:t>
            </w:r>
          </w:p>
        </w:tc>
      </w:tr>
      <w:tr w:rsidR="009246F8" w:rsidRPr="00477D8F" w14:paraId="64E3B7E8" w14:textId="77777777" w:rsidTr="00C61A2E">
        <w:trPr>
          <w:trHeight w:val="18"/>
        </w:trPr>
        <w:tc>
          <w:tcPr>
            <w:tcW w:w="9246" w:type="dxa"/>
            <w:hideMark/>
          </w:tcPr>
          <w:p w14:paraId="7F546CED" w14:textId="77777777" w:rsidR="009246F8" w:rsidRPr="00477D8F" w:rsidRDefault="001566A4" w:rsidP="00C61A2E">
            <w:pPr>
              <w:keepNext/>
              <w:jc w:val="both"/>
              <w:rPr>
                <w:rFonts w:ascii="Sylfaen" w:hAnsi="Sylfaen" w:cs="Times New Roman"/>
                <w:bCs/>
              </w:rPr>
            </w:pPr>
            <w:r w:rsidRPr="00477D8F">
              <w:rPr>
                <w:rFonts w:ascii="Sylfaen" w:hAnsi="Sylfaen"/>
                <w:noProof/>
              </w:rPr>
              <w:drawing>
                <wp:inline distT="0" distB="0" distL="0" distR="0" wp14:anchorId="2CF6724D" wp14:editId="058BC31A">
                  <wp:extent cx="5881370" cy="2886710"/>
                  <wp:effectExtent l="0" t="0" r="5080" b="889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r>
      <w:tr w:rsidR="009246F8" w:rsidRPr="00477D8F" w14:paraId="6D46EE72" w14:textId="77777777" w:rsidTr="00C61A2E">
        <w:trPr>
          <w:trHeight w:val="18"/>
        </w:trPr>
        <w:tc>
          <w:tcPr>
            <w:tcW w:w="9246" w:type="dxa"/>
            <w:hideMark/>
          </w:tcPr>
          <w:p w14:paraId="0F132A35" w14:textId="3B21290F" w:rsidR="009246F8" w:rsidRPr="00477D8F" w:rsidRDefault="009246F8" w:rsidP="00C61A2E">
            <w:pPr>
              <w:pStyle w:val="Source"/>
            </w:pPr>
            <w:r w:rsidRPr="00477D8F">
              <w:rPr>
                <w:rFonts w:eastAsia="Times New Roman"/>
                <w:i/>
              </w:rPr>
              <w:t>Source:</w:t>
            </w:r>
            <w:r w:rsidRPr="00477D8F">
              <w:rPr>
                <w:rFonts w:eastAsia="Times New Roman"/>
              </w:rPr>
              <w:t xml:space="preserve"> Authors’ estimations</w:t>
            </w:r>
            <w:r w:rsidR="007D5C30" w:rsidRPr="00477D8F">
              <w:t xml:space="preserve"> based on </w:t>
            </w:r>
            <w:r w:rsidR="0054118C" w:rsidRPr="00477D8F">
              <w:t>EMIS, MoF</w:t>
            </w:r>
            <w:r w:rsidR="00171C1B" w:rsidRPr="00477D8F">
              <w:t>EA</w:t>
            </w:r>
            <w:r w:rsidR="0054118C" w:rsidRPr="00477D8F">
              <w:t xml:space="preserve"> </w:t>
            </w:r>
            <w:r w:rsidR="00932701" w:rsidRPr="00477D8F">
              <w:t>b</w:t>
            </w:r>
            <w:r w:rsidR="0054118C" w:rsidRPr="00477D8F">
              <w:t>udget data</w:t>
            </w:r>
            <w:r w:rsidR="00412E00" w:rsidRPr="00477D8F">
              <w:t>,</w:t>
            </w:r>
            <w:r w:rsidR="0054118C" w:rsidRPr="00477D8F">
              <w:t xml:space="preserve"> and </w:t>
            </w:r>
            <w:r w:rsidR="00412E00" w:rsidRPr="00477D8F">
              <w:t>p</w:t>
            </w:r>
            <w:r w:rsidR="0054118C" w:rsidRPr="00477D8F">
              <w:t>ayroll.</w:t>
            </w:r>
          </w:p>
        </w:tc>
      </w:tr>
    </w:tbl>
    <w:p w14:paraId="20A9FA03" w14:textId="170CD529" w:rsidR="009246F8" w:rsidRPr="00477D8F" w:rsidRDefault="00D30519" w:rsidP="008351A5">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A comparison of the efficiency by level of education significantly varies within the regions.</w:t>
      </w:r>
      <w:r w:rsidR="00272695" w:rsidRPr="00477D8F">
        <w:rPr>
          <w:rFonts w:ascii="Sylfaen" w:hAnsi="Sylfaen"/>
        </w:rPr>
        <w:t xml:space="preserve"> </w:t>
      </w:r>
      <w:r w:rsidRPr="00477D8F">
        <w:rPr>
          <w:rFonts w:ascii="Sylfaen" w:hAnsi="Sylfaen"/>
        </w:rPr>
        <w:t>BCS</w:t>
      </w:r>
      <w:r w:rsidR="00893A39" w:rsidRPr="00477D8F">
        <w:rPr>
          <w:rFonts w:ascii="Sylfaen" w:hAnsi="Sylfaen"/>
        </w:rPr>
        <w:t>s</w:t>
      </w:r>
      <w:r w:rsidRPr="00477D8F">
        <w:rPr>
          <w:rFonts w:ascii="Sylfaen" w:hAnsi="Sylfaen"/>
        </w:rPr>
        <w:t xml:space="preserve"> are generally less efficient while SSS</w:t>
      </w:r>
      <w:r w:rsidR="00893A39" w:rsidRPr="00477D8F">
        <w:rPr>
          <w:rFonts w:ascii="Sylfaen" w:hAnsi="Sylfaen"/>
        </w:rPr>
        <w:t>s</w:t>
      </w:r>
      <w:r w:rsidRPr="00477D8F">
        <w:rPr>
          <w:rFonts w:ascii="Sylfaen" w:hAnsi="Sylfaen"/>
        </w:rPr>
        <w:t xml:space="preserve"> are relatively more efficient, and the average efficien</w:t>
      </w:r>
      <w:r w:rsidR="006E4802" w:rsidRPr="00477D8F">
        <w:rPr>
          <w:rFonts w:ascii="Sylfaen" w:hAnsi="Sylfaen"/>
        </w:rPr>
        <w:t>cy</w:t>
      </w:r>
      <w:r w:rsidRPr="00477D8F">
        <w:rPr>
          <w:rFonts w:ascii="Sylfaen" w:hAnsi="Sylfaen"/>
        </w:rPr>
        <w:t xml:space="preserve"> score</w:t>
      </w:r>
      <w:r w:rsidR="006E4802" w:rsidRPr="00477D8F">
        <w:rPr>
          <w:rFonts w:ascii="Sylfaen" w:hAnsi="Sylfaen"/>
        </w:rPr>
        <w:t>s</w:t>
      </w:r>
      <w:r w:rsidRPr="00477D8F">
        <w:rPr>
          <w:rFonts w:ascii="Sylfaen" w:hAnsi="Sylfaen"/>
        </w:rPr>
        <w:t xml:space="preserve"> stand at 50 percent and 82 percent, respectively (</w:t>
      </w:r>
      <w:r w:rsidR="005E2BEB" w:rsidRPr="00477D8F">
        <w:rPr>
          <w:rFonts w:ascii="Sylfaen" w:hAnsi="Sylfaen"/>
        </w:rPr>
        <w:fldChar w:fldCharType="begin"/>
      </w:r>
      <w:r w:rsidR="005E2BEB" w:rsidRPr="00477D8F">
        <w:rPr>
          <w:rFonts w:ascii="Sylfaen" w:hAnsi="Sylfaen"/>
        </w:rPr>
        <w:instrText xml:space="preserve"> REF _Ref485162281 \h  \* MERGEFORMAT </w:instrText>
      </w:r>
      <w:r w:rsidR="005E2BEB" w:rsidRPr="00477D8F">
        <w:rPr>
          <w:rFonts w:ascii="Sylfaen" w:hAnsi="Sylfaen"/>
        </w:rPr>
      </w:r>
      <w:r w:rsidR="005E2BEB" w:rsidRPr="00477D8F">
        <w:rPr>
          <w:rFonts w:ascii="Sylfaen" w:hAnsi="Sylfaen"/>
        </w:rPr>
        <w:fldChar w:fldCharType="separate"/>
      </w:r>
      <w:r w:rsidR="00F800F3" w:rsidRPr="00477D8F">
        <w:rPr>
          <w:rFonts w:ascii="Sylfaen" w:eastAsia="Times New Roman" w:hAnsi="Sylfaen" w:cs="Times New Roman"/>
          <w:bCs/>
        </w:rPr>
        <w:t xml:space="preserve">Figure </w:t>
      </w:r>
      <w:r w:rsidR="00F800F3" w:rsidRPr="00477D8F">
        <w:rPr>
          <w:rFonts w:ascii="Sylfaen" w:eastAsia="Times New Roman" w:hAnsi="Sylfaen" w:cs="Times New Roman"/>
          <w:bCs/>
          <w:noProof/>
        </w:rPr>
        <w:t>35</w:t>
      </w:r>
      <w:r w:rsidR="005E2BEB" w:rsidRPr="00477D8F">
        <w:rPr>
          <w:rFonts w:ascii="Sylfaen" w:hAnsi="Sylfaen"/>
        </w:rPr>
        <w:fldChar w:fldCharType="end"/>
      </w:r>
      <w:r w:rsidRPr="00477D8F">
        <w:rPr>
          <w:rFonts w:ascii="Sylfaen" w:hAnsi="Sylfaen"/>
        </w:rPr>
        <w:t>).</w:t>
      </w:r>
      <w:r w:rsidR="00272695" w:rsidRPr="00477D8F">
        <w:rPr>
          <w:rFonts w:ascii="Sylfaen" w:hAnsi="Sylfaen"/>
        </w:rPr>
        <w:t xml:space="preserve"> </w:t>
      </w:r>
      <w:r w:rsidRPr="00477D8F">
        <w:rPr>
          <w:rFonts w:ascii="Sylfaen" w:hAnsi="Sylfaen"/>
        </w:rPr>
        <w:t xml:space="preserve">As stated </w:t>
      </w:r>
      <w:r w:rsidR="006E4802" w:rsidRPr="00477D8F">
        <w:rPr>
          <w:rFonts w:ascii="Sylfaen" w:hAnsi="Sylfaen"/>
        </w:rPr>
        <w:t>earlier</w:t>
      </w:r>
      <w:r w:rsidRPr="00477D8F">
        <w:rPr>
          <w:rFonts w:ascii="Sylfaen" w:hAnsi="Sylfaen"/>
        </w:rPr>
        <w:t xml:space="preserve">, </w:t>
      </w:r>
      <w:r w:rsidR="006E4802" w:rsidRPr="00477D8F">
        <w:rPr>
          <w:rFonts w:ascii="Sylfaen" w:hAnsi="Sylfaen"/>
        </w:rPr>
        <w:t>approximately</w:t>
      </w:r>
      <w:r w:rsidR="00603FB0" w:rsidRPr="00477D8F">
        <w:rPr>
          <w:rFonts w:ascii="Sylfaen" w:hAnsi="Sylfaen"/>
        </w:rPr>
        <w:t xml:space="preserve"> </w:t>
      </w:r>
      <w:r w:rsidRPr="00477D8F">
        <w:rPr>
          <w:rFonts w:ascii="Sylfaen" w:hAnsi="Sylfaen"/>
        </w:rPr>
        <w:t xml:space="preserve">75 percent of </w:t>
      </w:r>
      <w:r w:rsidR="005E2BEB" w:rsidRPr="00477D8F">
        <w:rPr>
          <w:rFonts w:ascii="Sylfaen" w:hAnsi="Sylfaen"/>
        </w:rPr>
        <w:t>enrollment</w:t>
      </w:r>
      <w:r w:rsidR="00E318EC" w:rsidRPr="00477D8F">
        <w:rPr>
          <w:rFonts w:ascii="Sylfaen" w:hAnsi="Sylfaen"/>
        </w:rPr>
        <w:t>s</w:t>
      </w:r>
      <w:r w:rsidR="005E2BEB" w:rsidRPr="00477D8F">
        <w:rPr>
          <w:rFonts w:ascii="Sylfaen" w:hAnsi="Sylfaen"/>
        </w:rPr>
        <w:t xml:space="preserve"> in </w:t>
      </w:r>
      <w:r w:rsidRPr="00477D8F">
        <w:rPr>
          <w:rFonts w:ascii="Sylfaen" w:hAnsi="Sylfaen"/>
        </w:rPr>
        <w:t>public SSS</w:t>
      </w:r>
      <w:r w:rsidR="00893A39" w:rsidRPr="00477D8F">
        <w:rPr>
          <w:rFonts w:ascii="Sylfaen" w:hAnsi="Sylfaen"/>
        </w:rPr>
        <w:t>s</w:t>
      </w:r>
      <w:r w:rsidRPr="00477D8F">
        <w:rPr>
          <w:rFonts w:ascii="Sylfaen" w:hAnsi="Sylfaen"/>
        </w:rPr>
        <w:t xml:space="preserve"> are </w:t>
      </w:r>
      <w:r w:rsidR="005E2BEB" w:rsidRPr="00477D8F">
        <w:rPr>
          <w:rFonts w:ascii="Sylfaen" w:hAnsi="Sylfaen"/>
        </w:rPr>
        <w:t xml:space="preserve">in </w:t>
      </w:r>
      <w:r w:rsidRPr="00477D8F">
        <w:rPr>
          <w:rFonts w:ascii="Sylfaen" w:hAnsi="Sylfaen"/>
        </w:rPr>
        <w:t>grant-aided schools</w:t>
      </w:r>
      <w:r w:rsidR="006E4802" w:rsidRPr="00477D8F">
        <w:rPr>
          <w:rFonts w:ascii="Sylfaen" w:hAnsi="Sylfaen"/>
        </w:rPr>
        <w:t xml:space="preserve">. These schools </w:t>
      </w:r>
      <w:r w:rsidRPr="00477D8F">
        <w:rPr>
          <w:rFonts w:ascii="Sylfaen" w:hAnsi="Sylfaen"/>
        </w:rPr>
        <w:t xml:space="preserve">tend to have a higher efficiency </w:t>
      </w:r>
      <w:r w:rsidRPr="00477D8F">
        <w:rPr>
          <w:rFonts w:ascii="Sylfaen" w:hAnsi="Sylfaen"/>
        </w:rPr>
        <w:lastRenderedPageBreak/>
        <w:t>score</w:t>
      </w:r>
      <w:r w:rsidR="004F2511" w:rsidRPr="00477D8F">
        <w:rPr>
          <w:rFonts w:ascii="Sylfaen" w:hAnsi="Sylfaen"/>
        </w:rPr>
        <w:t>,</w:t>
      </w:r>
      <w:r w:rsidRPr="00477D8F">
        <w:rPr>
          <w:rFonts w:ascii="Sylfaen" w:hAnsi="Sylfaen"/>
        </w:rPr>
        <w:t xml:space="preserve"> which is one of the key reasons why the SSS</w:t>
      </w:r>
      <w:r w:rsidR="00893A39" w:rsidRPr="00477D8F">
        <w:rPr>
          <w:rFonts w:ascii="Sylfaen" w:hAnsi="Sylfaen"/>
        </w:rPr>
        <w:t>s</w:t>
      </w:r>
      <w:r w:rsidRPr="00477D8F">
        <w:rPr>
          <w:rFonts w:ascii="Sylfaen" w:hAnsi="Sylfaen"/>
        </w:rPr>
        <w:t xml:space="preserve"> are relatively more efficient</w:t>
      </w:r>
      <w:r w:rsidR="00A3579D" w:rsidRPr="00477D8F">
        <w:rPr>
          <w:rFonts w:ascii="Sylfaen" w:hAnsi="Sylfaen"/>
        </w:rPr>
        <w:t xml:space="preserve"> overall</w:t>
      </w:r>
      <w:r w:rsidRPr="00477D8F">
        <w:rPr>
          <w:rFonts w:ascii="Sylfaen" w:hAnsi="Sylfaen"/>
        </w:rPr>
        <w:t>.</w:t>
      </w:r>
      <w:r w:rsidR="00272695" w:rsidRPr="00477D8F">
        <w:rPr>
          <w:rFonts w:ascii="Sylfaen" w:hAnsi="Sylfaen"/>
        </w:rPr>
        <w:t xml:space="preserve"> </w:t>
      </w:r>
      <w:r w:rsidR="006E4802" w:rsidRPr="00477D8F">
        <w:rPr>
          <w:rFonts w:ascii="Sylfaen" w:hAnsi="Sylfaen"/>
        </w:rPr>
        <w:t>A</w:t>
      </w:r>
      <w:r w:rsidRPr="00477D8F">
        <w:rPr>
          <w:rFonts w:ascii="Sylfaen" w:hAnsi="Sylfaen"/>
        </w:rPr>
        <w:t>t the primary education level, more efficient schools are located in region</w:t>
      </w:r>
      <w:r w:rsidR="004F2511" w:rsidRPr="00477D8F">
        <w:rPr>
          <w:rFonts w:ascii="Sylfaen" w:hAnsi="Sylfaen"/>
        </w:rPr>
        <w:t>s</w:t>
      </w:r>
      <w:r w:rsidRPr="00477D8F">
        <w:rPr>
          <w:rFonts w:ascii="Sylfaen" w:hAnsi="Sylfaen"/>
        </w:rPr>
        <w:t xml:space="preserve"> 1 and 2. </w:t>
      </w:r>
    </w:p>
    <w:tbl>
      <w:tblPr>
        <w:tblStyle w:val="TableGrid2"/>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4D2523" w:rsidRPr="00477D8F" w14:paraId="0BFC1FB2" w14:textId="77777777" w:rsidTr="00C61A2E">
        <w:trPr>
          <w:trHeight w:val="18"/>
        </w:trPr>
        <w:tc>
          <w:tcPr>
            <w:tcW w:w="9350" w:type="dxa"/>
            <w:hideMark/>
          </w:tcPr>
          <w:p w14:paraId="33E8FB44" w14:textId="72DE277D" w:rsidR="004D2523" w:rsidRPr="00477D8F" w:rsidRDefault="004D2523" w:rsidP="00C61A2E">
            <w:pPr>
              <w:pStyle w:val="Caption1"/>
              <w:rPr>
                <w:lang w:eastAsia="ko-KR"/>
              </w:rPr>
            </w:pPr>
            <w:bookmarkStart w:id="180" w:name="_Ref485162281"/>
            <w:bookmarkStart w:id="181" w:name="_Toc497171805"/>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35</w:t>
            </w:r>
            <w:r w:rsidR="002E5BDF" w:rsidRPr="00477D8F">
              <w:rPr>
                <w:noProof/>
              </w:rPr>
              <w:fldChar w:fldCharType="end"/>
            </w:r>
            <w:bookmarkEnd w:id="180"/>
            <w:r w:rsidRPr="00477D8F">
              <w:t>:</w:t>
            </w:r>
            <w:r w:rsidR="00272695" w:rsidRPr="00477D8F">
              <w:t xml:space="preserve"> </w:t>
            </w:r>
            <w:r w:rsidR="0054118C" w:rsidRPr="00477D8F">
              <w:t>Distributions of efficiency score by level and region, 2015</w:t>
            </w:r>
            <w:bookmarkEnd w:id="181"/>
          </w:p>
        </w:tc>
      </w:tr>
      <w:tr w:rsidR="004D2523" w:rsidRPr="00477D8F" w14:paraId="7E29A5BA" w14:textId="77777777" w:rsidTr="00C61A2E">
        <w:trPr>
          <w:trHeight w:val="18"/>
        </w:trPr>
        <w:tc>
          <w:tcPr>
            <w:tcW w:w="9350" w:type="dxa"/>
            <w:hideMark/>
          </w:tcPr>
          <w:p w14:paraId="6258A7C9" w14:textId="77777777" w:rsidR="004D2523" w:rsidRPr="00477D8F" w:rsidRDefault="004D2523" w:rsidP="00C61A2E">
            <w:pPr>
              <w:keepNext/>
              <w:jc w:val="both"/>
              <w:rPr>
                <w:rFonts w:ascii="Sylfaen" w:hAnsi="Sylfaen" w:cs="Times New Roman"/>
                <w:bCs/>
              </w:rPr>
            </w:pPr>
            <w:r w:rsidRPr="00477D8F">
              <w:rPr>
                <w:rFonts w:ascii="Sylfaen" w:hAnsi="Sylfaen"/>
                <w:noProof/>
              </w:rPr>
              <w:drawing>
                <wp:inline distT="0" distB="0" distL="0" distR="0" wp14:anchorId="5DC868BA" wp14:editId="6C668ED2">
                  <wp:extent cx="5796501" cy="2866390"/>
                  <wp:effectExtent l="0" t="0" r="13970" b="1016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r>
      <w:tr w:rsidR="0054118C" w:rsidRPr="00477D8F" w14:paraId="7483F7F2" w14:textId="77777777" w:rsidTr="00C61A2E">
        <w:trPr>
          <w:trHeight w:val="18"/>
        </w:trPr>
        <w:tc>
          <w:tcPr>
            <w:tcW w:w="9350" w:type="dxa"/>
            <w:hideMark/>
          </w:tcPr>
          <w:p w14:paraId="1EC7DD5D" w14:textId="2D0E0941" w:rsidR="0054118C" w:rsidRPr="00477D8F" w:rsidRDefault="0054118C" w:rsidP="00C61A2E">
            <w:pPr>
              <w:pStyle w:val="Source"/>
            </w:pPr>
            <w:r w:rsidRPr="00477D8F">
              <w:rPr>
                <w:rFonts w:eastAsia="Times New Roman"/>
                <w:i/>
              </w:rPr>
              <w:t>Source:</w:t>
            </w:r>
            <w:r w:rsidRPr="00477D8F">
              <w:rPr>
                <w:rFonts w:eastAsia="Times New Roman"/>
              </w:rPr>
              <w:t xml:space="preserve"> Authors’ estimations</w:t>
            </w:r>
            <w:r w:rsidRPr="00477D8F">
              <w:t xml:space="preserve"> based on EMIS, MoF</w:t>
            </w:r>
            <w:r w:rsidR="00B40AA3" w:rsidRPr="00477D8F">
              <w:t>EA</w:t>
            </w:r>
            <w:r w:rsidRPr="00477D8F">
              <w:t xml:space="preserve"> </w:t>
            </w:r>
            <w:r w:rsidR="004F2511" w:rsidRPr="00477D8F">
              <w:t>b</w:t>
            </w:r>
            <w:r w:rsidRPr="00477D8F">
              <w:t>udget data</w:t>
            </w:r>
            <w:r w:rsidR="00412E00" w:rsidRPr="00477D8F">
              <w:t>,</w:t>
            </w:r>
            <w:r w:rsidRPr="00477D8F">
              <w:t xml:space="preserve"> and </w:t>
            </w:r>
            <w:r w:rsidR="004F2511" w:rsidRPr="00477D8F">
              <w:t>p</w:t>
            </w:r>
            <w:r w:rsidRPr="00477D8F">
              <w:t>ayroll.</w:t>
            </w:r>
          </w:p>
        </w:tc>
      </w:tr>
    </w:tbl>
    <w:p w14:paraId="3F18F49E" w14:textId="7F93C9D0" w:rsidR="001D272B" w:rsidRPr="00477D8F" w:rsidRDefault="00DC3503" w:rsidP="008351A5">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The variation of the unit cost by school type and region is associated with inefficient resource utilization.</w:t>
      </w:r>
      <w:r w:rsidRPr="00477D8F">
        <w:rPr>
          <w:rFonts w:ascii="Sylfaen" w:hAnsi="Sylfaen"/>
        </w:rPr>
        <w:t xml:space="preserve"> In general, grant-aided schools are relatively more efficient than government schools. With the exception of region 5 at the LBS level and region 4 at the SSS, grant-aided schools have a lower unit cost (Figure 36). The unit cost distribution by region reveals that there is inefficient resource utilization across regions and that the cost of a student differs from one region to the other. Moreover, remote regions are expected to have a higher unit cost due to allowances paid to compensate for hardship, but this is not always the case. For example, region 6 has a lower unit cost at the LBS level and a higher unit cost at the SSS level while in region 1, the unit cost is among the highest at LBS but the lowest at SSS.</w:t>
      </w:r>
      <w:r w:rsidR="00272695" w:rsidRPr="00477D8F">
        <w:rPr>
          <w:rFonts w:ascii="Sylfaen" w:hAnsi="Sylfaen"/>
        </w:rPr>
        <w:t xml:space="preserve"> </w:t>
      </w:r>
      <w:r w:rsidRPr="00477D8F">
        <w:rPr>
          <w:rFonts w:ascii="Sylfaen" w:hAnsi="Sylfaen"/>
        </w:rPr>
        <w:t>Overall, while many factors outside of the inefficiencies discussed above affect unit costs, using unit cost as a tool for allocating resources could help improve the efficiency across regions and school types</w:t>
      </w:r>
      <w:r w:rsidR="00D30519" w:rsidRPr="00477D8F">
        <w:rPr>
          <w:rFonts w:ascii="Sylfaen" w:hAnsi="Sylfaen"/>
        </w:rPr>
        <w:t>.</w:t>
      </w:r>
      <w:r w:rsidR="004732F8" w:rsidRPr="00477D8F">
        <w:rPr>
          <w:rFonts w:ascii="Sylfaen" w:hAnsi="Sylfaen"/>
        </w:rPr>
        <w:t xml:space="preserve"> </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0C4C19" w:rsidRPr="00477D8F" w14:paraId="5A780895" w14:textId="77777777" w:rsidTr="00C61A2E">
        <w:trPr>
          <w:trHeight w:val="229"/>
        </w:trPr>
        <w:tc>
          <w:tcPr>
            <w:tcW w:w="5000" w:type="pct"/>
          </w:tcPr>
          <w:p w14:paraId="2C8737E5" w14:textId="68BD90DC" w:rsidR="000C4C19" w:rsidRPr="00477D8F" w:rsidRDefault="000C4C19" w:rsidP="00C61A2E">
            <w:pPr>
              <w:pStyle w:val="Caption1"/>
              <w:rPr>
                <w:rFonts w:eastAsia="Times New Roman"/>
              </w:rPr>
            </w:pPr>
            <w:bookmarkStart w:id="182" w:name="_Ref485229616"/>
            <w:bookmarkStart w:id="183" w:name="_Toc497171806"/>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36</w:t>
            </w:r>
            <w:r w:rsidR="002E5BDF" w:rsidRPr="00477D8F">
              <w:rPr>
                <w:noProof/>
              </w:rPr>
              <w:fldChar w:fldCharType="end"/>
            </w:r>
            <w:bookmarkEnd w:id="182"/>
            <w:r w:rsidRPr="00477D8F">
              <w:t>: Unit cost comparison by level of education and type of schools attended</w:t>
            </w:r>
            <w:r w:rsidR="00392637" w:rsidRPr="00477D8F">
              <w:t xml:space="preserve"> at school level based on personnel cost</w:t>
            </w:r>
            <w:bookmarkEnd w:id="183"/>
          </w:p>
        </w:tc>
      </w:tr>
      <w:tr w:rsidR="000C4C19" w:rsidRPr="00477D8F" w14:paraId="501DC220" w14:textId="77777777" w:rsidTr="00C61A2E">
        <w:trPr>
          <w:trHeight w:val="225"/>
        </w:trPr>
        <w:tc>
          <w:tcPr>
            <w:tcW w:w="5000" w:type="pct"/>
          </w:tcPr>
          <w:p w14:paraId="49EE2567" w14:textId="77777777" w:rsidR="000C4C19" w:rsidRPr="00477D8F" w:rsidRDefault="002D7D22" w:rsidP="00C61A2E">
            <w:pPr>
              <w:jc w:val="both"/>
              <w:rPr>
                <w:rFonts w:ascii="Sylfaen" w:hAnsi="Sylfaen" w:cs="Times New Roman"/>
                <w:bCs/>
              </w:rPr>
            </w:pPr>
            <w:r w:rsidRPr="00477D8F">
              <w:rPr>
                <w:rFonts w:ascii="Sylfaen" w:hAnsi="Sylfaen"/>
                <w:noProof/>
              </w:rPr>
              <w:drawing>
                <wp:inline distT="0" distB="0" distL="0" distR="0" wp14:anchorId="3581F3AB" wp14:editId="6A4B6E92">
                  <wp:extent cx="2896819" cy="2743200"/>
                  <wp:effectExtent l="0" t="0" r="18415" b="0"/>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Pr="00477D8F">
              <w:rPr>
                <w:rFonts w:ascii="Sylfaen" w:hAnsi="Sylfaen"/>
                <w:noProof/>
              </w:rPr>
              <w:drawing>
                <wp:inline distT="0" distB="0" distL="0" distR="0" wp14:anchorId="6D31BED0" wp14:editId="6C28B93B">
                  <wp:extent cx="2859659" cy="2743200"/>
                  <wp:effectExtent l="0" t="0" r="17145" b="0"/>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r>
      <w:tr w:rsidR="000C4C19" w:rsidRPr="00477D8F" w14:paraId="2BCDF337" w14:textId="77777777" w:rsidTr="00C61A2E">
        <w:trPr>
          <w:trHeight w:val="53"/>
        </w:trPr>
        <w:tc>
          <w:tcPr>
            <w:tcW w:w="5000" w:type="pct"/>
            <w:hideMark/>
          </w:tcPr>
          <w:p w14:paraId="20AD1A12" w14:textId="3E02F25D" w:rsidR="000C4C19" w:rsidRPr="00477D8F" w:rsidRDefault="000C4C19" w:rsidP="00C61A2E">
            <w:pPr>
              <w:pStyle w:val="Source"/>
            </w:pPr>
            <w:r w:rsidRPr="00477D8F">
              <w:rPr>
                <w:rFonts w:eastAsia="Times New Roman"/>
                <w:i/>
              </w:rPr>
              <w:t>Source:</w:t>
            </w:r>
            <w:r w:rsidRPr="00477D8F">
              <w:rPr>
                <w:rFonts w:eastAsia="Times New Roman"/>
              </w:rPr>
              <w:t xml:space="preserve"> Authors’ estimations</w:t>
            </w:r>
            <w:r w:rsidRPr="00477D8F">
              <w:t xml:space="preserve"> based on </w:t>
            </w:r>
            <w:r w:rsidR="00412E00" w:rsidRPr="00477D8F">
              <w:t>b</w:t>
            </w:r>
            <w:r w:rsidRPr="00477D8F">
              <w:t>udget, EMIS</w:t>
            </w:r>
            <w:r w:rsidR="00412E00" w:rsidRPr="00477D8F">
              <w:t>,</w:t>
            </w:r>
            <w:r w:rsidRPr="00477D8F">
              <w:t xml:space="preserve"> and </w:t>
            </w:r>
            <w:r w:rsidR="00412E00" w:rsidRPr="00477D8F">
              <w:t>p</w:t>
            </w:r>
            <w:r w:rsidR="00392637" w:rsidRPr="00477D8F">
              <w:t>ayroll</w:t>
            </w:r>
            <w:r w:rsidR="003955F5" w:rsidRPr="00477D8F">
              <w:t xml:space="preserve"> data</w:t>
            </w:r>
            <w:r w:rsidR="003A3B4A" w:rsidRPr="00477D8F">
              <w:t>.</w:t>
            </w:r>
          </w:p>
        </w:tc>
      </w:tr>
    </w:tbl>
    <w:p w14:paraId="4FC24253" w14:textId="77777777" w:rsidR="002D51ED" w:rsidRPr="00477D8F" w:rsidRDefault="002D51ED" w:rsidP="00ED0E68">
      <w:pPr>
        <w:pStyle w:val="Heading2"/>
        <w:rPr>
          <w:b/>
        </w:rPr>
      </w:pPr>
      <w:bookmarkStart w:id="184" w:name="_Toc497171875"/>
      <w:r w:rsidRPr="00477D8F">
        <w:t>Internal efficiency</w:t>
      </w:r>
      <w:bookmarkEnd w:id="184"/>
    </w:p>
    <w:p w14:paraId="6A774D48" w14:textId="784F2F9B" w:rsidR="00D30519" w:rsidRPr="00477D8F" w:rsidRDefault="00D30519" w:rsidP="008351A5">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heme="majorBidi"/>
        </w:rPr>
      </w:pPr>
      <w:r w:rsidRPr="00477D8F">
        <w:rPr>
          <w:rFonts w:ascii="Sylfaen" w:hAnsi="Sylfaen" w:cstheme="majorBidi"/>
          <w:b/>
        </w:rPr>
        <w:t xml:space="preserve">Starting school on time provides several benefits such as </w:t>
      </w:r>
      <w:r w:rsidR="00026172" w:rsidRPr="00477D8F">
        <w:rPr>
          <w:rFonts w:ascii="Sylfaen" w:hAnsi="Sylfaen" w:cstheme="majorBidi"/>
          <w:b/>
        </w:rPr>
        <w:t xml:space="preserve">increased likelihood of </w:t>
      </w:r>
      <w:r w:rsidRPr="00477D8F">
        <w:rPr>
          <w:rFonts w:ascii="Sylfaen" w:hAnsi="Sylfaen" w:cstheme="majorBidi"/>
          <w:b/>
        </w:rPr>
        <w:t>completing the education cycle and achieving higher lifetime earnings.</w:t>
      </w:r>
      <w:r w:rsidRPr="00477D8F">
        <w:rPr>
          <w:rFonts w:ascii="Sylfaen" w:hAnsi="Sylfaen" w:cstheme="majorBidi"/>
        </w:rPr>
        <w:t xml:space="preserve"> </w:t>
      </w:r>
      <w:r w:rsidR="00026172" w:rsidRPr="00477D8F">
        <w:rPr>
          <w:rFonts w:ascii="Sylfaen" w:hAnsi="Sylfaen" w:cstheme="majorBidi"/>
        </w:rPr>
        <w:t>E</w:t>
      </w:r>
      <w:r w:rsidRPr="00477D8F">
        <w:rPr>
          <w:rFonts w:ascii="Sylfaen" w:hAnsi="Sylfaen" w:cstheme="majorBidi"/>
        </w:rPr>
        <w:t>arly investment in education is one of the three</w:t>
      </w:r>
      <w:r w:rsidR="00026172" w:rsidRPr="00477D8F">
        <w:rPr>
          <w:rFonts w:ascii="Sylfaen" w:hAnsi="Sylfaen" w:cstheme="majorBidi"/>
        </w:rPr>
        <w:t xml:space="preserve"> core</w:t>
      </w:r>
      <w:r w:rsidRPr="00477D8F">
        <w:rPr>
          <w:rFonts w:ascii="Sylfaen" w:hAnsi="Sylfaen" w:cstheme="majorBidi"/>
        </w:rPr>
        <w:t xml:space="preserve"> tenets of education investment because it allows the foundational skills to be acquired early in childhood</w:t>
      </w:r>
      <w:r w:rsidR="00F47B30" w:rsidRPr="00477D8F">
        <w:rPr>
          <w:rFonts w:ascii="Sylfaen" w:hAnsi="Sylfaen" w:cstheme="majorBidi"/>
        </w:rPr>
        <w:t>,</w:t>
      </w:r>
      <w:r w:rsidRPr="00477D8F">
        <w:rPr>
          <w:rFonts w:ascii="Sylfaen" w:hAnsi="Sylfaen" w:cstheme="majorBidi"/>
        </w:rPr>
        <w:t xml:space="preserve"> which make a lifetime of learning possible</w:t>
      </w:r>
      <w:r w:rsidR="008336CF" w:rsidRPr="00477D8F">
        <w:rPr>
          <w:rFonts w:ascii="Sylfaen" w:hAnsi="Sylfaen" w:cstheme="majorBidi"/>
        </w:rPr>
        <w:t>.</w:t>
      </w:r>
      <w:r w:rsidRPr="00477D8F">
        <w:rPr>
          <w:rStyle w:val="FootnoteReference"/>
          <w:rFonts w:ascii="Sylfaen" w:hAnsi="Sylfaen" w:cstheme="majorBidi"/>
        </w:rPr>
        <w:footnoteReference w:id="23"/>
      </w:r>
      <w:r w:rsidRPr="00477D8F">
        <w:rPr>
          <w:rFonts w:ascii="Sylfaen" w:hAnsi="Sylfaen" w:cstheme="majorBidi"/>
        </w:rPr>
        <w:t xml:space="preserve"> However, </w:t>
      </w:r>
      <w:r w:rsidR="00026172" w:rsidRPr="00477D8F">
        <w:rPr>
          <w:rFonts w:ascii="Sylfaen" w:hAnsi="Sylfaen" w:cstheme="majorBidi"/>
        </w:rPr>
        <w:t xml:space="preserve">in The Gambia, </w:t>
      </w:r>
      <w:r w:rsidRPr="00477D8F">
        <w:rPr>
          <w:rFonts w:ascii="Sylfaen" w:hAnsi="Sylfaen" w:cstheme="majorBidi"/>
        </w:rPr>
        <w:t>38 percent of the children enrolled in grade 1 do not start school at the official school entry age</w:t>
      </w:r>
      <w:r w:rsidR="00026172" w:rsidRPr="00477D8F">
        <w:rPr>
          <w:rFonts w:ascii="Sylfaen" w:hAnsi="Sylfaen" w:cstheme="majorBidi"/>
        </w:rPr>
        <w:t xml:space="preserve"> (7)</w:t>
      </w:r>
      <w:r w:rsidRPr="00477D8F">
        <w:rPr>
          <w:rFonts w:ascii="Sylfaen" w:hAnsi="Sylfaen" w:cstheme="majorBidi"/>
        </w:rPr>
        <w:t xml:space="preserve"> and 29 percent of them are underage due to the limited access to preschool (</w:t>
      </w:r>
      <w:r w:rsidRPr="00477D8F">
        <w:rPr>
          <w:rFonts w:ascii="Sylfaen" w:hAnsi="Sylfaen" w:cstheme="majorBidi"/>
        </w:rPr>
        <w:fldChar w:fldCharType="begin"/>
      </w:r>
      <w:r w:rsidRPr="00477D8F">
        <w:rPr>
          <w:rFonts w:ascii="Sylfaen" w:hAnsi="Sylfaen" w:cstheme="majorBidi"/>
        </w:rPr>
        <w:instrText xml:space="preserve"> REF _Ref468646537 \h  \* MERGEFORMAT </w:instrText>
      </w:r>
      <w:r w:rsidRPr="00477D8F">
        <w:rPr>
          <w:rFonts w:ascii="Sylfaen" w:hAnsi="Sylfaen" w:cstheme="majorBidi"/>
        </w:rPr>
      </w:r>
      <w:r w:rsidRPr="00477D8F">
        <w:rPr>
          <w:rFonts w:ascii="Sylfaen" w:hAnsi="Sylfaen" w:cstheme="majorBidi"/>
        </w:rPr>
        <w:fldChar w:fldCharType="separate"/>
      </w:r>
      <w:r w:rsidR="00F800F3" w:rsidRPr="00477D8F">
        <w:rPr>
          <w:rFonts w:ascii="Sylfaen" w:hAnsi="Sylfaen" w:cstheme="majorBidi"/>
        </w:rPr>
        <w:t>Figure 37</w:t>
      </w:r>
      <w:r w:rsidRPr="00477D8F">
        <w:rPr>
          <w:rFonts w:ascii="Sylfaen" w:hAnsi="Sylfaen" w:cstheme="majorBidi"/>
        </w:rPr>
        <w:fldChar w:fldCharType="end"/>
      </w:r>
      <w:r w:rsidRPr="00477D8F">
        <w:rPr>
          <w:rFonts w:ascii="Sylfaen" w:hAnsi="Sylfaen" w:cstheme="majorBidi"/>
        </w:rPr>
        <w:t xml:space="preserve">). An underlying reason why parents do not send their children to school on time is the child’s readiness to attend school. Being </w:t>
      </w:r>
      <w:r w:rsidR="008336CF" w:rsidRPr="00477D8F">
        <w:rPr>
          <w:rFonts w:ascii="Sylfaen" w:hAnsi="Sylfaen" w:cstheme="majorBidi"/>
        </w:rPr>
        <w:t>‘</w:t>
      </w:r>
      <w:r w:rsidRPr="00477D8F">
        <w:rPr>
          <w:rFonts w:ascii="Sylfaen" w:hAnsi="Sylfaen" w:cstheme="majorBidi"/>
        </w:rPr>
        <w:t>too young</w:t>
      </w:r>
      <w:r w:rsidR="008336CF" w:rsidRPr="00477D8F">
        <w:rPr>
          <w:rFonts w:ascii="Sylfaen" w:hAnsi="Sylfaen" w:cstheme="majorBidi"/>
        </w:rPr>
        <w:t>’</w:t>
      </w:r>
      <w:r w:rsidRPr="00477D8F">
        <w:rPr>
          <w:rFonts w:ascii="Sylfaen" w:hAnsi="Sylfaen" w:cstheme="majorBidi"/>
        </w:rPr>
        <w:t xml:space="preserve"> from the parents’ perspective has different meanings</w:t>
      </w:r>
      <w:r w:rsidR="00026172" w:rsidRPr="00477D8F">
        <w:rPr>
          <w:rFonts w:ascii="Sylfaen" w:hAnsi="Sylfaen" w:cstheme="majorBidi"/>
        </w:rPr>
        <w:t xml:space="preserve"> and may refer to lack of developmental readiness for schooling, lack of preschool offerings, or far distance to school.</w:t>
      </w:r>
      <w:r w:rsidR="00272695" w:rsidRPr="00477D8F">
        <w:rPr>
          <w:rFonts w:ascii="Sylfaen" w:hAnsi="Sylfaen" w:cstheme="majorBidi"/>
        </w:rPr>
        <w:t xml:space="preserve"> </w:t>
      </w:r>
      <w:r w:rsidR="00026172" w:rsidRPr="00477D8F">
        <w:rPr>
          <w:rFonts w:ascii="Sylfaen" w:hAnsi="Sylfaen" w:cstheme="majorBidi"/>
        </w:rPr>
        <w:t xml:space="preserve">Notably, </w:t>
      </w:r>
      <w:r w:rsidRPr="00477D8F">
        <w:rPr>
          <w:rFonts w:ascii="Sylfaen" w:hAnsi="Sylfaen" w:cstheme="majorBidi"/>
        </w:rPr>
        <w:t>28.5 percent of out</w:t>
      </w:r>
      <w:r w:rsidR="008336CF" w:rsidRPr="00477D8F">
        <w:rPr>
          <w:rFonts w:ascii="Sylfaen" w:hAnsi="Sylfaen" w:cstheme="majorBidi"/>
        </w:rPr>
        <w:t>-</w:t>
      </w:r>
      <w:r w:rsidRPr="00477D8F">
        <w:rPr>
          <w:rFonts w:ascii="Sylfaen" w:hAnsi="Sylfaen" w:cstheme="majorBidi"/>
        </w:rPr>
        <w:t>of-school children at the primary level have never been in school</w:t>
      </w:r>
      <w:r w:rsidR="00026172" w:rsidRPr="00477D8F">
        <w:rPr>
          <w:rFonts w:ascii="Sylfaen" w:hAnsi="Sylfaen" w:cstheme="majorBidi"/>
        </w:rPr>
        <w:t>, of which</w:t>
      </w:r>
      <w:r w:rsidRPr="00477D8F">
        <w:rPr>
          <w:rFonts w:ascii="Sylfaen" w:hAnsi="Sylfaen" w:cstheme="majorBidi"/>
        </w:rPr>
        <w:t xml:space="preserve"> 33 percent indicated </w:t>
      </w:r>
      <w:r w:rsidR="008336CF" w:rsidRPr="00477D8F">
        <w:rPr>
          <w:rFonts w:ascii="Sylfaen" w:hAnsi="Sylfaen" w:cstheme="majorBidi"/>
        </w:rPr>
        <w:t>‘</w:t>
      </w:r>
      <w:r w:rsidRPr="00477D8F">
        <w:rPr>
          <w:rFonts w:ascii="Sylfaen" w:hAnsi="Sylfaen" w:cstheme="majorBidi"/>
        </w:rPr>
        <w:t>being too young</w:t>
      </w:r>
      <w:r w:rsidR="008336CF" w:rsidRPr="00477D8F">
        <w:rPr>
          <w:rFonts w:ascii="Sylfaen" w:hAnsi="Sylfaen" w:cstheme="majorBidi"/>
        </w:rPr>
        <w:t>’</w:t>
      </w:r>
      <w:r w:rsidRPr="00477D8F">
        <w:rPr>
          <w:rFonts w:ascii="Sylfaen" w:hAnsi="Sylfaen" w:cstheme="majorBidi"/>
        </w:rPr>
        <w:t xml:space="preserve"> as the main reason why they </w:t>
      </w:r>
      <w:r w:rsidR="008336CF" w:rsidRPr="00477D8F">
        <w:rPr>
          <w:rFonts w:ascii="Sylfaen" w:hAnsi="Sylfaen" w:cstheme="majorBidi"/>
        </w:rPr>
        <w:t xml:space="preserve">have </w:t>
      </w:r>
      <w:r w:rsidRPr="00477D8F">
        <w:rPr>
          <w:rFonts w:ascii="Sylfaen" w:hAnsi="Sylfaen" w:cstheme="majorBidi"/>
        </w:rPr>
        <w:t>never been in school</w:t>
      </w:r>
      <w:r w:rsidR="00026172" w:rsidRPr="00477D8F">
        <w:rPr>
          <w:rFonts w:ascii="Sylfaen" w:hAnsi="Sylfaen" w:cstheme="majorBidi"/>
        </w:rPr>
        <w:t>.</w:t>
      </w:r>
      <w:r w:rsidR="00272695" w:rsidRPr="00477D8F">
        <w:rPr>
          <w:rFonts w:ascii="Sylfaen" w:hAnsi="Sylfaen" w:cstheme="majorBidi"/>
        </w:rPr>
        <w:t xml:space="preserve"> </w:t>
      </w:r>
      <w:r w:rsidR="00026172" w:rsidRPr="00477D8F">
        <w:rPr>
          <w:rFonts w:ascii="Sylfaen" w:hAnsi="Sylfaen" w:cstheme="majorBidi"/>
        </w:rPr>
        <w:t>On the other hand, there are children starting school underage, which is also a challenge. While the percentage of</w:t>
      </w:r>
      <w:r w:rsidRPr="00477D8F">
        <w:rPr>
          <w:rFonts w:ascii="Sylfaen" w:hAnsi="Sylfaen" w:cstheme="majorBidi"/>
        </w:rPr>
        <w:t xml:space="preserve"> </w:t>
      </w:r>
      <w:r w:rsidR="00026172" w:rsidRPr="00477D8F">
        <w:rPr>
          <w:rFonts w:ascii="Sylfaen" w:hAnsi="Sylfaen" w:cstheme="majorBidi"/>
        </w:rPr>
        <w:t xml:space="preserve">underage children in grade 6 is low, standing at 14 percent, the percentage of underage children in grade 1 is higher, standing at 29 percent. This suggests </w:t>
      </w:r>
      <w:r w:rsidRPr="00477D8F">
        <w:rPr>
          <w:rFonts w:ascii="Sylfaen" w:hAnsi="Sylfaen" w:cstheme="majorBidi"/>
        </w:rPr>
        <w:t xml:space="preserve">that children of preschool age </w:t>
      </w:r>
      <w:r w:rsidR="00026172" w:rsidRPr="00477D8F">
        <w:rPr>
          <w:rFonts w:ascii="Sylfaen" w:hAnsi="Sylfaen" w:cstheme="majorBidi"/>
        </w:rPr>
        <w:t>who enroll in grade 1 early are likely not advanc</w:t>
      </w:r>
      <w:r w:rsidR="00A3579D" w:rsidRPr="00477D8F">
        <w:rPr>
          <w:rFonts w:ascii="Sylfaen" w:hAnsi="Sylfaen" w:cstheme="majorBidi"/>
        </w:rPr>
        <w:t>ing</w:t>
      </w:r>
      <w:r w:rsidR="00026172" w:rsidRPr="00477D8F">
        <w:rPr>
          <w:rFonts w:ascii="Sylfaen" w:hAnsi="Sylfaen" w:cstheme="majorBidi"/>
        </w:rPr>
        <w:t xml:space="preserve"> through the system year over year</w:t>
      </w:r>
      <w:r w:rsidR="00C33292" w:rsidRPr="00477D8F">
        <w:rPr>
          <w:rFonts w:ascii="Sylfaen" w:hAnsi="Sylfaen" w:cstheme="majorBidi"/>
        </w:rPr>
        <w:t xml:space="preserve">. The percentage of overage children by </w:t>
      </w:r>
      <w:r w:rsidR="003324F8" w:rsidRPr="00477D8F">
        <w:rPr>
          <w:rFonts w:ascii="Sylfaen" w:hAnsi="Sylfaen" w:cstheme="majorBidi"/>
        </w:rPr>
        <w:t>g</w:t>
      </w:r>
      <w:r w:rsidR="00C33292" w:rsidRPr="00477D8F">
        <w:rPr>
          <w:rFonts w:ascii="Sylfaen" w:hAnsi="Sylfaen" w:cstheme="majorBidi"/>
        </w:rPr>
        <w:t xml:space="preserve">rade 6 is high, at 70 percent, as compared to </w:t>
      </w:r>
      <w:r w:rsidR="008336CF" w:rsidRPr="00477D8F">
        <w:rPr>
          <w:rFonts w:ascii="Sylfaen" w:hAnsi="Sylfaen" w:cstheme="majorBidi"/>
        </w:rPr>
        <w:t>g</w:t>
      </w:r>
      <w:r w:rsidR="00C33292" w:rsidRPr="00477D8F">
        <w:rPr>
          <w:rFonts w:ascii="Sylfaen" w:hAnsi="Sylfaen" w:cstheme="majorBidi"/>
        </w:rPr>
        <w:t>rade 1 where it stands at 38 percent</w:t>
      </w:r>
      <w:r w:rsidR="00026172" w:rsidRPr="00477D8F">
        <w:rPr>
          <w:rFonts w:ascii="Sylfaen" w:hAnsi="Sylfaen" w:cstheme="majorBidi"/>
        </w:rPr>
        <w:t xml:space="preserve">. </w:t>
      </w:r>
      <w:r w:rsidRPr="00477D8F">
        <w:rPr>
          <w:rFonts w:ascii="Sylfaen" w:hAnsi="Sylfaen" w:cstheme="majorBidi"/>
        </w:rPr>
        <w:t xml:space="preserve">As shown </w:t>
      </w:r>
      <w:r w:rsidR="008336CF" w:rsidRPr="00477D8F">
        <w:rPr>
          <w:rFonts w:ascii="Sylfaen" w:hAnsi="Sylfaen" w:cstheme="majorBidi"/>
        </w:rPr>
        <w:t>earlier,</w:t>
      </w:r>
      <w:r w:rsidRPr="00477D8F">
        <w:rPr>
          <w:rFonts w:ascii="Sylfaen" w:hAnsi="Sylfaen" w:cstheme="majorBidi"/>
        </w:rPr>
        <w:t xml:space="preserve"> the repetition rate at </w:t>
      </w:r>
      <w:r w:rsidR="008336CF" w:rsidRPr="00477D8F">
        <w:rPr>
          <w:rFonts w:ascii="Sylfaen" w:hAnsi="Sylfaen" w:cstheme="majorBidi"/>
        </w:rPr>
        <w:t>g</w:t>
      </w:r>
      <w:r w:rsidRPr="00477D8F">
        <w:rPr>
          <w:rFonts w:ascii="Sylfaen" w:hAnsi="Sylfaen" w:cstheme="majorBidi"/>
        </w:rPr>
        <w:t xml:space="preserve">rade 1 is high and it has been rising </w:t>
      </w:r>
      <w:r w:rsidR="00B76D1F" w:rsidRPr="00477D8F">
        <w:rPr>
          <w:rFonts w:ascii="Sylfaen" w:hAnsi="Sylfaen" w:cstheme="majorBidi"/>
        </w:rPr>
        <w:t xml:space="preserve">and </w:t>
      </w:r>
      <w:r w:rsidRPr="00477D8F">
        <w:rPr>
          <w:rFonts w:ascii="Sylfaen" w:hAnsi="Sylfaen" w:cstheme="majorBidi"/>
        </w:rPr>
        <w:t xml:space="preserve">therefore an integrated policy action is required for enrolling the children on time and moving them smoothly </w:t>
      </w:r>
      <w:r w:rsidR="00C33292" w:rsidRPr="00477D8F">
        <w:rPr>
          <w:rFonts w:ascii="Sylfaen" w:hAnsi="Sylfaen" w:cstheme="majorBidi"/>
        </w:rPr>
        <w:t>through</w:t>
      </w:r>
      <w:r w:rsidRPr="00477D8F">
        <w:rPr>
          <w:rFonts w:ascii="Sylfaen" w:hAnsi="Sylfaen" w:cstheme="majorBidi"/>
        </w:rPr>
        <w:t xml:space="preserve"> the system.</w:t>
      </w:r>
      <w:r w:rsidR="004732F8" w:rsidRPr="00477D8F">
        <w:rPr>
          <w:rFonts w:ascii="Sylfaen" w:hAnsi="Sylfaen" w:cstheme="majorBidi"/>
        </w:rPr>
        <w:t xml:space="preserve"> </w:t>
      </w:r>
    </w:p>
    <w:tbl>
      <w:tblPr>
        <w:tblW w:w="0" w:type="auto"/>
        <w:tblLook w:val="04A0" w:firstRow="1" w:lastRow="0" w:firstColumn="1" w:lastColumn="0" w:noHBand="0" w:noVBand="1"/>
      </w:tblPr>
      <w:tblGrid>
        <w:gridCol w:w="9350"/>
      </w:tblGrid>
      <w:tr w:rsidR="009D0CB1" w:rsidRPr="00477D8F" w14:paraId="0CB934B2" w14:textId="77777777" w:rsidTr="00CB2321">
        <w:tc>
          <w:tcPr>
            <w:tcW w:w="9350" w:type="dxa"/>
          </w:tcPr>
          <w:p w14:paraId="22F0D8C8" w14:textId="622455E3" w:rsidR="009D0CB1" w:rsidRPr="00477D8F" w:rsidRDefault="009D0CB1" w:rsidP="00146A91">
            <w:pPr>
              <w:pStyle w:val="Caption1"/>
            </w:pPr>
            <w:bookmarkStart w:id="185" w:name="_Ref468646537"/>
            <w:bookmarkStart w:id="186" w:name="_Toc469043613"/>
            <w:bookmarkStart w:id="187" w:name="_Toc476829069"/>
            <w:bookmarkStart w:id="188" w:name="_Toc480445344"/>
            <w:bookmarkStart w:id="189" w:name="_Toc497171807"/>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37</w:t>
            </w:r>
            <w:r w:rsidR="002E5BDF" w:rsidRPr="00477D8F">
              <w:rPr>
                <w:noProof/>
              </w:rPr>
              <w:fldChar w:fldCharType="end"/>
            </w:r>
            <w:bookmarkEnd w:id="185"/>
            <w:r w:rsidRPr="00477D8F">
              <w:t xml:space="preserve">: Breakdown of </w:t>
            </w:r>
            <w:bookmarkEnd w:id="186"/>
            <w:bookmarkEnd w:id="187"/>
            <w:r w:rsidRPr="00477D8F">
              <w:t xml:space="preserve">enrollment in grade 1 by age group </w:t>
            </w:r>
            <w:r w:rsidR="00412E00" w:rsidRPr="00477D8F">
              <w:t>-</w:t>
            </w:r>
            <w:r w:rsidRPr="00477D8F">
              <w:t xml:space="preserve"> underage, on time, overage by 1</w:t>
            </w:r>
            <w:r w:rsidR="00412E00" w:rsidRPr="00477D8F">
              <w:t>–</w:t>
            </w:r>
            <w:r w:rsidRPr="00477D8F">
              <w:t>2 years</w:t>
            </w:r>
            <w:r w:rsidR="00C93A28" w:rsidRPr="00477D8F">
              <w:t>,</w:t>
            </w:r>
            <w:r w:rsidRPr="00477D8F">
              <w:t xml:space="preserve"> and overage by 3+ years</w:t>
            </w:r>
            <w:bookmarkEnd w:id="188"/>
            <w:bookmarkEnd w:id="189"/>
          </w:p>
        </w:tc>
      </w:tr>
      <w:tr w:rsidR="009D0CB1" w:rsidRPr="00477D8F" w14:paraId="55066F68" w14:textId="77777777" w:rsidTr="007C7906">
        <w:tc>
          <w:tcPr>
            <w:tcW w:w="9350" w:type="dxa"/>
          </w:tcPr>
          <w:p w14:paraId="38274171" w14:textId="77777777" w:rsidR="009D0CB1" w:rsidRPr="00477D8F" w:rsidRDefault="007C7906" w:rsidP="00CB2321">
            <w:pPr>
              <w:rPr>
                <w:rFonts w:ascii="Sylfaen" w:hAnsi="Sylfaen" w:cstheme="majorBidi"/>
              </w:rPr>
            </w:pPr>
            <w:r w:rsidRPr="00477D8F">
              <w:rPr>
                <w:rFonts w:ascii="Sylfaen" w:hAnsi="Sylfaen"/>
                <w:noProof/>
              </w:rPr>
              <w:drawing>
                <wp:inline distT="0" distB="0" distL="0" distR="0" wp14:anchorId="4075F7BE" wp14:editId="08AE0E64">
                  <wp:extent cx="2699309" cy="2743200"/>
                  <wp:effectExtent l="0" t="0" r="6350" b="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Pr="00477D8F">
              <w:rPr>
                <w:rFonts w:ascii="Sylfaen" w:hAnsi="Sylfaen"/>
                <w:noProof/>
              </w:rPr>
              <w:drawing>
                <wp:inline distT="0" distB="0" distL="0" distR="0" wp14:anchorId="186AC80E" wp14:editId="53897DA1">
                  <wp:extent cx="3028493" cy="2743200"/>
                  <wp:effectExtent l="0" t="0" r="635" b="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r w:rsidR="009D0CB1" w:rsidRPr="00477D8F" w14:paraId="7F1E6900" w14:textId="77777777" w:rsidTr="00CB2321">
        <w:tc>
          <w:tcPr>
            <w:tcW w:w="9350" w:type="dxa"/>
          </w:tcPr>
          <w:p w14:paraId="72ECBD13" w14:textId="26FFDD5A" w:rsidR="009D0CB1" w:rsidRPr="00477D8F" w:rsidRDefault="009D0CB1" w:rsidP="00146A91">
            <w:pPr>
              <w:pStyle w:val="Source"/>
              <w:rPr>
                <w:rFonts w:cstheme="majorBidi"/>
              </w:rPr>
            </w:pPr>
            <w:r w:rsidRPr="00477D8F">
              <w:rPr>
                <w:rFonts w:cstheme="majorBidi"/>
                <w:i/>
              </w:rPr>
              <w:t>Source:</w:t>
            </w:r>
            <w:r w:rsidRPr="00477D8F">
              <w:rPr>
                <w:rFonts w:cstheme="majorBidi"/>
              </w:rPr>
              <w:t xml:space="preserve"> </w:t>
            </w:r>
            <w:r w:rsidR="00392637" w:rsidRPr="00477D8F">
              <w:rPr>
                <w:rFonts w:eastAsia="Times New Roman"/>
              </w:rPr>
              <w:t>Authors’ estimations</w:t>
            </w:r>
            <w:r w:rsidR="00146A91" w:rsidRPr="00477D8F">
              <w:t xml:space="preserve"> based on HIS 2015.</w:t>
            </w:r>
          </w:p>
        </w:tc>
      </w:tr>
    </w:tbl>
    <w:p w14:paraId="75D711C6" w14:textId="05D025B4" w:rsidR="00D30519" w:rsidRPr="00477D8F" w:rsidRDefault="00C33292" w:rsidP="00D20338">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heme="majorBidi"/>
        </w:rPr>
      </w:pPr>
      <w:r w:rsidRPr="00477D8F">
        <w:rPr>
          <w:rFonts w:ascii="Sylfaen" w:hAnsi="Sylfaen" w:cstheme="majorBidi"/>
          <w:b/>
        </w:rPr>
        <w:t xml:space="preserve">The school survival rate, which is estimated based on </w:t>
      </w:r>
      <w:r w:rsidR="00C93A28" w:rsidRPr="00477D8F">
        <w:rPr>
          <w:rFonts w:ascii="Sylfaen" w:hAnsi="Sylfaen" w:cstheme="majorBidi"/>
          <w:b/>
        </w:rPr>
        <w:t>the reconstructed cohort method</w:t>
      </w:r>
      <w:r w:rsidR="00C93A28" w:rsidRPr="00477D8F">
        <w:rPr>
          <w:rFonts w:ascii="Sylfaen" w:hAnsi="Sylfaen"/>
        </w:rPr>
        <w:t xml:space="preserve"> </w:t>
      </w:r>
      <w:r w:rsidR="00C93A28" w:rsidRPr="00477D8F">
        <w:rPr>
          <w:rFonts w:ascii="Sylfaen" w:hAnsi="Sylfaen"/>
          <w:b/>
        </w:rPr>
        <w:t xml:space="preserve">of the </w:t>
      </w:r>
      <w:r w:rsidR="00F47B30" w:rsidRPr="00477D8F">
        <w:rPr>
          <w:rFonts w:ascii="Sylfaen" w:hAnsi="Sylfaen"/>
          <w:b/>
        </w:rPr>
        <w:t>United Nations Educational, Scientific</w:t>
      </w:r>
      <w:r w:rsidR="00D24CFA" w:rsidRPr="00477D8F">
        <w:rPr>
          <w:rFonts w:ascii="Sylfaen" w:hAnsi="Sylfaen"/>
          <w:b/>
        </w:rPr>
        <w:t>,</w:t>
      </w:r>
      <w:r w:rsidR="00F47B30" w:rsidRPr="00477D8F">
        <w:rPr>
          <w:rFonts w:ascii="Sylfaen" w:hAnsi="Sylfaen"/>
          <w:b/>
        </w:rPr>
        <w:t xml:space="preserve"> </w:t>
      </w:r>
      <w:r w:rsidR="00D24CFA" w:rsidRPr="00477D8F">
        <w:rPr>
          <w:rFonts w:ascii="Sylfaen" w:hAnsi="Sylfaen"/>
          <w:b/>
        </w:rPr>
        <w:t xml:space="preserve">and </w:t>
      </w:r>
      <w:r w:rsidR="00F47B30" w:rsidRPr="00477D8F">
        <w:rPr>
          <w:rFonts w:ascii="Sylfaen" w:hAnsi="Sylfaen"/>
          <w:b/>
        </w:rPr>
        <w:t>Cultural Organization (</w:t>
      </w:r>
      <w:r w:rsidRPr="00477D8F">
        <w:rPr>
          <w:rFonts w:ascii="Sylfaen" w:hAnsi="Sylfaen" w:cstheme="majorBidi"/>
          <w:b/>
        </w:rPr>
        <w:t>UNESCO</w:t>
      </w:r>
      <w:r w:rsidR="00F47B30" w:rsidRPr="00477D8F">
        <w:rPr>
          <w:rFonts w:ascii="Sylfaen" w:hAnsi="Sylfaen" w:cstheme="majorBidi"/>
          <w:b/>
        </w:rPr>
        <w:t>)</w:t>
      </w:r>
      <w:r w:rsidRPr="00477D8F">
        <w:rPr>
          <w:rFonts w:ascii="Sylfaen" w:hAnsi="Sylfaen" w:cstheme="majorBidi"/>
          <w:b/>
        </w:rPr>
        <w:t>, indicates that The Gambia has a very low survival rate like most of the SSA countries.</w:t>
      </w:r>
      <w:r w:rsidRPr="00477D8F">
        <w:rPr>
          <w:rFonts w:ascii="Sylfaen" w:hAnsi="Sylfaen" w:cstheme="majorBidi"/>
        </w:rPr>
        <w:t xml:space="preserve"> </w:t>
      </w:r>
      <w:r w:rsidR="003241E0" w:rsidRPr="00477D8F">
        <w:rPr>
          <w:rFonts w:ascii="Sylfaen" w:hAnsi="Sylfaen" w:cstheme="majorBidi"/>
        </w:rPr>
        <w:t>The s</w:t>
      </w:r>
      <w:r w:rsidR="005E2BEB" w:rsidRPr="00477D8F">
        <w:rPr>
          <w:rFonts w:ascii="Sylfaen" w:hAnsi="Sylfaen" w:cstheme="majorBidi"/>
        </w:rPr>
        <w:t xml:space="preserve">urvival rate </w:t>
      </w:r>
      <w:r w:rsidR="003241E0" w:rsidRPr="00477D8F">
        <w:rPr>
          <w:rFonts w:ascii="Sylfaen" w:hAnsi="Sylfaen" w:cstheme="majorBidi"/>
        </w:rPr>
        <w:t>in each level of education is extremel</w:t>
      </w:r>
      <w:r w:rsidR="005E2BEB" w:rsidRPr="00477D8F">
        <w:rPr>
          <w:rFonts w:ascii="Sylfaen" w:hAnsi="Sylfaen" w:cstheme="majorBidi"/>
        </w:rPr>
        <w:t>y lo</w:t>
      </w:r>
      <w:r w:rsidRPr="00477D8F">
        <w:rPr>
          <w:rFonts w:ascii="Sylfaen" w:hAnsi="Sylfaen" w:cstheme="majorBidi"/>
        </w:rPr>
        <w:t>w.</w:t>
      </w:r>
      <w:r w:rsidR="005E2BEB" w:rsidRPr="00477D8F">
        <w:rPr>
          <w:rFonts w:ascii="Sylfaen" w:hAnsi="Sylfaen" w:cstheme="majorBidi"/>
        </w:rPr>
        <w:t xml:space="preserve"> </w:t>
      </w:r>
      <w:r w:rsidRPr="00477D8F">
        <w:rPr>
          <w:rFonts w:ascii="Sylfaen" w:hAnsi="Sylfaen" w:cstheme="majorBidi"/>
        </w:rPr>
        <w:t>A</w:t>
      </w:r>
      <w:r w:rsidR="003241E0" w:rsidRPr="00477D8F">
        <w:rPr>
          <w:rFonts w:ascii="Sylfaen" w:hAnsi="Sylfaen" w:cstheme="majorBidi"/>
        </w:rPr>
        <w:t xml:space="preserve">t the LBS level only 56 percent </w:t>
      </w:r>
      <w:r w:rsidRPr="00477D8F">
        <w:rPr>
          <w:rFonts w:ascii="Sylfaen" w:hAnsi="Sylfaen" w:cstheme="majorBidi"/>
        </w:rPr>
        <w:t>of students stay in school until grade 6, only 43 percent continue until grade 9</w:t>
      </w:r>
      <w:r w:rsidR="00B76D1F" w:rsidRPr="00477D8F">
        <w:rPr>
          <w:rFonts w:ascii="Sylfaen" w:hAnsi="Sylfaen" w:cstheme="majorBidi"/>
        </w:rPr>
        <w:t>,</w:t>
      </w:r>
      <w:r w:rsidRPr="00477D8F">
        <w:rPr>
          <w:rFonts w:ascii="Sylfaen" w:hAnsi="Sylfaen" w:cstheme="majorBidi"/>
        </w:rPr>
        <w:t xml:space="preserve"> and only 24 percent remain in the system until grade 12</w:t>
      </w:r>
      <w:r w:rsidR="00603FB0" w:rsidRPr="00477D8F">
        <w:rPr>
          <w:rFonts w:ascii="Sylfaen" w:hAnsi="Sylfaen" w:cstheme="majorBidi"/>
        </w:rPr>
        <w:t xml:space="preserve"> (</w:t>
      </w:r>
      <w:r w:rsidR="00412E00" w:rsidRPr="00477D8F">
        <w:rPr>
          <w:rFonts w:ascii="Sylfaen" w:hAnsi="Sylfaen" w:cstheme="majorBidi"/>
        </w:rPr>
        <w:t>F</w:t>
      </w:r>
      <w:r w:rsidR="00603FB0" w:rsidRPr="00477D8F">
        <w:rPr>
          <w:rFonts w:ascii="Sylfaen" w:hAnsi="Sylfaen" w:cstheme="majorBidi"/>
        </w:rPr>
        <w:t>igure 38)</w:t>
      </w:r>
      <w:r w:rsidR="00165A18" w:rsidRPr="00477D8F">
        <w:rPr>
          <w:rFonts w:ascii="Sylfaen" w:hAnsi="Sylfaen" w:cstheme="majorBidi"/>
        </w:rPr>
        <w:t>.</w:t>
      </w:r>
      <w:r w:rsidR="00272695" w:rsidRPr="00477D8F">
        <w:rPr>
          <w:rFonts w:ascii="Sylfaen" w:hAnsi="Sylfaen" w:cstheme="majorBidi"/>
        </w:rPr>
        <w:t xml:space="preserve"> </w:t>
      </w:r>
      <w:r w:rsidR="00D30519" w:rsidRPr="00477D8F">
        <w:rPr>
          <w:rFonts w:ascii="Sylfaen" w:hAnsi="Sylfaen" w:cstheme="majorBidi"/>
        </w:rPr>
        <w:t>Although The Gambia is able to increase the intake rate of children into the school system (</w:t>
      </w:r>
      <w:r w:rsidR="00B76D1F" w:rsidRPr="00477D8F">
        <w:rPr>
          <w:rFonts w:ascii="Sylfaen" w:hAnsi="Sylfaen" w:cstheme="majorBidi"/>
        </w:rPr>
        <w:t>g</w:t>
      </w:r>
      <w:r w:rsidR="00D30519" w:rsidRPr="00477D8F">
        <w:rPr>
          <w:rFonts w:ascii="Sylfaen" w:hAnsi="Sylfaen" w:cstheme="majorBidi"/>
        </w:rPr>
        <w:t>rade 1 intake rate is 122 percent), ensuring their survival throughout the cycle remains a key challenge because of the internal inefficiencies discussed above. In addition,</w:t>
      </w:r>
      <w:r w:rsidRPr="00477D8F">
        <w:rPr>
          <w:rFonts w:ascii="Sylfaen" w:hAnsi="Sylfaen" w:cstheme="majorBidi"/>
        </w:rPr>
        <w:t xml:space="preserve"> as indicated earlier,</w:t>
      </w:r>
      <w:r w:rsidR="00D30519" w:rsidRPr="00477D8F">
        <w:rPr>
          <w:rFonts w:ascii="Sylfaen" w:hAnsi="Sylfaen" w:cstheme="majorBidi"/>
        </w:rPr>
        <w:t xml:space="preserve"> many children </w:t>
      </w:r>
      <w:r w:rsidRPr="00477D8F">
        <w:rPr>
          <w:rFonts w:ascii="Sylfaen" w:hAnsi="Sylfaen" w:cstheme="majorBidi"/>
        </w:rPr>
        <w:t xml:space="preserve">are not </w:t>
      </w:r>
      <w:r w:rsidR="00D30519" w:rsidRPr="00477D8F">
        <w:rPr>
          <w:rFonts w:ascii="Sylfaen" w:hAnsi="Sylfaen" w:cstheme="majorBidi"/>
        </w:rPr>
        <w:t xml:space="preserve">enrolled in </w:t>
      </w:r>
      <w:r w:rsidRPr="00477D8F">
        <w:rPr>
          <w:rFonts w:ascii="Sylfaen" w:hAnsi="Sylfaen" w:cstheme="majorBidi"/>
        </w:rPr>
        <w:t>the</w:t>
      </w:r>
      <w:r w:rsidR="00D30519" w:rsidRPr="00477D8F">
        <w:rPr>
          <w:rFonts w:ascii="Sylfaen" w:hAnsi="Sylfaen" w:cstheme="majorBidi"/>
        </w:rPr>
        <w:t xml:space="preserve"> grade </w:t>
      </w:r>
      <w:r w:rsidRPr="00477D8F">
        <w:rPr>
          <w:rFonts w:ascii="Sylfaen" w:hAnsi="Sylfaen" w:cstheme="majorBidi"/>
        </w:rPr>
        <w:t xml:space="preserve">that corresponds to the appropriate official school age, which creates high internal efficiency related to completion rates. </w:t>
      </w:r>
      <w:r w:rsidR="00D30519" w:rsidRPr="00477D8F">
        <w:rPr>
          <w:rFonts w:ascii="Sylfaen" w:hAnsi="Sylfaen" w:cstheme="majorBidi"/>
        </w:rPr>
        <w:t>For example, the school attendance tree for age</w:t>
      </w:r>
      <w:r w:rsidRPr="00477D8F">
        <w:rPr>
          <w:rFonts w:ascii="Sylfaen" w:hAnsi="Sylfaen" w:cstheme="majorBidi"/>
        </w:rPr>
        <w:t>s</w:t>
      </w:r>
      <w:r w:rsidR="00D30519" w:rsidRPr="00477D8F">
        <w:rPr>
          <w:rFonts w:ascii="Sylfaen" w:hAnsi="Sylfaen" w:cstheme="majorBidi"/>
        </w:rPr>
        <w:t xml:space="preserve"> 15</w:t>
      </w:r>
      <w:r w:rsidR="00233447" w:rsidRPr="00477D8F">
        <w:rPr>
          <w:rFonts w:ascii="Sylfaen" w:hAnsi="Sylfaen" w:cstheme="majorBidi"/>
        </w:rPr>
        <w:t>–</w:t>
      </w:r>
      <w:r w:rsidR="00D30519" w:rsidRPr="00477D8F">
        <w:rPr>
          <w:rFonts w:ascii="Sylfaen" w:hAnsi="Sylfaen" w:cstheme="majorBidi"/>
        </w:rPr>
        <w:t xml:space="preserve">24 shows that, at the national level, only 2.4 </w:t>
      </w:r>
      <w:r w:rsidRPr="00477D8F">
        <w:rPr>
          <w:rFonts w:ascii="Sylfaen" w:hAnsi="Sylfaen" w:cstheme="majorBidi"/>
        </w:rPr>
        <w:t xml:space="preserve">percent of youth </w:t>
      </w:r>
      <w:r w:rsidR="00D30519" w:rsidRPr="00477D8F">
        <w:rPr>
          <w:rFonts w:ascii="Sylfaen" w:hAnsi="Sylfaen" w:cstheme="majorBidi"/>
        </w:rPr>
        <w:t>finish upper secondary</w:t>
      </w:r>
      <w:r w:rsidRPr="00477D8F">
        <w:rPr>
          <w:rFonts w:ascii="Sylfaen" w:hAnsi="Sylfaen" w:cstheme="majorBidi"/>
        </w:rPr>
        <w:t>, while</w:t>
      </w:r>
      <w:r w:rsidR="00D30519" w:rsidRPr="00477D8F">
        <w:rPr>
          <w:rFonts w:ascii="Sylfaen" w:hAnsi="Sylfaen" w:cstheme="majorBidi"/>
        </w:rPr>
        <w:t xml:space="preserve"> 21 percent</w:t>
      </w:r>
      <w:r w:rsidRPr="00477D8F">
        <w:rPr>
          <w:rFonts w:ascii="Sylfaen" w:hAnsi="Sylfaen" w:cstheme="majorBidi"/>
        </w:rPr>
        <w:t xml:space="preserve"> </w:t>
      </w:r>
      <w:r w:rsidR="00D30519" w:rsidRPr="00477D8F">
        <w:rPr>
          <w:rFonts w:ascii="Sylfaen" w:hAnsi="Sylfaen" w:cstheme="majorBidi"/>
        </w:rPr>
        <w:t>are still in upper secondary</w:t>
      </w:r>
      <w:r w:rsidRPr="00477D8F">
        <w:rPr>
          <w:rFonts w:ascii="Sylfaen" w:hAnsi="Sylfaen" w:cstheme="majorBidi"/>
        </w:rPr>
        <w:t xml:space="preserve">. </w:t>
      </w:r>
    </w:p>
    <w:p w14:paraId="4941F92B" w14:textId="412A33B6" w:rsidR="00D30519" w:rsidRPr="00477D8F" w:rsidRDefault="00165A18" w:rsidP="008351A5">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heme="majorBidi"/>
        </w:rPr>
      </w:pPr>
      <w:r w:rsidRPr="00477D8F">
        <w:rPr>
          <w:rFonts w:ascii="Sylfaen" w:hAnsi="Sylfaen" w:cstheme="majorBidi"/>
          <w:b/>
        </w:rPr>
        <w:t>Different soci</w:t>
      </w:r>
      <w:r w:rsidR="00C33292" w:rsidRPr="00477D8F">
        <w:rPr>
          <w:rFonts w:ascii="Sylfaen" w:hAnsi="Sylfaen" w:cstheme="majorBidi"/>
          <w:b/>
        </w:rPr>
        <w:t>o</w:t>
      </w:r>
      <w:r w:rsidRPr="00477D8F">
        <w:rPr>
          <w:rFonts w:ascii="Sylfaen" w:hAnsi="Sylfaen" w:cstheme="majorBidi"/>
          <w:b/>
        </w:rPr>
        <w:t>economic</w:t>
      </w:r>
      <w:r w:rsidR="002C7401" w:rsidRPr="00477D8F">
        <w:rPr>
          <w:rFonts w:ascii="Sylfaen" w:hAnsi="Sylfaen" w:cstheme="majorBidi"/>
          <w:b/>
        </w:rPr>
        <w:t xml:space="preserve"> factors have </w:t>
      </w:r>
      <w:r w:rsidR="00C33292" w:rsidRPr="00477D8F">
        <w:rPr>
          <w:rFonts w:ascii="Sylfaen" w:hAnsi="Sylfaen" w:cstheme="majorBidi"/>
          <w:b/>
        </w:rPr>
        <w:t>various</w:t>
      </w:r>
      <w:r w:rsidR="002C7401" w:rsidRPr="00477D8F">
        <w:rPr>
          <w:rFonts w:ascii="Sylfaen" w:hAnsi="Sylfaen" w:cstheme="majorBidi"/>
          <w:b/>
        </w:rPr>
        <w:t xml:space="preserve"> impact</w:t>
      </w:r>
      <w:r w:rsidR="00C33292" w:rsidRPr="00477D8F">
        <w:rPr>
          <w:rFonts w:ascii="Sylfaen" w:hAnsi="Sylfaen" w:cstheme="majorBidi"/>
          <w:b/>
        </w:rPr>
        <w:t>s</w:t>
      </w:r>
      <w:r w:rsidR="002C7401" w:rsidRPr="00477D8F">
        <w:rPr>
          <w:rFonts w:ascii="Sylfaen" w:hAnsi="Sylfaen" w:cstheme="majorBidi"/>
          <w:b/>
        </w:rPr>
        <w:t xml:space="preserve"> on schooling decisions in</w:t>
      </w:r>
      <w:r w:rsidRPr="00477D8F">
        <w:rPr>
          <w:rFonts w:ascii="Sylfaen" w:hAnsi="Sylfaen" w:cstheme="majorBidi"/>
          <w:b/>
        </w:rPr>
        <w:t xml:space="preserve"> each education cycle.</w:t>
      </w:r>
      <w:r w:rsidRPr="00477D8F">
        <w:rPr>
          <w:rFonts w:ascii="Sylfaen" w:hAnsi="Sylfaen" w:cstheme="majorBidi"/>
        </w:rPr>
        <w:t xml:space="preserve"> </w:t>
      </w:r>
      <w:r w:rsidR="00D30519" w:rsidRPr="00477D8F">
        <w:rPr>
          <w:rFonts w:ascii="Sylfaen" w:hAnsi="Sylfaen" w:cstheme="majorBidi"/>
        </w:rPr>
        <w:t>To determine the factors that influence decisions for schooling at each transition level, a sequential logit model was employed</w:t>
      </w:r>
      <w:r w:rsidR="00E2013D" w:rsidRPr="00477D8F">
        <w:rPr>
          <w:rFonts w:ascii="Sylfaen" w:hAnsi="Sylfaen" w:cstheme="majorBidi"/>
        </w:rPr>
        <w:t xml:space="preserve"> (</w:t>
      </w:r>
      <w:r w:rsidR="00896DA9" w:rsidRPr="00477D8F">
        <w:rPr>
          <w:rFonts w:ascii="Sylfaen" w:hAnsi="Sylfaen" w:cstheme="majorBidi"/>
        </w:rPr>
        <w:t>he</w:t>
      </w:r>
      <w:r w:rsidR="00D30519" w:rsidRPr="00477D8F">
        <w:rPr>
          <w:rFonts w:ascii="Sylfaen" w:hAnsi="Sylfaen" w:cstheme="majorBidi"/>
        </w:rPr>
        <w:t xml:space="preserve"> methodology </w:t>
      </w:r>
      <w:r w:rsidR="003955F5" w:rsidRPr="00477D8F">
        <w:rPr>
          <w:rFonts w:ascii="Sylfaen" w:hAnsi="Sylfaen" w:cstheme="majorBidi"/>
        </w:rPr>
        <w:t xml:space="preserve">is shown </w:t>
      </w:r>
      <w:r w:rsidR="00D30519" w:rsidRPr="00477D8F">
        <w:rPr>
          <w:rFonts w:ascii="Sylfaen" w:hAnsi="Sylfaen" w:cstheme="majorBidi"/>
        </w:rPr>
        <w:t xml:space="preserve">in </w:t>
      </w:r>
      <w:r w:rsidR="002A4A22" w:rsidRPr="00477D8F">
        <w:rPr>
          <w:rFonts w:ascii="Sylfaen" w:hAnsi="Sylfaen" w:cstheme="majorBidi"/>
        </w:rPr>
        <w:t>A</w:t>
      </w:r>
      <w:r w:rsidR="00D30519" w:rsidRPr="00477D8F">
        <w:rPr>
          <w:rFonts w:ascii="Sylfaen" w:hAnsi="Sylfaen" w:cstheme="majorBidi"/>
        </w:rPr>
        <w:t>nne</w:t>
      </w:r>
      <w:r w:rsidRPr="00477D8F">
        <w:rPr>
          <w:rFonts w:ascii="Sylfaen" w:hAnsi="Sylfaen" w:cstheme="majorBidi"/>
        </w:rPr>
        <w:t xml:space="preserve">x </w:t>
      </w:r>
      <w:r w:rsidR="00DA2C9E" w:rsidRPr="00477D8F">
        <w:rPr>
          <w:rFonts w:ascii="Sylfaen" w:hAnsi="Sylfaen" w:cstheme="majorBidi"/>
        </w:rPr>
        <w:t>A</w:t>
      </w:r>
      <w:r w:rsidR="00E2013D" w:rsidRPr="00477D8F">
        <w:rPr>
          <w:rFonts w:ascii="Sylfaen" w:hAnsi="Sylfaen" w:cstheme="majorBidi"/>
        </w:rPr>
        <w:t xml:space="preserve">, Figure A1). The </w:t>
      </w:r>
      <w:r w:rsidR="000837CB" w:rsidRPr="00477D8F">
        <w:rPr>
          <w:rFonts w:ascii="Sylfaen" w:hAnsi="Sylfaen" w:cstheme="majorBidi"/>
        </w:rPr>
        <w:t>probability of transitioning at different levels depends on various factors, including</w:t>
      </w:r>
      <w:r w:rsidR="00603FB0" w:rsidRPr="00477D8F">
        <w:rPr>
          <w:rFonts w:ascii="Sylfaen" w:hAnsi="Sylfaen" w:cstheme="majorBidi"/>
        </w:rPr>
        <w:t xml:space="preserve"> </w:t>
      </w:r>
      <w:r w:rsidR="000837CB" w:rsidRPr="00477D8F">
        <w:rPr>
          <w:rFonts w:ascii="Sylfaen" w:hAnsi="Sylfaen" w:cstheme="majorBidi"/>
        </w:rPr>
        <w:t>the availability of nearby schools, the educational attainment of the community, and the wealth of the household, all of which should be considered for decisions in supporting increased enrollment and lower dropout rates at the primary level</w:t>
      </w:r>
      <w:r w:rsidR="00E2013D" w:rsidRPr="00477D8F">
        <w:rPr>
          <w:rFonts w:ascii="Sylfaen" w:hAnsi="Sylfaen" w:cstheme="majorBidi"/>
        </w:rPr>
        <w:t xml:space="preserve"> (</w:t>
      </w:r>
      <w:r w:rsidR="00E2013D" w:rsidRPr="00477D8F">
        <w:rPr>
          <w:rFonts w:ascii="Sylfaen" w:hAnsi="Sylfaen" w:cstheme="majorBidi"/>
        </w:rPr>
        <w:fldChar w:fldCharType="begin"/>
      </w:r>
      <w:r w:rsidR="00E2013D" w:rsidRPr="00477D8F">
        <w:rPr>
          <w:rFonts w:ascii="Sylfaen" w:hAnsi="Sylfaen" w:cstheme="majorBidi"/>
        </w:rPr>
        <w:instrText xml:space="preserve"> REF _Ref468623795 \h  \* MERGEFORMAT </w:instrText>
      </w:r>
      <w:r w:rsidR="00E2013D" w:rsidRPr="00477D8F">
        <w:rPr>
          <w:rFonts w:ascii="Sylfaen" w:hAnsi="Sylfaen" w:cstheme="majorBidi"/>
        </w:rPr>
      </w:r>
      <w:r w:rsidR="00E2013D" w:rsidRPr="00477D8F">
        <w:rPr>
          <w:rFonts w:ascii="Sylfaen" w:hAnsi="Sylfaen" w:cstheme="majorBidi"/>
        </w:rPr>
        <w:fldChar w:fldCharType="separate"/>
      </w:r>
      <w:r w:rsidR="00E2013D" w:rsidRPr="00477D8F">
        <w:rPr>
          <w:rFonts w:ascii="Sylfaen" w:hAnsi="Sylfaen" w:cstheme="majorBidi"/>
          <w:iCs/>
        </w:rPr>
        <w:t xml:space="preserve">Figure </w:t>
      </w:r>
      <w:r w:rsidR="00E2013D" w:rsidRPr="00477D8F">
        <w:rPr>
          <w:rFonts w:ascii="Sylfaen" w:hAnsi="Sylfaen" w:cstheme="majorBidi"/>
          <w:iCs/>
          <w:noProof/>
        </w:rPr>
        <w:t>38</w:t>
      </w:r>
      <w:r w:rsidR="00E2013D" w:rsidRPr="00477D8F">
        <w:rPr>
          <w:rFonts w:ascii="Sylfaen" w:hAnsi="Sylfaen" w:cstheme="majorBidi"/>
        </w:rPr>
        <w:fldChar w:fldCharType="end"/>
      </w:r>
      <w:r w:rsidR="00E2013D" w:rsidRPr="00477D8F">
        <w:rPr>
          <w:rFonts w:ascii="Sylfaen" w:hAnsi="Sylfaen" w:cstheme="majorBidi"/>
        </w:rPr>
        <w:t>)</w:t>
      </w:r>
      <w:r w:rsidR="000837CB" w:rsidRPr="00477D8F">
        <w:rPr>
          <w:rFonts w:ascii="Sylfaen" w:hAnsi="Sylfaen" w:cstheme="majorBidi"/>
        </w:rPr>
        <w:t>.</w:t>
      </w:r>
      <w:r w:rsidR="00272695" w:rsidRPr="00477D8F">
        <w:rPr>
          <w:rFonts w:ascii="Sylfaen" w:hAnsi="Sylfaen" w:cstheme="majorBidi"/>
        </w:rPr>
        <w:t xml:space="preserve"> </w:t>
      </w:r>
      <w:r w:rsidR="00D30519" w:rsidRPr="00477D8F">
        <w:rPr>
          <w:rFonts w:ascii="Sylfaen" w:hAnsi="Sylfaen" w:cstheme="majorBidi"/>
        </w:rPr>
        <w:t>Some factors affect all transition stages while others are specific to certain stages in the transition. For example, all factors seemed to matter at the first transition stage</w:t>
      </w:r>
      <w:r w:rsidR="000837CB" w:rsidRPr="00477D8F">
        <w:rPr>
          <w:rFonts w:ascii="Sylfaen" w:hAnsi="Sylfaen" w:cstheme="majorBidi"/>
        </w:rPr>
        <w:t>, the decision being whether to start school or not. Higher h</w:t>
      </w:r>
      <w:r w:rsidR="00D30519" w:rsidRPr="00477D8F">
        <w:rPr>
          <w:rFonts w:ascii="Sylfaen" w:hAnsi="Sylfaen" w:cstheme="majorBidi"/>
        </w:rPr>
        <w:t xml:space="preserve">ousehold wealth and </w:t>
      </w:r>
      <w:r w:rsidR="000837CB" w:rsidRPr="00477D8F">
        <w:rPr>
          <w:rFonts w:ascii="Sylfaen" w:hAnsi="Sylfaen" w:cstheme="majorBidi"/>
        </w:rPr>
        <w:t>higher</w:t>
      </w:r>
      <w:r w:rsidR="00D30519" w:rsidRPr="00477D8F">
        <w:rPr>
          <w:rFonts w:ascii="Sylfaen" w:hAnsi="Sylfaen" w:cstheme="majorBidi"/>
        </w:rPr>
        <w:t xml:space="preserve"> education</w:t>
      </w:r>
      <w:r w:rsidR="000837CB" w:rsidRPr="00477D8F">
        <w:rPr>
          <w:rFonts w:ascii="Sylfaen" w:hAnsi="Sylfaen" w:cstheme="majorBidi"/>
        </w:rPr>
        <w:t>al</w:t>
      </w:r>
      <w:r w:rsidR="00D30519" w:rsidRPr="00477D8F">
        <w:rPr>
          <w:rFonts w:ascii="Sylfaen" w:hAnsi="Sylfaen" w:cstheme="majorBidi"/>
        </w:rPr>
        <w:t xml:space="preserve"> </w:t>
      </w:r>
      <w:r w:rsidR="000837CB" w:rsidRPr="00477D8F">
        <w:rPr>
          <w:rFonts w:ascii="Sylfaen" w:hAnsi="Sylfaen" w:cstheme="majorBidi"/>
        </w:rPr>
        <w:t xml:space="preserve">attainment </w:t>
      </w:r>
      <w:r w:rsidR="00D30519" w:rsidRPr="00477D8F">
        <w:rPr>
          <w:rFonts w:ascii="Sylfaen" w:hAnsi="Sylfaen" w:cstheme="majorBidi"/>
        </w:rPr>
        <w:t>of the household head positively affect the decision to start school</w:t>
      </w:r>
      <w:r w:rsidR="000837CB" w:rsidRPr="00477D8F">
        <w:rPr>
          <w:rFonts w:ascii="Sylfaen" w:hAnsi="Sylfaen" w:cstheme="majorBidi"/>
        </w:rPr>
        <w:t>,</w:t>
      </w:r>
      <w:r w:rsidR="00D30519" w:rsidRPr="00477D8F">
        <w:rPr>
          <w:rFonts w:ascii="Sylfaen" w:hAnsi="Sylfaen" w:cstheme="majorBidi"/>
        </w:rPr>
        <w:t xml:space="preserve"> </w:t>
      </w:r>
      <w:r w:rsidR="000837CB" w:rsidRPr="00477D8F">
        <w:rPr>
          <w:rFonts w:ascii="Sylfaen" w:hAnsi="Sylfaen" w:cstheme="majorBidi"/>
        </w:rPr>
        <w:t xml:space="preserve">whereas the following characteristics reduce the chances of starting school on time: </w:t>
      </w:r>
      <w:r w:rsidR="00D30519" w:rsidRPr="00477D8F">
        <w:rPr>
          <w:rFonts w:ascii="Sylfaen" w:hAnsi="Sylfaen" w:cstheme="majorBidi"/>
        </w:rPr>
        <w:t>female,</w:t>
      </w:r>
      <w:r w:rsidR="000837CB" w:rsidRPr="00477D8F">
        <w:rPr>
          <w:rFonts w:ascii="Sylfaen" w:hAnsi="Sylfaen" w:cstheme="majorBidi"/>
        </w:rPr>
        <w:t xml:space="preserve"> </w:t>
      </w:r>
      <w:r w:rsidR="003324F8" w:rsidRPr="00477D8F">
        <w:rPr>
          <w:rFonts w:ascii="Sylfaen" w:hAnsi="Sylfaen" w:cstheme="majorBidi"/>
        </w:rPr>
        <w:t xml:space="preserve">being from rural area, household </w:t>
      </w:r>
      <w:r w:rsidR="003324F8" w:rsidRPr="00477D8F">
        <w:rPr>
          <w:rFonts w:ascii="Sylfaen" w:hAnsi="Sylfaen" w:cstheme="majorBidi"/>
        </w:rPr>
        <w:lastRenderedPageBreak/>
        <w:t>head with no formal education, too</w:t>
      </w:r>
      <w:r w:rsidR="00D30519" w:rsidRPr="00477D8F">
        <w:rPr>
          <w:rFonts w:ascii="Sylfaen" w:hAnsi="Sylfaen" w:cstheme="majorBidi"/>
        </w:rPr>
        <w:t xml:space="preserve"> young</w:t>
      </w:r>
      <w:r w:rsidR="002A4A22" w:rsidRPr="00477D8F">
        <w:rPr>
          <w:rFonts w:ascii="Sylfaen" w:hAnsi="Sylfaen" w:cstheme="majorBidi"/>
        </w:rPr>
        <w:t>,</w:t>
      </w:r>
      <w:r w:rsidR="00D30519" w:rsidRPr="00477D8F">
        <w:rPr>
          <w:rFonts w:ascii="Sylfaen" w:hAnsi="Sylfaen" w:cstheme="majorBidi"/>
        </w:rPr>
        <w:t xml:space="preserve"> and a large household size</w:t>
      </w:r>
      <w:r w:rsidR="00454B9A" w:rsidRPr="00477D8F">
        <w:rPr>
          <w:rFonts w:ascii="Sylfaen" w:hAnsi="Sylfaen" w:cstheme="majorBidi"/>
        </w:rPr>
        <w:t>.</w:t>
      </w:r>
      <w:r w:rsidR="000837CB" w:rsidRPr="00477D8F">
        <w:rPr>
          <w:rFonts w:ascii="Sylfaen" w:hAnsi="Sylfaen" w:cstheme="majorBidi"/>
        </w:rPr>
        <w:t xml:space="preserve"> </w:t>
      </w:r>
      <w:r w:rsidR="00D30519" w:rsidRPr="00477D8F">
        <w:rPr>
          <w:rFonts w:ascii="Sylfaen" w:hAnsi="Sylfaen" w:cstheme="majorBidi"/>
        </w:rPr>
        <w:t>The effect of wealth is</w:t>
      </w:r>
      <w:r w:rsidR="000837CB" w:rsidRPr="00477D8F">
        <w:rPr>
          <w:rFonts w:ascii="Sylfaen" w:hAnsi="Sylfaen" w:cstheme="majorBidi"/>
        </w:rPr>
        <w:t xml:space="preserve"> even</w:t>
      </w:r>
      <w:r w:rsidR="00D30519" w:rsidRPr="00477D8F">
        <w:rPr>
          <w:rFonts w:ascii="Sylfaen" w:hAnsi="Sylfaen" w:cstheme="majorBidi"/>
        </w:rPr>
        <w:t xml:space="preserve"> more relevant at the secondary transition</w:t>
      </w:r>
      <w:r w:rsidR="00896DA9" w:rsidRPr="00477D8F">
        <w:rPr>
          <w:rFonts w:ascii="Sylfaen" w:hAnsi="Sylfaen" w:cstheme="majorBidi"/>
        </w:rPr>
        <w:t>.</w:t>
      </w:r>
    </w:p>
    <w:tbl>
      <w:tblPr>
        <w:tblW w:w="9049" w:type="dxa"/>
        <w:tblLook w:val="04A0" w:firstRow="1" w:lastRow="0" w:firstColumn="1" w:lastColumn="0" w:noHBand="0" w:noVBand="1"/>
      </w:tblPr>
      <w:tblGrid>
        <w:gridCol w:w="9049"/>
      </w:tblGrid>
      <w:tr w:rsidR="009D0CB1" w:rsidRPr="00477D8F" w14:paraId="4E90E44A" w14:textId="77777777" w:rsidTr="00CB2321">
        <w:trPr>
          <w:trHeight w:val="217"/>
        </w:trPr>
        <w:tc>
          <w:tcPr>
            <w:tcW w:w="9049" w:type="dxa"/>
          </w:tcPr>
          <w:p w14:paraId="0300BE4B" w14:textId="5DDE374A" w:rsidR="009D0CB1" w:rsidRPr="00477D8F" w:rsidRDefault="009D0CB1" w:rsidP="00146A91">
            <w:pPr>
              <w:pStyle w:val="Caption1"/>
            </w:pPr>
            <w:bookmarkStart w:id="190" w:name="_Ref468623795"/>
            <w:bookmarkStart w:id="191" w:name="_Toc469043612"/>
            <w:bookmarkStart w:id="192" w:name="_Toc476829076"/>
            <w:bookmarkStart w:id="193" w:name="_Toc480445351"/>
            <w:bookmarkStart w:id="194" w:name="_Toc497171808"/>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38</w:t>
            </w:r>
            <w:r w:rsidR="002E5BDF" w:rsidRPr="00477D8F">
              <w:rPr>
                <w:noProof/>
              </w:rPr>
              <w:fldChar w:fldCharType="end"/>
            </w:r>
            <w:bookmarkEnd w:id="190"/>
            <w:r w:rsidRPr="00477D8F">
              <w:t xml:space="preserve">: Survival rate </w:t>
            </w:r>
            <w:bookmarkEnd w:id="191"/>
            <w:bookmarkEnd w:id="192"/>
            <w:r w:rsidRPr="00477D8F">
              <w:t xml:space="preserve">through grade </w:t>
            </w:r>
            <w:bookmarkEnd w:id="193"/>
            <w:r w:rsidR="00E659E3" w:rsidRPr="00477D8F">
              <w:t>12 and school attendance tree for age</w:t>
            </w:r>
            <w:r w:rsidR="002A4A22" w:rsidRPr="00477D8F">
              <w:t>s</w:t>
            </w:r>
            <w:r w:rsidR="00E659E3" w:rsidRPr="00477D8F">
              <w:t xml:space="preserve"> 15</w:t>
            </w:r>
            <w:r w:rsidR="002A4A22" w:rsidRPr="00477D8F">
              <w:t>–</w:t>
            </w:r>
            <w:r w:rsidR="00E659E3" w:rsidRPr="00477D8F">
              <w:t>24</w:t>
            </w:r>
            <w:bookmarkEnd w:id="194"/>
          </w:p>
        </w:tc>
      </w:tr>
      <w:tr w:rsidR="009D0CB1" w:rsidRPr="00477D8F" w14:paraId="452A2F07" w14:textId="77777777" w:rsidTr="002E12FD">
        <w:trPr>
          <w:trHeight w:val="2774"/>
        </w:trPr>
        <w:tc>
          <w:tcPr>
            <w:tcW w:w="9049" w:type="dxa"/>
          </w:tcPr>
          <w:p w14:paraId="2792C8B2" w14:textId="77777777" w:rsidR="009D0CB1" w:rsidRPr="00477D8F" w:rsidRDefault="002E12FD" w:rsidP="00CB2321">
            <w:pPr>
              <w:rPr>
                <w:rFonts w:ascii="Sylfaen" w:hAnsi="Sylfaen" w:cstheme="majorBidi"/>
              </w:rPr>
            </w:pPr>
            <w:r w:rsidRPr="00477D8F">
              <w:rPr>
                <w:rFonts w:ascii="Sylfaen" w:hAnsi="Sylfaen"/>
                <w:noProof/>
              </w:rPr>
              <w:drawing>
                <wp:inline distT="0" distB="0" distL="0" distR="0" wp14:anchorId="5CA55A56" wp14:editId="4E876EB5">
                  <wp:extent cx="2698750" cy="2803474"/>
                  <wp:effectExtent l="0" t="0" r="6350" b="1651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003171AA" w:rsidRPr="00477D8F">
              <w:rPr>
                <w:rFonts w:ascii="Sylfaen" w:hAnsi="Sylfaen"/>
                <w:noProof/>
              </w:rPr>
              <w:drawing>
                <wp:inline distT="0" distB="0" distL="0" distR="0" wp14:anchorId="3CAEEAF3" wp14:editId="1D7833E9">
                  <wp:extent cx="2838297" cy="2803525"/>
                  <wp:effectExtent l="0" t="0" r="635" b="15875"/>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r>
      <w:tr w:rsidR="009D0CB1" w:rsidRPr="00477D8F" w14:paraId="03743266" w14:textId="77777777" w:rsidTr="00CB2321">
        <w:trPr>
          <w:trHeight w:val="357"/>
        </w:trPr>
        <w:tc>
          <w:tcPr>
            <w:tcW w:w="9049" w:type="dxa"/>
          </w:tcPr>
          <w:p w14:paraId="7E5AFBA0" w14:textId="5FCC2200" w:rsidR="009D0CB1" w:rsidRPr="00477D8F" w:rsidRDefault="009D0CB1" w:rsidP="00146A91">
            <w:pPr>
              <w:pStyle w:val="Source"/>
              <w:rPr>
                <w:rFonts w:cstheme="majorBidi"/>
              </w:rPr>
            </w:pPr>
            <w:r w:rsidRPr="00477D8F">
              <w:rPr>
                <w:rFonts w:cstheme="majorBidi"/>
                <w:i/>
              </w:rPr>
              <w:t>Source:</w:t>
            </w:r>
            <w:r w:rsidRPr="00477D8F">
              <w:rPr>
                <w:rFonts w:cstheme="majorBidi"/>
              </w:rPr>
              <w:t xml:space="preserve"> </w:t>
            </w:r>
            <w:r w:rsidR="00E659E3" w:rsidRPr="00477D8F">
              <w:t>Authors’ estimations based on IHS 2015</w:t>
            </w:r>
            <w:r w:rsidR="00146A91" w:rsidRPr="00477D8F">
              <w:t>.</w:t>
            </w:r>
          </w:p>
        </w:tc>
      </w:tr>
    </w:tbl>
    <w:p w14:paraId="370992C7" w14:textId="794066EB" w:rsidR="00015EEC" w:rsidRPr="00477D8F" w:rsidRDefault="00B7762F" w:rsidP="00895872">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An alternative</w:t>
      </w:r>
      <w:r w:rsidR="00015EEC" w:rsidRPr="00477D8F">
        <w:rPr>
          <w:rFonts w:ascii="Sylfaen" w:hAnsi="Sylfaen"/>
          <w:b/>
        </w:rPr>
        <w:t xml:space="preserve"> </w:t>
      </w:r>
      <w:r w:rsidR="00165A18" w:rsidRPr="00477D8F">
        <w:rPr>
          <w:rFonts w:ascii="Sylfaen" w:hAnsi="Sylfaen"/>
          <w:b/>
        </w:rPr>
        <w:t xml:space="preserve">measure of internal efficiency </w:t>
      </w:r>
      <w:r w:rsidR="00015EEC" w:rsidRPr="00477D8F">
        <w:rPr>
          <w:rFonts w:ascii="Sylfaen" w:hAnsi="Sylfaen"/>
          <w:b/>
        </w:rPr>
        <w:t xml:space="preserve">shows that The Gambia’s educational attainment is lower </w:t>
      </w:r>
      <w:r w:rsidR="00D356B4" w:rsidRPr="00477D8F">
        <w:rPr>
          <w:rFonts w:ascii="Sylfaen" w:hAnsi="Sylfaen"/>
          <w:b/>
        </w:rPr>
        <w:t xml:space="preserve">than other SSA countries </w:t>
      </w:r>
      <w:r w:rsidR="00015EEC" w:rsidRPr="00477D8F">
        <w:rPr>
          <w:rFonts w:ascii="Sylfaen" w:hAnsi="Sylfaen"/>
          <w:b/>
        </w:rPr>
        <w:t>relative to its GDP per capita.</w:t>
      </w:r>
      <w:r w:rsidR="00015EEC" w:rsidRPr="00477D8F">
        <w:rPr>
          <w:rFonts w:ascii="Sylfaen" w:hAnsi="Sylfaen"/>
        </w:rPr>
        <w:t xml:space="preserve"> There are several countries in SSA who accumulate more years of schooling at a lower GDP per capita than The Gambia (</w:t>
      </w:r>
      <w:r w:rsidR="00165A18" w:rsidRPr="00477D8F">
        <w:rPr>
          <w:rFonts w:ascii="Sylfaen" w:hAnsi="Sylfaen"/>
        </w:rPr>
        <w:fldChar w:fldCharType="begin"/>
      </w:r>
      <w:r w:rsidR="00165A18" w:rsidRPr="00477D8F">
        <w:rPr>
          <w:rFonts w:ascii="Sylfaen" w:hAnsi="Sylfaen"/>
        </w:rPr>
        <w:instrText xml:space="preserve"> REF _Ref483136459 \h </w:instrText>
      </w:r>
      <w:r w:rsidR="00212BE2" w:rsidRPr="00477D8F">
        <w:rPr>
          <w:rFonts w:ascii="Sylfaen" w:hAnsi="Sylfaen"/>
        </w:rPr>
        <w:instrText xml:space="preserve"> \* MERGEFORMAT </w:instrText>
      </w:r>
      <w:r w:rsidR="00165A18" w:rsidRPr="00477D8F">
        <w:rPr>
          <w:rFonts w:ascii="Sylfaen" w:hAnsi="Sylfaen"/>
        </w:rPr>
      </w:r>
      <w:r w:rsidR="00165A18" w:rsidRPr="00477D8F">
        <w:rPr>
          <w:rFonts w:ascii="Sylfaen" w:hAnsi="Sylfaen"/>
        </w:rPr>
        <w:fldChar w:fldCharType="separate"/>
      </w:r>
      <w:r w:rsidR="00F800F3" w:rsidRPr="00477D8F">
        <w:rPr>
          <w:rFonts w:ascii="Sylfaen" w:eastAsia="Times New Roman" w:hAnsi="Sylfaen" w:cs="Times New Roman"/>
          <w:bCs/>
        </w:rPr>
        <w:t xml:space="preserve">Figure </w:t>
      </w:r>
      <w:r w:rsidR="00F800F3" w:rsidRPr="00477D8F">
        <w:rPr>
          <w:rFonts w:ascii="Sylfaen" w:eastAsia="Times New Roman" w:hAnsi="Sylfaen" w:cs="Times New Roman"/>
          <w:bCs/>
          <w:noProof/>
        </w:rPr>
        <w:t>39</w:t>
      </w:r>
      <w:r w:rsidR="00165A18" w:rsidRPr="00477D8F">
        <w:rPr>
          <w:rFonts w:ascii="Sylfaen" w:hAnsi="Sylfaen"/>
        </w:rPr>
        <w:fldChar w:fldCharType="end"/>
      </w:r>
      <w:r w:rsidR="00015EEC" w:rsidRPr="00477D8F">
        <w:rPr>
          <w:rFonts w:ascii="Sylfaen" w:hAnsi="Sylfaen"/>
        </w:rPr>
        <w:t xml:space="preserve">). This </w:t>
      </w:r>
      <w:r w:rsidR="001B220F" w:rsidRPr="00477D8F">
        <w:rPr>
          <w:rFonts w:ascii="Sylfaen" w:hAnsi="Sylfaen"/>
        </w:rPr>
        <w:t>affects</w:t>
      </w:r>
      <w:r w:rsidR="00D356B4" w:rsidRPr="00477D8F">
        <w:rPr>
          <w:rFonts w:ascii="Sylfaen" w:hAnsi="Sylfaen"/>
        </w:rPr>
        <w:t xml:space="preserve"> the country’s ability to adequately provide the skilled human capital required in an economy </w:t>
      </w:r>
      <w:r w:rsidR="00FE4933" w:rsidRPr="00477D8F">
        <w:rPr>
          <w:rFonts w:ascii="Sylfaen" w:hAnsi="Sylfaen"/>
        </w:rPr>
        <w:t>that</w:t>
      </w:r>
      <w:r w:rsidR="00D356B4" w:rsidRPr="00477D8F">
        <w:rPr>
          <w:rFonts w:ascii="Sylfaen" w:hAnsi="Sylfaen"/>
        </w:rPr>
        <w:t xml:space="preserve"> largely depends on the service</w:t>
      </w:r>
      <w:r w:rsidR="00FE4933" w:rsidRPr="00477D8F">
        <w:rPr>
          <w:rFonts w:ascii="Sylfaen" w:hAnsi="Sylfaen"/>
        </w:rPr>
        <w:t>s</w:t>
      </w:r>
      <w:r w:rsidR="00D356B4" w:rsidRPr="00477D8F">
        <w:rPr>
          <w:rFonts w:ascii="Sylfaen" w:hAnsi="Sylfaen"/>
        </w:rPr>
        <w:t xml:space="preserve"> sector and further reinforces the need to </w:t>
      </w:r>
      <w:r w:rsidR="00015EEC" w:rsidRPr="00477D8F">
        <w:rPr>
          <w:rFonts w:ascii="Sylfaen" w:hAnsi="Sylfaen"/>
        </w:rPr>
        <w:t>strengthen the education system in The Gambia.</w:t>
      </w:r>
    </w:p>
    <w:tbl>
      <w:tblPr>
        <w:tblStyle w:val="TableGrid11"/>
        <w:tblW w:w="9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015EEC" w:rsidRPr="00477D8F" w14:paraId="01AD8774" w14:textId="77777777" w:rsidTr="00C61A2E">
        <w:trPr>
          <w:trHeight w:val="17"/>
        </w:trPr>
        <w:tc>
          <w:tcPr>
            <w:tcW w:w="9281" w:type="dxa"/>
            <w:hideMark/>
          </w:tcPr>
          <w:p w14:paraId="0550A3EE" w14:textId="7914F2E3" w:rsidR="00015EEC" w:rsidRPr="00477D8F" w:rsidRDefault="00015EEC" w:rsidP="002D1C73">
            <w:pPr>
              <w:pStyle w:val="Caption1"/>
              <w:keepLines/>
            </w:pPr>
            <w:bookmarkStart w:id="195" w:name="_Ref483136459"/>
            <w:bookmarkStart w:id="196" w:name="_Toc497171809"/>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39</w:t>
            </w:r>
            <w:r w:rsidR="002E5BDF" w:rsidRPr="00477D8F">
              <w:rPr>
                <w:noProof/>
              </w:rPr>
              <w:fldChar w:fldCharType="end"/>
            </w:r>
            <w:bookmarkEnd w:id="195"/>
            <w:r w:rsidRPr="00477D8F">
              <w:t>: Share of labor force population with no formal education, age</w:t>
            </w:r>
            <w:r w:rsidR="00412E00" w:rsidRPr="00477D8F">
              <w:t>s</w:t>
            </w:r>
            <w:r w:rsidRPr="00477D8F">
              <w:t xml:space="preserve"> 15</w:t>
            </w:r>
            <w:r w:rsidR="00412E00" w:rsidRPr="00477D8F">
              <w:t>–</w:t>
            </w:r>
            <w:r w:rsidRPr="00477D8F">
              <w:t>24 and age</w:t>
            </w:r>
            <w:r w:rsidR="00412E00" w:rsidRPr="00477D8F">
              <w:t>s</w:t>
            </w:r>
            <w:r w:rsidRPr="00477D8F">
              <w:t xml:space="preserve"> 25</w:t>
            </w:r>
            <w:r w:rsidR="00412E00" w:rsidRPr="00477D8F">
              <w:t>–</w:t>
            </w:r>
            <w:r w:rsidRPr="00477D8F">
              <w:t>64</w:t>
            </w:r>
            <w:bookmarkEnd w:id="196"/>
          </w:p>
        </w:tc>
      </w:tr>
      <w:tr w:rsidR="00015EEC" w:rsidRPr="00477D8F" w14:paraId="2B1456CB" w14:textId="77777777" w:rsidTr="00C61A2E">
        <w:trPr>
          <w:trHeight w:val="17"/>
        </w:trPr>
        <w:tc>
          <w:tcPr>
            <w:tcW w:w="9281" w:type="dxa"/>
            <w:hideMark/>
          </w:tcPr>
          <w:p w14:paraId="13A138FF" w14:textId="6F2CE701" w:rsidR="00015EEC" w:rsidRPr="00477D8F" w:rsidRDefault="00015EEC" w:rsidP="00982284">
            <w:pPr>
              <w:keepNext/>
              <w:keepLines/>
              <w:autoSpaceDE w:val="0"/>
              <w:autoSpaceDN w:val="0"/>
              <w:adjustRightInd w:val="0"/>
              <w:rPr>
                <w:rFonts w:ascii="Sylfaen" w:hAnsi="Sylfaen" w:cs="Times New Roman"/>
                <w:bCs/>
              </w:rPr>
            </w:pPr>
            <w:r w:rsidRPr="00477D8F">
              <w:rPr>
                <w:rFonts w:ascii="Sylfaen" w:hAnsi="Sylfaen"/>
                <w:noProof/>
              </w:rPr>
              <w:drawing>
                <wp:inline distT="0" distB="0" distL="0" distR="0" wp14:anchorId="276C3E00" wp14:editId="6856466D">
                  <wp:extent cx="5902960" cy="2596896"/>
                  <wp:effectExtent l="0" t="0" r="2540" b="1333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r>
      <w:tr w:rsidR="00015EEC" w:rsidRPr="00477D8F" w14:paraId="6966A621" w14:textId="77777777" w:rsidTr="00C61A2E">
        <w:trPr>
          <w:trHeight w:val="17"/>
        </w:trPr>
        <w:tc>
          <w:tcPr>
            <w:tcW w:w="9281" w:type="dxa"/>
            <w:hideMark/>
          </w:tcPr>
          <w:p w14:paraId="46528083" w14:textId="68476BE2" w:rsidR="00015EEC" w:rsidRPr="00477D8F" w:rsidRDefault="00015EEC" w:rsidP="00C61A2E">
            <w:pPr>
              <w:pStyle w:val="Source"/>
            </w:pPr>
            <w:r w:rsidRPr="00477D8F">
              <w:rPr>
                <w:i/>
              </w:rPr>
              <w:t>Source:</w:t>
            </w:r>
            <w:r w:rsidRPr="00477D8F">
              <w:t xml:space="preserve"> Authors’ estimations based on similar </w:t>
            </w:r>
            <w:r w:rsidR="00146A91" w:rsidRPr="00477D8F">
              <w:t>HIS.</w:t>
            </w:r>
          </w:p>
          <w:p w14:paraId="66190877" w14:textId="33B6E2FB" w:rsidR="00015EEC" w:rsidRPr="00477D8F" w:rsidRDefault="00F6595C" w:rsidP="00C61A2E">
            <w:pPr>
              <w:pStyle w:val="Source"/>
            </w:pPr>
            <w:r w:rsidRPr="00477D8F">
              <w:rPr>
                <w:i/>
              </w:rPr>
              <w:t>Note:</w:t>
            </w:r>
            <w:r w:rsidRPr="00477D8F">
              <w:t xml:space="preserve"> C</w:t>
            </w:r>
            <w:r w:rsidR="00015EEC" w:rsidRPr="00477D8F">
              <w:t>ountries with GDP per capita, PPP above 5</w:t>
            </w:r>
            <w:r w:rsidR="00412E00" w:rsidRPr="00477D8F">
              <w:t>,</w:t>
            </w:r>
            <w:r w:rsidR="00015EEC" w:rsidRPr="00477D8F">
              <w:t>000 were excluded</w:t>
            </w:r>
            <w:r w:rsidR="00146A91" w:rsidRPr="00477D8F">
              <w:t>.</w:t>
            </w:r>
          </w:p>
        </w:tc>
      </w:tr>
    </w:tbl>
    <w:p w14:paraId="7DF537B4" w14:textId="4F8EB91F" w:rsidR="00E31A42" w:rsidRPr="00477D8F" w:rsidRDefault="002D51ED" w:rsidP="00ED0E68">
      <w:pPr>
        <w:pStyle w:val="Heading2"/>
        <w:rPr>
          <w:b/>
        </w:rPr>
      </w:pPr>
      <w:bookmarkStart w:id="197" w:name="_Toc482618479"/>
      <w:bookmarkStart w:id="198" w:name="_Toc482649937"/>
      <w:bookmarkStart w:id="199" w:name="_Toc497171876"/>
      <w:r w:rsidRPr="00477D8F">
        <w:t xml:space="preserve">External </w:t>
      </w:r>
      <w:r w:rsidR="000217D4" w:rsidRPr="00477D8F">
        <w:t>e</w:t>
      </w:r>
      <w:r w:rsidRPr="00477D8F">
        <w:t>fficiency</w:t>
      </w:r>
      <w:bookmarkEnd w:id="197"/>
      <w:bookmarkEnd w:id="198"/>
      <w:bookmarkEnd w:id="199"/>
      <w:r w:rsidRPr="00477D8F">
        <w:t xml:space="preserve"> </w:t>
      </w:r>
    </w:p>
    <w:p w14:paraId="60D070CF" w14:textId="7060076F" w:rsidR="002D51ED" w:rsidRPr="00477D8F" w:rsidRDefault="00165A18" w:rsidP="00895872">
      <w:pPr>
        <w:pStyle w:val="ListParagraph"/>
        <w:numPr>
          <w:ilvl w:val="0"/>
          <w:numId w:val="24"/>
        </w:numPr>
        <w:autoSpaceDE w:val="0"/>
        <w:autoSpaceDN w:val="0"/>
        <w:adjustRightInd w:val="0"/>
        <w:spacing w:before="240" w:after="240" w:line="240" w:lineRule="auto"/>
        <w:ind w:left="0" w:firstLine="0"/>
        <w:contextualSpacing w:val="0"/>
        <w:jc w:val="both"/>
        <w:rPr>
          <w:rFonts w:ascii="Sylfaen" w:eastAsia="Times New Roman" w:hAnsi="Sylfaen" w:cs="Times New Roman"/>
          <w:color w:val="000000"/>
        </w:rPr>
      </w:pPr>
      <w:r w:rsidRPr="00477D8F">
        <w:rPr>
          <w:rFonts w:ascii="Sylfaen" w:hAnsi="Sylfaen"/>
          <w:b/>
        </w:rPr>
        <w:t xml:space="preserve">The Gambia’s labor market signals </w:t>
      </w:r>
      <w:r w:rsidR="00D356B4" w:rsidRPr="00477D8F">
        <w:rPr>
          <w:rFonts w:ascii="Sylfaen" w:hAnsi="Sylfaen"/>
          <w:b/>
        </w:rPr>
        <w:t>better</w:t>
      </w:r>
      <w:r w:rsidR="000F55A6" w:rsidRPr="00477D8F">
        <w:rPr>
          <w:rFonts w:ascii="Sylfaen" w:hAnsi="Sylfaen"/>
          <w:b/>
        </w:rPr>
        <w:t xml:space="preserve"> returns </w:t>
      </w:r>
      <w:r w:rsidRPr="00477D8F">
        <w:rPr>
          <w:rFonts w:ascii="Sylfaen" w:hAnsi="Sylfaen"/>
          <w:b/>
        </w:rPr>
        <w:t xml:space="preserve">and employment opportunities </w:t>
      </w:r>
      <w:r w:rsidR="000F55A6" w:rsidRPr="00477D8F">
        <w:rPr>
          <w:rFonts w:ascii="Sylfaen" w:hAnsi="Sylfaen"/>
          <w:b/>
        </w:rPr>
        <w:t>for higher level of skills</w:t>
      </w:r>
      <w:r w:rsidR="00D356B4" w:rsidRPr="00477D8F">
        <w:rPr>
          <w:rFonts w:ascii="Sylfaen" w:hAnsi="Sylfaen"/>
          <w:b/>
        </w:rPr>
        <w:t>.</w:t>
      </w:r>
      <w:r w:rsidR="000F55A6" w:rsidRPr="00477D8F">
        <w:rPr>
          <w:rFonts w:ascii="Sylfaen" w:hAnsi="Sylfaen"/>
          <w:b/>
        </w:rPr>
        <w:t xml:space="preserve"> </w:t>
      </w:r>
      <w:r w:rsidR="00D25490" w:rsidRPr="00477D8F">
        <w:rPr>
          <w:rFonts w:ascii="Sylfaen" w:hAnsi="Sylfaen"/>
        </w:rPr>
        <w:t>While education has direct and indirect economic and social impacts, this section only focuses on the economic effects. As such</w:t>
      </w:r>
      <w:r w:rsidR="00BA33E5" w:rsidRPr="00477D8F">
        <w:rPr>
          <w:rFonts w:ascii="Sylfaen" w:hAnsi="Sylfaen"/>
        </w:rPr>
        <w:t>,</w:t>
      </w:r>
      <w:r w:rsidR="00D25490" w:rsidRPr="00477D8F">
        <w:rPr>
          <w:rFonts w:ascii="Sylfaen" w:hAnsi="Sylfaen"/>
        </w:rPr>
        <w:t xml:space="preserve"> the efficiency of the education sector is measured in terms of the value that education offers though earnings and employment opportunities.</w:t>
      </w:r>
      <w:r w:rsidR="00272695" w:rsidRPr="00477D8F">
        <w:rPr>
          <w:rFonts w:ascii="Sylfaen" w:hAnsi="Sylfaen"/>
        </w:rPr>
        <w:t xml:space="preserve"> </w:t>
      </w:r>
      <w:r w:rsidR="00D25490" w:rsidRPr="00477D8F">
        <w:rPr>
          <w:rFonts w:ascii="Sylfaen" w:eastAsia="Times New Roman" w:hAnsi="Sylfaen"/>
        </w:rPr>
        <w:t xml:space="preserve">For example, average estimated earnings increase </w:t>
      </w:r>
      <w:r w:rsidR="00D25490" w:rsidRPr="00477D8F">
        <w:rPr>
          <w:rFonts w:ascii="Sylfaen" w:hAnsi="Sylfaen"/>
        </w:rPr>
        <w:t>from GMD</w:t>
      </w:r>
      <w:r w:rsidR="00B240E2" w:rsidRPr="00477D8F">
        <w:rPr>
          <w:rFonts w:ascii="Sylfaen" w:hAnsi="Sylfaen"/>
        </w:rPr>
        <w:t xml:space="preserve"> </w:t>
      </w:r>
      <w:r w:rsidR="00D25490" w:rsidRPr="00477D8F">
        <w:rPr>
          <w:rFonts w:ascii="Sylfaen" w:hAnsi="Sylfaen"/>
        </w:rPr>
        <w:t>2</w:t>
      </w:r>
      <w:r w:rsidR="00B240E2" w:rsidRPr="00477D8F">
        <w:rPr>
          <w:rFonts w:ascii="Sylfaen" w:hAnsi="Sylfaen"/>
        </w:rPr>
        <w:t>,</w:t>
      </w:r>
      <w:r w:rsidR="00D25490" w:rsidRPr="00477D8F">
        <w:rPr>
          <w:rFonts w:ascii="Sylfaen" w:hAnsi="Sylfaen"/>
        </w:rPr>
        <w:t>299 for the working</w:t>
      </w:r>
      <w:r w:rsidR="00B240E2" w:rsidRPr="00477D8F">
        <w:rPr>
          <w:rFonts w:ascii="Sylfaen" w:hAnsi="Sylfaen"/>
        </w:rPr>
        <w:t>-</w:t>
      </w:r>
      <w:r w:rsidR="00D25490" w:rsidRPr="00477D8F">
        <w:rPr>
          <w:rFonts w:ascii="Sylfaen" w:hAnsi="Sylfaen"/>
        </w:rPr>
        <w:t>age population with no formal education to GMD</w:t>
      </w:r>
      <w:r w:rsidR="00B240E2" w:rsidRPr="00477D8F">
        <w:rPr>
          <w:rFonts w:ascii="Sylfaen" w:hAnsi="Sylfaen"/>
        </w:rPr>
        <w:t xml:space="preserve"> </w:t>
      </w:r>
      <w:r w:rsidR="00D25490" w:rsidRPr="00477D8F">
        <w:rPr>
          <w:rFonts w:ascii="Sylfaen" w:hAnsi="Sylfaen"/>
        </w:rPr>
        <w:t>4</w:t>
      </w:r>
      <w:r w:rsidR="00B240E2" w:rsidRPr="00477D8F">
        <w:rPr>
          <w:rFonts w:ascii="Sylfaen" w:hAnsi="Sylfaen"/>
        </w:rPr>
        <w:t>,</w:t>
      </w:r>
      <w:r w:rsidR="00D25490" w:rsidRPr="00477D8F">
        <w:rPr>
          <w:rFonts w:ascii="Sylfaen" w:hAnsi="Sylfaen"/>
        </w:rPr>
        <w:t>581 for those with a postsecondary education level (</w:t>
      </w:r>
      <w:r w:rsidR="00D25490" w:rsidRPr="00477D8F">
        <w:rPr>
          <w:rFonts w:ascii="Sylfaen" w:eastAsia="Times New Roman" w:hAnsi="Sylfaen"/>
        </w:rPr>
        <w:fldChar w:fldCharType="begin"/>
      </w:r>
      <w:r w:rsidR="00D25490" w:rsidRPr="00477D8F">
        <w:rPr>
          <w:rFonts w:ascii="Sylfaen" w:eastAsia="Times New Roman" w:hAnsi="Sylfaen"/>
        </w:rPr>
        <w:instrText xml:space="preserve"> REF _Ref481004487 \h  \* MERGEFORMAT </w:instrText>
      </w:r>
      <w:r w:rsidR="00D25490" w:rsidRPr="00477D8F">
        <w:rPr>
          <w:rFonts w:ascii="Sylfaen" w:eastAsia="Times New Roman" w:hAnsi="Sylfaen"/>
        </w:rPr>
      </w:r>
      <w:r w:rsidR="00D25490" w:rsidRPr="00477D8F">
        <w:rPr>
          <w:rFonts w:ascii="Sylfaen" w:eastAsia="Times New Roman" w:hAnsi="Sylfaen"/>
        </w:rPr>
        <w:fldChar w:fldCharType="separate"/>
      </w:r>
      <w:r w:rsidR="00F800F3" w:rsidRPr="00477D8F">
        <w:rPr>
          <w:rFonts w:ascii="Sylfaen" w:hAnsi="Sylfaen"/>
          <w:bCs/>
        </w:rPr>
        <w:t>Figure 40</w:t>
      </w:r>
      <w:r w:rsidR="00D25490" w:rsidRPr="00477D8F">
        <w:rPr>
          <w:rFonts w:ascii="Sylfaen" w:eastAsia="Times New Roman" w:hAnsi="Sylfaen"/>
        </w:rPr>
        <w:fldChar w:fldCharType="end"/>
      </w:r>
      <w:r w:rsidR="00D25490" w:rsidRPr="00477D8F">
        <w:rPr>
          <w:rFonts w:ascii="Sylfaen" w:eastAsia="Times New Roman" w:hAnsi="Sylfaen"/>
        </w:rPr>
        <w:t>)</w:t>
      </w:r>
      <w:r w:rsidR="00D25490" w:rsidRPr="00477D8F">
        <w:rPr>
          <w:rFonts w:ascii="Sylfaen" w:hAnsi="Sylfaen"/>
        </w:rPr>
        <w:t>. A</w:t>
      </w:r>
      <w:r w:rsidR="008856D5" w:rsidRPr="00477D8F">
        <w:rPr>
          <w:rFonts w:ascii="Sylfaen" w:hAnsi="Sylfaen"/>
        </w:rPr>
        <w:t xml:space="preserve"> high share of wage employment appears to be in the services sector and the poverty rate among wage employees is generally low. </w:t>
      </w:r>
      <w:r w:rsidR="00D25490" w:rsidRPr="00477D8F">
        <w:rPr>
          <w:rFonts w:ascii="Sylfaen" w:hAnsi="Sylfaen"/>
        </w:rPr>
        <w:t xml:space="preserve">In The Gambia, more educated individuals tend to work in the services sector </w:t>
      </w:r>
      <w:r w:rsidR="00FA7303" w:rsidRPr="00477D8F">
        <w:rPr>
          <w:rFonts w:ascii="Sylfaen" w:hAnsi="Sylfaen"/>
        </w:rPr>
        <w:t>because</w:t>
      </w:r>
      <w:r w:rsidR="00D25490" w:rsidRPr="00477D8F">
        <w:rPr>
          <w:rFonts w:ascii="Sylfaen" w:hAnsi="Sylfaen"/>
        </w:rPr>
        <w:t xml:space="preserve"> it offers better economic benefits and formal employmen</w:t>
      </w:r>
      <w:r w:rsidR="00603FB0" w:rsidRPr="00477D8F">
        <w:rPr>
          <w:rFonts w:ascii="Sylfaen" w:hAnsi="Sylfaen"/>
        </w:rPr>
        <w:t xml:space="preserve">t. </w:t>
      </w:r>
      <w:r w:rsidR="00D25490" w:rsidRPr="00477D8F">
        <w:rPr>
          <w:rFonts w:ascii="Sylfaen" w:eastAsia="Times New Roman" w:hAnsi="Sylfaen"/>
        </w:rPr>
        <w:t>O</w:t>
      </w:r>
      <w:r w:rsidR="008856D5" w:rsidRPr="00477D8F">
        <w:rPr>
          <w:rFonts w:ascii="Sylfaen" w:eastAsia="Times New Roman" w:hAnsi="Sylfaen"/>
        </w:rPr>
        <w:t>nly 34 percent of the working</w:t>
      </w:r>
      <w:r w:rsidR="00FA7303" w:rsidRPr="00477D8F">
        <w:rPr>
          <w:rFonts w:ascii="Sylfaen" w:eastAsia="Times New Roman" w:hAnsi="Sylfaen"/>
        </w:rPr>
        <w:t>-</w:t>
      </w:r>
      <w:r w:rsidR="008856D5" w:rsidRPr="00477D8F">
        <w:rPr>
          <w:rFonts w:ascii="Sylfaen" w:eastAsia="Times New Roman" w:hAnsi="Sylfaen"/>
        </w:rPr>
        <w:t>age population with no education work</w:t>
      </w:r>
      <w:r w:rsidR="009F2545" w:rsidRPr="00477D8F">
        <w:rPr>
          <w:rFonts w:ascii="Sylfaen" w:eastAsia="Times New Roman" w:hAnsi="Sylfaen"/>
        </w:rPr>
        <w:t>s</w:t>
      </w:r>
      <w:r w:rsidR="008856D5" w:rsidRPr="00477D8F">
        <w:rPr>
          <w:rFonts w:ascii="Sylfaen" w:eastAsia="Times New Roman" w:hAnsi="Sylfaen"/>
        </w:rPr>
        <w:t xml:space="preserve"> in the service</w:t>
      </w:r>
      <w:r w:rsidR="00FA7303" w:rsidRPr="00477D8F">
        <w:rPr>
          <w:rFonts w:ascii="Sylfaen" w:eastAsia="Times New Roman" w:hAnsi="Sylfaen"/>
        </w:rPr>
        <w:t>s</w:t>
      </w:r>
      <w:r w:rsidR="008856D5" w:rsidRPr="00477D8F">
        <w:rPr>
          <w:rFonts w:ascii="Sylfaen" w:eastAsia="Times New Roman" w:hAnsi="Sylfaen"/>
        </w:rPr>
        <w:t xml:space="preserve"> sector whereas 91 percent of the labor force working in the service</w:t>
      </w:r>
      <w:r w:rsidR="00FA7303" w:rsidRPr="00477D8F">
        <w:rPr>
          <w:rFonts w:ascii="Sylfaen" w:eastAsia="Times New Roman" w:hAnsi="Sylfaen"/>
        </w:rPr>
        <w:t>s</w:t>
      </w:r>
      <w:r w:rsidR="008856D5" w:rsidRPr="00477D8F">
        <w:rPr>
          <w:rFonts w:ascii="Sylfaen" w:eastAsia="Times New Roman" w:hAnsi="Sylfaen"/>
        </w:rPr>
        <w:t xml:space="preserve"> sector </w:t>
      </w:r>
      <w:r w:rsidR="00E659E3" w:rsidRPr="00477D8F">
        <w:rPr>
          <w:rFonts w:ascii="Sylfaen" w:eastAsia="Times New Roman" w:hAnsi="Sylfaen"/>
        </w:rPr>
        <w:t>has a postsecondary education.</w:t>
      </w:r>
      <w:r w:rsidR="008856D5" w:rsidRPr="00477D8F">
        <w:rPr>
          <w:rFonts w:ascii="Sylfaen" w:eastAsia="Times New Roman" w:hAnsi="Sylfaen"/>
        </w:rPr>
        <w:t xml:space="preserve"> On average, 12 percent of </w:t>
      </w:r>
      <w:r w:rsidR="00FA7303" w:rsidRPr="00477D8F">
        <w:rPr>
          <w:rFonts w:ascii="Sylfaen" w:eastAsia="Times New Roman" w:hAnsi="Sylfaen"/>
        </w:rPr>
        <w:t xml:space="preserve">the </w:t>
      </w:r>
      <w:r w:rsidR="008856D5" w:rsidRPr="00477D8F">
        <w:rPr>
          <w:rFonts w:ascii="Sylfaen" w:eastAsia="Times New Roman" w:hAnsi="Sylfaen"/>
        </w:rPr>
        <w:t>working</w:t>
      </w:r>
      <w:r w:rsidR="00FA7303" w:rsidRPr="00477D8F">
        <w:rPr>
          <w:rFonts w:ascii="Sylfaen" w:eastAsia="Times New Roman" w:hAnsi="Sylfaen"/>
        </w:rPr>
        <w:t>-</w:t>
      </w:r>
      <w:r w:rsidR="008856D5" w:rsidRPr="00477D8F">
        <w:rPr>
          <w:rFonts w:ascii="Sylfaen" w:eastAsia="Times New Roman" w:hAnsi="Sylfaen"/>
        </w:rPr>
        <w:t>age population ha</w:t>
      </w:r>
      <w:r w:rsidR="00FA7303" w:rsidRPr="00477D8F">
        <w:rPr>
          <w:rFonts w:ascii="Sylfaen" w:eastAsia="Times New Roman" w:hAnsi="Sylfaen"/>
        </w:rPr>
        <w:t>s</w:t>
      </w:r>
      <w:r w:rsidR="008856D5" w:rsidRPr="00477D8F">
        <w:rPr>
          <w:rFonts w:ascii="Sylfaen" w:eastAsia="Times New Roman" w:hAnsi="Sylfaen"/>
        </w:rPr>
        <w:t xml:space="preserve"> wage</w:t>
      </w:r>
      <w:r w:rsidR="00BA33E5" w:rsidRPr="00477D8F">
        <w:rPr>
          <w:rFonts w:ascii="Sylfaen" w:eastAsia="Times New Roman" w:hAnsi="Sylfaen"/>
        </w:rPr>
        <w:t>-</w:t>
      </w:r>
      <w:r w:rsidR="008856D5" w:rsidRPr="00477D8F">
        <w:rPr>
          <w:rFonts w:ascii="Sylfaen" w:eastAsia="Times New Roman" w:hAnsi="Sylfaen"/>
        </w:rPr>
        <w:t xml:space="preserve">paying </w:t>
      </w:r>
      <w:r w:rsidR="00EA778C" w:rsidRPr="00477D8F">
        <w:rPr>
          <w:rFonts w:ascii="Sylfaen" w:eastAsia="Times New Roman" w:hAnsi="Sylfaen"/>
        </w:rPr>
        <w:t>jobs</w:t>
      </w:r>
      <w:r w:rsidR="00BA33E5" w:rsidRPr="00477D8F">
        <w:rPr>
          <w:rFonts w:ascii="Sylfaen" w:eastAsia="Times New Roman" w:hAnsi="Sylfaen"/>
        </w:rPr>
        <w:t>;</w:t>
      </w:r>
      <w:r w:rsidR="00EA778C" w:rsidRPr="00477D8F">
        <w:rPr>
          <w:rFonts w:ascii="Sylfaen" w:eastAsia="Times New Roman" w:hAnsi="Sylfaen"/>
        </w:rPr>
        <w:t xml:space="preserve"> of those, the</w:t>
      </w:r>
      <w:r w:rsidR="008856D5" w:rsidRPr="00477D8F">
        <w:rPr>
          <w:rFonts w:ascii="Sylfaen" w:eastAsia="Times New Roman" w:hAnsi="Sylfaen"/>
        </w:rPr>
        <w:t xml:space="preserve"> proportion of the working</w:t>
      </w:r>
      <w:r w:rsidR="00FA7303" w:rsidRPr="00477D8F">
        <w:rPr>
          <w:rFonts w:ascii="Sylfaen" w:eastAsia="Times New Roman" w:hAnsi="Sylfaen"/>
        </w:rPr>
        <w:t>-</w:t>
      </w:r>
      <w:r w:rsidR="008856D5" w:rsidRPr="00477D8F">
        <w:rPr>
          <w:rFonts w:ascii="Sylfaen" w:eastAsia="Times New Roman" w:hAnsi="Sylfaen"/>
        </w:rPr>
        <w:t>age population with a postsecondary education is high at 81</w:t>
      </w:r>
      <w:r w:rsidR="00EA778C" w:rsidRPr="00477D8F">
        <w:rPr>
          <w:rFonts w:ascii="Sylfaen" w:eastAsia="Times New Roman" w:hAnsi="Sylfaen"/>
        </w:rPr>
        <w:t xml:space="preserve"> </w:t>
      </w:r>
      <w:r w:rsidR="008856D5" w:rsidRPr="00477D8F">
        <w:rPr>
          <w:rFonts w:ascii="Sylfaen" w:eastAsia="Times New Roman" w:hAnsi="Sylfaen"/>
        </w:rPr>
        <w:t xml:space="preserve">percent. </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2D51ED" w:rsidRPr="00477D8F" w14:paraId="73DA9F84" w14:textId="77777777" w:rsidTr="00C61A2E">
        <w:trPr>
          <w:trHeight w:val="10"/>
        </w:trPr>
        <w:tc>
          <w:tcPr>
            <w:tcW w:w="9350" w:type="dxa"/>
            <w:hideMark/>
          </w:tcPr>
          <w:p w14:paraId="378491D0" w14:textId="0AF897CE" w:rsidR="002D51ED" w:rsidRPr="00477D8F" w:rsidRDefault="002D51ED" w:rsidP="00C61A2E">
            <w:pPr>
              <w:pStyle w:val="Caption1"/>
            </w:pPr>
            <w:bookmarkStart w:id="200" w:name="_Ref481004487"/>
            <w:bookmarkStart w:id="201" w:name="_Toc482618665"/>
            <w:bookmarkStart w:id="202" w:name="_Toc482650021"/>
            <w:bookmarkStart w:id="203" w:name="_Toc497171810"/>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40</w:t>
            </w:r>
            <w:r w:rsidR="002E5BDF" w:rsidRPr="00477D8F">
              <w:rPr>
                <w:noProof/>
              </w:rPr>
              <w:fldChar w:fldCharType="end"/>
            </w:r>
            <w:bookmarkEnd w:id="200"/>
            <w:r w:rsidRPr="00477D8F">
              <w:t>:</w:t>
            </w:r>
            <w:r w:rsidR="00272695" w:rsidRPr="00477D8F">
              <w:t xml:space="preserve"> </w:t>
            </w:r>
            <w:bookmarkEnd w:id="201"/>
            <w:bookmarkEnd w:id="202"/>
            <w:r w:rsidR="00E659E3" w:rsidRPr="00477D8F">
              <w:t>Average monthly earning in GMD (left) and distribution of employment by sector and type (right), by level of education</w:t>
            </w:r>
            <w:bookmarkEnd w:id="203"/>
          </w:p>
        </w:tc>
      </w:tr>
      <w:tr w:rsidR="002D51ED" w:rsidRPr="00477D8F" w14:paraId="52C96E72" w14:textId="77777777" w:rsidTr="00C61A2E">
        <w:trPr>
          <w:trHeight w:val="231"/>
        </w:trPr>
        <w:tc>
          <w:tcPr>
            <w:tcW w:w="9350" w:type="dxa"/>
            <w:hideMark/>
          </w:tcPr>
          <w:p w14:paraId="25268BAF" w14:textId="77777777" w:rsidR="002D51ED" w:rsidRPr="00477D8F" w:rsidRDefault="00E31A42" w:rsidP="00C61A2E">
            <w:pPr>
              <w:jc w:val="both"/>
              <w:rPr>
                <w:rFonts w:ascii="Sylfaen" w:hAnsi="Sylfaen" w:cs="Times New Roman"/>
                <w:bCs/>
              </w:rPr>
            </w:pPr>
            <w:r w:rsidRPr="00477D8F">
              <w:rPr>
                <w:rFonts w:ascii="Sylfaen" w:hAnsi="Sylfaen"/>
                <w:noProof/>
              </w:rPr>
              <w:drawing>
                <wp:inline distT="0" distB="0" distL="0" distR="0" wp14:anchorId="7197E8E9" wp14:editId="6BCF3099">
                  <wp:extent cx="2091055" cy="2822713"/>
                  <wp:effectExtent l="0" t="0" r="4445" b="15875"/>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Pr="00477D8F">
              <w:rPr>
                <w:rFonts w:ascii="Sylfaen" w:hAnsi="Sylfaen"/>
                <w:noProof/>
              </w:rPr>
              <w:drawing>
                <wp:inline distT="0" distB="0" distL="0" distR="0" wp14:anchorId="06884476" wp14:editId="34B7257B">
                  <wp:extent cx="3609340" cy="2798859"/>
                  <wp:effectExtent l="0" t="0" r="10160" b="1905"/>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r>
      <w:tr w:rsidR="002D51ED" w:rsidRPr="00477D8F" w14:paraId="32403895" w14:textId="77777777" w:rsidTr="00C61A2E">
        <w:trPr>
          <w:trHeight w:val="296"/>
        </w:trPr>
        <w:tc>
          <w:tcPr>
            <w:tcW w:w="9350" w:type="dxa"/>
            <w:hideMark/>
          </w:tcPr>
          <w:p w14:paraId="149EFC42" w14:textId="428C75B1" w:rsidR="002D51ED" w:rsidRPr="00477D8F" w:rsidRDefault="002D51ED" w:rsidP="00C61A2E">
            <w:pPr>
              <w:pStyle w:val="Source"/>
            </w:pPr>
            <w:r w:rsidRPr="00477D8F">
              <w:rPr>
                <w:i/>
              </w:rPr>
              <w:t>Source:</w:t>
            </w:r>
            <w:r w:rsidRPr="00477D8F">
              <w:t xml:space="preserve"> </w:t>
            </w:r>
            <w:r w:rsidR="00E659E3" w:rsidRPr="00477D8F">
              <w:t>Authors’ e</w:t>
            </w:r>
            <w:r w:rsidRPr="00477D8F">
              <w:t>stimations based on IHS 2015</w:t>
            </w:r>
            <w:r w:rsidR="00146A91" w:rsidRPr="00477D8F">
              <w:t>.</w:t>
            </w:r>
          </w:p>
        </w:tc>
      </w:tr>
    </w:tbl>
    <w:p w14:paraId="37CCE60C" w14:textId="77777777" w:rsidR="002D51ED" w:rsidRPr="00477D8F" w:rsidRDefault="002D51ED" w:rsidP="000217D4">
      <w:pPr>
        <w:pStyle w:val="Heading3"/>
        <w:rPr>
          <w:shd w:val="clear" w:color="auto" w:fill="FFFFFF"/>
        </w:rPr>
      </w:pPr>
      <w:bookmarkStart w:id="204" w:name="_Toc482618482"/>
      <w:bookmarkStart w:id="205" w:name="_Toc482649940"/>
      <w:r w:rsidRPr="00477D8F">
        <w:rPr>
          <w:shd w:val="clear" w:color="auto" w:fill="FFFFFF"/>
        </w:rPr>
        <w:t>Rate of returns on education</w:t>
      </w:r>
      <w:bookmarkEnd w:id="204"/>
      <w:bookmarkEnd w:id="205"/>
    </w:p>
    <w:p w14:paraId="21046A22" w14:textId="1AE82932" w:rsidR="002D51ED" w:rsidRPr="00477D8F" w:rsidRDefault="008856D5" w:rsidP="00895872">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The estimates of the returns on an additional year of schooling broken down by gender and sector of activity are positive</w:t>
      </w:r>
      <w:r w:rsidR="00EA778C" w:rsidRPr="00477D8F">
        <w:rPr>
          <w:rFonts w:ascii="Sylfaen" w:hAnsi="Sylfaen"/>
          <w:b/>
        </w:rPr>
        <w:t xml:space="preserve">. </w:t>
      </w:r>
      <w:r w:rsidR="00EA778C" w:rsidRPr="00477D8F">
        <w:rPr>
          <w:rFonts w:ascii="Sylfaen" w:hAnsi="Sylfaen"/>
        </w:rPr>
        <w:t>T</w:t>
      </w:r>
      <w:r w:rsidRPr="00477D8F">
        <w:rPr>
          <w:rFonts w:ascii="Sylfaen" w:hAnsi="Sylfaen"/>
        </w:rPr>
        <w:t xml:space="preserve">he actual rate of return varies across sectors and gender. At the national level, an additional year of schooling yields </w:t>
      </w:r>
      <w:r w:rsidR="00EA778C" w:rsidRPr="00477D8F">
        <w:rPr>
          <w:rFonts w:ascii="Sylfaen" w:hAnsi="Sylfaen"/>
        </w:rPr>
        <w:t xml:space="preserve">a </w:t>
      </w:r>
      <w:r w:rsidRPr="00477D8F">
        <w:rPr>
          <w:rFonts w:ascii="Sylfaen" w:hAnsi="Sylfaen"/>
        </w:rPr>
        <w:t>6 percent return (</w:t>
      </w:r>
      <w:r w:rsidRPr="00477D8F">
        <w:rPr>
          <w:rFonts w:ascii="Sylfaen" w:hAnsi="Sylfaen"/>
        </w:rPr>
        <w:fldChar w:fldCharType="begin"/>
      </w:r>
      <w:r w:rsidRPr="00477D8F">
        <w:rPr>
          <w:rFonts w:ascii="Sylfaen" w:hAnsi="Sylfaen"/>
        </w:rPr>
        <w:instrText xml:space="preserve"> REF _Ref481004697 \h  \* MERGEFORMAT </w:instrText>
      </w:r>
      <w:r w:rsidRPr="00477D8F">
        <w:rPr>
          <w:rFonts w:ascii="Sylfaen" w:hAnsi="Sylfaen"/>
        </w:rPr>
      </w:r>
      <w:r w:rsidRPr="00477D8F">
        <w:rPr>
          <w:rFonts w:ascii="Sylfaen" w:hAnsi="Sylfaen"/>
        </w:rPr>
        <w:fldChar w:fldCharType="separate"/>
      </w:r>
      <w:r w:rsidR="00F800F3" w:rsidRPr="00477D8F">
        <w:rPr>
          <w:rFonts w:ascii="Sylfaen" w:hAnsi="Sylfaen"/>
          <w:bCs/>
        </w:rPr>
        <w:t>Figure 41</w:t>
      </w:r>
      <w:r w:rsidRPr="00477D8F">
        <w:rPr>
          <w:rFonts w:ascii="Sylfaen" w:hAnsi="Sylfaen"/>
        </w:rPr>
        <w:fldChar w:fldCharType="end"/>
      </w:r>
      <w:r w:rsidRPr="00477D8F">
        <w:rPr>
          <w:rFonts w:ascii="Sylfaen" w:hAnsi="Sylfaen"/>
        </w:rPr>
        <w:t>).</w:t>
      </w:r>
      <w:r w:rsidR="00272695" w:rsidRPr="00477D8F">
        <w:rPr>
          <w:rFonts w:ascii="Sylfaen" w:hAnsi="Sylfaen"/>
        </w:rPr>
        <w:t xml:space="preserve"> </w:t>
      </w:r>
      <w:r w:rsidRPr="00477D8F">
        <w:rPr>
          <w:rFonts w:ascii="Sylfaen" w:hAnsi="Sylfaen"/>
        </w:rPr>
        <w:t xml:space="preserve">For the same amount of education, women have a higher rate of return (7 percent) than men (5 percent). This suggests that there are </w:t>
      </w:r>
      <w:r w:rsidR="00171C1B" w:rsidRPr="00477D8F">
        <w:rPr>
          <w:rFonts w:ascii="Sylfaen" w:hAnsi="Sylfaen"/>
        </w:rPr>
        <w:t>fewer</w:t>
      </w:r>
      <w:r w:rsidRPr="00477D8F">
        <w:rPr>
          <w:rFonts w:ascii="Sylfaen" w:hAnsi="Sylfaen"/>
        </w:rPr>
        <w:t xml:space="preserve"> educated women than men in the labor force. The rate of returns on education in the service</w:t>
      </w:r>
      <w:r w:rsidR="004B1507" w:rsidRPr="00477D8F">
        <w:rPr>
          <w:rFonts w:ascii="Sylfaen" w:hAnsi="Sylfaen"/>
        </w:rPr>
        <w:t>s</w:t>
      </w:r>
      <w:r w:rsidRPr="00477D8F">
        <w:rPr>
          <w:rFonts w:ascii="Sylfaen" w:hAnsi="Sylfaen"/>
        </w:rPr>
        <w:t xml:space="preserve"> sector is higher than in the other sectors</w:t>
      </w:r>
      <w:r w:rsidR="00BA33E5" w:rsidRPr="00477D8F">
        <w:rPr>
          <w:rFonts w:ascii="Sylfaen" w:hAnsi="Sylfaen"/>
        </w:rPr>
        <w:t>,</w:t>
      </w:r>
      <w:r w:rsidRPr="00477D8F">
        <w:rPr>
          <w:rFonts w:ascii="Sylfaen" w:hAnsi="Sylfaen"/>
        </w:rPr>
        <w:t xml:space="preserve"> </w:t>
      </w:r>
      <w:r w:rsidR="00EA778C" w:rsidRPr="00477D8F">
        <w:rPr>
          <w:rFonts w:ascii="Sylfaen" w:hAnsi="Sylfaen"/>
        </w:rPr>
        <w:t>suggesting that</w:t>
      </w:r>
      <w:r w:rsidRPr="00477D8F">
        <w:rPr>
          <w:rFonts w:ascii="Sylfaen" w:hAnsi="Sylfaen"/>
        </w:rPr>
        <w:t xml:space="preserve"> productivity in the services sector is higher. </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2D51ED" w:rsidRPr="00477D8F" w14:paraId="5BF4135D" w14:textId="77777777" w:rsidTr="00C61A2E">
        <w:trPr>
          <w:trHeight w:val="10"/>
        </w:trPr>
        <w:tc>
          <w:tcPr>
            <w:tcW w:w="9350" w:type="dxa"/>
            <w:hideMark/>
          </w:tcPr>
          <w:p w14:paraId="41685E3D" w14:textId="1E27515B" w:rsidR="002D51ED" w:rsidRPr="00477D8F" w:rsidRDefault="002D51ED" w:rsidP="00C61A2E">
            <w:pPr>
              <w:pStyle w:val="Caption1"/>
            </w:pPr>
            <w:bookmarkStart w:id="206" w:name="_Ref481004697"/>
            <w:bookmarkStart w:id="207" w:name="_Toc482618670"/>
            <w:bookmarkStart w:id="208" w:name="_Toc482650026"/>
            <w:bookmarkStart w:id="209" w:name="_Toc497171811"/>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41</w:t>
            </w:r>
            <w:r w:rsidR="002E5BDF" w:rsidRPr="00477D8F">
              <w:rPr>
                <w:noProof/>
              </w:rPr>
              <w:fldChar w:fldCharType="end"/>
            </w:r>
            <w:bookmarkEnd w:id="206"/>
            <w:r w:rsidRPr="00477D8F">
              <w:t>:</w:t>
            </w:r>
            <w:r w:rsidR="00272695" w:rsidRPr="00477D8F">
              <w:t xml:space="preserve"> </w:t>
            </w:r>
            <w:r w:rsidRPr="00477D8F">
              <w:t xml:space="preserve">Rate of </w:t>
            </w:r>
            <w:r w:rsidR="00E659E3" w:rsidRPr="00477D8F">
              <w:t>r</w:t>
            </w:r>
            <w:r w:rsidRPr="00477D8F">
              <w:t xml:space="preserve">eturns </w:t>
            </w:r>
            <w:r w:rsidR="003F4066" w:rsidRPr="00477D8F">
              <w:t>on</w:t>
            </w:r>
            <w:r w:rsidR="00E659E3" w:rsidRPr="00477D8F">
              <w:t xml:space="preserve"> additional</w:t>
            </w:r>
            <w:r w:rsidRPr="00477D8F">
              <w:t xml:space="preserve"> years of </w:t>
            </w:r>
            <w:bookmarkEnd w:id="207"/>
            <w:bookmarkEnd w:id="208"/>
            <w:r w:rsidR="00E659E3" w:rsidRPr="00477D8F">
              <w:t>schooling by gender and employment sector</w:t>
            </w:r>
            <w:bookmarkEnd w:id="209"/>
          </w:p>
        </w:tc>
      </w:tr>
      <w:tr w:rsidR="002D51ED" w:rsidRPr="00477D8F" w14:paraId="0208FD27" w14:textId="77777777" w:rsidTr="00C61A2E">
        <w:trPr>
          <w:trHeight w:val="231"/>
        </w:trPr>
        <w:tc>
          <w:tcPr>
            <w:tcW w:w="9350" w:type="dxa"/>
            <w:hideMark/>
          </w:tcPr>
          <w:p w14:paraId="3D97C262" w14:textId="77777777" w:rsidR="002D51ED" w:rsidRPr="00477D8F" w:rsidRDefault="00E659E3" w:rsidP="00C61A2E">
            <w:pPr>
              <w:jc w:val="both"/>
              <w:rPr>
                <w:rFonts w:ascii="Sylfaen" w:hAnsi="Sylfaen" w:cs="Times New Roman"/>
                <w:bCs/>
              </w:rPr>
            </w:pPr>
            <w:r w:rsidRPr="00477D8F">
              <w:rPr>
                <w:rFonts w:ascii="Sylfaen" w:hAnsi="Sylfaen"/>
                <w:noProof/>
              </w:rPr>
              <w:drawing>
                <wp:inline distT="0" distB="0" distL="0" distR="0" wp14:anchorId="7125A584" wp14:editId="5C0F8B2E">
                  <wp:extent cx="5793105" cy="1989734"/>
                  <wp:effectExtent l="0" t="0" r="17145" b="10795"/>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c>
      </w:tr>
      <w:tr w:rsidR="002D51ED" w:rsidRPr="00477D8F" w14:paraId="2DA6EEC9" w14:textId="77777777" w:rsidTr="00C61A2E">
        <w:trPr>
          <w:trHeight w:val="296"/>
        </w:trPr>
        <w:tc>
          <w:tcPr>
            <w:tcW w:w="9350" w:type="dxa"/>
            <w:hideMark/>
          </w:tcPr>
          <w:p w14:paraId="2DE46296" w14:textId="22723B77" w:rsidR="002D51ED" w:rsidRPr="00477D8F" w:rsidRDefault="00E659E3" w:rsidP="00C61A2E">
            <w:pPr>
              <w:pStyle w:val="Source"/>
            </w:pPr>
            <w:r w:rsidRPr="00477D8F">
              <w:rPr>
                <w:i/>
              </w:rPr>
              <w:t>Source:</w:t>
            </w:r>
            <w:r w:rsidRPr="00477D8F">
              <w:t xml:space="preserve"> Authors’ estimations based on IHS 2015</w:t>
            </w:r>
            <w:r w:rsidR="00146A91" w:rsidRPr="00477D8F">
              <w:t>.</w:t>
            </w:r>
          </w:p>
        </w:tc>
      </w:tr>
    </w:tbl>
    <w:p w14:paraId="62EC290F" w14:textId="2F0A19F9" w:rsidR="003F4066" w:rsidRPr="00477D8F" w:rsidRDefault="00362624" w:rsidP="00895872">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lastRenderedPageBreak/>
        <w:t>The rate of returns on education increases with each successive level of education attained</w:t>
      </w:r>
      <w:r w:rsidR="00EA778C" w:rsidRPr="00477D8F">
        <w:rPr>
          <w:rFonts w:ascii="Sylfaen" w:hAnsi="Sylfaen"/>
          <w:b/>
        </w:rPr>
        <w:t xml:space="preserve"> in The Gambia and </w:t>
      </w:r>
      <w:r w:rsidR="008856D5" w:rsidRPr="00477D8F">
        <w:rPr>
          <w:rFonts w:ascii="Sylfaen" w:hAnsi="Sylfaen"/>
          <w:b/>
        </w:rPr>
        <w:t>confirms that education is a key determinant of livelihoods</w:t>
      </w:r>
      <w:r w:rsidR="00603FB0" w:rsidRPr="00477D8F">
        <w:rPr>
          <w:rFonts w:ascii="Sylfaen" w:hAnsi="Sylfaen"/>
          <w:b/>
        </w:rPr>
        <w:t xml:space="preserve"> </w:t>
      </w:r>
      <w:r w:rsidR="008856D5" w:rsidRPr="00477D8F">
        <w:rPr>
          <w:rFonts w:ascii="Sylfaen" w:hAnsi="Sylfaen"/>
          <w:b/>
        </w:rPr>
        <w:t>(</w:t>
      </w:r>
      <w:r w:rsidR="008856D5" w:rsidRPr="00477D8F">
        <w:rPr>
          <w:rFonts w:ascii="Sylfaen" w:hAnsi="Sylfaen"/>
          <w:b/>
        </w:rPr>
        <w:fldChar w:fldCharType="begin"/>
      </w:r>
      <w:r w:rsidR="008856D5" w:rsidRPr="00477D8F">
        <w:rPr>
          <w:rFonts w:ascii="Sylfaen" w:hAnsi="Sylfaen"/>
          <w:b/>
        </w:rPr>
        <w:instrText xml:space="preserve"> REF _Ref481004737 \h  \* MERGEFORMAT </w:instrText>
      </w:r>
      <w:r w:rsidR="008856D5" w:rsidRPr="00477D8F">
        <w:rPr>
          <w:rFonts w:ascii="Sylfaen" w:hAnsi="Sylfaen"/>
          <w:b/>
        </w:rPr>
      </w:r>
      <w:r w:rsidR="008856D5" w:rsidRPr="00477D8F">
        <w:rPr>
          <w:rFonts w:ascii="Sylfaen" w:hAnsi="Sylfaen"/>
          <w:b/>
        </w:rPr>
        <w:fldChar w:fldCharType="separate"/>
      </w:r>
      <w:r w:rsidR="00F800F3" w:rsidRPr="00477D8F">
        <w:rPr>
          <w:rFonts w:ascii="Sylfaen" w:hAnsi="Sylfaen"/>
          <w:b/>
          <w:bCs/>
        </w:rPr>
        <w:t>Figure 42</w:t>
      </w:r>
      <w:r w:rsidR="008856D5" w:rsidRPr="00477D8F">
        <w:rPr>
          <w:rFonts w:ascii="Sylfaen" w:hAnsi="Sylfaen"/>
          <w:b/>
        </w:rPr>
        <w:fldChar w:fldCharType="end"/>
      </w:r>
      <w:r w:rsidR="008856D5" w:rsidRPr="00477D8F">
        <w:rPr>
          <w:rFonts w:ascii="Sylfaen" w:hAnsi="Sylfaen"/>
          <w:b/>
        </w:rPr>
        <w:t>).</w:t>
      </w:r>
      <w:r w:rsidR="008856D5" w:rsidRPr="00477D8F">
        <w:rPr>
          <w:rFonts w:ascii="Sylfaen" w:hAnsi="Sylfaen"/>
        </w:rPr>
        <w:t xml:space="preserve"> At the national level, the rate of return ranges from 15 percent for </w:t>
      </w:r>
      <w:r w:rsidR="007C0E54" w:rsidRPr="00477D8F">
        <w:rPr>
          <w:rFonts w:ascii="Sylfaen" w:hAnsi="Sylfaen"/>
        </w:rPr>
        <w:t xml:space="preserve">LBE </w:t>
      </w:r>
      <w:r w:rsidR="008856D5" w:rsidRPr="00477D8F">
        <w:rPr>
          <w:rFonts w:ascii="Sylfaen" w:hAnsi="Sylfaen"/>
        </w:rPr>
        <w:t xml:space="preserve">to 87 percent for higher education. Higher education is the level that leads to remarkably high returns in all categories: 79 percent for male, 97 percent for female, 100 percent </w:t>
      </w:r>
      <w:r w:rsidR="00EA778C" w:rsidRPr="00477D8F">
        <w:rPr>
          <w:rFonts w:ascii="Sylfaen" w:hAnsi="Sylfaen"/>
        </w:rPr>
        <w:t>for those that</w:t>
      </w:r>
      <w:r w:rsidR="008856D5" w:rsidRPr="00477D8F">
        <w:rPr>
          <w:rFonts w:ascii="Sylfaen" w:hAnsi="Sylfaen"/>
        </w:rPr>
        <w:t xml:space="preserve"> work in the private sector</w:t>
      </w:r>
      <w:r w:rsidR="004B1507" w:rsidRPr="00477D8F">
        <w:rPr>
          <w:rFonts w:ascii="Sylfaen" w:hAnsi="Sylfaen"/>
        </w:rPr>
        <w:t>,</w:t>
      </w:r>
      <w:r w:rsidR="008856D5" w:rsidRPr="00477D8F">
        <w:rPr>
          <w:rFonts w:ascii="Sylfaen" w:hAnsi="Sylfaen"/>
        </w:rPr>
        <w:t xml:space="preserve"> and 101 percent i</w:t>
      </w:r>
      <w:r w:rsidR="00EA778C" w:rsidRPr="00477D8F">
        <w:rPr>
          <w:rFonts w:ascii="Sylfaen" w:hAnsi="Sylfaen"/>
        </w:rPr>
        <w:t xml:space="preserve">n the services </w:t>
      </w:r>
      <w:r w:rsidR="00603FB0" w:rsidRPr="00477D8F">
        <w:rPr>
          <w:rFonts w:ascii="Sylfaen" w:hAnsi="Sylfaen"/>
        </w:rPr>
        <w:t>industry</w:t>
      </w:r>
      <w:r w:rsidR="008856D5" w:rsidRPr="00477D8F">
        <w:rPr>
          <w:rFonts w:ascii="Sylfaen" w:hAnsi="Sylfaen"/>
        </w:rPr>
        <w:t xml:space="preserve">. </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2D51ED" w:rsidRPr="00477D8F" w14:paraId="4C8A9111" w14:textId="77777777" w:rsidTr="00827296">
        <w:trPr>
          <w:trHeight w:val="10"/>
        </w:trPr>
        <w:tc>
          <w:tcPr>
            <w:tcW w:w="9350" w:type="dxa"/>
            <w:hideMark/>
          </w:tcPr>
          <w:p w14:paraId="18F00F60" w14:textId="60384733" w:rsidR="002D51ED" w:rsidRPr="00477D8F" w:rsidRDefault="002D51ED" w:rsidP="00827296">
            <w:pPr>
              <w:pStyle w:val="Caption1"/>
            </w:pPr>
            <w:bookmarkStart w:id="210" w:name="_Ref481004737"/>
            <w:bookmarkStart w:id="211" w:name="_Toc482618671"/>
            <w:bookmarkStart w:id="212" w:name="_Toc482650027"/>
            <w:bookmarkStart w:id="213" w:name="_Toc497171812"/>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42</w:t>
            </w:r>
            <w:r w:rsidR="002E5BDF" w:rsidRPr="00477D8F">
              <w:rPr>
                <w:noProof/>
              </w:rPr>
              <w:fldChar w:fldCharType="end"/>
            </w:r>
            <w:bookmarkEnd w:id="210"/>
            <w:r w:rsidRPr="00477D8F">
              <w:t>:</w:t>
            </w:r>
            <w:r w:rsidR="00272695" w:rsidRPr="00477D8F">
              <w:t xml:space="preserve"> </w:t>
            </w:r>
            <w:r w:rsidRPr="00477D8F">
              <w:t xml:space="preserve">Rate of returns </w:t>
            </w:r>
            <w:r w:rsidR="003F4066" w:rsidRPr="00477D8F">
              <w:t>on</w:t>
            </w:r>
            <w:r w:rsidRPr="00477D8F">
              <w:t xml:space="preserve"> </w:t>
            </w:r>
            <w:r w:rsidR="003F4066" w:rsidRPr="00477D8F">
              <w:t>education by level of education, gender, sector of employment</w:t>
            </w:r>
            <w:r w:rsidR="004B1507" w:rsidRPr="00477D8F">
              <w:t>,</w:t>
            </w:r>
            <w:r w:rsidR="003F4066" w:rsidRPr="00477D8F">
              <w:t xml:space="preserve"> and employer type</w:t>
            </w:r>
            <w:bookmarkEnd w:id="213"/>
            <w:r w:rsidRPr="00477D8F">
              <w:t xml:space="preserve"> </w:t>
            </w:r>
            <w:bookmarkEnd w:id="211"/>
            <w:bookmarkEnd w:id="212"/>
          </w:p>
        </w:tc>
      </w:tr>
      <w:tr w:rsidR="002D51ED" w:rsidRPr="00477D8F" w14:paraId="507C7147" w14:textId="77777777" w:rsidTr="00EB20BE">
        <w:trPr>
          <w:trHeight w:val="231"/>
        </w:trPr>
        <w:tc>
          <w:tcPr>
            <w:tcW w:w="9350" w:type="dxa"/>
            <w:hideMark/>
          </w:tcPr>
          <w:p w14:paraId="7AEC260B" w14:textId="12C768C0" w:rsidR="002D51ED" w:rsidRPr="00477D8F" w:rsidRDefault="00EB20BE" w:rsidP="00827296">
            <w:pPr>
              <w:jc w:val="both"/>
              <w:rPr>
                <w:rFonts w:ascii="Sylfaen" w:hAnsi="Sylfaen" w:cs="Times New Roman"/>
                <w:bCs/>
              </w:rPr>
            </w:pPr>
            <w:r w:rsidRPr="00477D8F">
              <w:rPr>
                <w:noProof/>
              </w:rPr>
              <w:drawing>
                <wp:inline distT="0" distB="0" distL="0" distR="0" wp14:anchorId="070A3CCF" wp14:editId="76186668">
                  <wp:extent cx="5943600" cy="2715895"/>
                  <wp:effectExtent l="0" t="0" r="0" b="8255"/>
                  <wp:docPr id="117" name="Chart 117">
                    <a:extLst xmlns:a="http://schemas.openxmlformats.org/drawingml/2006/main">
                      <a:ext uri="{FF2B5EF4-FFF2-40B4-BE49-F238E27FC236}">
                        <a16:creationId xmlns:a16="http://schemas.microsoft.com/office/drawing/2014/main" id="{00000000-0008-0000-3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r>
      <w:tr w:rsidR="002D51ED" w:rsidRPr="00477D8F" w14:paraId="4DA84E2E" w14:textId="77777777" w:rsidTr="00827296">
        <w:trPr>
          <w:trHeight w:val="296"/>
        </w:trPr>
        <w:tc>
          <w:tcPr>
            <w:tcW w:w="9350" w:type="dxa"/>
            <w:hideMark/>
          </w:tcPr>
          <w:p w14:paraId="51127F3E" w14:textId="3034E7F3" w:rsidR="002D51ED" w:rsidRPr="00477D8F" w:rsidRDefault="002D51ED" w:rsidP="00827296">
            <w:pPr>
              <w:pStyle w:val="Source"/>
            </w:pPr>
            <w:r w:rsidRPr="00477D8F">
              <w:rPr>
                <w:i/>
              </w:rPr>
              <w:t>Source:</w:t>
            </w:r>
            <w:r w:rsidRPr="00477D8F">
              <w:t xml:space="preserve"> </w:t>
            </w:r>
            <w:r w:rsidR="003F4066" w:rsidRPr="00477D8F">
              <w:t>Authors’ estimations based on IHS 2015</w:t>
            </w:r>
            <w:r w:rsidR="00146A91" w:rsidRPr="00477D8F">
              <w:t>.</w:t>
            </w:r>
          </w:p>
        </w:tc>
      </w:tr>
    </w:tbl>
    <w:p w14:paraId="2BFECADF" w14:textId="00F1D817" w:rsidR="003F4066" w:rsidRPr="00477D8F" w:rsidRDefault="008856D5" w:rsidP="00895872">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Education is a strong predictor of wage employment and employment in more productive sectors.</w:t>
      </w:r>
      <w:r w:rsidRPr="00477D8F">
        <w:rPr>
          <w:rFonts w:ascii="Sylfaen" w:hAnsi="Sylfaen"/>
        </w:rPr>
        <w:t xml:space="preserve"> It increases the chances of employment in s</w:t>
      </w:r>
      <w:r w:rsidR="00AA706A" w:rsidRPr="00477D8F">
        <w:rPr>
          <w:rFonts w:ascii="Sylfaen" w:hAnsi="Sylfaen"/>
        </w:rPr>
        <w:t>ectors with high returns and</w:t>
      </w:r>
      <w:r w:rsidRPr="00477D8F">
        <w:rPr>
          <w:rFonts w:ascii="Sylfaen" w:hAnsi="Sylfaen"/>
        </w:rPr>
        <w:t xml:space="preserve"> gaining contract employment </w:t>
      </w:r>
      <w:r w:rsidR="00376C60" w:rsidRPr="00477D8F">
        <w:rPr>
          <w:rFonts w:ascii="Sylfaen" w:hAnsi="Sylfaen"/>
        </w:rPr>
        <w:t xml:space="preserve">that </w:t>
      </w:r>
      <w:r w:rsidRPr="00477D8F">
        <w:rPr>
          <w:rFonts w:ascii="Sylfaen" w:hAnsi="Sylfaen"/>
        </w:rPr>
        <w:t>offers greater stability (</w:t>
      </w:r>
      <w:r w:rsidRPr="00477D8F">
        <w:rPr>
          <w:rFonts w:ascii="Sylfaen" w:hAnsi="Sylfaen"/>
        </w:rPr>
        <w:fldChar w:fldCharType="begin"/>
      </w:r>
      <w:r w:rsidRPr="00477D8F">
        <w:rPr>
          <w:rFonts w:ascii="Sylfaen" w:hAnsi="Sylfaen"/>
        </w:rPr>
        <w:instrText xml:space="preserve"> REF _Ref481004768 \h  \* MERGEFORMAT </w:instrText>
      </w:r>
      <w:r w:rsidRPr="00477D8F">
        <w:rPr>
          <w:rFonts w:ascii="Sylfaen" w:hAnsi="Sylfaen"/>
        </w:rPr>
      </w:r>
      <w:r w:rsidRPr="00477D8F">
        <w:rPr>
          <w:rFonts w:ascii="Sylfaen" w:hAnsi="Sylfaen"/>
        </w:rPr>
        <w:fldChar w:fldCharType="separate"/>
      </w:r>
      <w:r w:rsidR="00F800F3" w:rsidRPr="00477D8F">
        <w:rPr>
          <w:rFonts w:ascii="Sylfaen" w:hAnsi="Sylfaen"/>
          <w:bCs/>
        </w:rPr>
        <w:t>Figure 43</w:t>
      </w:r>
      <w:r w:rsidRPr="00477D8F">
        <w:rPr>
          <w:rFonts w:ascii="Sylfaen" w:hAnsi="Sylfaen"/>
        </w:rPr>
        <w:fldChar w:fldCharType="end"/>
      </w:r>
      <w:r w:rsidRPr="00477D8F">
        <w:rPr>
          <w:rFonts w:ascii="Sylfaen" w:hAnsi="Sylfaen"/>
        </w:rPr>
        <w:t>). An additional year of education increases the probability of working in wage employment and in non-wage</w:t>
      </w:r>
      <w:r w:rsidR="00BA33E5" w:rsidRPr="00477D8F">
        <w:rPr>
          <w:rFonts w:ascii="Sylfaen" w:hAnsi="Sylfaen"/>
        </w:rPr>
        <w:t xml:space="preserve"> </w:t>
      </w:r>
      <w:r w:rsidRPr="00477D8F">
        <w:rPr>
          <w:rFonts w:ascii="Sylfaen" w:hAnsi="Sylfaen"/>
        </w:rPr>
        <w:t>non-</w:t>
      </w:r>
      <w:r w:rsidR="00F76E09" w:rsidRPr="00477D8F">
        <w:rPr>
          <w:rFonts w:ascii="Sylfaen" w:hAnsi="Sylfaen"/>
        </w:rPr>
        <w:t>agriculture</w:t>
      </w:r>
      <w:r w:rsidR="00F9747D" w:rsidRPr="00477D8F">
        <w:rPr>
          <w:rFonts w:ascii="Sylfaen" w:hAnsi="Sylfaen"/>
        </w:rPr>
        <w:t xml:space="preserve"> employment</w:t>
      </w:r>
      <w:r w:rsidRPr="00477D8F">
        <w:rPr>
          <w:rFonts w:ascii="Sylfaen" w:hAnsi="Sylfaen"/>
        </w:rPr>
        <w:t xml:space="preserve"> by 37 percent and 21</w:t>
      </w:r>
      <w:r w:rsidR="00376C60" w:rsidRPr="00477D8F">
        <w:rPr>
          <w:rFonts w:ascii="Sylfaen" w:hAnsi="Sylfaen"/>
        </w:rPr>
        <w:t xml:space="preserve"> </w:t>
      </w:r>
      <w:r w:rsidRPr="00477D8F">
        <w:rPr>
          <w:rFonts w:ascii="Sylfaen" w:hAnsi="Sylfaen"/>
        </w:rPr>
        <w:t>percent</w:t>
      </w:r>
      <w:r w:rsidR="00376C60" w:rsidRPr="00477D8F">
        <w:rPr>
          <w:rFonts w:ascii="Sylfaen" w:hAnsi="Sylfaen"/>
        </w:rPr>
        <w:t>,</w:t>
      </w:r>
      <w:r w:rsidRPr="00477D8F">
        <w:rPr>
          <w:rFonts w:ascii="Sylfaen" w:hAnsi="Sylfaen"/>
        </w:rPr>
        <w:t xml:space="preserve"> respectively. Similarly, an additional year of education increases the likelihood of working in industry and services by 20 percent and 31</w:t>
      </w:r>
      <w:r w:rsidR="00376C60" w:rsidRPr="00477D8F">
        <w:rPr>
          <w:rFonts w:ascii="Sylfaen" w:hAnsi="Sylfaen"/>
        </w:rPr>
        <w:t xml:space="preserve"> </w:t>
      </w:r>
      <w:r w:rsidRPr="00477D8F">
        <w:rPr>
          <w:rFonts w:ascii="Sylfaen" w:hAnsi="Sylfaen"/>
        </w:rPr>
        <w:t>percent</w:t>
      </w:r>
      <w:r w:rsidR="00376C60" w:rsidRPr="00477D8F">
        <w:rPr>
          <w:rFonts w:ascii="Sylfaen" w:hAnsi="Sylfaen"/>
        </w:rPr>
        <w:t>,</w:t>
      </w:r>
      <w:r w:rsidRPr="00477D8F">
        <w:rPr>
          <w:rFonts w:ascii="Sylfaen" w:hAnsi="Sylfaen"/>
        </w:rPr>
        <w:t xml:space="preserve"> respectively, compared to the agricultural sector.</w:t>
      </w:r>
      <w:r w:rsidR="00272695" w:rsidRPr="00477D8F">
        <w:rPr>
          <w:rFonts w:ascii="Sylfaen" w:hAnsi="Sylfaen"/>
        </w:rPr>
        <w:t xml:space="preserve"> </w:t>
      </w:r>
      <w:r w:rsidRPr="00477D8F">
        <w:rPr>
          <w:rFonts w:ascii="Sylfaen" w:hAnsi="Sylfaen"/>
        </w:rPr>
        <w:t xml:space="preserve">Additionally, differences in employment opportunities are found by gender and the sector of activity. For instance, a man with an additional year of education has a higher </w:t>
      </w:r>
      <w:r w:rsidR="00F9747D" w:rsidRPr="00477D8F">
        <w:rPr>
          <w:rFonts w:ascii="Sylfaen" w:hAnsi="Sylfaen"/>
        </w:rPr>
        <w:t xml:space="preserve">likelihood </w:t>
      </w:r>
      <w:r w:rsidRPr="00477D8F">
        <w:rPr>
          <w:rFonts w:ascii="Sylfaen" w:hAnsi="Sylfaen"/>
        </w:rPr>
        <w:t xml:space="preserve">than a woman </w:t>
      </w:r>
      <w:r w:rsidR="00F9747D" w:rsidRPr="00477D8F">
        <w:rPr>
          <w:rFonts w:ascii="Sylfaen" w:hAnsi="Sylfaen"/>
        </w:rPr>
        <w:t>of finding</w:t>
      </w:r>
      <w:r w:rsidRPr="00477D8F">
        <w:rPr>
          <w:rFonts w:ascii="Sylfaen" w:hAnsi="Sylfaen"/>
        </w:rPr>
        <w:t xml:space="preserve"> employment in industry (7 percent more) and services (5 percent more).</w:t>
      </w:r>
      <w:r w:rsidR="00272695" w:rsidRPr="00477D8F">
        <w:rPr>
          <w:rFonts w:ascii="Sylfaen" w:hAnsi="Sylfaen"/>
        </w:rPr>
        <w:t xml:space="preserve"> </w:t>
      </w:r>
      <w:r w:rsidR="00BA33E5" w:rsidRPr="00477D8F">
        <w:rPr>
          <w:rFonts w:ascii="Sylfaen" w:hAnsi="Sylfaen"/>
        </w:rPr>
        <w:t xml:space="preserve">Compared </w:t>
      </w:r>
      <w:r w:rsidRPr="00477D8F">
        <w:rPr>
          <w:rFonts w:ascii="Sylfaen" w:hAnsi="Sylfaen"/>
        </w:rPr>
        <w:t xml:space="preserve">to working in the private sector, an individual has a 34 percent </w:t>
      </w:r>
      <w:r w:rsidR="000D76CA" w:rsidRPr="00477D8F">
        <w:rPr>
          <w:rFonts w:ascii="Sylfaen" w:hAnsi="Sylfaen"/>
        </w:rPr>
        <w:t xml:space="preserve">greater </w:t>
      </w:r>
      <w:r w:rsidRPr="00477D8F">
        <w:rPr>
          <w:rFonts w:ascii="Sylfaen" w:hAnsi="Sylfaen"/>
        </w:rPr>
        <w:t>chance of working in the public sector</w:t>
      </w:r>
      <w:r w:rsidR="000D76CA" w:rsidRPr="00477D8F">
        <w:rPr>
          <w:rFonts w:ascii="Sylfaen" w:hAnsi="Sylfaen"/>
        </w:rPr>
        <w:t xml:space="preserve"> with an additional year of schooling</w:t>
      </w:r>
      <w:r w:rsidRPr="00477D8F">
        <w:rPr>
          <w:rFonts w:ascii="Sylfaen" w:hAnsi="Sylfaen"/>
        </w:rPr>
        <w:t xml:space="preserve">. </w:t>
      </w:r>
      <w:r w:rsidR="000D76CA" w:rsidRPr="00477D8F">
        <w:rPr>
          <w:rFonts w:ascii="Sylfaen" w:hAnsi="Sylfaen"/>
        </w:rPr>
        <w:t>W</w:t>
      </w:r>
      <w:r w:rsidRPr="00477D8F">
        <w:rPr>
          <w:rFonts w:ascii="Sylfaen" w:hAnsi="Sylfaen"/>
        </w:rPr>
        <w:t>om</w:t>
      </w:r>
      <w:r w:rsidR="000D76CA" w:rsidRPr="00477D8F">
        <w:rPr>
          <w:rFonts w:ascii="Sylfaen" w:hAnsi="Sylfaen"/>
        </w:rPr>
        <w:t>en</w:t>
      </w:r>
      <w:r w:rsidRPr="00477D8F">
        <w:rPr>
          <w:rFonts w:ascii="Sylfaen" w:hAnsi="Sylfaen"/>
        </w:rPr>
        <w:t xml:space="preserve"> </w:t>
      </w:r>
      <w:r w:rsidR="000D76CA" w:rsidRPr="00477D8F">
        <w:rPr>
          <w:rFonts w:ascii="Sylfaen" w:hAnsi="Sylfaen"/>
        </w:rPr>
        <w:t>are</w:t>
      </w:r>
      <w:r w:rsidR="00603FB0" w:rsidRPr="00477D8F">
        <w:rPr>
          <w:rFonts w:ascii="Sylfaen" w:hAnsi="Sylfaen"/>
        </w:rPr>
        <w:t xml:space="preserve"> </w:t>
      </w:r>
      <w:r w:rsidRPr="00477D8F">
        <w:rPr>
          <w:rFonts w:ascii="Sylfaen" w:hAnsi="Sylfaen"/>
        </w:rPr>
        <w:t xml:space="preserve">10 percent less </w:t>
      </w:r>
      <w:r w:rsidR="00F9747D" w:rsidRPr="00477D8F">
        <w:rPr>
          <w:rFonts w:ascii="Sylfaen" w:hAnsi="Sylfaen"/>
        </w:rPr>
        <w:t>likely</w:t>
      </w:r>
      <w:r w:rsidRPr="00477D8F">
        <w:rPr>
          <w:rFonts w:ascii="Sylfaen" w:hAnsi="Sylfaen"/>
        </w:rPr>
        <w:t xml:space="preserve"> than a man to be employed in the public sector.</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2D51ED" w:rsidRPr="00477D8F" w14:paraId="311E1A97" w14:textId="77777777" w:rsidTr="00827296">
        <w:trPr>
          <w:trHeight w:val="10"/>
        </w:trPr>
        <w:tc>
          <w:tcPr>
            <w:tcW w:w="9350" w:type="dxa"/>
            <w:hideMark/>
          </w:tcPr>
          <w:p w14:paraId="68B98B33" w14:textId="7E29F1B4" w:rsidR="002D51ED" w:rsidRPr="00477D8F" w:rsidRDefault="002D51ED" w:rsidP="00827296">
            <w:pPr>
              <w:pStyle w:val="Caption1"/>
            </w:pPr>
            <w:bookmarkStart w:id="214" w:name="_Ref481004768"/>
            <w:bookmarkStart w:id="215" w:name="_Toc482618672"/>
            <w:bookmarkStart w:id="216" w:name="_Toc482650028"/>
            <w:bookmarkStart w:id="217" w:name="_Toc497171813"/>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00F800F3" w:rsidRPr="00477D8F">
              <w:rPr>
                <w:noProof/>
              </w:rPr>
              <w:t>43</w:t>
            </w:r>
            <w:r w:rsidR="002E5BDF" w:rsidRPr="00477D8F">
              <w:rPr>
                <w:noProof/>
              </w:rPr>
              <w:fldChar w:fldCharType="end"/>
            </w:r>
            <w:bookmarkEnd w:id="214"/>
            <w:r w:rsidRPr="00477D8F">
              <w:t>:</w:t>
            </w:r>
            <w:r w:rsidR="00272695" w:rsidRPr="00477D8F">
              <w:t xml:space="preserve"> </w:t>
            </w:r>
            <w:r w:rsidRPr="00477D8F">
              <w:t>Probabilit</w:t>
            </w:r>
            <w:r w:rsidR="003F4066" w:rsidRPr="00477D8F">
              <w:t>y of e</w:t>
            </w:r>
            <w:r w:rsidRPr="00477D8F">
              <w:t xml:space="preserve">mployment </w:t>
            </w:r>
            <w:r w:rsidR="00896DA9" w:rsidRPr="00477D8F">
              <w:t>in better return sector, employment type</w:t>
            </w:r>
            <w:r w:rsidR="00376C60" w:rsidRPr="00477D8F">
              <w:t>,</w:t>
            </w:r>
            <w:r w:rsidR="00896DA9" w:rsidRPr="00477D8F">
              <w:t xml:space="preserve"> and employer for additional year of schooling</w:t>
            </w:r>
            <w:bookmarkEnd w:id="217"/>
            <w:r w:rsidR="00272695" w:rsidRPr="00477D8F">
              <w:t xml:space="preserve"> </w:t>
            </w:r>
            <w:bookmarkEnd w:id="215"/>
            <w:bookmarkEnd w:id="216"/>
          </w:p>
        </w:tc>
      </w:tr>
      <w:tr w:rsidR="002D51ED" w:rsidRPr="00477D8F" w14:paraId="68D63309" w14:textId="77777777" w:rsidTr="00EB20BE">
        <w:trPr>
          <w:trHeight w:val="231"/>
        </w:trPr>
        <w:tc>
          <w:tcPr>
            <w:tcW w:w="9350" w:type="dxa"/>
            <w:hideMark/>
          </w:tcPr>
          <w:p w14:paraId="6AEEDE62" w14:textId="0DAF2657" w:rsidR="002D51ED" w:rsidRPr="00477D8F" w:rsidRDefault="00EB20BE" w:rsidP="00827296">
            <w:pPr>
              <w:jc w:val="both"/>
              <w:rPr>
                <w:rFonts w:ascii="Sylfaen" w:hAnsi="Sylfaen" w:cs="Times New Roman"/>
                <w:bCs/>
              </w:rPr>
            </w:pPr>
            <w:r w:rsidRPr="00477D8F">
              <w:rPr>
                <w:noProof/>
              </w:rPr>
              <w:drawing>
                <wp:inline distT="0" distB="0" distL="0" distR="0" wp14:anchorId="5CB82B69" wp14:editId="79D320E1">
                  <wp:extent cx="5819775" cy="2890838"/>
                  <wp:effectExtent l="0" t="0" r="9525" b="5080"/>
                  <wp:docPr id="118" name="Chart 118">
                    <a:extLst xmlns:a="http://schemas.openxmlformats.org/drawingml/2006/main">
                      <a:ext uri="{FF2B5EF4-FFF2-40B4-BE49-F238E27FC236}">
                        <a16:creationId xmlns:a16="http://schemas.microsoft.com/office/drawing/2014/main" id="{00000000-0008-0000-3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Pr="00477D8F">
              <w:rPr>
                <w:rStyle w:val="CommentReference"/>
              </w:rPr>
              <w:t xml:space="preserve"> </w:t>
            </w:r>
          </w:p>
        </w:tc>
      </w:tr>
      <w:tr w:rsidR="002D51ED" w:rsidRPr="00477D8F" w14:paraId="0E8BF439" w14:textId="77777777" w:rsidTr="00827296">
        <w:trPr>
          <w:trHeight w:val="296"/>
        </w:trPr>
        <w:tc>
          <w:tcPr>
            <w:tcW w:w="9350" w:type="dxa"/>
            <w:hideMark/>
          </w:tcPr>
          <w:p w14:paraId="7C70CD96" w14:textId="0A0D920A" w:rsidR="002D51ED" w:rsidRPr="00477D8F" w:rsidRDefault="002D51ED" w:rsidP="00827296">
            <w:pPr>
              <w:pStyle w:val="Source"/>
            </w:pPr>
            <w:r w:rsidRPr="00477D8F">
              <w:rPr>
                <w:i/>
              </w:rPr>
              <w:t>Source:</w:t>
            </w:r>
            <w:r w:rsidR="00272695" w:rsidRPr="00477D8F">
              <w:t xml:space="preserve"> </w:t>
            </w:r>
            <w:r w:rsidR="00B5660D" w:rsidRPr="00477D8F">
              <w:t>Authors’ estimations based on IHS 2015</w:t>
            </w:r>
            <w:r w:rsidR="00C5736C" w:rsidRPr="00477D8F">
              <w:t>.</w:t>
            </w:r>
          </w:p>
        </w:tc>
      </w:tr>
    </w:tbl>
    <w:p w14:paraId="1CA51348" w14:textId="77777777" w:rsidR="00285FDC" w:rsidRPr="00477D8F" w:rsidRDefault="00285FDC" w:rsidP="00D710DD">
      <w:r w:rsidRPr="00477D8F">
        <w:br w:type="page"/>
      </w:r>
    </w:p>
    <w:p w14:paraId="7245C7D0" w14:textId="77777777" w:rsidR="006F2CA4" w:rsidRPr="00477D8F" w:rsidRDefault="006F2CA4" w:rsidP="006F2CA4">
      <w:pPr>
        <w:pStyle w:val="Heading1"/>
      </w:pPr>
      <w:bookmarkStart w:id="218" w:name="_Toc496603208"/>
      <w:bookmarkStart w:id="219" w:name="_Toc416121788"/>
      <w:bookmarkStart w:id="220" w:name="_Toc497171877"/>
      <w:bookmarkEnd w:id="173"/>
      <w:r w:rsidRPr="00477D8F">
        <w:lastRenderedPageBreak/>
        <w:t>Inequality, Affordability of Schooling, and the Role of Government</w:t>
      </w:r>
      <w:bookmarkEnd w:id="218"/>
      <w:bookmarkEnd w:id="220"/>
    </w:p>
    <w:p w14:paraId="7A0F599D" w14:textId="7E832E99" w:rsidR="006F2CA4" w:rsidRPr="00477D8F" w:rsidRDefault="006F2CA4" w:rsidP="006F2CA4">
      <w:pPr>
        <w:jc w:val="both"/>
        <w:rPr>
          <w:rFonts w:ascii="Sylfaen" w:hAnsi="Sylfaen"/>
          <w:i/>
        </w:rPr>
      </w:pPr>
      <w:r w:rsidRPr="00477D8F">
        <w:rPr>
          <w:rFonts w:ascii="Sylfaen" w:hAnsi="Sylfaen"/>
          <w:i/>
        </w:rPr>
        <w:t xml:space="preserve">Key findings of this section include (a) Access: The Gambia achieved gender parity in access at all levels of education except higher education; however, disparities still remain. The </w:t>
      </w:r>
      <w:r w:rsidRPr="00477D8F">
        <w:rPr>
          <w:rFonts w:ascii="Sylfaen" w:hAnsi="Sylfaen"/>
          <w:i/>
          <w:iCs/>
        </w:rPr>
        <w:t>PCR</w:t>
      </w:r>
      <w:r w:rsidRPr="00477D8F">
        <w:rPr>
          <w:rFonts w:ascii="Sylfaen" w:hAnsi="Sylfaen"/>
          <w:i/>
        </w:rPr>
        <w:t xml:space="preserve"> for boys stands at 82 percent compared with 66 percent for girls, whereas the national average was 74 percent in 2015. The disparities in access by area of residence, region, household wealth, and ethnic group are striking, adversely affecting individuals living in rural areas, remote regions (regions 4–6), and children from the poorest quintiles. The inequality in access increases with each level of education from primary to higher education. (b) Out of School: The out-of-school incidence is high among children from the poorest quintiles and individuals living in rural areas as well as regions 4–6 (the highest out-of-school rate at the district level (80 percent) is found in region 5). Most of the out-of-school children are those from the poorest households where the head has no formal education and works in the agriculture sector. (c) Affordability: The cost of schooling is not affordable to the poor. The poorest households spend 98 percent of their income per capita on education as compared to wealthier households who spend 46 percent. The contribution of the households to the education sector has been increasing faster than the government’s contribution. (d) The government spending on education is biased toward the rich in all levels of education. Despite the government’s implementation of several interventions aiming at lowering the regional disparities in access to education, the wealth gap in access to education is still visible and a holistic intervention system has not been successful in reducing the gap. As a result, resources available for children from the poorest quintile are limited in all levels of education, and poorer children tend to leave the school system early when faced with multiple socioeconomic challenges, thereby contributing to the intergenerational poverty trap. While the government has made tremendous efforts to reduce the school fees for all students, uniform and boarding/food costs are not affordable for the poor and an ‘all-inclusive’ subsidy structure might not be effective enough in helping the poor to overcome all economic challenges. </w:t>
      </w:r>
    </w:p>
    <w:p w14:paraId="39EDE155" w14:textId="75B7E5E7"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 xml:space="preserve"> </w:t>
      </w:r>
      <w:r w:rsidRPr="00477D8F">
        <w:rPr>
          <w:rFonts w:ascii="Sylfaen" w:hAnsi="Sylfaen"/>
          <w:b/>
        </w:rPr>
        <w:t>The assessment of the equity of public spending, affordability of schools, and the role of the government is evaluated based on the inequality in access to education, the out-of-school incidence, the affordability of education costs, and the role of the government in protecting the poor.</w:t>
      </w:r>
      <w:r w:rsidRPr="00477D8F">
        <w:rPr>
          <w:rFonts w:ascii="Sylfaen" w:hAnsi="Sylfaen"/>
        </w:rPr>
        <w:t xml:space="preserve"> The inequality in access and the out-of-school incidence are broken down by gender, area of residence, region, ethnic group, wealth quintile, and districts. While access to education shows the distribution of students in different levels of education, the out-of-school analysis measures the rate incidence and the reasons behind it. The affordability and the role played by the government focus on the ability of the poor to pay for the costs of education and the capacity of the government to assist the poor and the vulnerable in bearing those costs.</w:t>
      </w:r>
    </w:p>
    <w:p w14:paraId="75EA591C" w14:textId="77777777" w:rsidR="006F2CA4" w:rsidRPr="00477D8F" w:rsidRDefault="006F2CA4" w:rsidP="006F2CA4">
      <w:pPr>
        <w:pStyle w:val="Heading2"/>
      </w:pPr>
      <w:bookmarkStart w:id="221" w:name="_Toc496603209"/>
      <w:bookmarkStart w:id="222" w:name="_Toc497171878"/>
      <w:r w:rsidRPr="00477D8F">
        <w:t>Inequality in access</w:t>
      </w:r>
      <w:bookmarkEnd w:id="221"/>
      <w:bookmarkEnd w:id="222"/>
    </w:p>
    <w:p w14:paraId="3A698234" w14:textId="77777777" w:rsidR="006F2CA4" w:rsidRPr="00477D8F" w:rsidRDefault="006F2CA4" w:rsidP="006F2CA4">
      <w:pPr>
        <w:pStyle w:val="Heading3"/>
      </w:pPr>
      <w:r w:rsidRPr="00477D8F">
        <w:t>Gender</w:t>
      </w:r>
    </w:p>
    <w:p w14:paraId="7CB4E89E" w14:textId="596144EA" w:rsidR="006F2CA4" w:rsidRPr="00477D8F" w:rsidRDefault="006F2CA4" w:rsidP="00E73118">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eastAsia="Times New Roman" w:hAnsi="Sylfaen" w:cs="Times New Roman"/>
          <w:b/>
          <w:color w:val="000000"/>
        </w:rPr>
        <w:t xml:space="preserve">Gender disparities in access to education, as measured by the GER, </w:t>
      </w:r>
      <w:r w:rsidR="006430E9" w:rsidRPr="00477D8F">
        <w:rPr>
          <w:rFonts w:ascii="Sylfaen" w:eastAsia="Times New Roman" w:hAnsi="Sylfaen" w:cs="Times New Roman"/>
          <w:b/>
          <w:bCs/>
          <w:color w:val="000000"/>
        </w:rPr>
        <w:t>net enrollment r</w:t>
      </w:r>
      <w:r w:rsidRPr="00477D8F">
        <w:rPr>
          <w:rFonts w:ascii="Sylfaen" w:eastAsia="Times New Roman" w:hAnsi="Sylfaen" w:cs="Times New Roman"/>
          <w:b/>
          <w:bCs/>
          <w:color w:val="000000"/>
        </w:rPr>
        <w:t>atio</w:t>
      </w:r>
      <w:r w:rsidRPr="00477D8F">
        <w:rPr>
          <w:rFonts w:ascii="Sylfaen" w:eastAsia="Times New Roman" w:hAnsi="Sylfaen" w:cs="Times New Roman"/>
          <w:b/>
          <w:color w:val="000000"/>
        </w:rPr>
        <w:t xml:space="preserve"> (NER), and completion rates have nearly been eliminated at all levels of education except at the postsecondary level.</w:t>
      </w:r>
      <w:r w:rsidRPr="00477D8F">
        <w:rPr>
          <w:rFonts w:ascii="Sylfaen" w:eastAsia="Times New Roman" w:hAnsi="Sylfaen" w:cs="Times New Roman"/>
          <w:color w:val="000000"/>
        </w:rPr>
        <w:t xml:space="preserve"> Girls register a higher GER and NER at both lower basic and secondary levels while boys have a </w:t>
      </w:r>
      <w:r w:rsidRPr="00477D8F">
        <w:rPr>
          <w:rFonts w:ascii="Sylfaen" w:eastAsia="Times New Roman" w:hAnsi="Sylfaen" w:cs="Times New Roman"/>
          <w:color w:val="000000"/>
        </w:rPr>
        <w:lastRenderedPageBreak/>
        <w:t>higher completion rate in those same levels. For example, the GER for girls is at 66 percent at the upper basic level whereas the GER for boys is at 57 percent (</w:t>
      </w:r>
      <w:r w:rsidRPr="00477D8F">
        <w:rPr>
          <w:rFonts w:ascii="Sylfaen" w:eastAsia="Times New Roman" w:hAnsi="Sylfaen" w:cs="Times New Roman"/>
          <w:color w:val="000000"/>
        </w:rPr>
        <w:fldChar w:fldCharType="begin"/>
      </w:r>
      <w:r w:rsidRPr="00477D8F">
        <w:rPr>
          <w:rFonts w:ascii="Sylfaen" w:eastAsia="Times New Roman" w:hAnsi="Sylfaen" w:cs="Times New Roman"/>
          <w:color w:val="000000"/>
        </w:rPr>
        <w:instrText xml:space="preserve"> REF _Ref482649083 \h  \* MERGEFORMAT </w:instrText>
      </w:r>
      <w:r w:rsidRPr="00477D8F">
        <w:rPr>
          <w:rFonts w:ascii="Sylfaen" w:eastAsia="Times New Roman" w:hAnsi="Sylfaen" w:cs="Times New Roman"/>
          <w:color w:val="000000"/>
        </w:rPr>
      </w:r>
      <w:r w:rsidRPr="00477D8F">
        <w:rPr>
          <w:rFonts w:ascii="Sylfaen" w:eastAsia="Times New Roman" w:hAnsi="Sylfaen" w:cs="Times New Roman"/>
          <w:color w:val="000000"/>
        </w:rPr>
        <w:fldChar w:fldCharType="separate"/>
      </w:r>
      <w:r w:rsidRPr="00477D8F">
        <w:rPr>
          <w:rFonts w:ascii="Sylfaen" w:hAnsi="Sylfaen"/>
          <w:bCs/>
        </w:rPr>
        <w:t>Figure 44</w:t>
      </w:r>
      <w:r w:rsidRPr="00477D8F">
        <w:rPr>
          <w:rFonts w:ascii="Sylfaen" w:eastAsia="Times New Roman" w:hAnsi="Sylfaen" w:cs="Times New Roman"/>
          <w:color w:val="000000"/>
        </w:rPr>
        <w:fldChar w:fldCharType="end"/>
      </w:r>
      <w:r w:rsidRPr="00477D8F">
        <w:rPr>
          <w:rFonts w:ascii="Sylfaen" w:eastAsia="Times New Roman" w:hAnsi="Sylfaen" w:cs="Times New Roman"/>
          <w:color w:val="000000"/>
        </w:rPr>
        <w:t xml:space="preserve">). Although girls are advantaged in terms of enrollment in lower basic and secondary education levels, boys are more likely to complete their studies compared to girls except at the lower secondary level. </w:t>
      </w:r>
    </w:p>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791B166A" w14:textId="77777777" w:rsidTr="00E73118">
        <w:trPr>
          <w:trHeight w:val="10"/>
          <w:jc w:val="center"/>
        </w:trPr>
        <w:tc>
          <w:tcPr>
            <w:tcW w:w="9350" w:type="dxa"/>
            <w:hideMark/>
          </w:tcPr>
          <w:p w14:paraId="434CEC89" w14:textId="77777777" w:rsidR="006F2CA4" w:rsidRPr="00477D8F" w:rsidRDefault="006F2CA4" w:rsidP="00E73118">
            <w:pPr>
              <w:pStyle w:val="Caption1"/>
            </w:pPr>
            <w:bookmarkStart w:id="223" w:name="_Ref482649083"/>
            <w:bookmarkStart w:id="224" w:name="_Toc482618638"/>
            <w:bookmarkStart w:id="225" w:name="_Toc482649994"/>
            <w:bookmarkStart w:id="226" w:name="_Toc496603346"/>
            <w:bookmarkStart w:id="227" w:name="_Toc497171814"/>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44</w:t>
            </w:r>
            <w:r w:rsidR="002E5BDF" w:rsidRPr="00477D8F">
              <w:rPr>
                <w:noProof/>
              </w:rPr>
              <w:fldChar w:fldCharType="end"/>
            </w:r>
            <w:bookmarkEnd w:id="223"/>
            <w:r w:rsidRPr="00477D8F">
              <w:t>: Disparities in GERs, NERs, and completion rates by gender, 2015</w:t>
            </w:r>
            <w:bookmarkEnd w:id="224"/>
            <w:bookmarkEnd w:id="225"/>
            <w:bookmarkEnd w:id="226"/>
            <w:bookmarkEnd w:id="227"/>
          </w:p>
        </w:tc>
      </w:tr>
      <w:tr w:rsidR="006F2CA4" w:rsidRPr="00477D8F" w14:paraId="39F74301" w14:textId="77777777" w:rsidTr="00E73118">
        <w:trPr>
          <w:trHeight w:val="231"/>
          <w:jc w:val="center"/>
        </w:trPr>
        <w:tc>
          <w:tcPr>
            <w:tcW w:w="9350" w:type="dxa"/>
            <w:hideMark/>
          </w:tcPr>
          <w:p w14:paraId="1F37C7C3" w14:textId="77777777" w:rsidR="006F2CA4" w:rsidRPr="00477D8F" w:rsidRDefault="006F2CA4" w:rsidP="00E73118">
            <w:pPr>
              <w:jc w:val="both"/>
              <w:rPr>
                <w:rFonts w:ascii="Sylfaen" w:hAnsi="Sylfaen" w:cs="Times New Roman"/>
                <w:bCs/>
              </w:rPr>
            </w:pPr>
            <w:r w:rsidRPr="00477D8F">
              <w:rPr>
                <w:rFonts w:ascii="Sylfaen" w:hAnsi="Sylfaen"/>
                <w:noProof/>
              </w:rPr>
              <w:drawing>
                <wp:inline distT="0" distB="0" distL="0" distR="0" wp14:anchorId="3621E7CF" wp14:editId="4DC6D1AE">
                  <wp:extent cx="5762625" cy="2282343"/>
                  <wp:effectExtent l="0" t="0" r="9525" b="3810"/>
                  <wp:docPr id="587" name="Chart 58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r>
      <w:tr w:rsidR="006F2CA4" w:rsidRPr="00477D8F" w14:paraId="6A1D4F6A" w14:textId="77777777" w:rsidTr="00E73118">
        <w:trPr>
          <w:trHeight w:val="296"/>
          <w:jc w:val="center"/>
        </w:trPr>
        <w:tc>
          <w:tcPr>
            <w:tcW w:w="9350" w:type="dxa"/>
            <w:hideMark/>
          </w:tcPr>
          <w:p w14:paraId="5DD25BEC" w14:textId="77777777" w:rsidR="006F2CA4" w:rsidRPr="00477D8F" w:rsidRDefault="006F2CA4" w:rsidP="00E73118">
            <w:pPr>
              <w:pStyle w:val="Source"/>
            </w:pPr>
            <w:r w:rsidRPr="00477D8F">
              <w:rPr>
                <w:rFonts w:eastAsia="Times New Roman"/>
                <w:i/>
              </w:rPr>
              <w:t>Source:</w:t>
            </w:r>
            <w:r w:rsidRPr="00477D8F">
              <w:rPr>
                <w:rFonts w:eastAsia="Times New Roman"/>
              </w:rPr>
              <w:t xml:space="preserve"> </w:t>
            </w:r>
            <w:r w:rsidRPr="00477D8F">
              <w:t>Authors’ estimations based on IHS 2015.</w:t>
            </w:r>
          </w:p>
        </w:tc>
      </w:tr>
    </w:tbl>
    <w:p w14:paraId="017C77D1" w14:textId="508B0269" w:rsidR="006F2CA4" w:rsidRPr="00477D8F" w:rsidRDefault="006F2CA4" w:rsidP="00E73118">
      <w:pPr>
        <w:pStyle w:val="ListParagraph"/>
        <w:numPr>
          <w:ilvl w:val="0"/>
          <w:numId w:val="24"/>
        </w:numPr>
        <w:autoSpaceDE w:val="0"/>
        <w:autoSpaceDN w:val="0"/>
        <w:adjustRightInd w:val="0"/>
        <w:spacing w:before="240" w:after="240" w:line="240" w:lineRule="auto"/>
        <w:ind w:left="0" w:firstLine="0"/>
        <w:contextualSpacing w:val="0"/>
        <w:jc w:val="both"/>
        <w:rPr>
          <w:rFonts w:ascii="Sylfaen" w:eastAsia="Times New Roman" w:hAnsi="Sylfaen" w:cs="Times New Roman"/>
          <w:color w:val="000000"/>
        </w:rPr>
      </w:pPr>
      <w:r w:rsidRPr="00477D8F">
        <w:rPr>
          <w:rFonts w:ascii="Sylfaen" w:eastAsia="Times New Roman" w:hAnsi="Sylfaen" w:cs="Times New Roman"/>
          <w:b/>
          <w:color w:val="000000"/>
        </w:rPr>
        <w:t>Although girls are catching up with both the lower basic and secondary education levels in access, their progress through the system tends to affected by socioeconomic factors.</w:t>
      </w:r>
      <w:r w:rsidRPr="00477D8F">
        <w:rPr>
          <w:rFonts w:ascii="Sylfaen" w:eastAsia="Times New Roman" w:hAnsi="Sylfaen" w:cs="Times New Roman"/>
          <w:color w:val="000000"/>
        </w:rPr>
        <w:t xml:space="preserve"> Key factors associated with lower completion rate among girls include the following: (a) dropout rate for girls above age 15 is higher than boys—for example, 22 percent of girls of age 16 dropped out in 2015 compared with 14 percent among boys of the same age; (b) non</w:t>
      </w:r>
      <w:r w:rsidR="00171C1B" w:rsidRPr="00477D8F">
        <w:rPr>
          <w:rFonts w:ascii="Sylfaen" w:eastAsia="Times New Roman" w:hAnsi="Sylfaen" w:cs="Times New Roman"/>
          <w:color w:val="000000"/>
        </w:rPr>
        <w:t>-</w:t>
      </w:r>
      <w:r w:rsidRPr="00477D8F">
        <w:rPr>
          <w:rFonts w:ascii="Sylfaen" w:eastAsia="Times New Roman" w:hAnsi="Sylfaen" w:cs="Times New Roman"/>
          <w:color w:val="000000"/>
        </w:rPr>
        <w:t xml:space="preserve">availability of key infrastructure (transportation, roads, schools, health center) adversely affects girls than boys—for example, the gap in completion between boys and girls increases at least by 8 percent for households living in less accessible locations; (c) households which have dependence on a religious organization in case of an emergency or a member of a religious organization tend to disfavor </w:t>
      </w:r>
      <w:r w:rsidR="00171C1B" w:rsidRPr="00477D8F">
        <w:rPr>
          <w:rFonts w:ascii="Sylfaen" w:eastAsia="Times New Roman" w:hAnsi="Sylfaen" w:cs="Times New Roman"/>
          <w:color w:val="000000"/>
        </w:rPr>
        <w:t xml:space="preserve">primary </w:t>
      </w:r>
      <w:r w:rsidRPr="00477D8F">
        <w:rPr>
          <w:rFonts w:ascii="Sylfaen" w:eastAsia="Times New Roman" w:hAnsi="Sylfaen" w:cs="Times New Roman"/>
          <w:color w:val="000000"/>
        </w:rPr>
        <w:t xml:space="preserve">completion </w:t>
      </w:r>
      <w:r w:rsidR="00171C1B" w:rsidRPr="00477D8F">
        <w:rPr>
          <w:rFonts w:ascii="Sylfaen" w:eastAsia="Times New Roman" w:hAnsi="Sylfaen" w:cs="Times New Roman"/>
          <w:color w:val="000000"/>
        </w:rPr>
        <w:t xml:space="preserve">rate for girls </w:t>
      </w:r>
      <w:r w:rsidRPr="00477D8F">
        <w:rPr>
          <w:rFonts w:ascii="Sylfaen" w:eastAsia="Times New Roman" w:hAnsi="Sylfaen" w:cs="Times New Roman"/>
          <w:color w:val="000000"/>
        </w:rPr>
        <w:t xml:space="preserve">; (d) being in a remote area also disfavors girls’ completion rate—for example, in almost all districts in region 5, girls </w:t>
      </w:r>
      <w:r w:rsidR="00171C1B" w:rsidRPr="00477D8F">
        <w:rPr>
          <w:rFonts w:ascii="Sylfaen" w:eastAsia="Times New Roman" w:hAnsi="Sylfaen" w:cs="Times New Roman"/>
          <w:color w:val="000000"/>
        </w:rPr>
        <w:t>lags</w:t>
      </w:r>
      <w:r w:rsidRPr="00477D8F">
        <w:rPr>
          <w:rFonts w:ascii="Sylfaen" w:eastAsia="Times New Roman" w:hAnsi="Sylfaen" w:cs="Times New Roman"/>
          <w:color w:val="000000"/>
        </w:rPr>
        <w:t xml:space="preserve"> boys in education completion, contributing negatively to the national level completion rates for girls; and finally, (e) some ethnic groups disfavor girls. </w:t>
      </w:r>
      <w:r w:rsidRPr="00477D8F">
        <w:rPr>
          <w:rFonts w:ascii="Sylfaen" w:eastAsia="Times New Roman" w:hAnsi="Sylfaen" w:cs="Times New Roman"/>
          <w:color w:val="000000"/>
        </w:rPr>
        <w:fldChar w:fldCharType="begin"/>
      </w:r>
      <w:r w:rsidRPr="00477D8F">
        <w:rPr>
          <w:rFonts w:ascii="Sylfaen" w:eastAsia="Times New Roman" w:hAnsi="Sylfaen" w:cs="Times New Roman"/>
          <w:color w:val="000000"/>
        </w:rPr>
        <w:instrText xml:space="preserve"> REF _Ref496181766 \h </w:instrText>
      </w:r>
      <w:r w:rsidRPr="00477D8F">
        <w:rPr>
          <w:rFonts w:ascii="Sylfaen" w:eastAsia="Times New Roman" w:hAnsi="Sylfaen" w:cs="Times New Roman"/>
          <w:color w:val="000000"/>
        </w:rPr>
      </w:r>
      <w:r w:rsidR="00AA5A55" w:rsidRPr="00477D8F">
        <w:rPr>
          <w:rFonts w:ascii="Sylfaen" w:eastAsia="Times New Roman" w:hAnsi="Sylfaen" w:cs="Times New Roman"/>
          <w:color w:val="000000"/>
        </w:rPr>
        <w:instrText xml:space="preserve"> \* MERGEFORMAT </w:instrText>
      </w:r>
      <w:r w:rsidRPr="00477D8F">
        <w:rPr>
          <w:rFonts w:ascii="Sylfaen" w:eastAsia="Times New Roman" w:hAnsi="Sylfaen" w:cs="Times New Roman"/>
          <w:color w:val="000000"/>
        </w:rPr>
        <w:fldChar w:fldCharType="separate"/>
      </w:r>
      <w:r w:rsidRPr="00477D8F">
        <w:rPr>
          <w:rFonts w:ascii="Sylfaen" w:hAnsi="Sylfaen"/>
          <w:bCs/>
        </w:rPr>
        <w:t xml:space="preserve">Figure </w:t>
      </w:r>
      <w:r w:rsidRPr="00477D8F">
        <w:rPr>
          <w:rFonts w:ascii="Sylfaen" w:hAnsi="Sylfaen"/>
          <w:bCs/>
          <w:noProof/>
        </w:rPr>
        <w:t>45</w:t>
      </w:r>
      <w:r w:rsidRPr="00477D8F">
        <w:rPr>
          <w:rFonts w:ascii="Sylfaen" w:eastAsia="Times New Roman" w:hAnsi="Sylfaen" w:cs="Times New Roman"/>
          <w:color w:val="000000"/>
        </w:rPr>
        <w:fldChar w:fldCharType="end"/>
      </w:r>
      <w:r w:rsidRPr="00477D8F">
        <w:rPr>
          <w:rFonts w:ascii="Sylfaen" w:eastAsia="Times New Roman" w:hAnsi="Sylfaen" w:cs="Times New Roman"/>
          <w:color w:val="000000"/>
        </w:rPr>
        <w:t xml:space="preserve"> presents a summary of completion by district for region 5 and ethnic group.</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F2CA4" w:rsidRPr="00477D8F" w14:paraId="5C386C66" w14:textId="77777777" w:rsidTr="00D27440">
        <w:trPr>
          <w:trHeight w:val="10"/>
          <w:jc w:val="center"/>
        </w:trPr>
        <w:tc>
          <w:tcPr>
            <w:tcW w:w="5000" w:type="pct"/>
            <w:hideMark/>
          </w:tcPr>
          <w:p w14:paraId="1F0D4C64" w14:textId="77777777" w:rsidR="006F2CA4" w:rsidRPr="00477D8F" w:rsidRDefault="006F2CA4" w:rsidP="00D27440">
            <w:pPr>
              <w:pStyle w:val="Caption1"/>
            </w:pPr>
            <w:bookmarkStart w:id="228" w:name="_Ref496181766"/>
            <w:bookmarkStart w:id="229" w:name="_Toc496603347"/>
            <w:bookmarkStart w:id="230" w:name="_Toc497171815"/>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45</w:t>
            </w:r>
            <w:r w:rsidR="002E5BDF" w:rsidRPr="00477D8F">
              <w:rPr>
                <w:noProof/>
              </w:rPr>
              <w:fldChar w:fldCharType="end"/>
            </w:r>
            <w:r w:rsidRPr="00477D8F">
              <w:t>: Disparities in gender completion rates across area, quintile, ethnic groups, and districts in region 5</w:t>
            </w:r>
            <w:bookmarkEnd w:id="228"/>
            <w:bookmarkEnd w:id="229"/>
            <w:bookmarkEnd w:id="230"/>
          </w:p>
        </w:tc>
      </w:tr>
      <w:tr w:rsidR="006F2CA4" w:rsidRPr="00477D8F" w14:paraId="4610523E" w14:textId="77777777" w:rsidTr="00D27440">
        <w:trPr>
          <w:trHeight w:val="231"/>
          <w:jc w:val="center"/>
        </w:trPr>
        <w:tc>
          <w:tcPr>
            <w:tcW w:w="5000" w:type="pct"/>
            <w:hideMark/>
          </w:tcPr>
          <w:p w14:paraId="7BA362C0" w14:textId="77777777" w:rsidR="006F2CA4" w:rsidRPr="00477D8F" w:rsidRDefault="006F2CA4" w:rsidP="00D27440">
            <w:pPr>
              <w:jc w:val="both"/>
              <w:rPr>
                <w:rFonts w:ascii="Sylfaen" w:hAnsi="Sylfaen" w:cs="Times New Roman"/>
                <w:bCs/>
              </w:rPr>
            </w:pPr>
            <w:r w:rsidRPr="00477D8F">
              <w:rPr>
                <w:noProof/>
              </w:rPr>
              <w:drawing>
                <wp:inline distT="0" distB="0" distL="0" distR="0" wp14:anchorId="5F66E61D" wp14:editId="0996C194">
                  <wp:extent cx="6115685" cy="3095633"/>
                  <wp:effectExtent l="0" t="0" r="18415" b="9525"/>
                  <wp:docPr id="18" name="Chart 18">
                    <a:extLst xmlns:a="http://schemas.openxmlformats.org/drawingml/2006/main">
                      <a:ext uri="{FF2B5EF4-FFF2-40B4-BE49-F238E27FC236}">
                        <a16:creationId xmlns:a16="http://schemas.microsoft.com/office/drawing/2014/main" id="{5032C1B6-2379-48D3-80C6-1A25173292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r w:rsidR="006F2CA4" w:rsidRPr="00477D8F" w14:paraId="763D5575" w14:textId="77777777" w:rsidTr="00D27440">
        <w:trPr>
          <w:trHeight w:val="296"/>
          <w:jc w:val="center"/>
        </w:trPr>
        <w:tc>
          <w:tcPr>
            <w:tcW w:w="5000" w:type="pct"/>
            <w:hideMark/>
          </w:tcPr>
          <w:p w14:paraId="7B2FDCFA" w14:textId="77777777" w:rsidR="006F2CA4" w:rsidRPr="00477D8F" w:rsidRDefault="006F2CA4" w:rsidP="00D27440">
            <w:pPr>
              <w:pStyle w:val="Source"/>
            </w:pPr>
            <w:r w:rsidRPr="00477D8F">
              <w:rPr>
                <w:rFonts w:eastAsia="Times New Roman"/>
                <w:i/>
              </w:rPr>
              <w:t>Source:</w:t>
            </w:r>
            <w:r w:rsidRPr="00477D8F">
              <w:rPr>
                <w:rFonts w:eastAsia="Times New Roman"/>
              </w:rPr>
              <w:t xml:space="preserve"> </w:t>
            </w:r>
            <w:r w:rsidRPr="00477D8F">
              <w:t>Authors’ estimations based on IHS 2015.</w:t>
            </w:r>
          </w:p>
        </w:tc>
      </w:tr>
    </w:tbl>
    <w:p w14:paraId="2A046669" w14:textId="039D9962" w:rsidR="006F2CA4" w:rsidRPr="00477D8F" w:rsidRDefault="006F2CA4" w:rsidP="006F2CA4">
      <w:pPr>
        <w:pStyle w:val="Heading3"/>
      </w:pPr>
      <w:r w:rsidRPr="00477D8F">
        <w:t>Areas of residence: urban versus rural</w:t>
      </w:r>
    </w:p>
    <w:p w14:paraId="05D99C32" w14:textId="59AF483C" w:rsidR="006F2CA4" w:rsidRPr="00477D8F" w:rsidRDefault="006F2CA4" w:rsidP="00E73118">
      <w:pPr>
        <w:pStyle w:val="ListParagraph"/>
        <w:numPr>
          <w:ilvl w:val="0"/>
          <w:numId w:val="24"/>
        </w:numPr>
        <w:autoSpaceDE w:val="0"/>
        <w:autoSpaceDN w:val="0"/>
        <w:adjustRightInd w:val="0"/>
        <w:spacing w:before="240" w:after="240" w:line="240" w:lineRule="auto"/>
        <w:ind w:left="0" w:firstLine="0"/>
        <w:contextualSpacing w:val="0"/>
        <w:jc w:val="both"/>
        <w:rPr>
          <w:rFonts w:ascii="Sylfaen" w:eastAsia="Times New Roman" w:hAnsi="Sylfaen" w:cs="Times New Roman"/>
          <w:color w:val="000000"/>
        </w:rPr>
      </w:pPr>
      <w:r w:rsidRPr="00477D8F">
        <w:rPr>
          <w:rFonts w:ascii="Sylfaen" w:eastAsia="Times New Roman" w:hAnsi="Sylfaen" w:cs="Times New Roman"/>
          <w:b/>
          <w:color w:val="000000"/>
        </w:rPr>
        <w:t>Children living in rural areas are largely disadvantaged in terms of access to education at all levels.</w:t>
      </w:r>
      <w:r w:rsidRPr="00477D8F">
        <w:rPr>
          <w:rFonts w:ascii="Sylfaen" w:eastAsia="Times New Roman" w:hAnsi="Sylfaen" w:cs="Times New Roman"/>
          <w:color w:val="000000"/>
        </w:rPr>
        <w:t xml:space="preserve"> Enrollment and completion rates across all levels of education are lower in rural areas compared to urban areas. For instance, the GER is at 96 percent for the urban population at the lower basic level, while the GER for the rural population is at 79 percent (</w:t>
      </w:r>
      <w:r w:rsidRPr="00477D8F">
        <w:rPr>
          <w:rFonts w:ascii="Sylfaen" w:eastAsia="Times New Roman" w:hAnsi="Sylfaen" w:cs="Times New Roman"/>
          <w:color w:val="000000"/>
        </w:rPr>
        <w:fldChar w:fldCharType="begin"/>
      </w:r>
      <w:r w:rsidRPr="00477D8F">
        <w:rPr>
          <w:rFonts w:ascii="Sylfaen" w:eastAsia="Times New Roman" w:hAnsi="Sylfaen" w:cs="Times New Roman"/>
          <w:color w:val="000000"/>
        </w:rPr>
        <w:instrText xml:space="preserve"> REF _Ref482649098 \h  \* MERGEFORMAT </w:instrText>
      </w:r>
      <w:r w:rsidRPr="00477D8F">
        <w:rPr>
          <w:rFonts w:ascii="Sylfaen" w:eastAsia="Times New Roman" w:hAnsi="Sylfaen" w:cs="Times New Roman"/>
          <w:color w:val="000000"/>
        </w:rPr>
      </w:r>
      <w:r w:rsidRPr="00477D8F">
        <w:rPr>
          <w:rFonts w:ascii="Sylfaen" w:eastAsia="Times New Roman" w:hAnsi="Sylfaen" w:cs="Times New Roman"/>
          <w:color w:val="000000"/>
        </w:rPr>
        <w:fldChar w:fldCharType="separate"/>
      </w:r>
      <w:r w:rsidRPr="00477D8F">
        <w:rPr>
          <w:rFonts w:ascii="Sylfaen" w:hAnsi="Sylfaen"/>
          <w:bCs/>
        </w:rPr>
        <w:t>Figure 46</w:t>
      </w:r>
      <w:r w:rsidRPr="00477D8F">
        <w:rPr>
          <w:rFonts w:ascii="Sylfaen" w:eastAsia="Times New Roman" w:hAnsi="Sylfaen" w:cs="Times New Roman"/>
          <w:color w:val="000000"/>
        </w:rPr>
        <w:fldChar w:fldCharType="end"/>
      </w:r>
      <w:r w:rsidRPr="00477D8F">
        <w:rPr>
          <w:rFonts w:ascii="Sylfaen" w:eastAsia="Times New Roman" w:hAnsi="Sylfaen" w:cs="Times New Roman"/>
          <w:color w:val="000000"/>
        </w:rPr>
        <w:t xml:space="preserve">). Ensuring equal access to education is fundamental for reducing poverty and inequality and specific targeting in rural areas given that the higher poverty incidence is critical. </w:t>
      </w:r>
    </w:p>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F2CA4" w:rsidRPr="00477D8F" w14:paraId="1430551B" w14:textId="77777777" w:rsidTr="00E73118">
        <w:trPr>
          <w:trHeight w:val="10"/>
          <w:jc w:val="center"/>
        </w:trPr>
        <w:tc>
          <w:tcPr>
            <w:tcW w:w="9350" w:type="dxa"/>
            <w:hideMark/>
          </w:tcPr>
          <w:p w14:paraId="0849D9AC" w14:textId="77777777" w:rsidR="006F2CA4" w:rsidRPr="00477D8F" w:rsidRDefault="006F2CA4" w:rsidP="00E73118">
            <w:pPr>
              <w:pStyle w:val="Caption1"/>
            </w:pPr>
            <w:bookmarkStart w:id="231" w:name="_Ref482649098"/>
            <w:bookmarkStart w:id="232" w:name="_Toc482618639"/>
            <w:bookmarkStart w:id="233" w:name="_Toc482649995"/>
            <w:bookmarkStart w:id="234" w:name="_Toc496603348"/>
            <w:bookmarkStart w:id="235" w:name="_Toc497171816"/>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46</w:t>
            </w:r>
            <w:r w:rsidR="002E5BDF" w:rsidRPr="00477D8F">
              <w:rPr>
                <w:noProof/>
              </w:rPr>
              <w:fldChar w:fldCharType="end"/>
            </w:r>
            <w:bookmarkEnd w:id="231"/>
            <w:r w:rsidRPr="00477D8F">
              <w:t>: Disparities in GERs, NERs, and completion rates by area of residence, 2015</w:t>
            </w:r>
            <w:bookmarkEnd w:id="232"/>
            <w:bookmarkEnd w:id="233"/>
            <w:bookmarkEnd w:id="234"/>
            <w:bookmarkEnd w:id="235"/>
          </w:p>
        </w:tc>
      </w:tr>
      <w:tr w:rsidR="006F2CA4" w:rsidRPr="00477D8F" w14:paraId="6426150E" w14:textId="77777777" w:rsidTr="00AA5A55">
        <w:trPr>
          <w:trHeight w:val="231"/>
          <w:jc w:val="center"/>
        </w:trPr>
        <w:tc>
          <w:tcPr>
            <w:tcW w:w="9350" w:type="dxa"/>
            <w:hideMark/>
          </w:tcPr>
          <w:p w14:paraId="1D3DBA70" w14:textId="57C3BBCB" w:rsidR="006F2CA4" w:rsidRPr="00477D8F" w:rsidRDefault="00AA5A55" w:rsidP="00E73118">
            <w:pPr>
              <w:jc w:val="both"/>
              <w:rPr>
                <w:rFonts w:ascii="Sylfaen" w:hAnsi="Sylfaen" w:cs="Times New Roman"/>
                <w:bCs/>
              </w:rPr>
            </w:pPr>
            <w:r w:rsidRPr="00477D8F">
              <w:rPr>
                <w:noProof/>
              </w:rPr>
              <w:drawing>
                <wp:inline distT="0" distB="0" distL="0" distR="0" wp14:anchorId="0B084094" wp14:editId="110CE5D6">
                  <wp:extent cx="5943600" cy="2911475"/>
                  <wp:effectExtent l="0" t="0" r="0" b="3175"/>
                  <wp:docPr id="119" name="Chart 119">
                    <a:extLst xmlns:a="http://schemas.openxmlformats.org/drawingml/2006/main">
                      <a:ext uri="{FF2B5EF4-FFF2-40B4-BE49-F238E27FC236}">
                        <a16:creationId xmlns:a16="http://schemas.microsoft.com/office/drawing/2014/main" id="{00000000-0008-0000-2B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r>
      <w:tr w:rsidR="006F2CA4" w:rsidRPr="00477D8F" w14:paraId="14CEBBCB" w14:textId="77777777" w:rsidTr="00E73118">
        <w:trPr>
          <w:trHeight w:val="296"/>
          <w:jc w:val="center"/>
        </w:trPr>
        <w:tc>
          <w:tcPr>
            <w:tcW w:w="9350" w:type="dxa"/>
            <w:hideMark/>
          </w:tcPr>
          <w:p w14:paraId="2402A709" w14:textId="77777777" w:rsidR="006F2CA4" w:rsidRPr="00477D8F" w:rsidRDefault="006F2CA4" w:rsidP="00E73118">
            <w:pPr>
              <w:pStyle w:val="Source"/>
            </w:pPr>
            <w:r w:rsidRPr="00477D8F">
              <w:rPr>
                <w:rFonts w:eastAsia="Times New Roman"/>
                <w:i/>
              </w:rPr>
              <w:t>Source:</w:t>
            </w:r>
            <w:r w:rsidRPr="00477D8F">
              <w:rPr>
                <w:rFonts w:eastAsia="Times New Roman"/>
              </w:rPr>
              <w:t xml:space="preserve"> </w:t>
            </w:r>
            <w:r w:rsidRPr="00477D8F">
              <w:t>Authors’ estimations based on IHS 2015.</w:t>
            </w:r>
          </w:p>
        </w:tc>
      </w:tr>
    </w:tbl>
    <w:p w14:paraId="5A072513" w14:textId="77777777" w:rsidR="006F2CA4" w:rsidRPr="00477D8F" w:rsidRDefault="006F2CA4" w:rsidP="006F2CA4">
      <w:pPr>
        <w:pStyle w:val="Heading3"/>
      </w:pPr>
      <w:r w:rsidRPr="00477D8F">
        <w:t>Household wealth quintile</w:t>
      </w:r>
    </w:p>
    <w:p w14:paraId="5F262AEF" w14:textId="3AAEE2EC" w:rsidR="006F2CA4" w:rsidRPr="00477D8F" w:rsidRDefault="006F2CA4" w:rsidP="00E73118">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eastAsia="Times New Roman" w:hAnsi="Sylfaen" w:cs="Times New Roman"/>
          <w:b/>
          <w:color w:val="000000"/>
        </w:rPr>
        <w:t xml:space="preserve">Access to education services tends to be significantly biased toward the rich in The Gambia; the poorest households benefit less at all levels. </w:t>
      </w:r>
      <w:r w:rsidRPr="00477D8F">
        <w:rPr>
          <w:rFonts w:ascii="Sylfaen" w:eastAsia="Times New Roman" w:hAnsi="Sylfaen" w:cs="Times New Roman"/>
          <w:color w:val="000000"/>
        </w:rPr>
        <w:t xml:space="preserve">Enrollment by wealth quintile illustrates that the preprimary and </w:t>
      </w:r>
      <w:r w:rsidR="00BE7A1E" w:rsidRPr="00477D8F">
        <w:rPr>
          <w:rFonts w:ascii="Sylfaen" w:eastAsia="Times New Roman" w:hAnsi="Sylfaen" w:cs="Times New Roman"/>
          <w:color w:val="000000"/>
        </w:rPr>
        <w:t>post primary</w:t>
      </w:r>
      <w:r w:rsidRPr="00477D8F">
        <w:rPr>
          <w:rFonts w:ascii="Sylfaen" w:eastAsia="Times New Roman" w:hAnsi="Sylfaen" w:cs="Times New Roman"/>
          <w:color w:val="000000"/>
        </w:rPr>
        <w:t xml:space="preserve"> levels are dominated by children from wealthier families. For example, at the ECD level, the GER for children from the poorest quintile is 26 percent compared to 62 percent for the richest quintile (</w:t>
      </w:r>
      <w:r w:rsidRPr="00477D8F">
        <w:rPr>
          <w:rFonts w:ascii="Sylfaen" w:eastAsia="Times New Roman" w:hAnsi="Sylfaen" w:cs="Times New Roman"/>
          <w:color w:val="000000"/>
        </w:rPr>
        <w:fldChar w:fldCharType="begin"/>
      </w:r>
      <w:r w:rsidRPr="00477D8F">
        <w:rPr>
          <w:rFonts w:ascii="Sylfaen" w:eastAsia="Times New Roman" w:hAnsi="Sylfaen" w:cs="Times New Roman"/>
          <w:color w:val="000000"/>
        </w:rPr>
        <w:instrText xml:space="preserve"> REF _Ref482649107 \h  \* MERGEFORMAT </w:instrText>
      </w:r>
      <w:r w:rsidRPr="00477D8F">
        <w:rPr>
          <w:rFonts w:ascii="Sylfaen" w:eastAsia="Times New Roman" w:hAnsi="Sylfaen" w:cs="Times New Roman"/>
          <w:color w:val="000000"/>
        </w:rPr>
      </w:r>
      <w:r w:rsidRPr="00477D8F">
        <w:rPr>
          <w:rFonts w:ascii="Sylfaen" w:eastAsia="Times New Roman" w:hAnsi="Sylfaen" w:cs="Times New Roman"/>
          <w:color w:val="000000"/>
        </w:rPr>
        <w:fldChar w:fldCharType="separate"/>
      </w:r>
      <w:r w:rsidRPr="00477D8F">
        <w:rPr>
          <w:rFonts w:ascii="Sylfaen" w:hAnsi="Sylfaen"/>
          <w:bCs/>
        </w:rPr>
        <w:t>Figure 47</w:t>
      </w:r>
      <w:r w:rsidRPr="00477D8F">
        <w:rPr>
          <w:rFonts w:ascii="Sylfaen" w:eastAsia="Times New Roman" w:hAnsi="Sylfaen" w:cs="Times New Roman"/>
          <w:color w:val="000000"/>
        </w:rPr>
        <w:fldChar w:fldCharType="end"/>
      </w:r>
      <w:r w:rsidRPr="00477D8F">
        <w:rPr>
          <w:rFonts w:ascii="Sylfaen" w:eastAsia="Times New Roman" w:hAnsi="Sylfaen" w:cs="Times New Roman"/>
          <w:color w:val="000000"/>
        </w:rPr>
        <w:t xml:space="preserve">). The </w:t>
      </w:r>
      <w:r w:rsidR="00BE7A1E" w:rsidRPr="00477D8F">
        <w:rPr>
          <w:rFonts w:ascii="Sylfaen" w:eastAsia="Times New Roman" w:hAnsi="Sylfaen" w:cs="Times New Roman"/>
          <w:color w:val="000000"/>
        </w:rPr>
        <w:t>post primary</w:t>
      </w:r>
      <w:r w:rsidRPr="00477D8F">
        <w:rPr>
          <w:rFonts w:ascii="Sylfaen" w:eastAsia="Times New Roman" w:hAnsi="Sylfaen" w:cs="Times New Roman"/>
          <w:color w:val="000000"/>
        </w:rPr>
        <w:t xml:space="preserve"> competition rates are significantly higher for children from the richest households. Because the rate of returns on education increases with the level of education, the inequality in access to education has a negative effect on inequality in livelihoods. </w:t>
      </w:r>
    </w:p>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F2CA4" w:rsidRPr="00477D8F" w14:paraId="6E53988E" w14:textId="77777777" w:rsidTr="00E73118">
        <w:trPr>
          <w:trHeight w:val="10"/>
          <w:jc w:val="center"/>
        </w:trPr>
        <w:tc>
          <w:tcPr>
            <w:tcW w:w="9350" w:type="dxa"/>
            <w:hideMark/>
          </w:tcPr>
          <w:p w14:paraId="5649F547" w14:textId="77777777" w:rsidR="006F2CA4" w:rsidRPr="00477D8F" w:rsidRDefault="006F2CA4" w:rsidP="00E73118">
            <w:pPr>
              <w:pStyle w:val="Caption1"/>
            </w:pPr>
            <w:bookmarkStart w:id="236" w:name="_Ref482649107"/>
            <w:bookmarkStart w:id="237" w:name="_Toc482618640"/>
            <w:bookmarkStart w:id="238" w:name="_Toc482649996"/>
            <w:bookmarkStart w:id="239" w:name="_Toc496603349"/>
            <w:bookmarkStart w:id="240" w:name="_Toc497171817"/>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47</w:t>
            </w:r>
            <w:r w:rsidR="002E5BDF" w:rsidRPr="00477D8F">
              <w:rPr>
                <w:noProof/>
              </w:rPr>
              <w:fldChar w:fldCharType="end"/>
            </w:r>
            <w:bookmarkEnd w:id="236"/>
            <w:r w:rsidRPr="00477D8F">
              <w:t>: Disparities in GERs, NERs, and completion rates by wealth quintile, 2015</w:t>
            </w:r>
            <w:bookmarkEnd w:id="237"/>
            <w:bookmarkEnd w:id="238"/>
            <w:bookmarkEnd w:id="239"/>
            <w:bookmarkEnd w:id="240"/>
          </w:p>
        </w:tc>
      </w:tr>
      <w:tr w:rsidR="006F2CA4" w:rsidRPr="00477D8F" w14:paraId="49E9B23D" w14:textId="77777777" w:rsidTr="00AA5A55">
        <w:trPr>
          <w:trHeight w:val="231"/>
          <w:jc w:val="center"/>
        </w:trPr>
        <w:tc>
          <w:tcPr>
            <w:tcW w:w="9350" w:type="dxa"/>
            <w:hideMark/>
          </w:tcPr>
          <w:p w14:paraId="181071C8" w14:textId="6D7977FD" w:rsidR="006F2CA4" w:rsidRPr="00477D8F" w:rsidRDefault="00AA5A55" w:rsidP="00E73118">
            <w:pPr>
              <w:jc w:val="both"/>
              <w:rPr>
                <w:rFonts w:ascii="Sylfaen" w:hAnsi="Sylfaen" w:cs="Times New Roman"/>
                <w:bCs/>
              </w:rPr>
            </w:pPr>
            <w:r w:rsidRPr="00477D8F">
              <w:rPr>
                <w:noProof/>
              </w:rPr>
              <w:drawing>
                <wp:inline distT="0" distB="0" distL="0" distR="0" wp14:anchorId="67FD269C" wp14:editId="28C01DD0">
                  <wp:extent cx="5943600" cy="2334260"/>
                  <wp:effectExtent l="0" t="0" r="0" b="8890"/>
                  <wp:docPr id="120" name="Chart 120">
                    <a:extLst xmlns:a="http://schemas.openxmlformats.org/drawingml/2006/main">
                      <a:ext uri="{FF2B5EF4-FFF2-40B4-BE49-F238E27FC236}">
                        <a16:creationId xmlns:a16="http://schemas.microsoft.com/office/drawing/2014/main" id="{00000000-0008-0000-2B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r w:rsidR="006F2CA4" w:rsidRPr="00477D8F" w14:paraId="1514F4A2" w14:textId="77777777" w:rsidTr="00E73118">
        <w:trPr>
          <w:trHeight w:val="296"/>
          <w:jc w:val="center"/>
        </w:trPr>
        <w:tc>
          <w:tcPr>
            <w:tcW w:w="9350" w:type="dxa"/>
            <w:hideMark/>
          </w:tcPr>
          <w:p w14:paraId="2567AAEC" w14:textId="77777777" w:rsidR="006F2CA4" w:rsidRPr="00477D8F" w:rsidRDefault="006F2CA4" w:rsidP="00E73118">
            <w:pPr>
              <w:pStyle w:val="Source"/>
            </w:pPr>
            <w:r w:rsidRPr="00477D8F">
              <w:rPr>
                <w:rFonts w:eastAsia="Times New Roman"/>
                <w:i/>
              </w:rPr>
              <w:t>Source:</w:t>
            </w:r>
            <w:r w:rsidRPr="00477D8F">
              <w:rPr>
                <w:rFonts w:eastAsia="Times New Roman"/>
              </w:rPr>
              <w:t xml:space="preserve"> </w:t>
            </w:r>
            <w:r w:rsidRPr="00477D8F">
              <w:t>Authors’ estimations based on IHS 2015.</w:t>
            </w:r>
          </w:p>
        </w:tc>
      </w:tr>
    </w:tbl>
    <w:p w14:paraId="5FF9969C" w14:textId="77777777" w:rsidR="006F2CA4" w:rsidRPr="00477D8F" w:rsidRDefault="006F2CA4" w:rsidP="006F2CA4">
      <w:pPr>
        <w:pStyle w:val="Heading3"/>
      </w:pPr>
      <w:r w:rsidRPr="00477D8F">
        <w:lastRenderedPageBreak/>
        <w:t>Ethnic group</w:t>
      </w:r>
    </w:p>
    <w:p w14:paraId="0513BB83" w14:textId="40263BBB" w:rsidR="006F2CA4" w:rsidRPr="00477D8F" w:rsidRDefault="006F2CA4" w:rsidP="00483D12">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eastAsia="Times New Roman" w:hAnsi="Sylfaen" w:cs="Times New Roman"/>
          <w:b/>
          <w:color w:val="000000"/>
        </w:rPr>
        <w:t xml:space="preserve">The differences in access to education across ethnic groups are significant and varied. </w:t>
      </w:r>
      <w:r w:rsidRPr="00477D8F">
        <w:rPr>
          <w:rFonts w:ascii="Sylfaen" w:eastAsia="Times New Roman" w:hAnsi="Sylfaen" w:cs="Times New Roman"/>
          <w:color w:val="000000"/>
        </w:rPr>
        <w:t>For instance, the GER in LBSs is 109 percent for Jola, whereas for Wolof, the GER is at 60 percent (</w:t>
      </w:r>
      <w:r w:rsidRPr="00477D8F">
        <w:rPr>
          <w:rFonts w:ascii="Sylfaen" w:eastAsia="Times New Roman" w:hAnsi="Sylfaen" w:cs="Times New Roman"/>
          <w:color w:val="000000"/>
        </w:rPr>
        <w:fldChar w:fldCharType="begin"/>
      </w:r>
      <w:r w:rsidRPr="00477D8F">
        <w:rPr>
          <w:rFonts w:ascii="Sylfaen" w:eastAsia="Times New Roman" w:hAnsi="Sylfaen" w:cs="Times New Roman"/>
          <w:color w:val="000000"/>
        </w:rPr>
        <w:instrText xml:space="preserve"> REF _Ref482649117 \h  \* MERGEFORMAT </w:instrText>
      </w:r>
      <w:r w:rsidRPr="00477D8F">
        <w:rPr>
          <w:rFonts w:ascii="Sylfaen" w:eastAsia="Times New Roman" w:hAnsi="Sylfaen" w:cs="Times New Roman"/>
          <w:color w:val="000000"/>
        </w:rPr>
      </w:r>
      <w:r w:rsidRPr="00477D8F">
        <w:rPr>
          <w:rFonts w:ascii="Sylfaen" w:eastAsia="Times New Roman" w:hAnsi="Sylfaen" w:cs="Times New Roman"/>
          <w:color w:val="000000"/>
        </w:rPr>
        <w:fldChar w:fldCharType="separate"/>
      </w:r>
      <w:r w:rsidRPr="00477D8F">
        <w:rPr>
          <w:rFonts w:ascii="Sylfaen" w:hAnsi="Sylfaen"/>
          <w:bCs/>
        </w:rPr>
        <w:t>Figure 48</w:t>
      </w:r>
      <w:r w:rsidRPr="00477D8F">
        <w:rPr>
          <w:rFonts w:ascii="Sylfaen" w:eastAsia="Times New Roman" w:hAnsi="Sylfaen" w:cs="Times New Roman"/>
          <w:color w:val="000000"/>
        </w:rPr>
        <w:fldChar w:fldCharType="end"/>
      </w:r>
      <w:r w:rsidRPr="00477D8F">
        <w:rPr>
          <w:rFonts w:ascii="Sylfaen" w:eastAsia="Times New Roman" w:hAnsi="Sylfaen" w:cs="Times New Roman"/>
          <w:color w:val="000000"/>
        </w:rPr>
        <w:t xml:space="preserve">). This implies that policies that target children coming from key ethnic groups are required to ensure equal access to education. </w:t>
      </w:r>
    </w:p>
    <w:tbl>
      <w:tblPr>
        <w:tblStyle w:val="TableGrid1"/>
        <w:tblW w:w="817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6F2CA4" w:rsidRPr="00477D8F" w14:paraId="5546AE5B" w14:textId="77777777" w:rsidTr="00483D12">
        <w:trPr>
          <w:trHeight w:val="9"/>
          <w:jc w:val="center"/>
        </w:trPr>
        <w:tc>
          <w:tcPr>
            <w:tcW w:w="8179" w:type="dxa"/>
            <w:hideMark/>
          </w:tcPr>
          <w:p w14:paraId="610D4616" w14:textId="77777777" w:rsidR="006F2CA4" w:rsidRPr="00477D8F" w:rsidRDefault="006F2CA4" w:rsidP="00483D12">
            <w:pPr>
              <w:pStyle w:val="Caption1"/>
            </w:pPr>
            <w:bookmarkStart w:id="241" w:name="_Ref482649117"/>
            <w:bookmarkStart w:id="242" w:name="_Toc482618641"/>
            <w:bookmarkStart w:id="243" w:name="_Toc482649997"/>
            <w:bookmarkStart w:id="244" w:name="_Toc496603350"/>
            <w:bookmarkStart w:id="245" w:name="_Toc497171818"/>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48</w:t>
            </w:r>
            <w:r w:rsidR="002E5BDF" w:rsidRPr="00477D8F">
              <w:rPr>
                <w:noProof/>
              </w:rPr>
              <w:fldChar w:fldCharType="end"/>
            </w:r>
            <w:bookmarkEnd w:id="241"/>
            <w:r w:rsidRPr="00477D8F">
              <w:t>: Disparities in GERs by ethnic groups and level of education, 2015</w:t>
            </w:r>
            <w:bookmarkEnd w:id="242"/>
            <w:bookmarkEnd w:id="243"/>
            <w:bookmarkEnd w:id="244"/>
            <w:bookmarkEnd w:id="245"/>
          </w:p>
        </w:tc>
      </w:tr>
      <w:tr w:rsidR="006F2CA4" w:rsidRPr="00477D8F" w14:paraId="57AC4D68" w14:textId="77777777" w:rsidTr="00483D12">
        <w:trPr>
          <w:trHeight w:val="223"/>
          <w:jc w:val="center"/>
        </w:trPr>
        <w:tc>
          <w:tcPr>
            <w:tcW w:w="8179" w:type="dxa"/>
            <w:hideMark/>
          </w:tcPr>
          <w:p w14:paraId="139BB646" w14:textId="77777777" w:rsidR="006F2CA4" w:rsidRPr="00477D8F" w:rsidRDefault="006F2CA4" w:rsidP="00483D12">
            <w:pPr>
              <w:jc w:val="both"/>
              <w:rPr>
                <w:rFonts w:ascii="Sylfaen" w:hAnsi="Sylfaen" w:cs="Times New Roman"/>
                <w:bCs/>
              </w:rPr>
            </w:pPr>
            <w:r w:rsidRPr="00477D8F">
              <w:rPr>
                <w:rFonts w:ascii="Sylfaen" w:hAnsi="Sylfaen"/>
                <w:noProof/>
              </w:rPr>
              <w:drawing>
                <wp:inline distT="0" distB="0" distL="0" distR="0" wp14:anchorId="09200626" wp14:editId="2C988E30">
                  <wp:extent cx="5475605" cy="2040941"/>
                  <wp:effectExtent l="0" t="0" r="10795" b="16510"/>
                  <wp:docPr id="589" name="Chart 589"/>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r>
      <w:tr w:rsidR="006F2CA4" w:rsidRPr="00477D8F" w14:paraId="2BF78338" w14:textId="77777777" w:rsidTr="00483D12">
        <w:trPr>
          <w:trHeight w:val="223"/>
          <w:jc w:val="center"/>
        </w:trPr>
        <w:tc>
          <w:tcPr>
            <w:tcW w:w="8179" w:type="dxa"/>
          </w:tcPr>
          <w:p w14:paraId="08226E8B" w14:textId="77777777" w:rsidR="006F2CA4" w:rsidRPr="00477D8F" w:rsidRDefault="006F2CA4" w:rsidP="00483D12">
            <w:pPr>
              <w:pStyle w:val="Source"/>
            </w:pPr>
            <w:r w:rsidRPr="00477D8F">
              <w:rPr>
                <w:rFonts w:eastAsia="Times New Roman"/>
                <w:i/>
              </w:rPr>
              <w:t>Source:</w:t>
            </w:r>
            <w:r w:rsidRPr="00477D8F">
              <w:rPr>
                <w:rFonts w:eastAsia="Times New Roman"/>
              </w:rPr>
              <w:t xml:space="preserve"> </w:t>
            </w:r>
            <w:r w:rsidRPr="00477D8F">
              <w:t>Authors’ estimations based on IHS 2015.</w:t>
            </w:r>
          </w:p>
        </w:tc>
      </w:tr>
    </w:tbl>
    <w:p w14:paraId="5171C213" w14:textId="77777777" w:rsidR="006F2CA4" w:rsidRPr="00477D8F" w:rsidRDefault="006F2CA4" w:rsidP="006F2CA4">
      <w:pPr>
        <w:pStyle w:val="Heading3"/>
      </w:pPr>
      <w:r w:rsidRPr="00477D8F">
        <w:t xml:space="preserve">Regional </w:t>
      </w:r>
    </w:p>
    <w:p w14:paraId="142F3EBA" w14:textId="3296E4AD" w:rsidR="006F2CA4" w:rsidRPr="00477D8F" w:rsidRDefault="006F2CA4" w:rsidP="00483D12">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eastAsia="Times New Roman" w:hAnsi="Sylfaen" w:cs="Times New Roman"/>
          <w:b/>
          <w:color w:val="000000"/>
        </w:rPr>
        <w:t xml:space="preserve">There are regional disparities in access to education, as illustrated by variations in the GER. </w:t>
      </w:r>
      <w:r w:rsidRPr="00477D8F">
        <w:rPr>
          <w:rFonts w:ascii="Sylfaen" w:eastAsia="Times New Roman" w:hAnsi="Sylfaen" w:cs="Times New Roman"/>
          <w:color w:val="000000"/>
        </w:rPr>
        <w:t>Region 2 has the highest GER in preschools (48 percent) and in UBSs (79 percent) while region 5 registers the lowest GER in both preprimary education level (15 percent) and primary education (53 percent) (</w:t>
      </w:r>
      <w:r w:rsidRPr="00477D8F">
        <w:rPr>
          <w:rFonts w:ascii="Sylfaen" w:eastAsia="Times New Roman" w:hAnsi="Sylfaen" w:cs="Times New Roman"/>
          <w:color w:val="000000"/>
        </w:rPr>
        <w:fldChar w:fldCharType="begin"/>
      </w:r>
      <w:r w:rsidRPr="00477D8F">
        <w:rPr>
          <w:rFonts w:ascii="Sylfaen" w:eastAsia="Times New Roman" w:hAnsi="Sylfaen" w:cs="Times New Roman"/>
          <w:color w:val="000000"/>
        </w:rPr>
        <w:instrText xml:space="preserve"> REF _Ref482649129 \h  \* MERGEFORMAT </w:instrText>
      </w:r>
      <w:r w:rsidRPr="00477D8F">
        <w:rPr>
          <w:rFonts w:ascii="Sylfaen" w:eastAsia="Times New Roman" w:hAnsi="Sylfaen" w:cs="Times New Roman"/>
          <w:color w:val="000000"/>
        </w:rPr>
      </w:r>
      <w:r w:rsidRPr="00477D8F">
        <w:rPr>
          <w:rFonts w:ascii="Sylfaen" w:eastAsia="Times New Roman" w:hAnsi="Sylfaen" w:cs="Times New Roman"/>
          <w:color w:val="000000"/>
        </w:rPr>
        <w:fldChar w:fldCharType="separate"/>
      </w:r>
      <w:r w:rsidRPr="00477D8F">
        <w:rPr>
          <w:rFonts w:ascii="Sylfaen" w:hAnsi="Sylfaen"/>
          <w:bCs/>
        </w:rPr>
        <w:t>Figure 49</w:t>
      </w:r>
      <w:r w:rsidRPr="00477D8F">
        <w:rPr>
          <w:rFonts w:ascii="Sylfaen" w:eastAsia="Times New Roman" w:hAnsi="Sylfaen" w:cs="Times New Roman"/>
          <w:color w:val="000000"/>
        </w:rPr>
        <w:fldChar w:fldCharType="end"/>
      </w:r>
      <w:r w:rsidRPr="00477D8F">
        <w:rPr>
          <w:rFonts w:ascii="Sylfaen" w:eastAsia="Times New Roman" w:hAnsi="Sylfaen" w:cs="Times New Roman"/>
          <w:color w:val="000000"/>
        </w:rPr>
        <w:t xml:space="preserve">). This is not particularly surprising given that region 5 is in a remote area with less education infrastructure as opposed to more affluent regions, such as region 2. The government has been targeting interventions to mitigate sociocultural issues that may affect enrollment and completion rates, yet the problem persists. Additional resources are required to reduce regional inequalities. </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7CAC39CF" w14:textId="77777777" w:rsidTr="00286878">
        <w:trPr>
          <w:trHeight w:val="10"/>
        </w:trPr>
        <w:tc>
          <w:tcPr>
            <w:tcW w:w="9350" w:type="dxa"/>
            <w:hideMark/>
          </w:tcPr>
          <w:p w14:paraId="738627A7" w14:textId="77777777" w:rsidR="006F2CA4" w:rsidRPr="00477D8F" w:rsidRDefault="006F2CA4" w:rsidP="00286878">
            <w:pPr>
              <w:pStyle w:val="Caption1"/>
            </w:pPr>
            <w:bookmarkStart w:id="246" w:name="_Ref482649129"/>
            <w:bookmarkStart w:id="247" w:name="_Toc482618642"/>
            <w:bookmarkStart w:id="248" w:name="_Toc482649998"/>
            <w:bookmarkStart w:id="249" w:name="_Toc496603351"/>
            <w:bookmarkStart w:id="250" w:name="_Toc497171819"/>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49</w:t>
            </w:r>
            <w:r w:rsidR="002E5BDF" w:rsidRPr="00477D8F">
              <w:rPr>
                <w:noProof/>
              </w:rPr>
              <w:fldChar w:fldCharType="end"/>
            </w:r>
            <w:bookmarkEnd w:id="246"/>
            <w:r w:rsidRPr="00477D8F">
              <w:t>: Disparities in GERs by region and level of education, 2015</w:t>
            </w:r>
            <w:bookmarkEnd w:id="247"/>
            <w:bookmarkEnd w:id="248"/>
            <w:bookmarkEnd w:id="249"/>
            <w:bookmarkEnd w:id="250"/>
          </w:p>
        </w:tc>
      </w:tr>
      <w:tr w:rsidR="006F2CA4" w:rsidRPr="00477D8F" w14:paraId="13651053" w14:textId="77777777" w:rsidTr="00286878">
        <w:trPr>
          <w:trHeight w:val="231"/>
        </w:trPr>
        <w:tc>
          <w:tcPr>
            <w:tcW w:w="9350" w:type="dxa"/>
            <w:hideMark/>
          </w:tcPr>
          <w:p w14:paraId="7632BC0C" w14:textId="77777777" w:rsidR="006F2CA4" w:rsidRPr="00477D8F" w:rsidRDefault="006F2CA4" w:rsidP="00286878">
            <w:pPr>
              <w:jc w:val="both"/>
              <w:rPr>
                <w:rFonts w:ascii="Sylfaen" w:hAnsi="Sylfaen" w:cs="Times New Roman"/>
                <w:bCs/>
              </w:rPr>
            </w:pPr>
            <w:r w:rsidRPr="00477D8F">
              <w:rPr>
                <w:rFonts w:ascii="Sylfaen" w:hAnsi="Sylfaen"/>
                <w:noProof/>
              </w:rPr>
              <w:drawing>
                <wp:inline distT="0" distB="0" distL="0" distR="0" wp14:anchorId="73938B9F" wp14:editId="7E6037D6">
                  <wp:extent cx="5556885" cy="1963973"/>
                  <wp:effectExtent l="0" t="0" r="5715" b="17780"/>
                  <wp:docPr id="590" name="Chart 590"/>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tc>
      </w:tr>
      <w:tr w:rsidR="006F2CA4" w:rsidRPr="00477D8F" w14:paraId="748885D5" w14:textId="77777777" w:rsidTr="00286878">
        <w:trPr>
          <w:trHeight w:val="296"/>
        </w:trPr>
        <w:tc>
          <w:tcPr>
            <w:tcW w:w="9350" w:type="dxa"/>
            <w:hideMark/>
          </w:tcPr>
          <w:p w14:paraId="272FEC49" w14:textId="77777777" w:rsidR="006F2CA4" w:rsidRPr="00477D8F" w:rsidRDefault="006F2CA4" w:rsidP="00286878">
            <w:pPr>
              <w:pStyle w:val="Source"/>
            </w:pPr>
            <w:r w:rsidRPr="00477D8F">
              <w:rPr>
                <w:rFonts w:eastAsia="Times New Roman"/>
                <w:i/>
              </w:rPr>
              <w:t>Source:</w:t>
            </w:r>
            <w:r w:rsidRPr="00477D8F">
              <w:rPr>
                <w:rFonts w:eastAsia="Times New Roman"/>
              </w:rPr>
              <w:t xml:space="preserve"> </w:t>
            </w:r>
            <w:r w:rsidRPr="00477D8F">
              <w:t>Authors’ estimations based on IHS 2015.</w:t>
            </w:r>
          </w:p>
        </w:tc>
      </w:tr>
    </w:tbl>
    <w:p w14:paraId="34832A00" w14:textId="77777777" w:rsidR="006F2CA4" w:rsidRPr="00477D8F" w:rsidRDefault="006F2CA4" w:rsidP="006F2CA4">
      <w:pPr>
        <w:pStyle w:val="Heading3"/>
      </w:pPr>
      <w:r w:rsidRPr="00477D8F">
        <w:lastRenderedPageBreak/>
        <w:t>District</w:t>
      </w:r>
    </w:p>
    <w:p w14:paraId="26EF11F3" w14:textId="4E840263" w:rsidR="006F2CA4" w:rsidRPr="00477D8F" w:rsidRDefault="006F2CA4" w:rsidP="00286878">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eastAsia="Times New Roman" w:hAnsi="Sylfaen" w:cs="Times New Roman"/>
          <w:b/>
          <w:color w:val="000000"/>
        </w:rPr>
        <w:t xml:space="preserve">There are inequalities in access to education within regions and across districts. </w:t>
      </w:r>
      <w:r w:rsidRPr="00477D8F">
        <w:rPr>
          <w:rFonts w:ascii="Sylfaen" w:eastAsia="Times New Roman" w:hAnsi="Sylfaen" w:cs="Times New Roman"/>
          <w:color w:val="000000"/>
        </w:rPr>
        <w:t>For many regions, the districts with a low GER at the preschool level also have a low GER at LBE, although it varies by region. Region 5 has the district with the lowest GER in both preschool (3.5 percent) and LBS (24.4 percent) (Figure 5</w:t>
      </w:r>
      <w:r w:rsidR="00D27440" w:rsidRPr="00477D8F">
        <w:rPr>
          <w:rFonts w:ascii="Sylfaen" w:eastAsia="Times New Roman" w:hAnsi="Sylfaen" w:cs="Times New Roman"/>
          <w:color w:val="000000"/>
        </w:rPr>
        <w:t>0</w:t>
      </w:r>
      <w:r w:rsidRPr="00477D8F">
        <w:rPr>
          <w:rFonts w:ascii="Sylfaen" w:eastAsia="Times New Roman" w:hAnsi="Sylfaen" w:cs="Times New Roman"/>
          <w:color w:val="000000"/>
        </w:rPr>
        <w:t xml:space="preserve">). Analysis of equity in enrollment by district allows for targeting of particular districts which require additional support to improve equal access. Analogous to the inequalities in access to preprimary and primary education, there are critical disparities in access to secondary education as well. Districts with better access to UBE tend to also have better access to SSE, even though this comparison varies across regions. For example, enrollment in UBSs is low in Upper Saloum (10.3 percent) while enrollment in </w:t>
      </w:r>
      <w:r w:rsidRPr="00477D8F">
        <w:rPr>
          <w:rFonts w:ascii="Sylfaen" w:hAnsi="Sylfaen" w:cs="Times New Roman"/>
        </w:rPr>
        <w:t>SSSs</w:t>
      </w:r>
      <w:r w:rsidRPr="00477D8F">
        <w:rPr>
          <w:rFonts w:ascii="Sylfaen" w:eastAsia="Times New Roman" w:hAnsi="Sylfaen" w:cs="Times New Roman"/>
          <w:color w:val="000000"/>
        </w:rPr>
        <w:t xml:space="preserve"> is low in Kantora (5.3 percent) (see</w:t>
      </w:r>
      <w:r w:rsidR="00D27440" w:rsidRPr="00477D8F">
        <w:rPr>
          <w:rFonts w:ascii="Sylfaen" w:eastAsia="Times New Roman" w:hAnsi="Sylfaen" w:cs="Times New Roman"/>
          <w:color w:val="000000"/>
        </w:rPr>
        <w:t xml:space="preserve"> </w:t>
      </w:r>
      <w:r w:rsidR="00D27440" w:rsidRPr="00477D8F">
        <w:rPr>
          <w:rFonts w:ascii="Sylfaen" w:eastAsia="Times New Roman" w:hAnsi="Sylfaen" w:cs="Times New Roman"/>
          <w:color w:val="000000"/>
        </w:rPr>
        <w:fldChar w:fldCharType="begin"/>
      </w:r>
      <w:r w:rsidR="00D27440" w:rsidRPr="00477D8F">
        <w:rPr>
          <w:rFonts w:ascii="Sylfaen" w:eastAsia="Times New Roman" w:hAnsi="Sylfaen" w:cs="Times New Roman"/>
          <w:color w:val="000000"/>
        </w:rPr>
        <w:instrText xml:space="preserve"> REF _Ref496881479 \h  \* MERGEFORMAT </w:instrText>
      </w:r>
      <w:r w:rsidR="00D27440" w:rsidRPr="00477D8F">
        <w:rPr>
          <w:rFonts w:ascii="Sylfaen" w:eastAsia="Times New Roman" w:hAnsi="Sylfaen" w:cs="Times New Roman"/>
          <w:color w:val="000000"/>
        </w:rPr>
      </w:r>
      <w:r w:rsidR="00D27440" w:rsidRPr="00477D8F">
        <w:rPr>
          <w:rFonts w:ascii="Sylfaen" w:eastAsia="Times New Roman" w:hAnsi="Sylfaen" w:cs="Times New Roman"/>
          <w:color w:val="000000"/>
        </w:rPr>
        <w:fldChar w:fldCharType="separate"/>
      </w:r>
      <w:r w:rsidR="00D27440" w:rsidRPr="00477D8F">
        <w:rPr>
          <w:rFonts w:ascii="Sylfaen" w:hAnsi="Sylfaen"/>
        </w:rPr>
        <w:t>Figure C</w:t>
      </w:r>
      <w:r w:rsidR="00D27440" w:rsidRPr="00477D8F">
        <w:rPr>
          <w:rFonts w:ascii="Sylfaen" w:hAnsi="Sylfaen"/>
          <w:noProof/>
        </w:rPr>
        <w:t>2</w:t>
      </w:r>
      <w:r w:rsidR="00D27440" w:rsidRPr="00477D8F">
        <w:rPr>
          <w:rFonts w:ascii="Sylfaen" w:eastAsia="Times New Roman" w:hAnsi="Sylfaen" w:cs="Times New Roman"/>
          <w:color w:val="000000"/>
        </w:rPr>
        <w:fldChar w:fldCharType="end"/>
      </w:r>
      <w:r w:rsidR="00D27440" w:rsidRPr="00477D8F">
        <w:rPr>
          <w:rFonts w:ascii="Sylfaen" w:eastAsia="Times New Roman" w:hAnsi="Sylfaen" w:cs="Times New Roman"/>
          <w:color w:val="000000"/>
        </w:rPr>
        <w:t xml:space="preserve"> </w:t>
      </w:r>
      <w:r w:rsidRPr="00477D8F">
        <w:rPr>
          <w:rFonts w:ascii="Sylfaen" w:eastAsia="Times New Roman" w:hAnsi="Sylfaen" w:cs="Times New Roman"/>
          <w:color w:val="000000"/>
        </w:rPr>
        <w:t>).</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F2CA4" w:rsidRPr="00477D8F" w14:paraId="0B398A1E" w14:textId="77777777" w:rsidTr="00286878">
        <w:trPr>
          <w:trHeight w:val="10"/>
        </w:trPr>
        <w:tc>
          <w:tcPr>
            <w:tcW w:w="9350" w:type="dxa"/>
            <w:hideMark/>
          </w:tcPr>
          <w:p w14:paraId="3C9069D9" w14:textId="280F0420" w:rsidR="006F2CA4" w:rsidRPr="00477D8F" w:rsidRDefault="006F2CA4" w:rsidP="00286878">
            <w:pPr>
              <w:pStyle w:val="Caption1"/>
            </w:pPr>
            <w:bookmarkStart w:id="251" w:name="_Ref482649202"/>
            <w:bookmarkStart w:id="252" w:name="_Toc482618643"/>
            <w:bookmarkStart w:id="253" w:name="_Toc482649999"/>
            <w:bookmarkStart w:id="254" w:name="_Toc496603352"/>
            <w:bookmarkStart w:id="255" w:name="_Toc497171820"/>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50</w:t>
            </w:r>
            <w:r w:rsidR="002E5BDF" w:rsidRPr="00477D8F">
              <w:rPr>
                <w:noProof/>
              </w:rPr>
              <w:fldChar w:fldCharType="end"/>
            </w:r>
            <w:bookmarkEnd w:id="251"/>
            <w:r w:rsidRPr="00477D8F">
              <w:t>: Disparities in preprimary and LBS GERs at the district level, 2015</w:t>
            </w:r>
            <w:bookmarkEnd w:id="252"/>
            <w:bookmarkEnd w:id="253"/>
            <w:bookmarkEnd w:id="254"/>
            <w:bookmarkEnd w:id="255"/>
          </w:p>
        </w:tc>
      </w:tr>
      <w:tr w:rsidR="006F2CA4" w:rsidRPr="00477D8F" w14:paraId="412E7D85" w14:textId="77777777" w:rsidTr="00AA5A55">
        <w:trPr>
          <w:trHeight w:val="231"/>
        </w:trPr>
        <w:tc>
          <w:tcPr>
            <w:tcW w:w="9350" w:type="dxa"/>
            <w:hideMark/>
          </w:tcPr>
          <w:p w14:paraId="39746409" w14:textId="14B4C93C" w:rsidR="006F2CA4" w:rsidRPr="00477D8F" w:rsidRDefault="00AA5A55" w:rsidP="00286878">
            <w:pPr>
              <w:jc w:val="both"/>
              <w:rPr>
                <w:rFonts w:ascii="Sylfaen" w:hAnsi="Sylfaen" w:cs="Times New Roman"/>
                <w:bCs/>
              </w:rPr>
            </w:pPr>
            <w:r w:rsidRPr="00477D8F">
              <w:rPr>
                <w:noProof/>
              </w:rPr>
              <w:drawing>
                <wp:inline distT="0" distB="0" distL="0" distR="0" wp14:anchorId="7698B020" wp14:editId="6080ADDE">
                  <wp:extent cx="5943600" cy="4867422"/>
                  <wp:effectExtent l="0" t="0" r="0" b="0"/>
                  <wp:docPr id="121" name="Chart 121">
                    <a:extLst xmlns:a="http://schemas.openxmlformats.org/drawingml/2006/main">
                      <a:ext uri="{FF2B5EF4-FFF2-40B4-BE49-F238E27FC236}">
                        <a16:creationId xmlns:a16="http://schemas.microsoft.com/office/drawing/2014/main" id="{00000000-0008-0000-3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tc>
      </w:tr>
      <w:tr w:rsidR="006F2CA4" w:rsidRPr="00477D8F" w14:paraId="13CB5BDB" w14:textId="77777777" w:rsidTr="00286878">
        <w:trPr>
          <w:trHeight w:val="296"/>
        </w:trPr>
        <w:tc>
          <w:tcPr>
            <w:tcW w:w="9350" w:type="dxa"/>
            <w:hideMark/>
          </w:tcPr>
          <w:p w14:paraId="2F921F66" w14:textId="77777777" w:rsidR="006F2CA4" w:rsidRPr="00477D8F" w:rsidRDefault="006F2CA4" w:rsidP="00286878">
            <w:pPr>
              <w:pStyle w:val="Source"/>
            </w:pPr>
            <w:r w:rsidRPr="00477D8F">
              <w:rPr>
                <w:rFonts w:eastAsia="Times New Roman"/>
                <w:i/>
              </w:rPr>
              <w:t>Source:</w:t>
            </w:r>
            <w:r w:rsidRPr="00477D8F">
              <w:rPr>
                <w:rFonts w:eastAsia="Times New Roman"/>
              </w:rPr>
              <w:t xml:space="preserve"> </w:t>
            </w:r>
            <w:r w:rsidRPr="00477D8F">
              <w:t>Authors’ estimations based on IHS 2015.</w:t>
            </w:r>
          </w:p>
        </w:tc>
      </w:tr>
    </w:tbl>
    <w:p w14:paraId="7B8FA531" w14:textId="631DF7F8" w:rsidR="006F2CA4" w:rsidRPr="00477D8F" w:rsidRDefault="006F2CA4" w:rsidP="006F2CA4">
      <w:pPr>
        <w:pStyle w:val="Heading2"/>
      </w:pPr>
      <w:bookmarkStart w:id="256" w:name="_Toc496603210"/>
      <w:bookmarkStart w:id="257" w:name="_Toc482618477"/>
      <w:bookmarkStart w:id="258" w:name="_Toc482649935"/>
      <w:bookmarkStart w:id="259" w:name="_Toc497171879"/>
      <w:r w:rsidRPr="00477D8F">
        <w:lastRenderedPageBreak/>
        <w:t>Inequality in out-of-school</w:t>
      </w:r>
      <w:bookmarkEnd w:id="256"/>
      <w:r w:rsidR="00D042DA" w:rsidRPr="00477D8F">
        <w:t xml:space="preserve"> incidence</w:t>
      </w:r>
      <w:bookmarkEnd w:id="259"/>
      <w:r w:rsidRPr="00477D8F">
        <w:t xml:space="preserve"> </w:t>
      </w:r>
      <w:bookmarkEnd w:id="257"/>
      <w:bookmarkEnd w:id="258"/>
    </w:p>
    <w:p w14:paraId="50C13153" w14:textId="77777777" w:rsidR="006F2CA4" w:rsidRPr="00477D8F" w:rsidRDefault="006F2CA4" w:rsidP="006F2CA4">
      <w:pPr>
        <w:pStyle w:val="Heading3"/>
      </w:pPr>
      <w:r w:rsidRPr="00477D8F">
        <w:t xml:space="preserve">Gender and areas of residence </w:t>
      </w:r>
    </w:p>
    <w:p w14:paraId="1E8E25FB" w14:textId="27ADEBE9" w:rsidR="006F2CA4" w:rsidRPr="00477D8F" w:rsidRDefault="006F2CA4" w:rsidP="00D95066">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hAnsi="Sylfaen"/>
          <w:b/>
        </w:rPr>
        <w:t xml:space="preserve">Boys and children living in rural areas have a higher out-of-school incidence, whereas girls have a higher dropout rate. </w:t>
      </w:r>
      <w:r w:rsidRPr="00477D8F">
        <w:rPr>
          <w:rFonts w:ascii="Sylfaen" w:hAnsi="Sylfaen"/>
        </w:rPr>
        <w:t>In 2015, rural areas registered 55.5 percent out-of-school children of senior secondary age compared to 33.2 percent in urban areas (</w:t>
      </w:r>
      <w:r w:rsidRPr="00477D8F">
        <w:rPr>
          <w:rFonts w:ascii="Sylfaen" w:hAnsi="Sylfaen"/>
        </w:rPr>
        <w:fldChar w:fldCharType="begin"/>
      </w:r>
      <w:r w:rsidRPr="00477D8F">
        <w:rPr>
          <w:rFonts w:ascii="Sylfaen" w:hAnsi="Sylfaen"/>
        </w:rPr>
        <w:instrText xml:space="preserve"> REF _Ref482649243 \h  \* MERGEFORMAT </w:instrText>
      </w:r>
      <w:r w:rsidRPr="00477D8F">
        <w:rPr>
          <w:rFonts w:ascii="Sylfaen" w:hAnsi="Sylfaen"/>
        </w:rPr>
      </w:r>
      <w:r w:rsidRPr="00477D8F">
        <w:rPr>
          <w:rFonts w:ascii="Sylfaen" w:hAnsi="Sylfaen"/>
        </w:rPr>
        <w:fldChar w:fldCharType="separate"/>
      </w:r>
      <w:r w:rsidRPr="00477D8F">
        <w:rPr>
          <w:rFonts w:ascii="Sylfaen" w:hAnsi="Sylfaen"/>
          <w:bCs/>
        </w:rPr>
        <w:t>Figure 51</w:t>
      </w:r>
      <w:r w:rsidRPr="00477D8F">
        <w:rPr>
          <w:rFonts w:ascii="Sylfaen" w:hAnsi="Sylfaen"/>
        </w:rPr>
        <w:fldChar w:fldCharType="end"/>
      </w:r>
      <w:r w:rsidRPr="00477D8F">
        <w:rPr>
          <w:rFonts w:ascii="Sylfaen" w:hAnsi="Sylfaen"/>
        </w:rPr>
        <w:t xml:space="preserve">). About 95 percent of the out-of-school children of primary school age have never been to school, while the remainder (5 percent) dropped out of school. The out-of-school </w:t>
      </w:r>
      <w:r w:rsidR="00D042DA" w:rsidRPr="00477D8F">
        <w:rPr>
          <w:rFonts w:ascii="Sylfaen" w:hAnsi="Sylfaen"/>
        </w:rPr>
        <w:t xml:space="preserve">incidence </w:t>
      </w:r>
      <w:r w:rsidRPr="00477D8F">
        <w:rPr>
          <w:rFonts w:ascii="Sylfaen" w:hAnsi="Sylfaen"/>
        </w:rPr>
        <w:t>varies with the level of education. In particular, it is slightly lower at the upper basic level (28.9 percent) but increases at the senior secondary level (42.8 percent) with a higher dropout rate.</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F2CA4" w:rsidRPr="00477D8F" w14:paraId="7EE2DA6F" w14:textId="77777777" w:rsidTr="00D95066">
        <w:trPr>
          <w:trHeight w:val="10"/>
        </w:trPr>
        <w:tc>
          <w:tcPr>
            <w:tcW w:w="9350" w:type="dxa"/>
            <w:hideMark/>
          </w:tcPr>
          <w:p w14:paraId="4E53C614" w14:textId="77777777" w:rsidR="006F2CA4" w:rsidRPr="00477D8F" w:rsidRDefault="006F2CA4" w:rsidP="00D95066">
            <w:pPr>
              <w:pStyle w:val="Caption1"/>
            </w:pPr>
            <w:bookmarkStart w:id="260" w:name="_Ref482649243"/>
            <w:bookmarkStart w:id="261" w:name="_Toc482618645"/>
            <w:bookmarkStart w:id="262" w:name="_Toc482650001"/>
            <w:bookmarkStart w:id="263" w:name="_Toc496603353"/>
            <w:bookmarkStart w:id="264" w:name="_Toc497171821"/>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51</w:t>
            </w:r>
            <w:r w:rsidR="002E5BDF" w:rsidRPr="00477D8F">
              <w:rPr>
                <w:noProof/>
              </w:rPr>
              <w:fldChar w:fldCharType="end"/>
            </w:r>
            <w:bookmarkEnd w:id="260"/>
            <w:r w:rsidRPr="00477D8F">
              <w:t>: Out-of-school rate by gender and areas of residence by level of education</w:t>
            </w:r>
            <w:bookmarkEnd w:id="261"/>
            <w:bookmarkEnd w:id="262"/>
            <w:bookmarkEnd w:id="263"/>
            <w:bookmarkEnd w:id="264"/>
          </w:p>
        </w:tc>
      </w:tr>
      <w:tr w:rsidR="006F2CA4" w:rsidRPr="00477D8F" w14:paraId="19FD87DE" w14:textId="77777777" w:rsidTr="00D95066">
        <w:trPr>
          <w:trHeight w:val="231"/>
        </w:trPr>
        <w:tc>
          <w:tcPr>
            <w:tcW w:w="9350" w:type="dxa"/>
            <w:hideMark/>
          </w:tcPr>
          <w:p w14:paraId="5FE2C71D" w14:textId="77777777" w:rsidR="006F2CA4" w:rsidRPr="00477D8F" w:rsidRDefault="006F2CA4" w:rsidP="00D95066">
            <w:pPr>
              <w:jc w:val="both"/>
              <w:rPr>
                <w:rFonts w:ascii="Sylfaen" w:hAnsi="Sylfaen"/>
                <w:bCs/>
              </w:rPr>
            </w:pPr>
            <w:r w:rsidRPr="00477D8F">
              <w:rPr>
                <w:rFonts w:ascii="Sylfaen" w:hAnsi="Sylfaen"/>
                <w:noProof/>
              </w:rPr>
              <w:drawing>
                <wp:inline distT="0" distB="0" distL="0" distR="0" wp14:anchorId="48D4B2C9" wp14:editId="22DB99DF">
                  <wp:extent cx="5947410" cy="2172615"/>
                  <wp:effectExtent l="0" t="0" r="15240" b="18415"/>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tc>
      </w:tr>
      <w:tr w:rsidR="006F2CA4" w:rsidRPr="00477D8F" w14:paraId="1C8DC5F2" w14:textId="77777777" w:rsidTr="00D95066">
        <w:trPr>
          <w:trHeight w:val="296"/>
        </w:trPr>
        <w:tc>
          <w:tcPr>
            <w:tcW w:w="9350" w:type="dxa"/>
            <w:hideMark/>
          </w:tcPr>
          <w:p w14:paraId="2E520B71" w14:textId="77777777" w:rsidR="006F2CA4" w:rsidRPr="00477D8F" w:rsidRDefault="006F2CA4" w:rsidP="00D95066">
            <w:pPr>
              <w:pStyle w:val="Source"/>
            </w:pPr>
            <w:r w:rsidRPr="00477D8F">
              <w:rPr>
                <w:i/>
              </w:rPr>
              <w:t>Source:</w:t>
            </w:r>
            <w:r w:rsidRPr="00477D8F">
              <w:t xml:space="preserve"> Authors’ estimations based on IHS 2015.</w:t>
            </w:r>
          </w:p>
        </w:tc>
      </w:tr>
    </w:tbl>
    <w:p w14:paraId="05EF8ADE" w14:textId="77777777" w:rsidR="006F2CA4" w:rsidRPr="00477D8F" w:rsidRDefault="006F2CA4" w:rsidP="006F2CA4">
      <w:pPr>
        <w:pStyle w:val="Heading3"/>
      </w:pPr>
      <w:r w:rsidRPr="00477D8F">
        <w:t xml:space="preserve">Wealth quintile </w:t>
      </w:r>
    </w:p>
    <w:p w14:paraId="51AF11BB" w14:textId="77777777" w:rsidR="006F2CA4" w:rsidRPr="00477D8F" w:rsidRDefault="006F2CA4" w:rsidP="00425B34">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hAnsi="Sylfaen"/>
          <w:b/>
        </w:rPr>
        <w:t xml:space="preserve">The out-of-school incidence is higher among children from poorer backgrounds. </w:t>
      </w:r>
      <w:r w:rsidRPr="00477D8F">
        <w:rPr>
          <w:rFonts w:ascii="Sylfaen" w:hAnsi="Sylfaen"/>
        </w:rPr>
        <w:t>For instance, at the lower basic level, 43.6 percent of children from the poorest wealth quintile are out of school, while only 16 percent children from the richest wealth quintile are out of school (</w:t>
      </w:r>
      <w:r w:rsidRPr="00477D8F">
        <w:rPr>
          <w:rFonts w:ascii="Sylfaen" w:hAnsi="Sylfaen"/>
        </w:rPr>
        <w:fldChar w:fldCharType="begin"/>
      </w:r>
      <w:r w:rsidRPr="00477D8F">
        <w:rPr>
          <w:rFonts w:ascii="Sylfaen" w:hAnsi="Sylfaen"/>
        </w:rPr>
        <w:instrText xml:space="preserve"> REF _Ref482649255 \h  \* MERGEFORMAT </w:instrText>
      </w:r>
      <w:r w:rsidRPr="00477D8F">
        <w:rPr>
          <w:rFonts w:ascii="Sylfaen" w:hAnsi="Sylfaen"/>
        </w:rPr>
      </w:r>
      <w:r w:rsidRPr="00477D8F">
        <w:rPr>
          <w:rFonts w:ascii="Sylfaen" w:hAnsi="Sylfaen"/>
        </w:rPr>
        <w:fldChar w:fldCharType="separate"/>
      </w:r>
      <w:r w:rsidRPr="00477D8F">
        <w:rPr>
          <w:rFonts w:ascii="Sylfaen" w:hAnsi="Sylfaen"/>
          <w:bCs/>
        </w:rPr>
        <w:t>Figure 52</w:t>
      </w:r>
      <w:r w:rsidRPr="00477D8F">
        <w:rPr>
          <w:rFonts w:ascii="Sylfaen" w:hAnsi="Sylfaen"/>
        </w:rPr>
        <w:fldChar w:fldCharType="end"/>
      </w:r>
      <w:r w:rsidRPr="00477D8F">
        <w:rPr>
          <w:rFonts w:ascii="Sylfaen" w:hAnsi="Sylfaen"/>
        </w:rPr>
        <w:t xml:space="preserve">). Additionally, for children of senior secondary age, the out-of-school rate in the poorest wealth quintile is driven by the proportion of children that have never been to school while in the richest wealth quintile, it is driven by the dropout rate. </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F2CA4" w:rsidRPr="00477D8F" w14:paraId="1DAB5C3F" w14:textId="77777777" w:rsidTr="00425B34">
        <w:trPr>
          <w:trHeight w:val="10"/>
        </w:trPr>
        <w:tc>
          <w:tcPr>
            <w:tcW w:w="9350" w:type="dxa"/>
            <w:hideMark/>
          </w:tcPr>
          <w:p w14:paraId="44481DC8" w14:textId="77777777" w:rsidR="006F2CA4" w:rsidRPr="00477D8F" w:rsidRDefault="006F2CA4" w:rsidP="00425B34">
            <w:pPr>
              <w:pStyle w:val="Caption1"/>
            </w:pPr>
            <w:bookmarkStart w:id="265" w:name="_Ref482649255"/>
            <w:bookmarkStart w:id="266" w:name="_Toc482618646"/>
            <w:bookmarkStart w:id="267" w:name="_Toc482650002"/>
            <w:bookmarkStart w:id="268" w:name="_Toc496603354"/>
            <w:bookmarkStart w:id="269" w:name="_Toc497171822"/>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52</w:t>
            </w:r>
            <w:r w:rsidR="002E5BDF" w:rsidRPr="00477D8F">
              <w:rPr>
                <w:noProof/>
              </w:rPr>
              <w:fldChar w:fldCharType="end"/>
            </w:r>
            <w:bookmarkEnd w:id="265"/>
            <w:r w:rsidRPr="00477D8F">
              <w:t>: Out-of-school rate by quintile and by level of education</w:t>
            </w:r>
            <w:bookmarkEnd w:id="266"/>
            <w:bookmarkEnd w:id="267"/>
            <w:bookmarkEnd w:id="268"/>
            <w:bookmarkEnd w:id="269"/>
          </w:p>
        </w:tc>
      </w:tr>
      <w:tr w:rsidR="006F2CA4" w:rsidRPr="00477D8F" w14:paraId="316D497F" w14:textId="77777777" w:rsidTr="00425B34">
        <w:trPr>
          <w:trHeight w:val="231"/>
        </w:trPr>
        <w:tc>
          <w:tcPr>
            <w:tcW w:w="9350" w:type="dxa"/>
            <w:hideMark/>
          </w:tcPr>
          <w:p w14:paraId="51FEA784" w14:textId="5EFAEBC9" w:rsidR="006F2CA4" w:rsidRPr="00477D8F" w:rsidRDefault="006F2CA4" w:rsidP="00425B34">
            <w:pPr>
              <w:jc w:val="both"/>
              <w:rPr>
                <w:rFonts w:ascii="Sylfaen" w:hAnsi="Sylfaen"/>
                <w:bCs/>
              </w:rPr>
            </w:pPr>
            <w:r w:rsidRPr="00477D8F">
              <w:rPr>
                <w:rFonts w:ascii="Sylfaen" w:hAnsi="Sylfaen"/>
                <w:noProof/>
              </w:rPr>
              <w:drawing>
                <wp:inline distT="0" distB="0" distL="0" distR="0" wp14:anchorId="5DAAB31D" wp14:editId="78A634BA">
                  <wp:extent cx="5800725" cy="1901952"/>
                  <wp:effectExtent l="0" t="0" r="9525" b="317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r>
      <w:tr w:rsidR="006F2CA4" w:rsidRPr="00477D8F" w14:paraId="24B28413" w14:textId="77777777" w:rsidTr="00425B34">
        <w:trPr>
          <w:trHeight w:val="296"/>
        </w:trPr>
        <w:tc>
          <w:tcPr>
            <w:tcW w:w="9350" w:type="dxa"/>
            <w:hideMark/>
          </w:tcPr>
          <w:p w14:paraId="48A95F1C" w14:textId="77777777" w:rsidR="006F2CA4" w:rsidRPr="00477D8F" w:rsidRDefault="006F2CA4" w:rsidP="00425B34">
            <w:pPr>
              <w:pStyle w:val="Source"/>
            </w:pPr>
            <w:r w:rsidRPr="00477D8F">
              <w:rPr>
                <w:i/>
              </w:rPr>
              <w:t>Source:</w:t>
            </w:r>
            <w:r w:rsidRPr="00477D8F">
              <w:t xml:space="preserve"> Authors’ estimations based on IHS 2015.</w:t>
            </w:r>
          </w:p>
        </w:tc>
      </w:tr>
    </w:tbl>
    <w:p w14:paraId="6F818AA4" w14:textId="77777777" w:rsidR="006F2CA4" w:rsidRPr="00477D8F" w:rsidRDefault="006F2CA4" w:rsidP="006F2CA4">
      <w:pPr>
        <w:pStyle w:val="Heading3"/>
      </w:pPr>
      <w:r w:rsidRPr="00477D8F">
        <w:t>Ethnic group</w:t>
      </w:r>
    </w:p>
    <w:p w14:paraId="57B0A931" w14:textId="1690E3D4" w:rsidR="006F2CA4" w:rsidRPr="00477D8F" w:rsidRDefault="006F2CA4" w:rsidP="001310CE">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hAnsi="Sylfaen"/>
          <w:b/>
        </w:rPr>
        <w:t>The out-of-school status is also subject to ethnic variations in The Gambia and it is particularly high among the Wolof ethnic group at the lower basic level (49 percent) and upper basic level (47.7 percent).</w:t>
      </w:r>
      <w:r w:rsidRPr="00477D8F">
        <w:rPr>
          <w:rFonts w:ascii="Sylfaen" w:hAnsi="Sylfaen"/>
        </w:rPr>
        <w:t xml:space="preserve"> Moreover, children from the Serahulleh ethnic group experience the highest out-of-school rate at the </w:t>
      </w:r>
      <w:r w:rsidRPr="00477D8F">
        <w:rPr>
          <w:rFonts w:ascii="Sylfaen" w:eastAsia="Times New Roman" w:hAnsi="Sylfaen" w:cs="Times New Roman"/>
          <w:color w:val="000000"/>
        </w:rPr>
        <w:t>SSE</w:t>
      </w:r>
      <w:r w:rsidRPr="00477D8F">
        <w:rPr>
          <w:rFonts w:ascii="Sylfaen" w:hAnsi="Sylfaen"/>
        </w:rPr>
        <w:t xml:space="preserve"> level. Head of household education level, employment status, and the sector of employment are key factors that affect the decision to send children to school (</w:t>
      </w:r>
      <w:r w:rsidRPr="00477D8F">
        <w:rPr>
          <w:rFonts w:ascii="Sylfaen" w:hAnsi="Sylfaen"/>
        </w:rPr>
        <w:fldChar w:fldCharType="begin"/>
      </w:r>
      <w:r w:rsidRPr="00477D8F">
        <w:rPr>
          <w:rFonts w:ascii="Sylfaen" w:hAnsi="Sylfaen"/>
        </w:rPr>
        <w:instrText xml:space="preserve"> REF _Ref482649266 \h  \* MERGEFORMAT </w:instrText>
      </w:r>
      <w:r w:rsidRPr="00477D8F">
        <w:rPr>
          <w:rFonts w:ascii="Sylfaen" w:hAnsi="Sylfaen"/>
        </w:rPr>
      </w:r>
      <w:r w:rsidRPr="00477D8F">
        <w:rPr>
          <w:rFonts w:ascii="Sylfaen" w:hAnsi="Sylfaen"/>
        </w:rPr>
        <w:fldChar w:fldCharType="separate"/>
      </w:r>
      <w:r w:rsidRPr="00477D8F">
        <w:rPr>
          <w:rFonts w:ascii="Sylfaen" w:hAnsi="Sylfaen"/>
          <w:bCs/>
        </w:rPr>
        <w:t xml:space="preserve">Figure </w:t>
      </w:r>
      <w:r w:rsidRPr="00477D8F">
        <w:rPr>
          <w:rFonts w:ascii="Sylfaen" w:hAnsi="Sylfaen"/>
          <w:bCs/>
          <w:noProof/>
        </w:rPr>
        <w:t>53</w:t>
      </w:r>
      <w:r w:rsidRPr="00477D8F">
        <w:rPr>
          <w:rFonts w:ascii="Sylfaen" w:hAnsi="Sylfaen"/>
        </w:rPr>
        <w:fldChar w:fldCharType="end"/>
      </w:r>
      <w:r w:rsidRPr="00477D8F">
        <w:rPr>
          <w:rFonts w:ascii="Sylfaen" w:hAnsi="Sylfaen"/>
        </w:rPr>
        <w:t>). The following impacts are observed (see</w:t>
      </w:r>
      <w:r w:rsidR="00671575" w:rsidRPr="00477D8F">
        <w:rPr>
          <w:rFonts w:ascii="Sylfaen" w:hAnsi="Sylfaen"/>
        </w:rPr>
        <w:t xml:space="preserve"> </w:t>
      </w:r>
      <w:r w:rsidR="00671575" w:rsidRPr="00477D8F">
        <w:rPr>
          <w:rFonts w:ascii="Sylfaen" w:hAnsi="Sylfaen"/>
        </w:rPr>
        <w:fldChar w:fldCharType="begin"/>
      </w:r>
      <w:r w:rsidR="00671575" w:rsidRPr="00477D8F">
        <w:rPr>
          <w:rFonts w:ascii="Sylfaen" w:hAnsi="Sylfaen"/>
        </w:rPr>
        <w:instrText xml:space="preserve"> REF _Ref496881620 \h  \* MERGEFORMAT </w:instrText>
      </w:r>
      <w:r w:rsidR="00671575" w:rsidRPr="00477D8F">
        <w:rPr>
          <w:rFonts w:ascii="Sylfaen" w:hAnsi="Sylfaen"/>
        </w:rPr>
      </w:r>
      <w:r w:rsidR="00671575" w:rsidRPr="00477D8F">
        <w:rPr>
          <w:rFonts w:ascii="Sylfaen" w:hAnsi="Sylfaen"/>
        </w:rPr>
        <w:fldChar w:fldCharType="separate"/>
      </w:r>
      <w:r w:rsidR="00671575" w:rsidRPr="00477D8F">
        <w:rPr>
          <w:rFonts w:ascii="Sylfaen" w:hAnsi="Sylfaen"/>
        </w:rPr>
        <w:t>Figure C</w:t>
      </w:r>
      <w:r w:rsidR="00671575" w:rsidRPr="00477D8F">
        <w:rPr>
          <w:rFonts w:ascii="Sylfaen" w:hAnsi="Sylfaen"/>
          <w:noProof/>
        </w:rPr>
        <w:t>9</w:t>
      </w:r>
      <w:r w:rsidR="00671575" w:rsidRPr="00477D8F">
        <w:rPr>
          <w:rFonts w:ascii="Sylfaen" w:hAnsi="Sylfaen"/>
        </w:rPr>
        <w:fldChar w:fldCharType="end"/>
      </w:r>
      <w:r w:rsidR="00671575" w:rsidRPr="00477D8F">
        <w:rPr>
          <w:rFonts w:ascii="Sylfaen" w:hAnsi="Sylfaen"/>
        </w:rPr>
        <w:t xml:space="preserve"> </w:t>
      </w:r>
      <w:r w:rsidRPr="00477D8F">
        <w:rPr>
          <w:rFonts w:ascii="Sylfaen" w:hAnsi="Sylfaen"/>
        </w:rPr>
        <w:t>): (a) the out-of-school rate decreases with the education level of the household head, (b) children from households in which the household heads work in the service sector face a lower out-of-school rate, and (c) children from families where the household head has wage employment tend to have a lower out-of-school rate.</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4FCD5125" w14:textId="77777777" w:rsidTr="001310CE">
        <w:trPr>
          <w:trHeight w:val="10"/>
        </w:trPr>
        <w:tc>
          <w:tcPr>
            <w:tcW w:w="9350" w:type="dxa"/>
            <w:hideMark/>
          </w:tcPr>
          <w:p w14:paraId="2F57A122" w14:textId="77777777" w:rsidR="006F2CA4" w:rsidRPr="00477D8F" w:rsidRDefault="006F2CA4" w:rsidP="001310CE">
            <w:pPr>
              <w:pStyle w:val="Caption1"/>
            </w:pPr>
            <w:bookmarkStart w:id="270" w:name="_Ref482649266"/>
            <w:bookmarkStart w:id="271" w:name="_Toc482618647"/>
            <w:bookmarkStart w:id="272" w:name="_Toc482650003"/>
            <w:bookmarkStart w:id="273" w:name="_Toc496603355"/>
            <w:bookmarkStart w:id="274" w:name="_Toc497171823"/>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53</w:t>
            </w:r>
            <w:r w:rsidR="002E5BDF" w:rsidRPr="00477D8F">
              <w:rPr>
                <w:noProof/>
              </w:rPr>
              <w:fldChar w:fldCharType="end"/>
            </w:r>
            <w:bookmarkEnd w:id="270"/>
            <w:r w:rsidRPr="00477D8F">
              <w:t>: Out-of-school rate by ethnic group and by level of education</w:t>
            </w:r>
            <w:bookmarkEnd w:id="271"/>
            <w:bookmarkEnd w:id="272"/>
            <w:bookmarkEnd w:id="273"/>
            <w:bookmarkEnd w:id="274"/>
          </w:p>
        </w:tc>
      </w:tr>
      <w:tr w:rsidR="006F2CA4" w:rsidRPr="00477D8F" w14:paraId="577B2931" w14:textId="77777777" w:rsidTr="001310CE">
        <w:trPr>
          <w:trHeight w:val="231"/>
        </w:trPr>
        <w:tc>
          <w:tcPr>
            <w:tcW w:w="9350" w:type="dxa"/>
            <w:hideMark/>
          </w:tcPr>
          <w:p w14:paraId="12AED056" w14:textId="77777777" w:rsidR="006F2CA4" w:rsidRPr="00477D8F" w:rsidRDefault="006F2CA4" w:rsidP="001310CE">
            <w:pPr>
              <w:jc w:val="both"/>
              <w:rPr>
                <w:rFonts w:ascii="Sylfaen" w:hAnsi="Sylfaen"/>
                <w:bCs/>
              </w:rPr>
            </w:pPr>
            <w:r w:rsidRPr="00477D8F">
              <w:rPr>
                <w:rFonts w:ascii="Sylfaen" w:hAnsi="Sylfaen"/>
                <w:noProof/>
              </w:rPr>
              <w:drawing>
                <wp:inline distT="0" distB="0" distL="0" distR="0" wp14:anchorId="1B41B191" wp14:editId="4245D407">
                  <wp:extent cx="5771515" cy="2441051"/>
                  <wp:effectExtent l="0" t="0" r="635" b="1651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r w:rsidR="006F2CA4" w:rsidRPr="00477D8F" w14:paraId="237771BD" w14:textId="77777777" w:rsidTr="001310CE">
        <w:trPr>
          <w:trHeight w:val="296"/>
        </w:trPr>
        <w:tc>
          <w:tcPr>
            <w:tcW w:w="9350" w:type="dxa"/>
            <w:hideMark/>
          </w:tcPr>
          <w:p w14:paraId="2AE80E40" w14:textId="77777777" w:rsidR="006F2CA4" w:rsidRPr="00477D8F" w:rsidRDefault="006F2CA4" w:rsidP="001310CE">
            <w:pPr>
              <w:pStyle w:val="Source"/>
            </w:pPr>
            <w:r w:rsidRPr="00477D8F">
              <w:rPr>
                <w:i/>
              </w:rPr>
              <w:t>Source:</w:t>
            </w:r>
            <w:r w:rsidRPr="00477D8F">
              <w:t xml:space="preserve"> Estimations based on IHS 2015.</w:t>
            </w:r>
          </w:p>
        </w:tc>
      </w:tr>
    </w:tbl>
    <w:p w14:paraId="385313E3" w14:textId="77777777" w:rsidR="006F2CA4" w:rsidRPr="00477D8F" w:rsidRDefault="006F2CA4" w:rsidP="006F2CA4">
      <w:pPr>
        <w:pStyle w:val="Heading3"/>
      </w:pPr>
      <w:r w:rsidRPr="00477D8F">
        <w:lastRenderedPageBreak/>
        <w:t>District level</w:t>
      </w:r>
    </w:p>
    <w:p w14:paraId="662EB617" w14:textId="29010E7D" w:rsidR="006F2CA4" w:rsidRPr="00477D8F" w:rsidRDefault="006F2CA4" w:rsidP="001310CE">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hAnsi="Sylfaen"/>
          <w:b/>
        </w:rPr>
        <w:t xml:space="preserve">The breakdown of the out-of-school incidence by district in </w:t>
      </w:r>
      <w:r w:rsidRPr="00477D8F">
        <w:rPr>
          <w:rFonts w:ascii="Sylfaen" w:eastAsia="Times New Roman" w:hAnsi="Sylfaen" w:cs="Times New Roman"/>
          <w:b/>
          <w:color w:val="000000"/>
        </w:rPr>
        <w:t>LBSs</w:t>
      </w:r>
      <w:r w:rsidRPr="00477D8F">
        <w:rPr>
          <w:rFonts w:ascii="Sylfaen" w:hAnsi="Sylfaen"/>
          <w:b/>
        </w:rPr>
        <w:t xml:space="preserve"> shows variations within regions and districts with out-of-school rates reaching 80 percent. </w:t>
      </w:r>
      <w:r w:rsidRPr="00477D8F">
        <w:rPr>
          <w:rFonts w:ascii="Sylfaen" w:hAnsi="Sylfaen"/>
        </w:rPr>
        <w:t>Districts in regions 1 and 2 have a lower rate, although it varies across districts (</w:t>
      </w:r>
      <w:r w:rsidRPr="00477D8F">
        <w:rPr>
          <w:rFonts w:ascii="Sylfaen" w:hAnsi="Sylfaen"/>
        </w:rPr>
        <w:fldChar w:fldCharType="begin"/>
      </w:r>
      <w:r w:rsidRPr="00477D8F">
        <w:rPr>
          <w:rFonts w:ascii="Sylfaen" w:hAnsi="Sylfaen"/>
        </w:rPr>
        <w:instrText xml:space="preserve"> REF _Ref482649290 \h  \* MERGEFORMAT </w:instrText>
      </w:r>
      <w:r w:rsidRPr="00477D8F">
        <w:rPr>
          <w:rFonts w:ascii="Sylfaen" w:hAnsi="Sylfaen"/>
        </w:rPr>
      </w:r>
      <w:r w:rsidRPr="00477D8F">
        <w:rPr>
          <w:rFonts w:ascii="Sylfaen" w:hAnsi="Sylfaen"/>
        </w:rPr>
        <w:fldChar w:fldCharType="separate"/>
      </w:r>
      <w:r w:rsidRPr="00477D8F">
        <w:rPr>
          <w:rFonts w:ascii="Sylfaen" w:hAnsi="Sylfaen"/>
          <w:bCs/>
        </w:rPr>
        <w:t>Figure 54</w:t>
      </w:r>
      <w:r w:rsidRPr="00477D8F">
        <w:rPr>
          <w:rFonts w:ascii="Sylfaen" w:hAnsi="Sylfaen"/>
        </w:rPr>
        <w:fldChar w:fldCharType="end"/>
      </w:r>
      <w:r w:rsidRPr="00477D8F">
        <w:rPr>
          <w:rFonts w:ascii="Sylfaen" w:hAnsi="Sylfaen"/>
        </w:rPr>
        <w:t>). The disparities between particular districts is staggering. For example, the out-of-school rate is lower in Banjul City Council District (5.8 percent) in region 1 while it reaches 80 percent in the Upper Saloum District in region 5. Overall, there is at least one district in each region with an out-of-school rate below the national average (30.3 percent). Except in region 1, all regions also have a district with an out-of-school rate above the national average.</w:t>
      </w:r>
    </w:p>
    <w:tbl>
      <w:tblPr>
        <w:tblStyle w:val="TableGrid1"/>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F2CA4" w:rsidRPr="00477D8F" w14:paraId="6194154F" w14:textId="77777777" w:rsidTr="001310CE">
        <w:trPr>
          <w:trHeight w:val="10"/>
        </w:trPr>
        <w:tc>
          <w:tcPr>
            <w:tcW w:w="9350" w:type="dxa"/>
            <w:hideMark/>
          </w:tcPr>
          <w:p w14:paraId="290C8D43" w14:textId="77777777" w:rsidR="006F2CA4" w:rsidRPr="00477D8F" w:rsidRDefault="006F2CA4" w:rsidP="001310CE">
            <w:pPr>
              <w:pStyle w:val="Caption1"/>
            </w:pPr>
            <w:bookmarkStart w:id="275" w:name="_Ref482649290"/>
            <w:bookmarkStart w:id="276" w:name="_Toc482618649"/>
            <w:bookmarkStart w:id="277" w:name="_Toc482650005"/>
            <w:bookmarkStart w:id="278" w:name="_Toc496603356"/>
            <w:bookmarkStart w:id="279" w:name="_Toc497171824"/>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54</w:t>
            </w:r>
            <w:r w:rsidR="002E5BDF" w:rsidRPr="00477D8F">
              <w:rPr>
                <w:noProof/>
              </w:rPr>
              <w:fldChar w:fldCharType="end"/>
            </w:r>
            <w:bookmarkEnd w:id="275"/>
            <w:r w:rsidRPr="00477D8F">
              <w:t>: Out-of-school rate by district at LBS level</w:t>
            </w:r>
            <w:bookmarkEnd w:id="276"/>
            <w:bookmarkEnd w:id="277"/>
            <w:bookmarkEnd w:id="278"/>
            <w:bookmarkEnd w:id="279"/>
          </w:p>
        </w:tc>
      </w:tr>
      <w:tr w:rsidR="006F2CA4" w:rsidRPr="00477D8F" w14:paraId="3D1AFD79" w14:textId="77777777" w:rsidTr="001310CE">
        <w:trPr>
          <w:trHeight w:val="4130"/>
        </w:trPr>
        <w:tc>
          <w:tcPr>
            <w:tcW w:w="9350" w:type="dxa"/>
            <w:hideMark/>
          </w:tcPr>
          <w:p w14:paraId="09026CF7" w14:textId="77777777" w:rsidR="006F2CA4" w:rsidRPr="00477D8F" w:rsidRDefault="006F2CA4" w:rsidP="001310CE">
            <w:pPr>
              <w:shd w:val="clear" w:color="auto" w:fill="FFFFFF" w:themeFill="background1"/>
              <w:jc w:val="both"/>
              <w:rPr>
                <w:rFonts w:ascii="Sylfaen" w:hAnsi="Sylfaen"/>
                <w:bCs/>
              </w:rPr>
            </w:pPr>
            <w:r w:rsidRPr="00477D8F">
              <w:rPr>
                <w:rFonts w:ascii="Sylfaen" w:hAnsi="Sylfaen"/>
                <w:noProof/>
              </w:rPr>
              <w:drawing>
                <wp:inline distT="0" distB="0" distL="0" distR="0" wp14:anchorId="0BE3EDE8" wp14:editId="422A9D32">
                  <wp:extent cx="5805170" cy="2633472"/>
                  <wp:effectExtent l="0" t="0" r="5080" b="1460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r>
      <w:tr w:rsidR="006F2CA4" w:rsidRPr="00477D8F" w14:paraId="36C54D82" w14:textId="77777777" w:rsidTr="001310CE">
        <w:trPr>
          <w:trHeight w:val="296"/>
        </w:trPr>
        <w:tc>
          <w:tcPr>
            <w:tcW w:w="9350" w:type="dxa"/>
            <w:hideMark/>
          </w:tcPr>
          <w:p w14:paraId="4F7AD835" w14:textId="77777777" w:rsidR="006F2CA4" w:rsidRPr="00477D8F" w:rsidRDefault="006F2CA4" w:rsidP="001310CE">
            <w:pPr>
              <w:pStyle w:val="Source"/>
            </w:pPr>
            <w:r w:rsidRPr="00477D8F">
              <w:rPr>
                <w:i/>
              </w:rPr>
              <w:t>Source:</w:t>
            </w:r>
            <w:r w:rsidRPr="00477D8F">
              <w:t xml:space="preserve"> Authors’ estimations based on IHS 2015.</w:t>
            </w:r>
          </w:p>
        </w:tc>
      </w:tr>
    </w:tbl>
    <w:p w14:paraId="4A3B4F6A" w14:textId="77777777" w:rsidR="006F2CA4" w:rsidRPr="00477D8F" w:rsidRDefault="006F2CA4" w:rsidP="006F2CA4">
      <w:pPr>
        <w:pStyle w:val="Heading3"/>
      </w:pPr>
      <w:r w:rsidRPr="00477D8F">
        <w:t>Determinants of out-of-school rates</w:t>
      </w:r>
    </w:p>
    <w:p w14:paraId="60627185" w14:textId="29BD4351" w:rsidR="006F2CA4" w:rsidRPr="00477D8F" w:rsidRDefault="006F2CA4" w:rsidP="001310CE">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heme="majorBidi"/>
        </w:rPr>
      </w:pPr>
      <w:r w:rsidRPr="00477D8F">
        <w:rPr>
          <w:rFonts w:ascii="Sylfaen" w:hAnsi="Sylfaen" w:cstheme="majorBidi"/>
          <w:b/>
        </w:rPr>
        <w:t>The analysis of the determining factors of the out-of-school</w:t>
      </w:r>
      <w:r w:rsidRPr="00477D8F">
        <w:rPr>
          <w:rStyle w:val="FootnoteReference"/>
          <w:rFonts w:ascii="Sylfaen" w:hAnsi="Sylfaen" w:cstheme="majorBidi"/>
          <w:b/>
        </w:rPr>
        <w:footnoteReference w:id="24"/>
      </w:r>
      <w:r w:rsidRPr="00477D8F">
        <w:rPr>
          <w:rFonts w:ascii="Sylfaen" w:hAnsi="Sylfaen" w:cstheme="majorBidi"/>
          <w:b/>
        </w:rPr>
        <w:t xml:space="preserve"> incidence shows that the level of education of the household head is the main factor influencing the incidence across all school-age groups.</w:t>
      </w:r>
      <w:r w:rsidRPr="00477D8F">
        <w:rPr>
          <w:rFonts w:ascii="Sylfaen" w:hAnsi="Sylfaen" w:cstheme="majorBidi"/>
        </w:rPr>
        <w:t xml:space="preserve"> This suggests that policies aimed at addressing this issue need to take into account the ability of the household head to make informed decisions. Given that more than half of the adult population has no formal education and that religion is one of the key reasons cited for being out of school, there may be a link between the household head’s level of education and different social factors. For example, when the head of household has no education, the probability of school attendance of the children for all age cohorts registered above 20 percent compared with no education for the children (</w:t>
      </w:r>
      <w:r w:rsidRPr="00477D8F">
        <w:rPr>
          <w:rFonts w:ascii="Sylfaen" w:hAnsi="Sylfaen" w:cstheme="majorBidi"/>
        </w:rPr>
        <w:fldChar w:fldCharType="begin"/>
      </w:r>
      <w:r w:rsidRPr="00477D8F">
        <w:rPr>
          <w:rFonts w:ascii="Sylfaen" w:hAnsi="Sylfaen" w:cstheme="majorBidi"/>
        </w:rPr>
        <w:instrText xml:space="preserve"> REF _Ref477350263 \h  \* MERGEFORMAT </w:instrText>
      </w:r>
      <w:r w:rsidRPr="00477D8F">
        <w:rPr>
          <w:rFonts w:ascii="Sylfaen" w:hAnsi="Sylfaen" w:cstheme="majorBidi"/>
        </w:rPr>
      </w:r>
      <w:r w:rsidRPr="00477D8F">
        <w:rPr>
          <w:rFonts w:ascii="Sylfaen" w:hAnsi="Sylfaen" w:cstheme="majorBidi"/>
        </w:rPr>
        <w:fldChar w:fldCharType="separate"/>
      </w:r>
      <w:r w:rsidRPr="00477D8F">
        <w:rPr>
          <w:rFonts w:ascii="Sylfaen" w:hAnsi="Sylfaen" w:cstheme="majorBidi"/>
        </w:rPr>
        <w:t>Figure 55</w:t>
      </w:r>
      <w:r w:rsidRPr="00477D8F">
        <w:rPr>
          <w:rFonts w:ascii="Sylfaen" w:hAnsi="Sylfaen" w:cstheme="majorBidi"/>
        </w:rPr>
        <w:fldChar w:fldCharType="end"/>
      </w:r>
      <w:r w:rsidRPr="00477D8F">
        <w:rPr>
          <w:rFonts w:ascii="Sylfaen" w:hAnsi="Sylfaen" w:cstheme="majorBidi"/>
        </w:rPr>
        <w:t xml:space="preserve">). In particular, demand-side factors have the highest impact on out-of-school rates. Household-head’s sector of activity and being from the poorest household wealth quintile both correspond with an increase in the out-of-school incidence. </w:t>
      </w:r>
    </w:p>
    <w:tbl>
      <w:tblPr>
        <w:tblW w:w="0" w:type="auto"/>
        <w:jc w:val="center"/>
        <w:tblLook w:val="04A0" w:firstRow="1" w:lastRow="0" w:firstColumn="1" w:lastColumn="0" w:noHBand="0" w:noVBand="1"/>
      </w:tblPr>
      <w:tblGrid>
        <w:gridCol w:w="9350"/>
      </w:tblGrid>
      <w:tr w:rsidR="006F2CA4" w:rsidRPr="00477D8F" w14:paraId="7DB3AD94" w14:textId="77777777" w:rsidTr="00CC1D18">
        <w:trPr>
          <w:jc w:val="center"/>
        </w:trPr>
        <w:tc>
          <w:tcPr>
            <w:tcW w:w="9350" w:type="dxa"/>
          </w:tcPr>
          <w:p w14:paraId="3BA9D741" w14:textId="611E89BD" w:rsidR="006F2CA4" w:rsidRPr="00477D8F" w:rsidRDefault="006F2CA4" w:rsidP="00CC1D18">
            <w:pPr>
              <w:pStyle w:val="Caption1"/>
            </w:pPr>
            <w:bookmarkStart w:id="280" w:name="_Ref477350263"/>
            <w:bookmarkStart w:id="281" w:name="_Toc480445341"/>
            <w:bookmarkStart w:id="282" w:name="_Toc496603357"/>
            <w:bookmarkStart w:id="283" w:name="_Toc497171825"/>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55</w:t>
            </w:r>
            <w:r w:rsidR="002E5BDF" w:rsidRPr="00477D8F">
              <w:rPr>
                <w:noProof/>
              </w:rPr>
              <w:fldChar w:fldCharType="end"/>
            </w:r>
            <w:bookmarkEnd w:id="280"/>
            <w:r w:rsidRPr="00477D8F">
              <w:t xml:space="preserve">: Determinants of out-of-school for children </w:t>
            </w:r>
            <w:bookmarkEnd w:id="281"/>
            <w:r w:rsidRPr="00477D8F">
              <w:t>of school age cohorts for LBS, UBS, and SSS</w:t>
            </w:r>
            <w:bookmarkEnd w:id="282"/>
            <w:bookmarkEnd w:id="283"/>
          </w:p>
        </w:tc>
      </w:tr>
      <w:tr w:rsidR="006F2CA4" w:rsidRPr="00477D8F" w14:paraId="1B566B23" w14:textId="77777777" w:rsidTr="00CC1D18">
        <w:trPr>
          <w:jc w:val="center"/>
        </w:trPr>
        <w:tc>
          <w:tcPr>
            <w:tcW w:w="9350" w:type="dxa"/>
          </w:tcPr>
          <w:p w14:paraId="71170637" w14:textId="77777777" w:rsidR="006F2CA4" w:rsidRPr="00477D8F" w:rsidRDefault="006F2CA4" w:rsidP="00CC1D18">
            <w:pPr>
              <w:rPr>
                <w:rFonts w:ascii="Sylfaen" w:hAnsi="Sylfaen" w:cstheme="majorBidi"/>
              </w:rPr>
            </w:pPr>
            <w:r w:rsidRPr="00477D8F">
              <w:rPr>
                <w:rFonts w:ascii="Sylfaen" w:hAnsi="Sylfaen"/>
                <w:noProof/>
              </w:rPr>
              <w:drawing>
                <wp:inline distT="0" distB="0" distL="0" distR="0" wp14:anchorId="77DD5EAD" wp14:editId="0286190C">
                  <wp:extent cx="5763895" cy="2576222"/>
                  <wp:effectExtent l="0" t="0" r="8255" b="14605"/>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r>
      <w:tr w:rsidR="006F2CA4" w:rsidRPr="00477D8F" w14:paraId="34C8462E" w14:textId="77777777" w:rsidTr="00CC1D18">
        <w:trPr>
          <w:jc w:val="center"/>
        </w:trPr>
        <w:tc>
          <w:tcPr>
            <w:tcW w:w="9350" w:type="dxa"/>
          </w:tcPr>
          <w:p w14:paraId="5D58DAA1" w14:textId="77777777" w:rsidR="006F2CA4" w:rsidRPr="00477D8F" w:rsidRDefault="006F2CA4" w:rsidP="00CC1D18">
            <w:pPr>
              <w:pStyle w:val="Source"/>
              <w:rPr>
                <w:rFonts w:cstheme="majorBidi"/>
              </w:rPr>
            </w:pPr>
            <w:r w:rsidRPr="00477D8F">
              <w:rPr>
                <w:rFonts w:cstheme="majorBidi"/>
                <w:i/>
              </w:rPr>
              <w:t>Source:</w:t>
            </w:r>
            <w:r w:rsidRPr="00477D8F">
              <w:rPr>
                <w:rFonts w:cstheme="majorBidi"/>
              </w:rPr>
              <w:t xml:space="preserve"> </w:t>
            </w:r>
            <w:r w:rsidRPr="00477D8F">
              <w:t>Authors’ estimations based on IHS 2015.</w:t>
            </w:r>
          </w:p>
        </w:tc>
      </w:tr>
    </w:tbl>
    <w:p w14:paraId="02391793" w14:textId="77777777" w:rsidR="006F2CA4" w:rsidRPr="00477D8F" w:rsidRDefault="006F2CA4" w:rsidP="006F2CA4">
      <w:pPr>
        <w:pStyle w:val="Heading2"/>
        <w:rPr>
          <w:b/>
        </w:rPr>
      </w:pPr>
      <w:bookmarkStart w:id="284" w:name="_Toc496603211"/>
      <w:bookmarkStart w:id="285" w:name="_Toc497171880"/>
      <w:r w:rsidRPr="00477D8F">
        <w:t>Inequality in affordability of education--role of households</w:t>
      </w:r>
      <w:bookmarkEnd w:id="284"/>
      <w:bookmarkEnd w:id="285"/>
    </w:p>
    <w:p w14:paraId="634A131B" w14:textId="31B55EA4" w:rsidR="006F2CA4" w:rsidRPr="00477D8F" w:rsidRDefault="006F2CA4" w:rsidP="006F2CA4">
      <w:pPr>
        <w:pStyle w:val="ListParagraph"/>
        <w:numPr>
          <w:ilvl w:val="0"/>
          <w:numId w:val="24"/>
        </w:numPr>
        <w:shd w:val="clear" w:color="auto" w:fill="FFFFFF" w:themeFill="background1"/>
        <w:autoSpaceDE w:val="0"/>
        <w:autoSpaceDN w:val="0"/>
        <w:adjustRightInd w:val="0"/>
        <w:spacing w:before="240" w:after="240" w:line="240" w:lineRule="auto"/>
        <w:ind w:left="0" w:firstLine="0"/>
        <w:contextualSpacing w:val="0"/>
        <w:jc w:val="both"/>
        <w:rPr>
          <w:rFonts w:ascii="Sylfaen" w:hAnsi="Sylfaen"/>
          <w:bCs/>
        </w:rPr>
      </w:pPr>
      <w:r w:rsidRPr="00477D8F">
        <w:rPr>
          <w:rFonts w:ascii="Sylfaen" w:hAnsi="Sylfaen"/>
          <w:b/>
        </w:rPr>
        <w:t>Education is increasingly less affordable for poorer households despite the increased share of resources devoted to education</w:t>
      </w:r>
      <w:r w:rsidRPr="00477D8F">
        <w:rPr>
          <w:rFonts w:ascii="Sylfaen" w:hAnsi="Sylfaen"/>
          <w:b/>
          <w:bCs/>
        </w:rPr>
        <w:t>.</w:t>
      </w:r>
      <w:r w:rsidRPr="00477D8F">
        <w:rPr>
          <w:rFonts w:ascii="Sylfaen" w:hAnsi="Sylfaen"/>
          <w:bCs/>
        </w:rPr>
        <w:t xml:space="preserve"> The share of education in per capita spending and the share of education spending in total consumption in 2010 and 2015 show that more resources have been committed to education, both as a share of per capita consumption, which has increased from 18.7 percent to 61.8 percent, and as a share of total consumption, which has increased from 1.5 percent to 5.9 percent (Figure </w:t>
      </w:r>
      <w:r w:rsidR="003A79E3" w:rsidRPr="00477D8F">
        <w:rPr>
          <w:rFonts w:ascii="Sylfaen" w:hAnsi="Sylfaen"/>
          <w:bCs/>
        </w:rPr>
        <w:t>56</w:t>
      </w:r>
      <w:r w:rsidRPr="00477D8F">
        <w:rPr>
          <w:rFonts w:ascii="Sylfaen" w:hAnsi="Sylfaen"/>
          <w:bCs/>
        </w:rPr>
        <w:t xml:space="preserve">). </w:t>
      </w:r>
    </w:p>
    <w:tbl>
      <w:tblPr>
        <w:tblStyle w:val="TableGrid1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44D8A095" w14:textId="77777777" w:rsidTr="00CC1D18">
        <w:trPr>
          <w:trHeight w:val="17"/>
          <w:jc w:val="center"/>
        </w:trPr>
        <w:tc>
          <w:tcPr>
            <w:tcW w:w="9350" w:type="dxa"/>
            <w:hideMark/>
          </w:tcPr>
          <w:p w14:paraId="2BCBCF33" w14:textId="77777777" w:rsidR="006F2CA4" w:rsidRPr="00477D8F" w:rsidRDefault="006F2CA4" w:rsidP="00CC1D18">
            <w:pPr>
              <w:pStyle w:val="Caption1"/>
              <w:rPr>
                <w:rFonts w:eastAsia="Times New Roman"/>
              </w:rPr>
            </w:pPr>
            <w:bookmarkStart w:id="286" w:name="_Ref415837762"/>
            <w:bookmarkStart w:id="287" w:name="_Toc415934629"/>
            <w:bookmarkStart w:id="288" w:name="_Toc416121869"/>
            <w:bookmarkStart w:id="289" w:name="_Toc473728808"/>
            <w:bookmarkStart w:id="290" w:name="_Toc496603358"/>
            <w:bookmarkStart w:id="291" w:name="_Toc497171826"/>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56</w:t>
            </w:r>
            <w:r w:rsidR="002E5BDF" w:rsidRPr="00477D8F">
              <w:rPr>
                <w:noProof/>
              </w:rPr>
              <w:fldChar w:fldCharType="end"/>
            </w:r>
            <w:bookmarkEnd w:id="286"/>
            <w:r w:rsidRPr="00477D8F">
              <w:t>: Trends household education per capita spending and education spending as share of total household consumption by quintile</w:t>
            </w:r>
            <w:bookmarkEnd w:id="287"/>
            <w:bookmarkEnd w:id="288"/>
            <w:bookmarkEnd w:id="289"/>
            <w:bookmarkEnd w:id="290"/>
            <w:bookmarkEnd w:id="291"/>
            <w:r w:rsidRPr="00477D8F">
              <w:rPr>
                <w:rFonts w:eastAsia="Times New Roman"/>
              </w:rPr>
              <w:t xml:space="preserve"> </w:t>
            </w:r>
          </w:p>
        </w:tc>
      </w:tr>
      <w:tr w:rsidR="006F2CA4" w:rsidRPr="00477D8F" w14:paraId="0C6F8E2C" w14:textId="77777777" w:rsidTr="00CC1D18">
        <w:trPr>
          <w:trHeight w:val="17"/>
          <w:jc w:val="center"/>
        </w:trPr>
        <w:tc>
          <w:tcPr>
            <w:tcW w:w="9350" w:type="dxa"/>
            <w:hideMark/>
          </w:tcPr>
          <w:p w14:paraId="459551CA" w14:textId="77777777" w:rsidR="006F2CA4" w:rsidRPr="00477D8F" w:rsidRDefault="006F2CA4" w:rsidP="00CC1D18">
            <w:pPr>
              <w:shd w:val="clear" w:color="auto" w:fill="FFFFFF" w:themeFill="background1"/>
              <w:ind w:hanging="113"/>
              <w:jc w:val="both"/>
              <w:rPr>
                <w:rFonts w:ascii="Sylfaen" w:hAnsi="Sylfaen" w:cs="Times New Roman"/>
                <w:bCs/>
              </w:rPr>
            </w:pPr>
            <w:r w:rsidRPr="00477D8F">
              <w:rPr>
                <w:rFonts w:ascii="Sylfaen" w:hAnsi="Sylfaen"/>
                <w:bCs/>
              </w:rPr>
              <w:t xml:space="preserve"> </w:t>
            </w:r>
            <w:r w:rsidRPr="00477D8F">
              <w:rPr>
                <w:rFonts w:ascii="Sylfaen" w:hAnsi="Sylfaen"/>
                <w:noProof/>
              </w:rPr>
              <w:drawing>
                <wp:inline distT="0" distB="0" distL="0" distR="0" wp14:anchorId="6D7BA11F" wp14:editId="3AE11235">
                  <wp:extent cx="2824480" cy="2026311"/>
                  <wp:effectExtent l="0" t="0" r="13970" b="1206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Pr="00477D8F">
              <w:rPr>
                <w:rFonts w:ascii="Sylfaen" w:hAnsi="Sylfaen"/>
                <w:noProof/>
              </w:rPr>
              <w:drawing>
                <wp:inline distT="0" distB="0" distL="0" distR="0" wp14:anchorId="6784540B" wp14:editId="5A990D33">
                  <wp:extent cx="2933700" cy="2004365"/>
                  <wp:effectExtent l="0" t="0" r="0" b="1524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r w:rsidR="006F2CA4" w:rsidRPr="00477D8F" w14:paraId="629D7BC8" w14:textId="77777777" w:rsidTr="00CC1D18">
        <w:trPr>
          <w:trHeight w:val="53"/>
          <w:jc w:val="center"/>
        </w:trPr>
        <w:tc>
          <w:tcPr>
            <w:tcW w:w="9350" w:type="dxa"/>
            <w:hideMark/>
          </w:tcPr>
          <w:p w14:paraId="2EADF505" w14:textId="77777777" w:rsidR="006F2CA4" w:rsidRPr="00477D8F" w:rsidRDefault="006F2CA4" w:rsidP="00CC1D18">
            <w:pPr>
              <w:pStyle w:val="Source"/>
            </w:pPr>
            <w:r w:rsidRPr="00477D8F">
              <w:rPr>
                <w:i/>
              </w:rPr>
              <w:t>Source:</w:t>
            </w:r>
            <w:r w:rsidRPr="00477D8F">
              <w:t xml:space="preserve"> Authors’ estimations based on IHS 2010 and 2015.</w:t>
            </w:r>
          </w:p>
        </w:tc>
      </w:tr>
    </w:tbl>
    <w:p w14:paraId="4EA2A5FC" w14:textId="004070E6" w:rsidR="006F2CA4" w:rsidRPr="00477D8F" w:rsidRDefault="006F2CA4" w:rsidP="001310CE">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eastAsia="Times New Roman" w:hAnsi="Sylfaen" w:cs="Times New Roman"/>
          <w:b/>
          <w:color w:val="000000"/>
        </w:rPr>
        <w:t xml:space="preserve">Households from the poorest quintile allocate the majority of their education spending on primary education and often cannot afford </w:t>
      </w:r>
      <w:r w:rsidR="00BE7A1E" w:rsidRPr="00477D8F">
        <w:rPr>
          <w:rFonts w:ascii="Sylfaen" w:eastAsia="Times New Roman" w:hAnsi="Sylfaen" w:cs="Times New Roman"/>
          <w:b/>
          <w:color w:val="000000"/>
        </w:rPr>
        <w:t>post primary</w:t>
      </w:r>
      <w:r w:rsidRPr="00477D8F">
        <w:rPr>
          <w:rFonts w:ascii="Sylfaen" w:eastAsia="Times New Roman" w:hAnsi="Sylfaen" w:cs="Times New Roman"/>
          <w:b/>
          <w:color w:val="000000"/>
        </w:rPr>
        <w:t xml:space="preserve"> education, whereas households from the </w:t>
      </w:r>
      <w:r w:rsidRPr="00477D8F">
        <w:rPr>
          <w:rFonts w:ascii="Sylfaen" w:eastAsia="Times New Roman" w:hAnsi="Sylfaen" w:cs="Times New Roman"/>
          <w:b/>
          <w:color w:val="000000"/>
        </w:rPr>
        <w:lastRenderedPageBreak/>
        <w:t xml:space="preserve">wealthiest quintile allocate the majority of their education spending toward post-basic education. </w:t>
      </w:r>
      <w:r w:rsidRPr="00477D8F">
        <w:rPr>
          <w:rFonts w:ascii="Sylfaen" w:eastAsia="Times New Roman" w:hAnsi="Sylfaen" w:cs="Times New Roman"/>
          <w:color w:val="000000"/>
        </w:rPr>
        <w:t>The poorest quintile households allocate 67 percent of their total education toward primary-level spending, whereas the wealthiest quintile households allocate 39 percent (</w:t>
      </w:r>
      <w:r w:rsidRPr="00477D8F">
        <w:rPr>
          <w:rFonts w:ascii="Sylfaen" w:eastAsia="Times New Roman" w:hAnsi="Sylfaen" w:cs="Times New Roman"/>
          <w:color w:val="000000"/>
        </w:rPr>
        <w:fldChar w:fldCharType="begin"/>
      </w:r>
      <w:r w:rsidRPr="00477D8F">
        <w:rPr>
          <w:rFonts w:ascii="Sylfaen" w:eastAsia="Times New Roman" w:hAnsi="Sylfaen" w:cs="Times New Roman"/>
          <w:color w:val="000000"/>
        </w:rPr>
        <w:instrText xml:space="preserve"> REF _Ref451103451 \h  \* MERGEFORMAT </w:instrText>
      </w:r>
      <w:r w:rsidRPr="00477D8F">
        <w:rPr>
          <w:rFonts w:ascii="Sylfaen" w:eastAsia="Times New Roman" w:hAnsi="Sylfaen" w:cs="Times New Roman"/>
          <w:color w:val="000000"/>
        </w:rPr>
      </w:r>
      <w:r w:rsidRPr="00477D8F">
        <w:rPr>
          <w:rFonts w:ascii="Sylfaen" w:eastAsia="Times New Roman" w:hAnsi="Sylfaen" w:cs="Times New Roman"/>
          <w:color w:val="000000"/>
        </w:rPr>
        <w:fldChar w:fldCharType="separate"/>
      </w:r>
      <w:r w:rsidRPr="00477D8F">
        <w:rPr>
          <w:rFonts w:ascii="Sylfaen" w:hAnsi="Sylfaen"/>
          <w:bCs/>
        </w:rPr>
        <w:t xml:space="preserve">Figure </w:t>
      </w:r>
      <w:r w:rsidRPr="00477D8F">
        <w:rPr>
          <w:rFonts w:ascii="Sylfaen" w:hAnsi="Sylfaen"/>
          <w:bCs/>
          <w:noProof/>
        </w:rPr>
        <w:t>57</w:t>
      </w:r>
      <w:r w:rsidRPr="00477D8F">
        <w:rPr>
          <w:rFonts w:ascii="Sylfaen" w:eastAsia="Times New Roman" w:hAnsi="Sylfaen" w:cs="Times New Roman"/>
          <w:color w:val="000000"/>
        </w:rPr>
        <w:fldChar w:fldCharType="end"/>
      </w:r>
      <w:r w:rsidRPr="00477D8F">
        <w:rPr>
          <w:rFonts w:ascii="Sylfaen" w:eastAsia="Times New Roman" w:hAnsi="Sylfaen" w:cs="Times New Roman"/>
          <w:color w:val="000000"/>
        </w:rPr>
        <w:t xml:space="preserve">). On the other hand, at the tertiary level, for families in the poorest quintile, the share of education spending is only 5 percent, whereas for the wealthiest households, the share is 27 percent. </w:t>
      </w:r>
      <w:r w:rsidR="009401A6" w:rsidRPr="00477D8F">
        <w:rPr>
          <w:rFonts w:ascii="Sylfaen" w:hAnsi="Sylfaen"/>
        </w:rPr>
        <w:t>Unit costs in post</w:t>
      </w:r>
      <w:r w:rsidRPr="00477D8F">
        <w:rPr>
          <w:rFonts w:ascii="Sylfaen" w:hAnsi="Sylfaen"/>
        </w:rPr>
        <w:t>secondary education are a particularly heavy burden for the poorest households—the unit costs represent 100 percent of their per capita income for preschool, 87 percent for LBS, 122 percent for UBS, 132 percent for SSS, and 169 percent at the post-education level. Given that the inequality gap between the rich and the poor is high, poorer households may face greater difficulties in sustaining their investment in education, which would undermine other efforts to break the poverty cycle.</w:t>
      </w:r>
    </w:p>
    <w:tbl>
      <w:tblPr>
        <w:tblStyle w:val="TableGrid1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6DBB6D57" w14:textId="77777777" w:rsidTr="001310CE">
        <w:trPr>
          <w:trHeight w:val="17"/>
          <w:jc w:val="center"/>
        </w:trPr>
        <w:tc>
          <w:tcPr>
            <w:tcW w:w="9350" w:type="dxa"/>
            <w:hideMark/>
          </w:tcPr>
          <w:p w14:paraId="50C697D3" w14:textId="77777777" w:rsidR="006F2CA4" w:rsidRPr="00477D8F" w:rsidRDefault="006F2CA4" w:rsidP="00CC1D18">
            <w:pPr>
              <w:pStyle w:val="Caption1"/>
              <w:rPr>
                <w:rFonts w:eastAsia="Times New Roman"/>
              </w:rPr>
            </w:pPr>
            <w:bookmarkStart w:id="292" w:name="_Ref451103451"/>
            <w:bookmarkStart w:id="293" w:name="_Toc473728809"/>
            <w:bookmarkStart w:id="294" w:name="_Toc496603359"/>
            <w:bookmarkStart w:id="295" w:name="_Toc497171827"/>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57</w:t>
            </w:r>
            <w:r w:rsidR="002E5BDF" w:rsidRPr="00477D8F">
              <w:rPr>
                <w:noProof/>
              </w:rPr>
              <w:fldChar w:fldCharType="end"/>
            </w:r>
            <w:bookmarkEnd w:id="292"/>
            <w:r w:rsidRPr="00477D8F">
              <w:t xml:space="preserve">: </w:t>
            </w:r>
            <w:bookmarkEnd w:id="293"/>
            <w:r w:rsidRPr="00477D8F">
              <w:t>Distribution of household education spending by level and wealth quintile (left) per student per capita spending by level and wealth quintile (right)</w:t>
            </w:r>
            <w:bookmarkEnd w:id="294"/>
            <w:bookmarkEnd w:id="295"/>
          </w:p>
        </w:tc>
      </w:tr>
      <w:tr w:rsidR="006F2CA4" w:rsidRPr="00477D8F" w14:paraId="2873D529" w14:textId="77777777" w:rsidTr="001310CE">
        <w:trPr>
          <w:trHeight w:val="3497"/>
          <w:jc w:val="center"/>
        </w:trPr>
        <w:tc>
          <w:tcPr>
            <w:tcW w:w="9350" w:type="dxa"/>
            <w:hideMark/>
          </w:tcPr>
          <w:p w14:paraId="4A5E8DD4" w14:textId="77777777" w:rsidR="006F2CA4" w:rsidRPr="00477D8F" w:rsidRDefault="006F2CA4" w:rsidP="00CC1D18">
            <w:pPr>
              <w:shd w:val="clear" w:color="auto" w:fill="FFFFFF" w:themeFill="background1"/>
              <w:ind w:hanging="113"/>
              <w:jc w:val="both"/>
              <w:rPr>
                <w:rFonts w:ascii="Sylfaen" w:hAnsi="Sylfaen" w:cs="Times New Roman"/>
                <w:bCs/>
              </w:rPr>
            </w:pPr>
            <w:r w:rsidRPr="00477D8F">
              <w:rPr>
                <w:rFonts w:ascii="Sylfaen" w:hAnsi="Sylfaen"/>
                <w:noProof/>
              </w:rPr>
              <w:drawing>
                <wp:inline distT="0" distB="0" distL="0" distR="0" wp14:anchorId="3C9C4A40" wp14:editId="52D9423B">
                  <wp:extent cx="2413635" cy="2945081"/>
                  <wp:effectExtent l="0" t="0" r="5715" b="8255"/>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r w:rsidRPr="00477D8F">
              <w:rPr>
                <w:rFonts w:ascii="Sylfaen" w:hAnsi="Sylfaen"/>
                <w:noProof/>
              </w:rPr>
              <w:t xml:space="preserve"> </w:t>
            </w:r>
            <w:r w:rsidRPr="00477D8F">
              <w:rPr>
                <w:rFonts w:ascii="Sylfaen" w:hAnsi="Sylfaen"/>
                <w:noProof/>
              </w:rPr>
              <w:drawing>
                <wp:inline distT="0" distB="0" distL="0" distR="0" wp14:anchorId="73CEA81F" wp14:editId="5A14B388">
                  <wp:extent cx="3379470" cy="2936768"/>
                  <wp:effectExtent l="0" t="0" r="11430" b="1651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r>
      <w:tr w:rsidR="006F2CA4" w:rsidRPr="00477D8F" w14:paraId="70A3D2C2" w14:textId="77777777" w:rsidTr="001310CE">
        <w:trPr>
          <w:trHeight w:val="53"/>
          <w:jc w:val="center"/>
        </w:trPr>
        <w:tc>
          <w:tcPr>
            <w:tcW w:w="9350" w:type="dxa"/>
            <w:hideMark/>
          </w:tcPr>
          <w:p w14:paraId="7EC542E2" w14:textId="77777777" w:rsidR="006F2CA4" w:rsidRPr="00477D8F" w:rsidRDefault="006F2CA4" w:rsidP="00CC1D18">
            <w:pPr>
              <w:pStyle w:val="Source"/>
            </w:pPr>
            <w:r w:rsidRPr="00477D8F">
              <w:rPr>
                <w:i/>
              </w:rPr>
              <w:t>Source:</w:t>
            </w:r>
            <w:r w:rsidRPr="00477D8F">
              <w:t xml:space="preserve"> Authors’ estimations based on IHS 2015.</w:t>
            </w:r>
          </w:p>
        </w:tc>
      </w:tr>
    </w:tbl>
    <w:p w14:paraId="57D943A7" w14:textId="77777777" w:rsidR="006F2CA4" w:rsidRPr="00477D8F" w:rsidRDefault="006F2CA4" w:rsidP="006F2CA4">
      <w:pPr>
        <w:pStyle w:val="Heading2"/>
      </w:pPr>
      <w:bookmarkStart w:id="296" w:name="_Toc496603212"/>
      <w:bookmarkStart w:id="297" w:name="_Toc497171881"/>
      <w:r w:rsidRPr="00477D8F">
        <w:t>Available resources per student</w:t>
      </w:r>
      <w:bookmarkEnd w:id="296"/>
      <w:bookmarkEnd w:id="297"/>
      <w:r w:rsidRPr="00477D8F">
        <w:t xml:space="preserve"> </w:t>
      </w:r>
    </w:p>
    <w:p w14:paraId="45053C27" w14:textId="0229DC9D"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bCs/>
        </w:rPr>
      </w:pPr>
      <w:r w:rsidRPr="00477D8F">
        <w:rPr>
          <w:rFonts w:ascii="Sylfaen" w:hAnsi="Sylfaen" w:cs="Times New Roman"/>
          <w:b/>
          <w:bCs/>
        </w:rPr>
        <w:t>Children from the poorest households face a significant resource shortage compared with children from affluent families at all levels of education.</w:t>
      </w:r>
      <w:r w:rsidRPr="00477D8F">
        <w:rPr>
          <w:rFonts w:ascii="Sylfaen" w:hAnsi="Sylfaen" w:cs="Times New Roman"/>
          <w:bCs/>
        </w:rPr>
        <w:t xml:space="preserve"> For example, in public primary schools, a household from the poorest wealth quintile spends, on average, GMD 1,240 compared to GMD 3,604 for a child from a wealthier quintile (Figure</w:t>
      </w:r>
      <w:r w:rsidR="00044F61" w:rsidRPr="00477D8F">
        <w:rPr>
          <w:rFonts w:ascii="Sylfaen" w:hAnsi="Sylfaen" w:cs="Times New Roman"/>
          <w:bCs/>
        </w:rPr>
        <w:t xml:space="preserve"> 58</w:t>
      </w:r>
      <w:r w:rsidRPr="00477D8F">
        <w:rPr>
          <w:rFonts w:ascii="Sylfaen" w:hAnsi="Sylfaen" w:cs="Times New Roman"/>
          <w:bCs/>
        </w:rPr>
        <w:t>). With better access to resources and lack of targeting of poor households, children from richer quintiles may benefit from higher spending on uniforms, books, and so on and may attend better schools charging higher fees. To the extent that these inputs lead to better student learning and performance, the education outcomes of poor students would be expected to be worse than those of wealthier students given the disparity in access to financial resources.</w:t>
      </w:r>
    </w:p>
    <w:p w14:paraId="74E17FE1" w14:textId="4FCC5FBC"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bCs/>
        </w:rPr>
      </w:pPr>
      <w:r w:rsidRPr="00477D8F">
        <w:rPr>
          <w:rFonts w:ascii="Sylfaen" w:hAnsi="Sylfaen"/>
          <w:b/>
        </w:rPr>
        <w:lastRenderedPageBreak/>
        <w:t xml:space="preserve">The household unit cost increases significantly at the lower secondary level. </w:t>
      </w:r>
      <w:r w:rsidRPr="00477D8F">
        <w:rPr>
          <w:rFonts w:ascii="Sylfaen" w:hAnsi="Sylfaen"/>
        </w:rPr>
        <w:t xml:space="preserve">This increase disproportionately affects the poorest quintile, creating a significant barrier to entry for children from poorer households. The </w:t>
      </w:r>
      <w:r w:rsidRPr="00477D8F">
        <w:rPr>
          <w:rFonts w:ascii="Sylfaen" w:hAnsi="Sylfaen" w:cs="Times New Roman"/>
          <w:bCs/>
        </w:rPr>
        <w:t xml:space="preserve">unit cost in public schools at the lower secondary level is on average twice that at the primary level. The substantially higher financial burden on households at the lower secondary level, whether in public or private schools, puts poorer households at a disadvantage and makes it financially burdensome to support children’s transition into </w:t>
      </w:r>
      <w:r w:rsidR="00BE7A1E" w:rsidRPr="00477D8F">
        <w:rPr>
          <w:rFonts w:ascii="Sylfaen" w:hAnsi="Sylfaen" w:cs="Times New Roman"/>
          <w:bCs/>
        </w:rPr>
        <w:t>post primary</w:t>
      </w:r>
      <w:r w:rsidRPr="00477D8F">
        <w:rPr>
          <w:rFonts w:ascii="Sylfaen" w:hAnsi="Sylfaen" w:cs="Times New Roman"/>
          <w:bCs/>
        </w:rPr>
        <w:t xml:space="preserve"> education. </w:t>
      </w:r>
    </w:p>
    <w:p w14:paraId="09F3C12B" w14:textId="009B4BF3" w:rsidR="006F2CA4" w:rsidRPr="00477D8F" w:rsidRDefault="006F2CA4" w:rsidP="003F2CA8">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hAnsi="Sylfaen"/>
          <w:b/>
        </w:rPr>
        <w:t>Private schools are not affordable alternatives for poorer households.</w:t>
      </w:r>
      <w:r w:rsidRPr="00477D8F">
        <w:rPr>
          <w:rFonts w:ascii="Sylfaen" w:hAnsi="Sylfaen"/>
        </w:rPr>
        <w:t xml:space="preserve"> Private school costs, on average, are more than double the costs of public schools at the primary level and are roughly equal to double the cost at the lower secondary level. </w:t>
      </w:r>
      <w:r w:rsidRPr="00477D8F">
        <w:rPr>
          <w:rFonts w:ascii="Sylfaen" w:hAnsi="Sylfaen" w:cs="Times New Roman"/>
          <w:bCs/>
        </w:rPr>
        <w:t xml:space="preserve">Children from poorer households have access to substantially less resources than their richer counterparts and, therefore, less access to private schools. At the postsecondary level, the household unit cost in higher education is GMD </w:t>
      </w:r>
      <w:r w:rsidRPr="00477D8F">
        <w:rPr>
          <w:rFonts w:ascii="Sylfaen" w:eastAsia="Times New Roman" w:hAnsi="Sylfaen" w:cs="Times New Roman"/>
          <w:color w:val="000000"/>
        </w:rPr>
        <w:t xml:space="preserve">17,914, which makes it extremely </w:t>
      </w:r>
      <w:r w:rsidRPr="00477D8F">
        <w:rPr>
          <w:rFonts w:ascii="Sylfaen" w:hAnsi="Sylfaen" w:cs="Times New Roman"/>
          <w:bCs/>
        </w:rPr>
        <w:t xml:space="preserve">difficult for poor children to attend higher education institutions given the resources available. </w:t>
      </w:r>
    </w:p>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0F22F695" w14:textId="77777777" w:rsidTr="00CC1D18">
        <w:trPr>
          <w:trHeight w:val="229"/>
          <w:jc w:val="center"/>
        </w:trPr>
        <w:tc>
          <w:tcPr>
            <w:tcW w:w="9350" w:type="dxa"/>
            <w:hideMark/>
          </w:tcPr>
          <w:p w14:paraId="67464DC9" w14:textId="77777777" w:rsidR="006F2CA4" w:rsidRPr="00477D8F" w:rsidRDefault="006F2CA4" w:rsidP="00CC1D18">
            <w:pPr>
              <w:pStyle w:val="Caption1"/>
              <w:rPr>
                <w:rFonts w:eastAsia="Times New Roman"/>
              </w:rPr>
            </w:pPr>
            <w:bookmarkStart w:id="298" w:name="_Ref451114849"/>
            <w:bookmarkStart w:id="299" w:name="_Toc415617983"/>
            <w:bookmarkStart w:id="300" w:name="_Toc416121905"/>
            <w:bookmarkStart w:id="301" w:name="_Toc473728810"/>
            <w:bookmarkStart w:id="302" w:name="_Toc496603360"/>
            <w:bookmarkStart w:id="303" w:name="_Toc497171828"/>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58</w:t>
            </w:r>
            <w:r w:rsidR="002E5BDF" w:rsidRPr="00477D8F">
              <w:rPr>
                <w:noProof/>
              </w:rPr>
              <w:fldChar w:fldCharType="end"/>
            </w:r>
            <w:bookmarkEnd w:id="298"/>
            <w:r w:rsidRPr="00477D8F">
              <w:t>: Unit cost by level of education, wealth quintile, and school type attended</w:t>
            </w:r>
            <w:bookmarkEnd w:id="299"/>
            <w:bookmarkEnd w:id="300"/>
            <w:bookmarkEnd w:id="301"/>
            <w:bookmarkEnd w:id="302"/>
            <w:bookmarkEnd w:id="303"/>
            <w:r w:rsidRPr="00477D8F">
              <w:rPr>
                <w:rFonts w:eastAsia="Times New Roman"/>
              </w:rPr>
              <w:t xml:space="preserve"> </w:t>
            </w:r>
          </w:p>
        </w:tc>
      </w:tr>
      <w:tr w:rsidR="006F2CA4" w:rsidRPr="00477D8F" w14:paraId="674BEDB8" w14:textId="77777777" w:rsidTr="00CC1D18">
        <w:trPr>
          <w:trHeight w:val="410"/>
          <w:jc w:val="center"/>
        </w:trPr>
        <w:tc>
          <w:tcPr>
            <w:tcW w:w="9350" w:type="dxa"/>
            <w:hideMark/>
          </w:tcPr>
          <w:p w14:paraId="4B5A6E72" w14:textId="77777777" w:rsidR="006F2CA4" w:rsidRPr="00477D8F" w:rsidRDefault="006F2CA4" w:rsidP="00CC1D18">
            <w:pPr>
              <w:shd w:val="clear" w:color="auto" w:fill="FFFFFF" w:themeFill="background1"/>
              <w:jc w:val="both"/>
              <w:rPr>
                <w:rFonts w:ascii="Sylfaen" w:hAnsi="Sylfaen" w:cs="Times New Roman"/>
                <w:bCs/>
                <w:sz w:val="16"/>
                <w:szCs w:val="16"/>
              </w:rPr>
            </w:pPr>
            <w:r w:rsidRPr="00477D8F">
              <w:rPr>
                <w:rFonts w:ascii="Sylfaen" w:hAnsi="Sylfaen"/>
                <w:noProof/>
              </w:rPr>
              <w:drawing>
                <wp:inline distT="0" distB="0" distL="0" distR="0" wp14:anchorId="6738556D" wp14:editId="39C8DD52">
                  <wp:extent cx="5749537" cy="3137905"/>
                  <wp:effectExtent l="0" t="0" r="3810" b="5715"/>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r>
      <w:tr w:rsidR="006F2CA4" w:rsidRPr="00477D8F" w14:paraId="7640478D" w14:textId="77777777" w:rsidTr="00CC1D18">
        <w:trPr>
          <w:trHeight w:val="65"/>
          <w:jc w:val="center"/>
        </w:trPr>
        <w:tc>
          <w:tcPr>
            <w:tcW w:w="9350" w:type="dxa"/>
            <w:hideMark/>
          </w:tcPr>
          <w:p w14:paraId="66EB91AB" w14:textId="77777777" w:rsidR="006F2CA4" w:rsidRPr="00477D8F" w:rsidRDefault="006F2CA4" w:rsidP="00CC1D18">
            <w:pPr>
              <w:pStyle w:val="Source"/>
            </w:pPr>
            <w:r w:rsidRPr="00477D8F">
              <w:rPr>
                <w:rFonts w:eastAsia="Times New Roman"/>
                <w:i/>
              </w:rPr>
              <w:t>Source:</w:t>
            </w:r>
            <w:r w:rsidRPr="00477D8F">
              <w:rPr>
                <w:rFonts w:eastAsia="Times New Roman"/>
              </w:rPr>
              <w:t xml:space="preserve"> Authors’ estimations</w:t>
            </w:r>
            <w:r w:rsidRPr="00477D8F">
              <w:t xml:space="preserve"> based on Ministry of Budget, EMIS, IHS 2015.</w:t>
            </w:r>
          </w:p>
        </w:tc>
      </w:tr>
    </w:tbl>
    <w:p w14:paraId="1B05E4C9" w14:textId="01AB8EDA" w:rsidR="006F2CA4" w:rsidRPr="00477D8F" w:rsidRDefault="006F2CA4" w:rsidP="003F2CA8">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imes New Roman"/>
          <w:bCs/>
        </w:rPr>
      </w:pPr>
      <w:r w:rsidRPr="00477D8F">
        <w:rPr>
          <w:rFonts w:ascii="Sylfaen" w:hAnsi="Sylfaen"/>
          <w:b/>
        </w:rPr>
        <w:t>School fees, which consist of enrollment fees, tuition fees, uniform, and textbooks are the second highest share of all school-related charges across all levels of education.</w:t>
      </w:r>
      <w:r w:rsidRPr="00477D8F">
        <w:rPr>
          <w:rFonts w:ascii="Sylfaen" w:hAnsi="Sylfaen" w:cs="Times New Roman"/>
          <w:b/>
          <w:bCs/>
        </w:rPr>
        <w:t xml:space="preserve"> </w:t>
      </w:r>
      <w:r w:rsidRPr="00477D8F">
        <w:rPr>
          <w:rFonts w:ascii="Sylfaen" w:hAnsi="Sylfaen" w:cs="Times New Roman"/>
          <w:bCs/>
        </w:rPr>
        <w:t>‘Lunch, pocket money, and school meals’ and food costs account for about 63 percent of the total household education spending at the preschool level, 52 percent at the primary level, 50 percent at the lower secondary, 33 percent at the upper secondary, and 14 percent at the higher and tertiary education level (</w:t>
      </w:r>
      <w:r w:rsidRPr="00477D8F">
        <w:rPr>
          <w:rFonts w:ascii="Sylfaen" w:hAnsi="Sylfaen" w:cs="Times New Roman"/>
          <w:bCs/>
        </w:rPr>
        <w:fldChar w:fldCharType="begin"/>
      </w:r>
      <w:r w:rsidRPr="00477D8F">
        <w:rPr>
          <w:rFonts w:ascii="Sylfaen" w:hAnsi="Sylfaen" w:cs="Times New Roman"/>
          <w:bCs/>
        </w:rPr>
        <w:instrText xml:space="preserve"> REF _Ref415830240 \h  \* MERGEFORMAT </w:instrText>
      </w:r>
      <w:r w:rsidRPr="00477D8F">
        <w:rPr>
          <w:rFonts w:ascii="Sylfaen" w:hAnsi="Sylfaen" w:cs="Times New Roman"/>
          <w:bCs/>
        </w:rPr>
      </w:r>
      <w:r w:rsidRPr="00477D8F">
        <w:rPr>
          <w:rFonts w:ascii="Sylfaen" w:hAnsi="Sylfaen" w:cs="Times New Roman"/>
          <w:bCs/>
        </w:rPr>
        <w:fldChar w:fldCharType="separate"/>
      </w:r>
      <w:r w:rsidRPr="00477D8F">
        <w:rPr>
          <w:rFonts w:ascii="Sylfaen" w:hAnsi="Sylfaen"/>
          <w:bCs/>
        </w:rPr>
        <w:t xml:space="preserve">Figure </w:t>
      </w:r>
      <w:r w:rsidRPr="00477D8F">
        <w:rPr>
          <w:rFonts w:ascii="Sylfaen" w:hAnsi="Sylfaen"/>
          <w:bCs/>
          <w:noProof/>
        </w:rPr>
        <w:t>59</w:t>
      </w:r>
      <w:r w:rsidRPr="00477D8F">
        <w:rPr>
          <w:rFonts w:ascii="Sylfaen" w:hAnsi="Sylfaen" w:cs="Times New Roman"/>
          <w:bCs/>
        </w:rPr>
        <w:fldChar w:fldCharType="end"/>
      </w:r>
      <w:r w:rsidRPr="00477D8F">
        <w:rPr>
          <w:rFonts w:ascii="Sylfaen" w:hAnsi="Sylfaen" w:cs="Times New Roman"/>
          <w:bCs/>
        </w:rPr>
        <w:t xml:space="preserve">). Households also spend significantly on uniforms. Cost allocation toward transportation, school fees, and uniforms varies by level of education. </w:t>
      </w:r>
      <w:r w:rsidRPr="00477D8F">
        <w:rPr>
          <w:rFonts w:ascii="Sylfaen" w:hAnsi="Sylfaen"/>
        </w:rPr>
        <w:t>Because poorer households tend to rely more on the public schools, given that they are more affordable than public schools, the costs of meals are generally a key cost driver for these households (see</w:t>
      </w:r>
      <w:r w:rsidR="00044F61" w:rsidRPr="00477D8F">
        <w:rPr>
          <w:rFonts w:ascii="Sylfaen" w:hAnsi="Sylfaen"/>
        </w:rPr>
        <w:t xml:space="preserve"> </w:t>
      </w:r>
      <w:r w:rsidR="0097594D" w:rsidRPr="00477D8F">
        <w:rPr>
          <w:rFonts w:ascii="Sylfaen" w:hAnsi="Sylfaen"/>
        </w:rPr>
        <w:fldChar w:fldCharType="begin"/>
      </w:r>
      <w:r w:rsidR="0097594D" w:rsidRPr="00477D8F">
        <w:rPr>
          <w:rFonts w:ascii="Sylfaen" w:hAnsi="Sylfaen"/>
        </w:rPr>
        <w:instrText xml:space="preserve"> REF _Ref496882099 \h  \* MERGEFORMAT </w:instrText>
      </w:r>
      <w:r w:rsidR="0097594D" w:rsidRPr="00477D8F">
        <w:rPr>
          <w:rFonts w:ascii="Sylfaen" w:hAnsi="Sylfaen"/>
        </w:rPr>
      </w:r>
      <w:r w:rsidR="0097594D" w:rsidRPr="00477D8F">
        <w:rPr>
          <w:rFonts w:ascii="Sylfaen" w:hAnsi="Sylfaen"/>
        </w:rPr>
        <w:fldChar w:fldCharType="separate"/>
      </w:r>
      <w:r w:rsidR="0097594D" w:rsidRPr="00477D8F">
        <w:rPr>
          <w:rFonts w:ascii="Sylfaen" w:hAnsi="Sylfaen"/>
        </w:rPr>
        <w:t>Figure C</w:t>
      </w:r>
      <w:r w:rsidR="0097594D" w:rsidRPr="00477D8F">
        <w:rPr>
          <w:rFonts w:ascii="Sylfaen" w:hAnsi="Sylfaen"/>
          <w:noProof/>
        </w:rPr>
        <w:t>8</w:t>
      </w:r>
      <w:r w:rsidR="0097594D" w:rsidRPr="00477D8F">
        <w:rPr>
          <w:rFonts w:ascii="Sylfaen" w:hAnsi="Sylfaen"/>
        </w:rPr>
        <w:fldChar w:fldCharType="end"/>
      </w:r>
      <w:r w:rsidRPr="00477D8F">
        <w:rPr>
          <w:rFonts w:ascii="Sylfaen" w:hAnsi="Sylfaen"/>
        </w:rPr>
        <w:t>).</w:t>
      </w:r>
    </w:p>
    <w:tbl>
      <w:tblPr>
        <w:tblStyle w:val="TableGrid11"/>
        <w:tblW w:w="92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F2CA4" w:rsidRPr="00477D8F" w14:paraId="034F567C" w14:textId="77777777" w:rsidTr="00CC1D18">
        <w:trPr>
          <w:trHeight w:val="17"/>
          <w:jc w:val="center"/>
        </w:trPr>
        <w:tc>
          <w:tcPr>
            <w:tcW w:w="9281" w:type="dxa"/>
            <w:hideMark/>
          </w:tcPr>
          <w:p w14:paraId="4C26B089" w14:textId="77777777" w:rsidR="006F2CA4" w:rsidRPr="00477D8F" w:rsidRDefault="006F2CA4" w:rsidP="00CC1D18">
            <w:pPr>
              <w:pStyle w:val="Caption1"/>
              <w:rPr>
                <w:rFonts w:eastAsia="Times New Roman"/>
              </w:rPr>
            </w:pPr>
            <w:bookmarkStart w:id="304" w:name="_Ref415830240"/>
            <w:bookmarkStart w:id="305" w:name="_Toc415934627"/>
            <w:bookmarkStart w:id="306" w:name="_Toc416121867"/>
            <w:bookmarkStart w:id="307" w:name="_Toc473728811"/>
            <w:bookmarkStart w:id="308" w:name="_Toc496603361"/>
            <w:bookmarkStart w:id="309" w:name="_Toc497171829"/>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59</w:t>
            </w:r>
            <w:r w:rsidR="002E5BDF" w:rsidRPr="00477D8F">
              <w:rPr>
                <w:noProof/>
              </w:rPr>
              <w:fldChar w:fldCharType="end"/>
            </w:r>
            <w:bookmarkEnd w:id="304"/>
            <w:r w:rsidRPr="00477D8F">
              <w:t>: Breakdown of household education payment by level of education and quintile</w:t>
            </w:r>
            <w:bookmarkEnd w:id="305"/>
            <w:bookmarkEnd w:id="306"/>
            <w:bookmarkEnd w:id="307"/>
            <w:bookmarkEnd w:id="308"/>
            <w:bookmarkEnd w:id="309"/>
            <w:r w:rsidRPr="00477D8F">
              <w:rPr>
                <w:rFonts w:eastAsia="Times New Roman"/>
              </w:rPr>
              <w:t xml:space="preserve"> </w:t>
            </w:r>
          </w:p>
        </w:tc>
      </w:tr>
      <w:tr w:rsidR="006F2CA4" w:rsidRPr="00477D8F" w14:paraId="6DA0AF40" w14:textId="77777777" w:rsidTr="005365D6">
        <w:trPr>
          <w:trHeight w:val="4037"/>
          <w:jc w:val="center"/>
        </w:trPr>
        <w:tc>
          <w:tcPr>
            <w:tcW w:w="9281" w:type="dxa"/>
            <w:hideMark/>
          </w:tcPr>
          <w:p w14:paraId="15B576F1" w14:textId="7313D02B" w:rsidR="006F2CA4" w:rsidRPr="00477D8F" w:rsidRDefault="005365D6" w:rsidP="00CC1D18">
            <w:pPr>
              <w:shd w:val="clear" w:color="auto" w:fill="FFFFFF" w:themeFill="background1"/>
              <w:ind w:hanging="113"/>
              <w:jc w:val="both"/>
              <w:rPr>
                <w:rFonts w:ascii="Sylfaen" w:hAnsi="Sylfaen" w:cs="Times New Roman"/>
                <w:bCs/>
              </w:rPr>
            </w:pPr>
            <w:r w:rsidRPr="00477D8F">
              <w:rPr>
                <w:noProof/>
              </w:rPr>
              <w:drawing>
                <wp:inline distT="0" distB="0" distL="0" distR="0" wp14:anchorId="5A26062B" wp14:editId="74ADF290">
                  <wp:extent cx="5943600" cy="2685415"/>
                  <wp:effectExtent l="0" t="0" r="0" b="635"/>
                  <wp:docPr id="122" name="Chart 122">
                    <a:extLst xmlns:a="http://schemas.openxmlformats.org/drawingml/2006/main">
                      <a:ext uri="{FF2B5EF4-FFF2-40B4-BE49-F238E27FC236}">
                        <a16:creationId xmlns:a16="http://schemas.microsoft.com/office/drawing/2014/main" id="{00000000-0008-0000-2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r>
      <w:tr w:rsidR="006F2CA4" w:rsidRPr="00477D8F" w14:paraId="11B4DA58" w14:textId="77777777" w:rsidTr="00CC1D18">
        <w:trPr>
          <w:trHeight w:val="17"/>
          <w:jc w:val="center"/>
        </w:trPr>
        <w:tc>
          <w:tcPr>
            <w:tcW w:w="9281" w:type="dxa"/>
            <w:hideMark/>
          </w:tcPr>
          <w:p w14:paraId="487027D4" w14:textId="2D93E1A4" w:rsidR="006F2CA4" w:rsidRPr="00477D8F" w:rsidRDefault="006F2CA4" w:rsidP="00CC1D18">
            <w:pPr>
              <w:pStyle w:val="Source"/>
            </w:pPr>
            <w:r w:rsidRPr="00477D8F">
              <w:rPr>
                <w:i/>
              </w:rPr>
              <w:t>Source:</w:t>
            </w:r>
            <w:r w:rsidRPr="00477D8F">
              <w:t xml:space="preserve"> Authors’ estimations based on IHS 2015.</w:t>
            </w:r>
          </w:p>
        </w:tc>
      </w:tr>
    </w:tbl>
    <w:p w14:paraId="62290BC7" w14:textId="77777777" w:rsidR="006F2CA4" w:rsidRPr="00477D8F" w:rsidRDefault="006F2CA4" w:rsidP="006F2CA4">
      <w:pPr>
        <w:pStyle w:val="Heading2"/>
      </w:pPr>
      <w:bookmarkStart w:id="310" w:name="_Toc496603213"/>
      <w:bookmarkStart w:id="311" w:name="_Toc497171882"/>
      <w:r w:rsidRPr="00477D8F">
        <w:t>Economic and social factors as key determinants of schooling</w:t>
      </w:r>
      <w:bookmarkEnd w:id="310"/>
      <w:bookmarkEnd w:id="311"/>
      <w:r w:rsidRPr="00477D8F">
        <w:t xml:space="preserve"> </w:t>
      </w:r>
    </w:p>
    <w:p w14:paraId="5BB5B8C4" w14:textId="48B647C1" w:rsidR="006F2CA4" w:rsidRPr="00477D8F" w:rsidRDefault="006F2CA4" w:rsidP="003F2CA8">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Following the preceding analyses of disparities in the out-of-school incidence, the reasons for the out-of-school incidence by gender, location, and education attainment are now presented.</w:t>
      </w:r>
      <w:r w:rsidRPr="00477D8F">
        <w:rPr>
          <w:rFonts w:ascii="Sylfaen" w:hAnsi="Sylfaen"/>
        </w:rPr>
        <w:t xml:space="preserve"> Religion seems to be the greatest motive for the out-of-school children at all levels of education (Figure 6</w:t>
      </w:r>
      <w:r w:rsidR="004C55AA" w:rsidRPr="00477D8F">
        <w:rPr>
          <w:rFonts w:ascii="Sylfaen" w:hAnsi="Sylfaen"/>
        </w:rPr>
        <w:t>0</w:t>
      </w:r>
      <w:r w:rsidRPr="00477D8F">
        <w:rPr>
          <w:rFonts w:ascii="Sylfaen" w:hAnsi="Sylfaen"/>
        </w:rPr>
        <w:t>). The proportion of children reporting religion as the main reason for being out of school is particularly high among males and population leaving in urban areas.</w:t>
      </w:r>
    </w:p>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F2CA4" w:rsidRPr="00477D8F" w14:paraId="353D4CAC" w14:textId="77777777" w:rsidTr="003F2CA8">
        <w:trPr>
          <w:trHeight w:val="10"/>
          <w:jc w:val="center"/>
        </w:trPr>
        <w:tc>
          <w:tcPr>
            <w:tcW w:w="9350" w:type="dxa"/>
            <w:hideMark/>
          </w:tcPr>
          <w:p w14:paraId="657E317C" w14:textId="4EF99440" w:rsidR="006F2CA4" w:rsidRPr="00477D8F" w:rsidRDefault="006F2CA4" w:rsidP="003F2CA8">
            <w:pPr>
              <w:pStyle w:val="Caption1"/>
            </w:pPr>
            <w:bookmarkStart w:id="312" w:name="_Ref482649309"/>
            <w:bookmarkStart w:id="313" w:name="_Toc482618650"/>
            <w:bookmarkStart w:id="314" w:name="_Toc482650006"/>
            <w:bookmarkStart w:id="315" w:name="_Toc496603362"/>
            <w:bookmarkStart w:id="316" w:name="_Toc497171830"/>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60</w:t>
            </w:r>
            <w:r w:rsidR="002E5BDF" w:rsidRPr="00477D8F">
              <w:rPr>
                <w:noProof/>
              </w:rPr>
              <w:fldChar w:fldCharType="end"/>
            </w:r>
            <w:bookmarkEnd w:id="312"/>
            <w:r w:rsidRPr="00477D8F">
              <w:t>: Reason for being out of school by level of education, breakdown by gender and area of residence</w:t>
            </w:r>
            <w:bookmarkEnd w:id="313"/>
            <w:bookmarkEnd w:id="314"/>
            <w:bookmarkEnd w:id="315"/>
            <w:bookmarkEnd w:id="316"/>
          </w:p>
        </w:tc>
      </w:tr>
      <w:tr w:rsidR="006F2CA4" w:rsidRPr="00477D8F" w14:paraId="7318D09C" w14:textId="77777777" w:rsidTr="003F2CA8">
        <w:trPr>
          <w:trHeight w:val="231"/>
          <w:jc w:val="center"/>
        </w:trPr>
        <w:tc>
          <w:tcPr>
            <w:tcW w:w="9350" w:type="dxa"/>
            <w:hideMark/>
          </w:tcPr>
          <w:p w14:paraId="0BB3282C" w14:textId="1B43B22C" w:rsidR="006F2CA4" w:rsidRPr="00477D8F" w:rsidRDefault="006F2CA4" w:rsidP="003F2CA8">
            <w:pPr>
              <w:shd w:val="clear" w:color="auto" w:fill="FFFFFF" w:themeFill="background1"/>
              <w:jc w:val="both"/>
              <w:rPr>
                <w:rFonts w:ascii="Sylfaen" w:hAnsi="Sylfaen"/>
                <w:bCs/>
              </w:rPr>
            </w:pPr>
            <w:r w:rsidRPr="00477D8F">
              <w:rPr>
                <w:rFonts w:ascii="Sylfaen" w:hAnsi="Sylfaen"/>
                <w:noProof/>
              </w:rPr>
              <w:drawing>
                <wp:inline distT="0" distB="0" distL="0" distR="0" wp14:anchorId="7823FB76" wp14:editId="1772DF45">
                  <wp:extent cx="5793638" cy="2560320"/>
                  <wp:effectExtent l="0" t="0" r="17145" b="1143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tc>
      </w:tr>
      <w:tr w:rsidR="006F2CA4" w:rsidRPr="00477D8F" w14:paraId="3D06FAAD" w14:textId="77777777" w:rsidTr="003F2CA8">
        <w:trPr>
          <w:trHeight w:val="296"/>
          <w:jc w:val="center"/>
        </w:trPr>
        <w:tc>
          <w:tcPr>
            <w:tcW w:w="9350" w:type="dxa"/>
            <w:hideMark/>
          </w:tcPr>
          <w:p w14:paraId="1A07EC75" w14:textId="77777777" w:rsidR="006F2CA4" w:rsidRPr="00477D8F" w:rsidRDefault="006F2CA4" w:rsidP="003F2CA8">
            <w:pPr>
              <w:pStyle w:val="Source"/>
            </w:pPr>
            <w:r w:rsidRPr="00477D8F">
              <w:rPr>
                <w:i/>
              </w:rPr>
              <w:t>Source:</w:t>
            </w:r>
            <w:r w:rsidRPr="00477D8F">
              <w:t xml:space="preserve"> Authors’ estimations based on IHS 2015.</w:t>
            </w:r>
          </w:p>
        </w:tc>
      </w:tr>
    </w:tbl>
    <w:p w14:paraId="4FCBA533" w14:textId="33E61F02" w:rsidR="006F2CA4" w:rsidRPr="00477D8F" w:rsidRDefault="006F2CA4" w:rsidP="003F2CA8">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hAnsi="Sylfaen"/>
          <w:b/>
        </w:rPr>
        <w:lastRenderedPageBreak/>
        <w:t>The extent to which religion is cited as the key reason for remaining out of school varies across wealth quintiles, regions, and ethnic groups and also varies depending on the level of education of the household head.</w:t>
      </w:r>
      <w:r w:rsidRPr="00477D8F">
        <w:rPr>
          <w:rFonts w:ascii="Sylfaen" w:hAnsi="Sylfaen"/>
        </w:rPr>
        <w:t xml:space="preserve"> It is most often cited by the wealthiest households because other reasons are not much of a concern for them and the out-of-school rate is low for those located in region 5, the Wolof ethnic group, and children coming from households in which the head has no formal education (</w:t>
      </w:r>
      <w:r w:rsidRPr="00477D8F">
        <w:rPr>
          <w:rFonts w:ascii="Sylfaen" w:hAnsi="Sylfaen"/>
        </w:rPr>
        <w:fldChar w:fldCharType="begin"/>
      </w:r>
      <w:r w:rsidRPr="00477D8F">
        <w:rPr>
          <w:rFonts w:ascii="Sylfaen" w:hAnsi="Sylfaen"/>
        </w:rPr>
        <w:instrText xml:space="preserve"> REF _Ref482649320 \h  \* MERGEFORMAT </w:instrText>
      </w:r>
      <w:r w:rsidRPr="00477D8F">
        <w:rPr>
          <w:rFonts w:ascii="Sylfaen" w:hAnsi="Sylfaen"/>
        </w:rPr>
      </w:r>
      <w:r w:rsidRPr="00477D8F">
        <w:rPr>
          <w:rFonts w:ascii="Sylfaen" w:hAnsi="Sylfaen"/>
        </w:rPr>
        <w:fldChar w:fldCharType="separate"/>
      </w:r>
      <w:r w:rsidRPr="00477D8F">
        <w:rPr>
          <w:rFonts w:ascii="Sylfaen" w:hAnsi="Sylfaen"/>
          <w:bCs/>
        </w:rPr>
        <w:t>Figure 61</w:t>
      </w:r>
      <w:r w:rsidRPr="00477D8F">
        <w:rPr>
          <w:rFonts w:ascii="Sylfaen" w:hAnsi="Sylfaen"/>
        </w:rPr>
        <w:fldChar w:fldCharType="end"/>
      </w:r>
      <w:r w:rsidRPr="00477D8F">
        <w:rPr>
          <w:rFonts w:ascii="Sylfaen" w:hAnsi="Sylfaen"/>
        </w:rPr>
        <w:t>). The motive for out-of-school children differs across districts within regions and between regions (see</w:t>
      </w:r>
      <w:r w:rsidR="00386866" w:rsidRPr="00477D8F">
        <w:rPr>
          <w:rFonts w:ascii="Sylfaen" w:hAnsi="Sylfaen"/>
        </w:rPr>
        <w:t xml:space="preserve"> </w:t>
      </w:r>
      <w:r w:rsidR="00386866" w:rsidRPr="00477D8F">
        <w:rPr>
          <w:rFonts w:ascii="Sylfaen" w:hAnsi="Sylfaen"/>
        </w:rPr>
        <w:fldChar w:fldCharType="begin"/>
      </w:r>
      <w:r w:rsidR="00386866" w:rsidRPr="00477D8F">
        <w:rPr>
          <w:rFonts w:ascii="Sylfaen" w:hAnsi="Sylfaen"/>
        </w:rPr>
        <w:instrText xml:space="preserve"> REF _Ref496882099 \h  \* MERGEFORMAT </w:instrText>
      </w:r>
      <w:r w:rsidR="00386866" w:rsidRPr="00477D8F">
        <w:rPr>
          <w:rFonts w:ascii="Sylfaen" w:hAnsi="Sylfaen"/>
        </w:rPr>
      </w:r>
      <w:r w:rsidR="00386866" w:rsidRPr="00477D8F">
        <w:rPr>
          <w:rFonts w:ascii="Sylfaen" w:hAnsi="Sylfaen"/>
        </w:rPr>
        <w:fldChar w:fldCharType="separate"/>
      </w:r>
      <w:r w:rsidR="00386866" w:rsidRPr="00477D8F">
        <w:rPr>
          <w:rFonts w:ascii="Sylfaen" w:hAnsi="Sylfaen"/>
        </w:rPr>
        <w:t>Figure C</w:t>
      </w:r>
      <w:r w:rsidR="00386866" w:rsidRPr="00477D8F">
        <w:rPr>
          <w:rFonts w:ascii="Sylfaen" w:hAnsi="Sylfaen"/>
          <w:noProof/>
        </w:rPr>
        <w:t>8</w:t>
      </w:r>
      <w:r w:rsidR="00386866" w:rsidRPr="00477D8F">
        <w:rPr>
          <w:rFonts w:ascii="Sylfaen" w:hAnsi="Sylfaen"/>
        </w:rPr>
        <w:fldChar w:fldCharType="end"/>
      </w:r>
      <w:r w:rsidRPr="00477D8F">
        <w:rPr>
          <w:rFonts w:ascii="Sylfaen" w:hAnsi="Sylfaen"/>
        </w:rPr>
        <w:t>).</w:t>
      </w:r>
    </w:p>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F2CA4" w:rsidRPr="00477D8F" w14:paraId="17A872CE" w14:textId="77777777" w:rsidTr="003F2CA8">
        <w:trPr>
          <w:trHeight w:val="10"/>
          <w:jc w:val="center"/>
        </w:trPr>
        <w:tc>
          <w:tcPr>
            <w:tcW w:w="9350" w:type="dxa"/>
            <w:hideMark/>
          </w:tcPr>
          <w:p w14:paraId="528D7403" w14:textId="660BAC73" w:rsidR="006F2CA4" w:rsidRPr="00477D8F" w:rsidRDefault="006F2CA4" w:rsidP="003F2CA8">
            <w:pPr>
              <w:pStyle w:val="Caption1"/>
            </w:pPr>
            <w:bookmarkStart w:id="317" w:name="_Ref482649320"/>
            <w:bookmarkStart w:id="318" w:name="_Toc482618651"/>
            <w:bookmarkStart w:id="319" w:name="_Toc482650007"/>
            <w:bookmarkStart w:id="320" w:name="_Toc496603363"/>
            <w:bookmarkStart w:id="321" w:name="_Toc497171831"/>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61</w:t>
            </w:r>
            <w:r w:rsidR="002E5BDF" w:rsidRPr="00477D8F">
              <w:rPr>
                <w:noProof/>
              </w:rPr>
              <w:fldChar w:fldCharType="end"/>
            </w:r>
            <w:bookmarkEnd w:id="317"/>
            <w:r w:rsidRPr="00477D8F">
              <w:t>: Reason for being out of school by wealth quintile, region, ethnicity, and household head’s education, breakdown by gender and area of residence, LBS (ages 7–12)</w:t>
            </w:r>
            <w:bookmarkEnd w:id="318"/>
            <w:bookmarkEnd w:id="319"/>
            <w:bookmarkEnd w:id="320"/>
            <w:bookmarkEnd w:id="321"/>
          </w:p>
        </w:tc>
      </w:tr>
      <w:tr w:rsidR="006F2CA4" w:rsidRPr="00477D8F" w14:paraId="70E74501" w14:textId="77777777" w:rsidTr="003F2CA8">
        <w:trPr>
          <w:trHeight w:val="231"/>
          <w:jc w:val="center"/>
        </w:trPr>
        <w:tc>
          <w:tcPr>
            <w:tcW w:w="9350" w:type="dxa"/>
            <w:hideMark/>
          </w:tcPr>
          <w:p w14:paraId="344908E7" w14:textId="77777777" w:rsidR="006F2CA4" w:rsidRPr="00477D8F" w:rsidRDefault="006F2CA4" w:rsidP="003F2CA8">
            <w:pPr>
              <w:jc w:val="both"/>
              <w:rPr>
                <w:rFonts w:ascii="Sylfaen" w:hAnsi="Sylfaen"/>
                <w:bCs/>
              </w:rPr>
            </w:pPr>
            <w:r w:rsidRPr="00477D8F">
              <w:rPr>
                <w:rFonts w:ascii="Sylfaen" w:hAnsi="Sylfaen"/>
                <w:noProof/>
              </w:rPr>
              <w:drawing>
                <wp:inline distT="0" distB="0" distL="0" distR="0" wp14:anchorId="2CEC2838" wp14:editId="7ACFB120">
                  <wp:extent cx="5947410" cy="2340864"/>
                  <wp:effectExtent l="0" t="0" r="15240" b="254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r>
      <w:tr w:rsidR="006F2CA4" w:rsidRPr="00477D8F" w14:paraId="40BD4B4D" w14:textId="77777777" w:rsidTr="003F2CA8">
        <w:trPr>
          <w:trHeight w:val="296"/>
          <w:jc w:val="center"/>
        </w:trPr>
        <w:tc>
          <w:tcPr>
            <w:tcW w:w="9350" w:type="dxa"/>
            <w:hideMark/>
          </w:tcPr>
          <w:p w14:paraId="734F3551" w14:textId="77777777" w:rsidR="006F2CA4" w:rsidRPr="00477D8F" w:rsidRDefault="006F2CA4" w:rsidP="003F2CA8">
            <w:pPr>
              <w:pStyle w:val="Source"/>
            </w:pPr>
            <w:r w:rsidRPr="00477D8F">
              <w:rPr>
                <w:i/>
              </w:rPr>
              <w:t>Source:</w:t>
            </w:r>
            <w:r w:rsidRPr="00477D8F">
              <w:t xml:space="preserve"> Authors’ estimations based on IHS 2015.</w:t>
            </w:r>
          </w:p>
        </w:tc>
      </w:tr>
    </w:tbl>
    <w:p w14:paraId="38FEB1F3" w14:textId="5D06D70B" w:rsidR="006F2CA4" w:rsidRPr="00477D8F" w:rsidRDefault="006F2CA4" w:rsidP="00907244">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hAnsi="Sylfaen"/>
          <w:b/>
        </w:rPr>
        <w:t xml:space="preserve">There is a wide gap in school retention between students from wealthier households and those from poorer and less-advantaged socioeconomic backgrounds. </w:t>
      </w:r>
      <w:r w:rsidRPr="00477D8F">
        <w:rPr>
          <w:rFonts w:ascii="Sylfaen" w:hAnsi="Sylfaen"/>
        </w:rPr>
        <w:t xml:space="preserve">The survival rates of four different cohorts are compared in Figure 62 to illustrate the wide variation in retention: male children from high-income, rural households where the household head has no education; male children from low-income, rural households, where the household head has no education; female children, from high-income, urban households, where the household head has completed secondary education; and female children from low-income, urban households where the household head has completed secondary education. </w:t>
      </w:r>
      <w:r w:rsidRPr="00477D8F">
        <w:rPr>
          <w:rFonts w:ascii="Sylfaen" w:hAnsi="Sylfaen"/>
          <w:bCs/>
        </w:rPr>
        <w:t xml:space="preserve">On one hand, the comparison shows that the socioeconomically advantaged students fared much better. Survival rates are the highest for these cohorts, even though the female students are less likely to complete education than the male students. On the whole, these cohorts manage to stay in school longer. On the other hand, both male and female students in the disadvantaged cohorts have the lowest participation and survival rates through all levels of education. They tend to drop out of the system equally by secondary school </w:t>
      </w:r>
      <w:r w:rsidRPr="00477D8F">
        <w:rPr>
          <w:rFonts w:ascii="Sylfaen" w:hAnsi="Sylfaen"/>
        </w:rPr>
        <w:t>(</w:t>
      </w:r>
      <w:r w:rsidRPr="00477D8F">
        <w:rPr>
          <w:rFonts w:ascii="Sylfaen" w:hAnsi="Sylfaen"/>
          <w:bCs/>
        </w:rPr>
        <w:fldChar w:fldCharType="begin"/>
      </w:r>
      <w:r w:rsidRPr="00477D8F">
        <w:rPr>
          <w:rFonts w:ascii="Sylfaen" w:hAnsi="Sylfaen"/>
        </w:rPr>
        <w:instrText xml:space="preserve"> REF _Ref482649341 \h </w:instrText>
      </w:r>
      <w:r w:rsidRPr="00477D8F">
        <w:rPr>
          <w:rFonts w:ascii="Sylfaen" w:hAnsi="Sylfaen"/>
          <w:bCs/>
        </w:rPr>
        <w:instrText xml:space="preserve"> \* MERGEFORMAT </w:instrText>
      </w:r>
      <w:r w:rsidRPr="00477D8F">
        <w:rPr>
          <w:rFonts w:ascii="Sylfaen" w:hAnsi="Sylfaen"/>
          <w:bCs/>
        </w:rPr>
      </w:r>
      <w:r w:rsidRPr="00477D8F">
        <w:rPr>
          <w:rFonts w:ascii="Sylfaen" w:hAnsi="Sylfaen"/>
          <w:bCs/>
        </w:rPr>
        <w:fldChar w:fldCharType="separate"/>
      </w:r>
      <w:r w:rsidRPr="00477D8F">
        <w:rPr>
          <w:rFonts w:ascii="Sylfaen" w:hAnsi="Sylfaen"/>
          <w:bCs/>
        </w:rPr>
        <w:t>Figure 62</w:t>
      </w:r>
      <w:r w:rsidRPr="00477D8F">
        <w:rPr>
          <w:rFonts w:ascii="Sylfaen" w:hAnsi="Sylfaen"/>
          <w:bCs/>
        </w:rPr>
        <w:fldChar w:fldCharType="end"/>
      </w:r>
      <w:r w:rsidRPr="00477D8F">
        <w:rPr>
          <w:rFonts w:ascii="Sylfaen" w:hAnsi="Sylfaen"/>
        </w:rPr>
        <w:t>)</w:t>
      </w:r>
      <w:r w:rsidRPr="00477D8F">
        <w:rPr>
          <w:rFonts w:ascii="Sylfaen" w:hAnsi="Sylfaen"/>
          <w:bCs/>
        </w:rPr>
        <w:t>. These divergent trends highlight the growing inequality in the system that stems in part from the systemic, financial barriers for poorer households.</w:t>
      </w:r>
    </w:p>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20B5801A" w14:textId="77777777" w:rsidTr="00CC1D18">
        <w:trPr>
          <w:trHeight w:val="10"/>
          <w:jc w:val="center"/>
        </w:trPr>
        <w:tc>
          <w:tcPr>
            <w:tcW w:w="9350" w:type="dxa"/>
            <w:hideMark/>
          </w:tcPr>
          <w:p w14:paraId="1DFD7D1D" w14:textId="19BD6EE1" w:rsidR="006F2CA4" w:rsidRPr="00477D8F" w:rsidRDefault="006F2CA4" w:rsidP="00CC1D18">
            <w:pPr>
              <w:pStyle w:val="Caption1"/>
            </w:pPr>
            <w:bookmarkStart w:id="322" w:name="_Ref482649341"/>
            <w:bookmarkStart w:id="323" w:name="_Toc482618653"/>
            <w:bookmarkStart w:id="324" w:name="_Toc482650009"/>
            <w:bookmarkStart w:id="325" w:name="_Toc496603364"/>
            <w:bookmarkStart w:id="326" w:name="_Toc497171832"/>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62</w:t>
            </w:r>
            <w:r w:rsidR="002E5BDF" w:rsidRPr="00477D8F">
              <w:rPr>
                <w:noProof/>
              </w:rPr>
              <w:fldChar w:fldCharType="end"/>
            </w:r>
            <w:bookmarkEnd w:id="322"/>
            <w:r w:rsidRPr="00477D8F">
              <w:t>: Retention patterns by gender and socioeconomic status</w:t>
            </w:r>
            <w:bookmarkEnd w:id="323"/>
            <w:bookmarkEnd w:id="324"/>
            <w:r w:rsidRPr="00477D8F">
              <w:t>, 2015</w:t>
            </w:r>
            <w:bookmarkEnd w:id="325"/>
            <w:bookmarkEnd w:id="326"/>
          </w:p>
        </w:tc>
      </w:tr>
      <w:tr w:rsidR="006F2CA4" w:rsidRPr="00477D8F" w14:paraId="18A2DB0D" w14:textId="77777777" w:rsidTr="00CC1D18">
        <w:trPr>
          <w:trHeight w:val="231"/>
          <w:jc w:val="center"/>
        </w:trPr>
        <w:tc>
          <w:tcPr>
            <w:tcW w:w="9350" w:type="dxa"/>
            <w:hideMark/>
          </w:tcPr>
          <w:p w14:paraId="6E00329E" w14:textId="77777777" w:rsidR="006F2CA4" w:rsidRPr="00477D8F" w:rsidRDefault="006F2CA4" w:rsidP="00CC1D18">
            <w:pPr>
              <w:jc w:val="both"/>
              <w:rPr>
                <w:rFonts w:ascii="Sylfaen" w:hAnsi="Sylfaen"/>
                <w:bCs/>
              </w:rPr>
            </w:pPr>
            <w:r w:rsidRPr="00477D8F">
              <w:rPr>
                <w:rFonts w:ascii="Sylfaen" w:hAnsi="Sylfaen"/>
                <w:noProof/>
              </w:rPr>
              <w:drawing>
                <wp:inline distT="0" distB="0" distL="0" distR="0" wp14:anchorId="0CCB0F17" wp14:editId="6A62F9B5">
                  <wp:extent cx="5758815" cy="3085106"/>
                  <wp:effectExtent l="0" t="0" r="13335" b="1270"/>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r>
      <w:tr w:rsidR="006F2CA4" w:rsidRPr="00477D8F" w14:paraId="156C6DA2" w14:textId="77777777" w:rsidTr="00CC1D18">
        <w:trPr>
          <w:trHeight w:val="296"/>
          <w:jc w:val="center"/>
        </w:trPr>
        <w:tc>
          <w:tcPr>
            <w:tcW w:w="9350" w:type="dxa"/>
            <w:hideMark/>
          </w:tcPr>
          <w:p w14:paraId="3ABA3ABE" w14:textId="77777777" w:rsidR="006F2CA4" w:rsidRPr="00477D8F" w:rsidRDefault="006F2CA4" w:rsidP="00CC1D18">
            <w:pPr>
              <w:pStyle w:val="Source"/>
            </w:pPr>
            <w:r w:rsidRPr="00477D8F">
              <w:rPr>
                <w:i/>
              </w:rPr>
              <w:t>Source:</w:t>
            </w:r>
            <w:r w:rsidRPr="00477D8F">
              <w:t xml:space="preserve"> Authors’ estimations based on IHS 2015.</w:t>
            </w:r>
          </w:p>
        </w:tc>
      </w:tr>
    </w:tbl>
    <w:p w14:paraId="7BB694D3" w14:textId="7D1D36DD" w:rsidR="006F2CA4" w:rsidRPr="00477D8F" w:rsidRDefault="006F2CA4" w:rsidP="00907244">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hAnsi="Sylfaen"/>
          <w:b/>
        </w:rPr>
        <w:t>Although the trend in income distribution in The Gambia indicates that the income of the poor (the first three quintiles) increased from 29.7 percent to 33.8 percent between 2010 and 2015, it remains low, especially for the poorest quintile.</w:t>
      </w:r>
      <w:r w:rsidRPr="00477D8F">
        <w:rPr>
          <w:rFonts w:ascii="Sylfaen" w:hAnsi="Sylfaen" w:cs="Times New Roman"/>
          <w:bCs/>
        </w:rPr>
        <w:t xml:space="preserve"> </w:t>
      </w:r>
      <w:r w:rsidRPr="00477D8F">
        <w:rPr>
          <w:rFonts w:ascii="Sylfaen" w:hAnsi="Sylfaen"/>
        </w:rPr>
        <w:t xml:space="preserve">The trend seems to be positive even though the poverty incidence remained unchanged between 2010 and 2015 as the inequality in income distribution has lessened. However, significant disparities in the resources across income levels </w:t>
      </w:r>
      <w:r w:rsidRPr="00477D8F">
        <w:rPr>
          <w:rFonts w:ascii="Sylfaen" w:hAnsi="Sylfaen" w:cs="Times New Roman"/>
          <w:bCs/>
        </w:rPr>
        <w:t>are still extreme. Twenty percent of the poorest households account for just 7.1 percent of total income, which is less than half of their proportional share (</w:t>
      </w:r>
      <w:r w:rsidRPr="00477D8F">
        <w:rPr>
          <w:rFonts w:ascii="Sylfaen" w:hAnsi="Sylfaen" w:cs="Times New Roman"/>
          <w:bCs/>
        </w:rPr>
        <w:fldChar w:fldCharType="begin"/>
      </w:r>
      <w:r w:rsidRPr="00477D8F">
        <w:rPr>
          <w:rFonts w:ascii="Sylfaen" w:hAnsi="Sylfaen" w:cs="Times New Roman"/>
          <w:bCs/>
        </w:rPr>
        <w:instrText xml:space="preserve"> REF _Ref451369504 \h  \* MERGEFORMAT </w:instrText>
      </w:r>
      <w:r w:rsidRPr="00477D8F">
        <w:rPr>
          <w:rFonts w:ascii="Sylfaen" w:hAnsi="Sylfaen" w:cs="Times New Roman"/>
          <w:bCs/>
        </w:rPr>
      </w:r>
      <w:r w:rsidRPr="00477D8F">
        <w:rPr>
          <w:rFonts w:ascii="Sylfaen" w:hAnsi="Sylfaen" w:cs="Times New Roman"/>
          <w:bCs/>
        </w:rPr>
        <w:fldChar w:fldCharType="separate"/>
      </w:r>
      <w:r w:rsidRPr="00477D8F">
        <w:rPr>
          <w:rFonts w:ascii="Sylfaen" w:hAnsi="Sylfaen" w:cs="Times New Roman"/>
          <w:bCs/>
        </w:rPr>
        <w:t>Figure 63</w:t>
      </w:r>
      <w:r w:rsidRPr="00477D8F">
        <w:rPr>
          <w:rFonts w:ascii="Sylfaen" w:hAnsi="Sylfaen" w:cs="Times New Roman"/>
          <w:bCs/>
        </w:rPr>
        <w:fldChar w:fldCharType="end"/>
      </w:r>
      <w:r w:rsidRPr="00477D8F">
        <w:rPr>
          <w:rFonts w:ascii="Sylfaen" w:hAnsi="Sylfaen" w:cs="Times New Roman"/>
          <w:bCs/>
        </w:rPr>
        <w:t xml:space="preserve">). Because the high-schooling costs in The Gambia have already excluded many children from participating in the education system, especially at the </w:t>
      </w:r>
      <w:r w:rsidR="00BE7A1E" w:rsidRPr="00477D8F">
        <w:rPr>
          <w:rFonts w:ascii="Sylfaen" w:hAnsi="Sylfaen" w:cs="Times New Roman"/>
          <w:bCs/>
        </w:rPr>
        <w:t>post primary</w:t>
      </w:r>
      <w:r w:rsidRPr="00477D8F">
        <w:rPr>
          <w:rFonts w:ascii="Sylfaen" w:hAnsi="Sylfaen" w:cs="Times New Roman"/>
          <w:bCs/>
        </w:rPr>
        <w:t xml:space="preserve"> level, it is critical for policy makers to institute pro-poor education policies to break the intergenerational poverty trap and cultural barriers. </w:t>
      </w:r>
    </w:p>
    <w:tbl>
      <w:tblPr>
        <w:tblStyle w:val="TableGrid1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701F83CA" w14:textId="77777777" w:rsidTr="00907244">
        <w:trPr>
          <w:trHeight w:val="20"/>
          <w:jc w:val="center"/>
        </w:trPr>
        <w:tc>
          <w:tcPr>
            <w:tcW w:w="9350" w:type="dxa"/>
            <w:hideMark/>
          </w:tcPr>
          <w:p w14:paraId="26784C9A" w14:textId="77777777" w:rsidR="006F2CA4" w:rsidRPr="00477D8F" w:rsidRDefault="006F2CA4" w:rsidP="00907244">
            <w:pPr>
              <w:pStyle w:val="Caption1"/>
            </w:pPr>
            <w:bookmarkStart w:id="327" w:name="_Ref451369504"/>
            <w:bookmarkStart w:id="328" w:name="_Toc473728814"/>
            <w:bookmarkStart w:id="329" w:name="_Toc496603365"/>
            <w:bookmarkStart w:id="330" w:name="_Toc497171833"/>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63</w:t>
            </w:r>
            <w:r w:rsidR="002E5BDF" w:rsidRPr="00477D8F">
              <w:rPr>
                <w:noProof/>
              </w:rPr>
              <w:fldChar w:fldCharType="end"/>
            </w:r>
            <w:bookmarkEnd w:id="327"/>
            <w:r w:rsidRPr="00477D8F">
              <w:t>: Trends of income holding per quintile, 2010 and 2015</w:t>
            </w:r>
            <w:bookmarkEnd w:id="328"/>
            <w:bookmarkEnd w:id="329"/>
            <w:bookmarkEnd w:id="330"/>
          </w:p>
        </w:tc>
      </w:tr>
      <w:tr w:rsidR="006F2CA4" w:rsidRPr="00477D8F" w14:paraId="6B470996" w14:textId="77777777" w:rsidTr="00907244">
        <w:trPr>
          <w:trHeight w:val="20"/>
          <w:jc w:val="center"/>
        </w:trPr>
        <w:tc>
          <w:tcPr>
            <w:tcW w:w="9350" w:type="dxa"/>
            <w:hideMark/>
          </w:tcPr>
          <w:p w14:paraId="040FC00B" w14:textId="77777777" w:rsidR="006F2CA4" w:rsidRPr="00477D8F" w:rsidRDefault="006F2CA4" w:rsidP="00907244">
            <w:pPr>
              <w:jc w:val="both"/>
              <w:rPr>
                <w:rFonts w:ascii="Sylfaen" w:hAnsi="Sylfaen" w:cs="Times New Roman"/>
                <w:bCs/>
              </w:rPr>
            </w:pPr>
            <w:r w:rsidRPr="00477D8F">
              <w:rPr>
                <w:rFonts w:ascii="Sylfaen" w:hAnsi="Sylfaen"/>
                <w:noProof/>
              </w:rPr>
              <w:drawing>
                <wp:inline distT="0" distB="0" distL="0" distR="0" wp14:anchorId="7D0CA968" wp14:editId="69CC0745">
                  <wp:extent cx="5697855" cy="1953790"/>
                  <wp:effectExtent l="0" t="0" r="0" b="8890"/>
                  <wp:docPr id="583" name="Chart 5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r>
      <w:tr w:rsidR="006F2CA4" w:rsidRPr="00477D8F" w14:paraId="1A6D3136" w14:textId="77777777" w:rsidTr="00907244">
        <w:trPr>
          <w:trHeight w:val="20"/>
          <w:jc w:val="center"/>
        </w:trPr>
        <w:tc>
          <w:tcPr>
            <w:tcW w:w="9350" w:type="dxa"/>
            <w:hideMark/>
          </w:tcPr>
          <w:p w14:paraId="1F47A40C" w14:textId="77777777" w:rsidR="006F2CA4" w:rsidRPr="00477D8F" w:rsidRDefault="006F2CA4" w:rsidP="00907244">
            <w:pPr>
              <w:pStyle w:val="Source"/>
            </w:pPr>
            <w:r w:rsidRPr="00477D8F">
              <w:rPr>
                <w:i/>
              </w:rPr>
              <w:t>Source:</w:t>
            </w:r>
            <w:r w:rsidRPr="00477D8F">
              <w:t xml:space="preserve"> Authors’ estimations based on IHS 2010 and 2015.</w:t>
            </w:r>
          </w:p>
        </w:tc>
      </w:tr>
    </w:tbl>
    <w:p w14:paraId="6A0597B7" w14:textId="1C8706D2" w:rsidR="006F2CA4" w:rsidRPr="00477D8F" w:rsidRDefault="006F2CA4" w:rsidP="006F2CA4">
      <w:pPr>
        <w:pStyle w:val="Heading2"/>
      </w:pPr>
      <w:bookmarkStart w:id="331" w:name="_Toc496603214"/>
      <w:bookmarkStart w:id="332" w:name="_Toc497171883"/>
      <w:bookmarkEnd w:id="219"/>
      <w:r w:rsidRPr="00477D8F">
        <w:lastRenderedPageBreak/>
        <w:t>Inequality in public resources distribution, role of government</w:t>
      </w:r>
      <w:bookmarkEnd w:id="331"/>
      <w:bookmarkEnd w:id="332"/>
      <w:r w:rsidRPr="00477D8F">
        <w:t xml:space="preserve"> </w:t>
      </w:r>
    </w:p>
    <w:p w14:paraId="739A4309" w14:textId="6810F0F3" w:rsidR="006F2CA4" w:rsidRPr="00477D8F" w:rsidRDefault="006F2CA4" w:rsidP="00D17B8C">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hAnsi="Sylfaen"/>
          <w:b/>
        </w:rPr>
        <w:t>The overall public spending on education in The Gambia is pro-rich.</w:t>
      </w:r>
      <w:r w:rsidRPr="00477D8F">
        <w:rPr>
          <w:rFonts w:ascii="Sylfaen" w:hAnsi="Sylfaen"/>
        </w:rPr>
        <w:t xml:space="preserve"> </w:t>
      </w:r>
      <w:r w:rsidRPr="00477D8F">
        <w:rPr>
          <w:rFonts w:ascii="Sylfaen" w:hAnsi="Sylfaen" w:cs="Times New Roman"/>
          <w:bCs/>
        </w:rPr>
        <w:t xml:space="preserve">The analysis of total public spending on education reveals that, overall, </w:t>
      </w:r>
      <w:r w:rsidRPr="00477D8F">
        <w:rPr>
          <w:rFonts w:ascii="Sylfaen" w:eastAsia="Times New Roman" w:hAnsi="Sylfaen" w:cs="Times New Roman"/>
          <w:color w:val="000000"/>
        </w:rPr>
        <w:t>the poorest quintile receives only 16 percent of the total education funds (4 percent less than its share of the population), while the richest quintile receives 24 percent of the total benefits (4 percent above its share of the population) (Figure</w:t>
      </w:r>
      <w:r w:rsidR="00386866" w:rsidRPr="00477D8F">
        <w:rPr>
          <w:rFonts w:ascii="Sylfaen" w:eastAsia="Times New Roman" w:hAnsi="Sylfaen" w:cs="Times New Roman"/>
          <w:color w:val="000000"/>
        </w:rPr>
        <w:t xml:space="preserve"> 64</w:t>
      </w:r>
      <w:r w:rsidRPr="00477D8F">
        <w:rPr>
          <w:rFonts w:ascii="Sylfaen" w:eastAsia="Times New Roman" w:hAnsi="Sylfaen" w:cs="Times New Roman"/>
          <w:color w:val="000000"/>
        </w:rPr>
        <w:t>). T</w:t>
      </w:r>
      <w:r w:rsidRPr="00477D8F">
        <w:rPr>
          <w:rFonts w:ascii="Sylfaen" w:hAnsi="Sylfaen" w:cs="Times New Roman"/>
          <w:bCs/>
        </w:rPr>
        <w:t xml:space="preserve">he distribution of public spending appears to be largely equitable at the primary level where almost all quintiles receive a share of public benefits (20 percent) equivalent to their share of the population, with the exception of the richest quintile which received 4 percent less than their population share (16 percent). However, this trend is reversed at the senior secondary and higher education levels where enrollment from poor families starts declining. For example, at the senior secondary level, while the richest quintile receives 30 percent of total spending, the poorest quintile receives only 10 percent. Similarly, 49 percent of the total spending in higher education went to the richest quintile compared to 7 percent for the poorest quintile. Thus, education expenditures at the primary level are poverty neutral whereas </w:t>
      </w:r>
      <w:r w:rsidR="00BE7A1E" w:rsidRPr="00477D8F">
        <w:rPr>
          <w:rFonts w:ascii="Sylfaen" w:hAnsi="Sylfaen" w:cs="Times New Roman"/>
          <w:bCs/>
        </w:rPr>
        <w:t>post primary</w:t>
      </w:r>
      <w:r w:rsidRPr="00477D8F">
        <w:rPr>
          <w:rFonts w:ascii="Sylfaen" w:hAnsi="Sylfaen" w:cs="Times New Roman"/>
          <w:bCs/>
        </w:rPr>
        <w:t xml:space="preserve"> expenditures are regressive because they tend to favor the non-poor. </w:t>
      </w:r>
      <w:r w:rsidRPr="00477D8F">
        <w:rPr>
          <w:rFonts w:ascii="Sylfaen" w:eastAsia="Times New Roman" w:hAnsi="Sylfaen" w:cs="Times New Roman"/>
          <w:color w:val="000000"/>
        </w:rPr>
        <w:t>However, demographic factors such as family size could negate the poverty neutrality of primary education spending.</w:t>
      </w:r>
    </w:p>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3266630E" w14:textId="77777777" w:rsidTr="00D17B8C">
        <w:trPr>
          <w:trHeight w:val="10"/>
          <w:jc w:val="center"/>
        </w:trPr>
        <w:tc>
          <w:tcPr>
            <w:tcW w:w="9350" w:type="dxa"/>
            <w:hideMark/>
          </w:tcPr>
          <w:p w14:paraId="000A9E45" w14:textId="3F99BCE5" w:rsidR="006F2CA4" w:rsidRPr="00477D8F" w:rsidRDefault="006F2CA4" w:rsidP="00D17B8C">
            <w:pPr>
              <w:pStyle w:val="Caption1"/>
            </w:pPr>
            <w:bookmarkStart w:id="333" w:name="_Ref482649356"/>
            <w:bookmarkStart w:id="334" w:name="_Toc482618654"/>
            <w:bookmarkStart w:id="335" w:name="_Toc482650010"/>
            <w:bookmarkStart w:id="336" w:name="_Toc496603366"/>
            <w:bookmarkStart w:id="337" w:name="_Toc497171834"/>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64</w:t>
            </w:r>
            <w:r w:rsidR="002E5BDF" w:rsidRPr="00477D8F">
              <w:rPr>
                <w:noProof/>
              </w:rPr>
              <w:fldChar w:fldCharType="end"/>
            </w:r>
            <w:bookmarkEnd w:id="333"/>
            <w:r w:rsidRPr="00477D8F">
              <w:t>: Results of Benefit Incident Analysis</w:t>
            </w:r>
            <w:bookmarkEnd w:id="334"/>
            <w:bookmarkEnd w:id="335"/>
            <w:bookmarkEnd w:id="336"/>
            <w:bookmarkEnd w:id="337"/>
          </w:p>
        </w:tc>
      </w:tr>
      <w:tr w:rsidR="006F2CA4" w:rsidRPr="00477D8F" w14:paraId="2E8C2254" w14:textId="77777777" w:rsidTr="00D17B8C">
        <w:trPr>
          <w:trHeight w:val="231"/>
          <w:jc w:val="center"/>
        </w:trPr>
        <w:tc>
          <w:tcPr>
            <w:tcW w:w="9350" w:type="dxa"/>
            <w:hideMark/>
          </w:tcPr>
          <w:p w14:paraId="1CF2ED73" w14:textId="77777777" w:rsidR="006F2CA4" w:rsidRPr="00477D8F" w:rsidRDefault="006F2CA4" w:rsidP="00D17B8C">
            <w:pPr>
              <w:jc w:val="both"/>
              <w:rPr>
                <w:rFonts w:ascii="Sylfaen" w:hAnsi="Sylfaen" w:cs="Times New Roman"/>
                <w:bCs/>
              </w:rPr>
            </w:pPr>
            <w:r w:rsidRPr="00477D8F">
              <w:rPr>
                <w:rFonts w:ascii="Sylfaen" w:hAnsi="Sylfaen"/>
                <w:noProof/>
              </w:rPr>
              <w:drawing>
                <wp:inline distT="0" distB="0" distL="0" distR="0" wp14:anchorId="533FD215" wp14:editId="526B5EAC">
                  <wp:extent cx="5677535" cy="2099463"/>
                  <wp:effectExtent l="0" t="0" r="18415" b="15240"/>
                  <wp:docPr id="593" name="Chart 5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c>
      </w:tr>
      <w:tr w:rsidR="006F2CA4" w:rsidRPr="00477D8F" w14:paraId="1915F6DD" w14:textId="77777777" w:rsidTr="00D17B8C">
        <w:trPr>
          <w:trHeight w:val="296"/>
          <w:jc w:val="center"/>
        </w:trPr>
        <w:tc>
          <w:tcPr>
            <w:tcW w:w="9350" w:type="dxa"/>
            <w:hideMark/>
          </w:tcPr>
          <w:p w14:paraId="510DCA47" w14:textId="77777777" w:rsidR="006F2CA4" w:rsidRPr="00477D8F" w:rsidRDefault="006F2CA4" w:rsidP="00D17B8C">
            <w:pPr>
              <w:pStyle w:val="Source"/>
            </w:pPr>
            <w:r w:rsidRPr="00477D8F">
              <w:rPr>
                <w:rFonts w:eastAsia="Times New Roman"/>
                <w:i/>
              </w:rPr>
              <w:t>Source:</w:t>
            </w:r>
            <w:r w:rsidRPr="00477D8F">
              <w:rPr>
                <w:rFonts w:eastAsia="Times New Roman"/>
              </w:rPr>
              <w:t xml:space="preserve"> </w:t>
            </w:r>
            <w:r w:rsidRPr="00477D8F">
              <w:t>Authors’ estimations based on IHS 2015, MoFEA Budget, and EMIS.</w:t>
            </w:r>
          </w:p>
        </w:tc>
      </w:tr>
    </w:tbl>
    <w:p w14:paraId="7AAC336E" w14:textId="20D1BC61" w:rsidR="006F2CA4" w:rsidRPr="00477D8F" w:rsidRDefault="006F2CA4" w:rsidP="00046A90">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hAnsi="Sylfaen"/>
          <w:b/>
        </w:rPr>
        <w:t>The distribution of public spending in basic and secondary education is relatively better than income distribution, while distribution in higher education is worse than income distribution and disfavors the poor.</w:t>
      </w:r>
      <w:r w:rsidRPr="00477D8F">
        <w:rPr>
          <w:rFonts w:ascii="Sylfaen" w:hAnsi="Sylfaen" w:cs="Times New Roman"/>
          <w:bCs/>
        </w:rPr>
        <w:t xml:space="preserve"> The </w:t>
      </w:r>
      <w:r w:rsidR="00386866" w:rsidRPr="00477D8F">
        <w:rPr>
          <w:rFonts w:ascii="Sylfaen" w:hAnsi="Sylfaen" w:cs="Times New Roman"/>
          <w:bCs/>
        </w:rPr>
        <w:t>Benefit Incident Analysis (</w:t>
      </w:r>
      <w:r w:rsidRPr="00477D8F">
        <w:rPr>
          <w:rFonts w:ascii="Sylfaen" w:hAnsi="Sylfaen" w:cs="Times New Roman"/>
          <w:bCs/>
        </w:rPr>
        <w:t>BIA</w:t>
      </w:r>
      <w:r w:rsidR="00386866" w:rsidRPr="00477D8F">
        <w:rPr>
          <w:rFonts w:ascii="Sylfaen" w:hAnsi="Sylfaen" w:cs="Times New Roman"/>
          <w:bCs/>
        </w:rPr>
        <w:t>)</w:t>
      </w:r>
      <w:r w:rsidRPr="00477D8F">
        <w:rPr>
          <w:rFonts w:ascii="Sylfaen" w:hAnsi="Sylfaen" w:cs="Times New Roman"/>
          <w:bCs/>
        </w:rPr>
        <w:t xml:space="preserve"> shown earlier is presented in an alternative way using the consumption concentration curve to evaluate the targeting of government subsidies. The provision of public resources by level of education is compared to </w:t>
      </w:r>
      <w:r w:rsidRPr="00477D8F">
        <w:rPr>
          <w:rFonts w:ascii="Sylfaen" w:hAnsi="Sylfaen"/>
          <w:bCs/>
        </w:rPr>
        <w:t>the</w:t>
      </w:r>
      <w:r w:rsidRPr="00477D8F">
        <w:rPr>
          <w:rFonts w:ascii="Sylfaen" w:hAnsi="Sylfaen" w:cs="Times New Roman"/>
          <w:bCs/>
        </w:rPr>
        <w:t xml:space="preserve"> consumption concentration curve which, is a proxy for wealth and income inequality across quintiles. Compared to the consumption concentration curve, the expenditures on basic and secondary education are relatively more equitable than the general wealth distribution (Figure </w:t>
      </w:r>
      <w:r w:rsidR="00386866" w:rsidRPr="00477D8F">
        <w:rPr>
          <w:rFonts w:ascii="Sylfaen" w:hAnsi="Sylfaen" w:cs="Times New Roman"/>
          <w:bCs/>
        </w:rPr>
        <w:t>65</w:t>
      </w:r>
      <w:r w:rsidRPr="00477D8F">
        <w:rPr>
          <w:rFonts w:ascii="Sylfaen" w:hAnsi="Sylfaen" w:cs="Times New Roman"/>
          <w:bCs/>
        </w:rPr>
        <w:t xml:space="preserve">). Therefore, while public spending in lower basic, upper basic, and senior secondary education levels is not pro-poor per se, this is somewhat mitigated by the fact that the provision of public resources promotes greater equality than the observed income inequality. In contrast, higher education is not pro-poor and regressive. The distribution of public </w:t>
      </w:r>
      <w:r w:rsidRPr="00477D8F">
        <w:rPr>
          <w:rFonts w:ascii="Sylfaen" w:hAnsi="Sylfaen" w:cs="Times New Roman"/>
          <w:bCs/>
        </w:rPr>
        <w:lastRenderedPageBreak/>
        <w:t>spending on higher education is worse than the general wealth inequality because the richest quintile receives the most benefit from public spending.</w:t>
      </w:r>
    </w:p>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534048B2" w14:textId="77777777" w:rsidTr="00CC1D18">
        <w:trPr>
          <w:trHeight w:val="10"/>
          <w:jc w:val="center"/>
        </w:trPr>
        <w:tc>
          <w:tcPr>
            <w:tcW w:w="9350" w:type="dxa"/>
            <w:hideMark/>
          </w:tcPr>
          <w:p w14:paraId="3B3DF72D" w14:textId="19725833" w:rsidR="006F2CA4" w:rsidRPr="00477D8F" w:rsidRDefault="006F2CA4" w:rsidP="00CC1D18">
            <w:pPr>
              <w:pStyle w:val="Caption1"/>
            </w:pPr>
            <w:bookmarkStart w:id="338" w:name="_Ref482649366"/>
            <w:bookmarkStart w:id="339" w:name="_Toc482618655"/>
            <w:bookmarkStart w:id="340" w:name="_Toc482650011"/>
            <w:bookmarkStart w:id="341" w:name="_Toc496603367"/>
            <w:bookmarkStart w:id="342" w:name="_Toc497171835"/>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65</w:t>
            </w:r>
            <w:r w:rsidR="002E5BDF" w:rsidRPr="00477D8F">
              <w:rPr>
                <w:noProof/>
              </w:rPr>
              <w:fldChar w:fldCharType="end"/>
            </w:r>
            <w:bookmarkEnd w:id="338"/>
            <w:r w:rsidRPr="00477D8F">
              <w:t>: Equity in the provision of public resources to the education sector</w:t>
            </w:r>
            <w:bookmarkEnd w:id="339"/>
            <w:bookmarkEnd w:id="340"/>
            <w:bookmarkEnd w:id="341"/>
            <w:bookmarkEnd w:id="342"/>
          </w:p>
        </w:tc>
      </w:tr>
      <w:tr w:rsidR="006F2CA4" w:rsidRPr="00477D8F" w14:paraId="3A407F27" w14:textId="77777777" w:rsidTr="00CC1D18">
        <w:trPr>
          <w:trHeight w:val="231"/>
          <w:jc w:val="center"/>
        </w:trPr>
        <w:tc>
          <w:tcPr>
            <w:tcW w:w="9350" w:type="dxa"/>
            <w:hideMark/>
          </w:tcPr>
          <w:p w14:paraId="630E64DE" w14:textId="77777777" w:rsidR="006F2CA4" w:rsidRPr="00477D8F" w:rsidRDefault="006F2CA4" w:rsidP="00CC1D18">
            <w:pPr>
              <w:jc w:val="both"/>
              <w:rPr>
                <w:rFonts w:ascii="Sylfaen" w:hAnsi="Sylfaen" w:cs="Times New Roman"/>
                <w:bCs/>
              </w:rPr>
            </w:pPr>
            <w:r w:rsidRPr="00477D8F">
              <w:rPr>
                <w:rFonts w:ascii="Sylfaen" w:hAnsi="Sylfaen" w:cs="Times New Roman"/>
                <w:bCs/>
                <w:noProof/>
              </w:rPr>
              <w:drawing>
                <wp:inline distT="0" distB="0" distL="0" distR="0" wp14:anchorId="7C1BCDAA" wp14:editId="6894C54C">
                  <wp:extent cx="5766371" cy="4676172"/>
                  <wp:effectExtent l="0" t="0" r="0" b="0"/>
                  <wp:docPr id="5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1"/>
                          <a:stretch>
                            <a:fillRect/>
                          </a:stretch>
                        </pic:blipFill>
                        <pic:spPr>
                          <a:xfrm>
                            <a:off x="0" y="0"/>
                            <a:ext cx="5801557" cy="4704706"/>
                          </a:xfrm>
                          <a:prstGeom prst="rect">
                            <a:avLst/>
                          </a:prstGeom>
                        </pic:spPr>
                      </pic:pic>
                    </a:graphicData>
                  </a:graphic>
                </wp:inline>
              </w:drawing>
            </w:r>
          </w:p>
        </w:tc>
      </w:tr>
      <w:tr w:rsidR="006F2CA4" w:rsidRPr="00477D8F" w14:paraId="4FB3A18A" w14:textId="77777777" w:rsidTr="00CC1D18">
        <w:trPr>
          <w:trHeight w:val="296"/>
          <w:jc w:val="center"/>
        </w:trPr>
        <w:tc>
          <w:tcPr>
            <w:tcW w:w="9350" w:type="dxa"/>
            <w:hideMark/>
          </w:tcPr>
          <w:p w14:paraId="575AC13A" w14:textId="77777777" w:rsidR="006F2CA4" w:rsidRPr="00477D8F" w:rsidRDefault="006F2CA4" w:rsidP="00CC1D18">
            <w:pPr>
              <w:pStyle w:val="Source"/>
            </w:pPr>
            <w:r w:rsidRPr="00477D8F">
              <w:rPr>
                <w:rFonts w:eastAsia="Times New Roman"/>
                <w:i/>
              </w:rPr>
              <w:t>Source:</w:t>
            </w:r>
            <w:r w:rsidRPr="00477D8F">
              <w:rPr>
                <w:rFonts w:eastAsia="Times New Roman"/>
              </w:rPr>
              <w:t xml:space="preserve"> </w:t>
            </w:r>
            <w:r w:rsidRPr="00477D8F">
              <w:t>Authors’ estimations based on IHS 2015, MoFEA Budget, and EMIS.</w:t>
            </w:r>
          </w:p>
        </w:tc>
      </w:tr>
    </w:tbl>
    <w:p w14:paraId="3949124F" w14:textId="516C56D3" w:rsidR="006F2CA4" w:rsidRPr="00477D8F" w:rsidRDefault="006F2CA4" w:rsidP="006F2CA4">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eastAsia="Times New Roman" w:hAnsi="Sylfaen" w:cs="Times New Roman"/>
          <w:b/>
          <w:color w:val="000000"/>
        </w:rPr>
        <w:t>Access to public schools in The Gambia is relatively pro-poor at the ECD, LBS, and UBS levels.</w:t>
      </w:r>
      <w:r w:rsidRPr="00477D8F">
        <w:rPr>
          <w:rFonts w:ascii="Sylfaen" w:eastAsia="Times New Roman" w:hAnsi="Sylfaen" w:cs="Times New Roman"/>
          <w:color w:val="000000"/>
        </w:rPr>
        <w:t xml:space="preserve"> For example, at the ECD level, 22 percent of children from the poorest quintile have access to public school while 20 percent of children from the wealthiest quintile have access to public schools (Figure </w:t>
      </w:r>
      <w:r w:rsidR="00386866" w:rsidRPr="00477D8F">
        <w:rPr>
          <w:rFonts w:ascii="Sylfaen" w:eastAsia="Times New Roman" w:hAnsi="Sylfaen" w:cs="Times New Roman"/>
          <w:color w:val="000000"/>
        </w:rPr>
        <w:t>66</w:t>
      </w:r>
      <w:r w:rsidRPr="00477D8F">
        <w:rPr>
          <w:rFonts w:ascii="Sylfaen" w:eastAsia="Times New Roman" w:hAnsi="Sylfaen" w:cs="Times New Roman"/>
          <w:color w:val="000000"/>
        </w:rPr>
        <w:t>). However, accessi</w:t>
      </w:r>
      <w:r w:rsidR="009401A6" w:rsidRPr="00477D8F">
        <w:rPr>
          <w:rFonts w:ascii="Sylfaen" w:eastAsia="Times New Roman" w:hAnsi="Sylfaen" w:cs="Times New Roman"/>
          <w:color w:val="000000"/>
        </w:rPr>
        <w:t>ng public schools at the post</w:t>
      </w:r>
      <w:r w:rsidRPr="00477D8F">
        <w:rPr>
          <w:rFonts w:ascii="Sylfaen" w:eastAsia="Times New Roman" w:hAnsi="Sylfaen" w:cs="Times New Roman"/>
          <w:color w:val="000000"/>
        </w:rPr>
        <w:t xml:space="preserve">secondary level favors mostly children from the wealthiest quintile. </w:t>
      </w:r>
    </w:p>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F2CA4" w:rsidRPr="00477D8F" w14:paraId="7891E9EA" w14:textId="77777777" w:rsidTr="00CC1D18">
        <w:trPr>
          <w:trHeight w:val="10"/>
          <w:jc w:val="center"/>
        </w:trPr>
        <w:tc>
          <w:tcPr>
            <w:tcW w:w="9350" w:type="dxa"/>
            <w:hideMark/>
          </w:tcPr>
          <w:p w14:paraId="43503F1C" w14:textId="0C93A614" w:rsidR="006F2CA4" w:rsidRPr="00477D8F" w:rsidRDefault="006F2CA4" w:rsidP="00CC1D18">
            <w:pPr>
              <w:pStyle w:val="Caption1"/>
            </w:pPr>
            <w:bookmarkStart w:id="343" w:name="_Ref482649378"/>
            <w:bookmarkStart w:id="344" w:name="_Toc482618656"/>
            <w:bookmarkStart w:id="345" w:name="_Toc482650012"/>
            <w:bookmarkStart w:id="346" w:name="_Toc496603368"/>
            <w:bookmarkStart w:id="347" w:name="_Toc497171836"/>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66</w:t>
            </w:r>
            <w:r w:rsidR="002E5BDF" w:rsidRPr="00477D8F">
              <w:rPr>
                <w:noProof/>
              </w:rPr>
              <w:fldChar w:fldCharType="end"/>
            </w:r>
            <w:bookmarkEnd w:id="343"/>
            <w:r w:rsidRPr="00477D8F">
              <w:t>: School participation by quintile, public</w:t>
            </w:r>
            <w:bookmarkEnd w:id="344"/>
            <w:bookmarkEnd w:id="345"/>
            <w:r w:rsidRPr="00477D8F">
              <w:t xml:space="preserve"> schools</w:t>
            </w:r>
            <w:bookmarkEnd w:id="346"/>
            <w:bookmarkEnd w:id="347"/>
          </w:p>
        </w:tc>
      </w:tr>
      <w:tr w:rsidR="006F2CA4" w:rsidRPr="00477D8F" w14:paraId="55674CD0" w14:textId="77777777" w:rsidTr="00CC1D18">
        <w:trPr>
          <w:trHeight w:val="231"/>
          <w:jc w:val="center"/>
        </w:trPr>
        <w:tc>
          <w:tcPr>
            <w:tcW w:w="9350" w:type="dxa"/>
            <w:hideMark/>
          </w:tcPr>
          <w:p w14:paraId="10C7A08F" w14:textId="77777777" w:rsidR="006F2CA4" w:rsidRPr="00477D8F" w:rsidRDefault="006F2CA4" w:rsidP="00CC1D18">
            <w:pPr>
              <w:jc w:val="both"/>
              <w:rPr>
                <w:rFonts w:ascii="Sylfaen" w:hAnsi="Sylfaen" w:cs="Times New Roman"/>
                <w:bCs/>
              </w:rPr>
            </w:pPr>
            <w:r w:rsidRPr="00477D8F">
              <w:rPr>
                <w:rFonts w:ascii="Sylfaen" w:hAnsi="Sylfaen"/>
                <w:noProof/>
              </w:rPr>
              <w:drawing>
                <wp:inline distT="0" distB="0" distL="0" distR="0" wp14:anchorId="16F01454" wp14:editId="1348A718">
                  <wp:extent cx="5895975" cy="1971675"/>
                  <wp:effectExtent l="0" t="0" r="9525" b="9525"/>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tc>
      </w:tr>
      <w:tr w:rsidR="006F2CA4" w:rsidRPr="00477D8F" w14:paraId="0A5643D7" w14:textId="77777777" w:rsidTr="00CC1D18">
        <w:trPr>
          <w:trHeight w:val="296"/>
          <w:jc w:val="center"/>
        </w:trPr>
        <w:tc>
          <w:tcPr>
            <w:tcW w:w="9350" w:type="dxa"/>
            <w:hideMark/>
          </w:tcPr>
          <w:p w14:paraId="76FAB09C" w14:textId="77777777" w:rsidR="006F2CA4" w:rsidRPr="00477D8F" w:rsidRDefault="006F2CA4" w:rsidP="00CC1D18">
            <w:pPr>
              <w:pStyle w:val="Source"/>
            </w:pPr>
            <w:r w:rsidRPr="00477D8F">
              <w:rPr>
                <w:rFonts w:eastAsia="Times New Roman"/>
                <w:i/>
              </w:rPr>
              <w:t>Source:</w:t>
            </w:r>
            <w:r w:rsidRPr="00477D8F">
              <w:rPr>
                <w:rFonts w:eastAsia="Times New Roman"/>
              </w:rPr>
              <w:t xml:space="preserve"> </w:t>
            </w:r>
            <w:r w:rsidRPr="00477D8F">
              <w:t>Authors’ estimations based on IHS 2015.</w:t>
            </w:r>
          </w:p>
        </w:tc>
      </w:tr>
    </w:tbl>
    <w:p w14:paraId="2A7549A0" w14:textId="444BB43E" w:rsidR="006F2CA4" w:rsidRPr="00477D8F" w:rsidRDefault="006F2CA4" w:rsidP="00046A90">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eastAsia="Times New Roman" w:hAnsi="Sylfaen" w:cs="Times New Roman"/>
          <w:b/>
          <w:color w:val="000000"/>
        </w:rPr>
        <w:t>Access to private schools in The Gambia is intensely pro-rich at all levels of education.</w:t>
      </w:r>
      <w:r w:rsidRPr="00477D8F">
        <w:rPr>
          <w:rFonts w:ascii="Sylfaen" w:eastAsia="Times New Roman" w:hAnsi="Sylfaen" w:cs="Times New Roman"/>
          <w:color w:val="000000"/>
        </w:rPr>
        <w:t xml:space="preserve"> For instance, while only 7 percent of students attending private schools belong to the poorest quintile, 70 percent are from the richest quintile (Figure </w:t>
      </w:r>
      <w:r w:rsidR="00386866" w:rsidRPr="00477D8F">
        <w:rPr>
          <w:rFonts w:ascii="Sylfaen" w:eastAsia="Times New Roman" w:hAnsi="Sylfaen" w:cs="Times New Roman"/>
          <w:color w:val="000000"/>
        </w:rPr>
        <w:t>67</w:t>
      </w:r>
      <w:r w:rsidRPr="00477D8F">
        <w:rPr>
          <w:rFonts w:ascii="Sylfaen" w:eastAsia="Times New Roman" w:hAnsi="Sylfaen" w:cs="Times New Roman"/>
          <w:color w:val="000000"/>
        </w:rPr>
        <w:t>).</w:t>
      </w:r>
    </w:p>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F2CA4" w:rsidRPr="00477D8F" w14:paraId="5213B695" w14:textId="77777777" w:rsidTr="00CC1D18">
        <w:trPr>
          <w:trHeight w:val="10"/>
          <w:jc w:val="center"/>
        </w:trPr>
        <w:tc>
          <w:tcPr>
            <w:tcW w:w="9350" w:type="dxa"/>
            <w:hideMark/>
          </w:tcPr>
          <w:p w14:paraId="709653A4" w14:textId="3639AF6A" w:rsidR="006F2CA4" w:rsidRPr="00477D8F" w:rsidRDefault="006F2CA4" w:rsidP="00CC1D18">
            <w:pPr>
              <w:pStyle w:val="Caption1"/>
            </w:pPr>
            <w:bookmarkStart w:id="348" w:name="_Ref482649387"/>
            <w:bookmarkStart w:id="349" w:name="_Toc482618657"/>
            <w:bookmarkStart w:id="350" w:name="_Toc482650013"/>
            <w:bookmarkStart w:id="351" w:name="_Toc496603369"/>
            <w:bookmarkStart w:id="352" w:name="_Toc497171837"/>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67</w:t>
            </w:r>
            <w:r w:rsidR="002E5BDF" w:rsidRPr="00477D8F">
              <w:rPr>
                <w:noProof/>
              </w:rPr>
              <w:fldChar w:fldCharType="end"/>
            </w:r>
            <w:bookmarkEnd w:id="348"/>
            <w:r w:rsidRPr="00477D8F">
              <w:t>: School participation by quintile, private</w:t>
            </w:r>
            <w:bookmarkEnd w:id="349"/>
            <w:bookmarkEnd w:id="350"/>
            <w:r w:rsidRPr="00477D8F">
              <w:t xml:space="preserve"> - conventional</w:t>
            </w:r>
            <w:bookmarkEnd w:id="351"/>
            <w:bookmarkEnd w:id="352"/>
          </w:p>
        </w:tc>
      </w:tr>
      <w:tr w:rsidR="006F2CA4" w:rsidRPr="00477D8F" w14:paraId="62E9000A" w14:textId="77777777" w:rsidTr="00CC1D18">
        <w:trPr>
          <w:trHeight w:val="231"/>
          <w:jc w:val="center"/>
        </w:trPr>
        <w:tc>
          <w:tcPr>
            <w:tcW w:w="9350" w:type="dxa"/>
            <w:hideMark/>
          </w:tcPr>
          <w:p w14:paraId="595063A5" w14:textId="77777777" w:rsidR="006F2CA4" w:rsidRPr="00477D8F" w:rsidRDefault="006F2CA4" w:rsidP="00CC1D18">
            <w:pPr>
              <w:jc w:val="both"/>
              <w:rPr>
                <w:rFonts w:ascii="Sylfaen" w:hAnsi="Sylfaen" w:cs="Times New Roman"/>
                <w:bCs/>
              </w:rPr>
            </w:pPr>
            <w:r w:rsidRPr="00477D8F">
              <w:rPr>
                <w:rFonts w:ascii="Sylfaen" w:hAnsi="Sylfaen"/>
                <w:noProof/>
              </w:rPr>
              <w:drawing>
                <wp:inline distT="0" distB="0" distL="0" distR="0" wp14:anchorId="653F0F9F" wp14:editId="3F4720AD">
                  <wp:extent cx="5886450" cy="1771650"/>
                  <wp:effectExtent l="0" t="0" r="0" b="0"/>
                  <wp:docPr id="595" name="Chart 5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7C0B91E5" w14:textId="77777777" w:rsidR="006F2CA4" w:rsidRPr="00477D8F" w:rsidRDefault="006F2CA4" w:rsidP="00CC1D18">
            <w:pPr>
              <w:jc w:val="both"/>
              <w:rPr>
                <w:rFonts w:ascii="Sylfaen" w:hAnsi="Sylfaen" w:cs="Times New Roman"/>
                <w:bCs/>
              </w:rPr>
            </w:pPr>
          </w:p>
        </w:tc>
      </w:tr>
      <w:tr w:rsidR="006F2CA4" w:rsidRPr="00477D8F" w14:paraId="42FFD4A4" w14:textId="77777777" w:rsidTr="00CC1D18">
        <w:trPr>
          <w:trHeight w:val="167"/>
          <w:jc w:val="center"/>
        </w:trPr>
        <w:tc>
          <w:tcPr>
            <w:tcW w:w="9350" w:type="dxa"/>
            <w:hideMark/>
          </w:tcPr>
          <w:p w14:paraId="1FB37798" w14:textId="77777777" w:rsidR="006F2CA4" w:rsidRPr="00477D8F" w:rsidRDefault="006F2CA4" w:rsidP="00CC1D18">
            <w:pPr>
              <w:pStyle w:val="Source"/>
            </w:pPr>
            <w:r w:rsidRPr="00477D8F">
              <w:rPr>
                <w:rFonts w:eastAsia="Times New Roman"/>
                <w:i/>
              </w:rPr>
              <w:t>Source:</w:t>
            </w:r>
            <w:r w:rsidRPr="00477D8F">
              <w:rPr>
                <w:rFonts w:eastAsia="Times New Roman"/>
              </w:rPr>
              <w:t xml:space="preserve"> </w:t>
            </w:r>
            <w:r w:rsidRPr="00477D8F">
              <w:t>Authors’ estimations based on IHS 2015.</w:t>
            </w:r>
          </w:p>
        </w:tc>
      </w:tr>
    </w:tbl>
    <w:p w14:paraId="6B8D69EC" w14:textId="6F834BB4" w:rsidR="006F2CA4" w:rsidRPr="00477D8F" w:rsidRDefault="006F2CA4" w:rsidP="006F2CA4">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eastAsia="Times New Roman" w:hAnsi="Sylfaen" w:cs="Times New Roman"/>
          <w:b/>
          <w:color w:val="000000"/>
        </w:rPr>
        <w:t>Overall, access to Madrassah schools in The Gambia is heavily biased toward the poor at all levels of education.</w:t>
      </w:r>
      <w:r w:rsidRPr="00477D8F">
        <w:rPr>
          <w:rFonts w:ascii="Sylfaen" w:eastAsia="Times New Roman" w:hAnsi="Sylfaen" w:cs="Times New Roman"/>
          <w:color w:val="000000"/>
        </w:rPr>
        <w:t xml:space="preserve"> For example, 29 percent of children from the poorest quintile have access to Madrassah schools while only 12 percent of children from the wealthiest quintile have access to Madrassah schools given that they could afford private school or other choices (Figure </w:t>
      </w:r>
      <w:r w:rsidR="00386866" w:rsidRPr="00477D8F">
        <w:rPr>
          <w:rFonts w:ascii="Sylfaen" w:eastAsia="Times New Roman" w:hAnsi="Sylfaen" w:cs="Times New Roman"/>
          <w:color w:val="000000"/>
        </w:rPr>
        <w:t>68</w:t>
      </w:r>
      <w:r w:rsidRPr="00477D8F">
        <w:rPr>
          <w:rFonts w:ascii="Sylfaen" w:eastAsia="Times New Roman" w:hAnsi="Sylfaen" w:cs="Times New Roman"/>
          <w:color w:val="000000"/>
        </w:rPr>
        <w:t>).</w:t>
      </w:r>
    </w:p>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56F23BF8" w14:textId="77777777" w:rsidTr="00CC1D18">
        <w:trPr>
          <w:trHeight w:val="10"/>
          <w:jc w:val="center"/>
        </w:trPr>
        <w:tc>
          <w:tcPr>
            <w:tcW w:w="9350" w:type="dxa"/>
            <w:hideMark/>
          </w:tcPr>
          <w:p w14:paraId="2B25747A" w14:textId="1AFC1F32" w:rsidR="006F2CA4" w:rsidRPr="00477D8F" w:rsidRDefault="006F2CA4" w:rsidP="00CC1D18">
            <w:pPr>
              <w:pStyle w:val="Caption1"/>
            </w:pPr>
            <w:bookmarkStart w:id="353" w:name="_Ref482649398"/>
            <w:bookmarkStart w:id="354" w:name="_Toc482618658"/>
            <w:bookmarkStart w:id="355" w:name="_Toc482650014"/>
            <w:bookmarkStart w:id="356" w:name="_Toc496603370"/>
            <w:bookmarkStart w:id="357" w:name="_Toc497171838"/>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68</w:t>
            </w:r>
            <w:r w:rsidR="002E5BDF" w:rsidRPr="00477D8F">
              <w:rPr>
                <w:noProof/>
              </w:rPr>
              <w:fldChar w:fldCharType="end"/>
            </w:r>
            <w:bookmarkEnd w:id="353"/>
            <w:r w:rsidRPr="00477D8F">
              <w:t>: School participation by quintile, private - Madrassah</w:t>
            </w:r>
            <w:bookmarkEnd w:id="354"/>
            <w:bookmarkEnd w:id="355"/>
            <w:bookmarkEnd w:id="356"/>
            <w:bookmarkEnd w:id="357"/>
          </w:p>
        </w:tc>
      </w:tr>
      <w:tr w:rsidR="006F2CA4" w:rsidRPr="00477D8F" w14:paraId="4EF906D3" w14:textId="77777777" w:rsidTr="00CC1D18">
        <w:trPr>
          <w:trHeight w:val="231"/>
          <w:jc w:val="center"/>
        </w:trPr>
        <w:tc>
          <w:tcPr>
            <w:tcW w:w="9350" w:type="dxa"/>
            <w:hideMark/>
          </w:tcPr>
          <w:p w14:paraId="25F37628" w14:textId="77777777" w:rsidR="006F2CA4" w:rsidRPr="00477D8F" w:rsidRDefault="006F2CA4" w:rsidP="00CC1D18">
            <w:pPr>
              <w:jc w:val="both"/>
              <w:rPr>
                <w:rFonts w:ascii="Sylfaen" w:hAnsi="Sylfaen" w:cs="Times New Roman"/>
                <w:bCs/>
              </w:rPr>
            </w:pPr>
            <w:r w:rsidRPr="00477D8F">
              <w:rPr>
                <w:rFonts w:ascii="Sylfaen" w:hAnsi="Sylfaen"/>
                <w:noProof/>
              </w:rPr>
              <w:drawing>
                <wp:inline distT="0" distB="0" distL="0" distR="0" wp14:anchorId="26BD657D" wp14:editId="4AEB41AE">
                  <wp:extent cx="5741581" cy="1722475"/>
                  <wp:effectExtent l="0" t="0" r="12065" b="11430"/>
                  <wp:docPr id="292" name="Chart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0808A6F0" w14:textId="77777777" w:rsidR="006F2CA4" w:rsidRPr="00477D8F" w:rsidRDefault="006F2CA4" w:rsidP="00CC1D18">
            <w:pPr>
              <w:jc w:val="both"/>
              <w:rPr>
                <w:rFonts w:ascii="Sylfaen" w:hAnsi="Sylfaen" w:cs="Times New Roman"/>
                <w:bCs/>
              </w:rPr>
            </w:pPr>
          </w:p>
        </w:tc>
      </w:tr>
      <w:tr w:rsidR="006F2CA4" w:rsidRPr="00477D8F" w14:paraId="69B779AF" w14:textId="77777777" w:rsidTr="00CC1D18">
        <w:trPr>
          <w:trHeight w:val="296"/>
          <w:jc w:val="center"/>
        </w:trPr>
        <w:tc>
          <w:tcPr>
            <w:tcW w:w="9350" w:type="dxa"/>
            <w:hideMark/>
          </w:tcPr>
          <w:p w14:paraId="4287AAFD" w14:textId="77777777" w:rsidR="006F2CA4" w:rsidRPr="00477D8F" w:rsidRDefault="006F2CA4" w:rsidP="00CC1D18">
            <w:pPr>
              <w:pStyle w:val="Source"/>
            </w:pPr>
            <w:r w:rsidRPr="00477D8F">
              <w:rPr>
                <w:rFonts w:eastAsia="Times New Roman"/>
                <w:i/>
              </w:rPr>
              <w:t>Source:</w:t>
            </w:r>
            <w:r w:rsidRPr="00477D8F">
              <w:rPr>
                <w:rFonts w:eastAsia="Times New Roman"/>
              </w:rPr>
              <w:t xml:space="preserve"> </w:t>
            </w:r>
            <w:r w:rsidRPr="00477D8F">
              <w:t>Authors’ estimations based on IHS 2015.</w:t>
            </w:r>
          </w:p>
        </w:tc>
      </w:tr>
    </w:tbl>
    <w:p w14:paraId="3EC41D3E" w14:textId="77777777" w:rsidR="006F2CA4" w:rsidRPr="00477D8F" w:rsidRDefault="006F2CA4" w:rsidP="006F2CA4">
      <w:pPr>
        <w:rPr>
          <w:rFonts w:ascii="Sylfaen" w:hAnsi="Sylfaen" w:cs="Times New Roman"/>
        </w:rPr>
      </w:pPr>
      <w:r w:rsidRPr="00477D8F">
        <w:rPr>
          <w:rFonts w:ascii="Sylfaen" w:hAnsi="Sylfaen" w:cs="Times New Roman"/>
        </w:rPr>
        <w:br w:type="page"/>
      </w:r>
    </w:p>
    <w:p w14:paraId="04A2B83B" w14:textId="77777777" w:rsidR="006F2CA4" w:rsidRPr="00477D8F" w:rsidRDefault="006F2CA4" w:rsidP="006F2CA4">
      <w:pPr>
        <w:pStyle w:val="Heading1"/>
      </w:pPr>
      <w:bookmarkStart w:id="358" w:name="_Toc496603215"/>
      <w:bookmarkStart w:id="359" w:name="_Toc497171884"/>
      <w:r w:rsidRPr="00477D8F">
        <w:lastRenderedPageBreak/>
        <w:t>Human Capital Development</w:t>
      </w:r>
      <w:bookmarkEnd w:id="358"/>
      <w:bookmarkEnd w:id="359"/>
      <w:r w:rsidRPr="00477D8F">
        <w:t xml:space="preserve"> </w:t>
      </w:r>
    </w:p>
    <w:p w14:paraId="718267B4" w14:textId="24B78996" w:rsidR="006F2CA4" w:rsidRPr="00477D8F" w:rsidRDefault="006F2CA4" w:rsidP="006F2CA4">
      <w:pPr>
        <w:jc w:val="both"/>
        <w:rPr>
          <w:rFonts w:ascii="Sylfaen" w:hAnsi="Sylfaen"/>
          <w:i/>
        </w:rPr>
      </w:pPr>
      <w:r w:rsidRPr="00477D8F">
        <w:rPr>
          <w:rFonts w:ascii="Sylfaen" w:hAnsi="Sylfaen"/>
          <w:i/>
        </w:rPr>
        <w:t>The human capital base would greatly improve if the government achieves the target of universal primary education by 2025 (MDG#2). The risk of youth entering the labor market without having completed the primary education cycle would be reduced by 30 percent if this goal is achieved. There are significant additional financial and human resources required to achieve MDG#2</w:t>
      </w:r>
      <w:r w:rsidRPr="00477D8F">
        <w:rPr>
          <w:rFonts w:ascii="Sylfaen" w:hAnsi="Sylfaen" w:cs="Times New Roman"/>
          <w:i/>
        </w:rPr>
        <w:t xml:space="preserve">. To realize the </w:t>
      </w:r>
      <w:r w:rsidRPr="00477D8F">
        <w:rPr>
          <w:rFonts w:ascii="Sylfaen" w:hAnsi="Sylfaen" w:cs="Times New Roman"/>
          <w:i/>
          <w:iCs/>
        </w:rPr>
        <w:t>PCR</w:t>
      </w:r>
      <w:r w:rsidRPr="00477D8F">
        <w:rPr>
          <w:rFonts w:ascii="Sylfaen" w:hAnsi="Sylfaen" w:cs="Times New Roman"/>
          <w:i/>
        </w:rPr>
        <w:t xml:space="preserve"> by 2025, student enrollment as well as the supply of teachers must increase by 67 percent and 70 percent, respectively, thus requiring an increase of 67 percent in the government’s education budget, provided that households maintain their current levels of contribution. Because the economy is largely dependent on the services sector which requires a higher level of skills, The Gambia has to increase its investments in human capital development (education) to foster economic growth and global competitiveness.</w:t>
      </w:r>
      <w:r w:rsidRPr="00477D8F">
        <w:rPr>
          <w:rFonts w:ascii="Sylfaen" w:hAnsi="Sylfaen"/>
          <w:i/>
        </w:rPr>
        <w:t xml:space="preserve"> </w:t>
      </w:r>
    </w:p>
    <w:p w14:paraId="32D14E0A" w14:textId="15E83BD8"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bCs/>
        </w:rPr>
      </w:pPr>
      <w:r w:rsidRPr="00477D8F">
        <w:rPr>
          <w:rFonts w:ascii="Sylfaen" w:hAnsi="Sylfaen"/>
          <w:b/>
          <w:bCs/>
        </w:rPr>
        <w:t>This section presents the projection of enrollment, teachers, costs of schooling, and educational attainment of the working</w:t>
      </w:r>
      <w:r w:rsidR="00272451" w:rsidRPr="00477D8F">
        <w:rPr>
          <w:rFonts w:ascii="Sylfaen" w:hAnsi="Sylfaen"/>
          <w:b/>
          <w:bCs/>
        </w:rPr>
        <w:t>-</w:t>
      </w:r>
      <w:r w:rsidRPr="00477D8F">
        <w:rPr>
          <w:rFonts w:ascii="Sylfaen" w:hAnsi="Sylfaen"/>
          <w:b/>
          <w:bCs/>
        </w:rPr>
        <w:t>age population.</w:t>
      </w:r>
      <w:r w:rsidRPr="00477D8F">
        <w:rPr>
          <w:rFonts w:ascii="Sylfaen" w:hAnsi="Sylfaen"/>
          <w:bCs/>
        </w:rPr>
        <w:t xml:space="preserve"> The analysis aims to provide guidance to the government on the best ways to allocate resources based on the short- and long-term needs. It can also serve to inform the budget planning process and help prioritize and direct the education funds to the relevant levels of education. In particular, the enrollment and financial projections explain the implication of the current financial and education policy environment on the sustainability of the system in the medium and long term, while analysis of the educational attainment of the working-age population helps assess the human capital stock. W</w:t>
      </w:r>
      <w:r w:rsidRPr="00477D8F">
        <w:rPr>
          <w:rFonts w:ascii="Sylfaen" w:hAnsi="Sylfaen" w:cs="Times New Roman"/>
        </w:rPr>
        <w:t>hile proper projections of human capital require both demand- and supply-side information in a macroeconomic framework (foreign direct investment, GDP, and so on), the main focus of this projection exercise is to show how the achievement of MDG#2 will change the labor market conditions in terms of the educational attainment by 2030.</w:t>
      </w:r>
    </w:p>
    <w:p w14:paraId="5C1312E5" w14:textId="6E250C57" w:rsidR="00BE7A1E"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bCs/>
        </w:rPr>
      </w:pPr>
      <w:r w:rsidRPr="00477D8F">
        <w:rPr>
          <w:rFonts w:ascii="Sylfaen" w:hAnsi="Sylfaen"/>
          <w:b/>
          <w:bCs/>
        </w:rPr>
        <w:t>The projections employ two methods—a reconstructive cohort method for the current enrollment and a Population Development Environment (PDE) model for the working-age population (details about both methods are described in Annex A Note 4).</w:t>
      </w:r>
      <w:r w:rsidRPr="00477D8F">
        <w:rPr>
          <w:rFonts w:ascii="Sylfaen" w:hAnsi="Sylfaen"/>
          <w:bCs/>
        </w:rPr>
        <w:t xml:space="preserve"> The key assumptions for the projections are the following: (a) there is a growth in the appropriate age for the particular level of education—ages 6–11 for primary, ages 12–18 for secondary, and ages 19–23 for higher and tertiary education based on the UNDP projections; (b) the current pattern of student flow (intake rate, promotion, repetition, and transition rate, and so on) continues; (c) there is a </w:t>
      </w:r>
      <w:r w:rsidRPr="00477D8F">
        <w:rPr>
          <w:rStyle w:val="None"/>
          <w:rFonts w:ascii="Sylfaen" w:eastAsia="Sylfaen" w:hAnsi="Sylfaen" w:cs="Sylfaen"/>
          <w:iCs/>
        </w:rPr>
        <w:t>PCR</w:t>
      </w:r>
      <w:r w:rsidRPr="00477D8F">
        <w:rPr>
          <w:rFonts w:ascii="Sylfaen" w:hAnsi="Sylfaen"/>
          <w:bCs/>
        </w:rPr>
        <w:t xml:space="preserve"> targeted by the government’s new primary completion target date (2025); (d) there is a drop in the out-of-school incidence at the primary school age from 30 percent to 10 percent by 2030; (e) the current unit costs (p</w:t>
      </w:r>
      <w:r w:rsidRPr="00477D8F">
        <w:rPr>
          <w:rFonts w:ascii="Sylfaen" w:hAnsi="Sylfaen"/>
        </w:rPr>
        <w:t xml:space="preserve">ublic and household unit costs) </w:t>
      </w:r>
      <w:r w:rsidRPr="00477D8F">
        <w:rPr>
          <w:rFonts w:ascii="Sylfaen" w:hAnsi="Sylfaen"/>
          <w:bCs/>
        </w:rPr>
        <w:t xml:space="preserve">remain the same in nominal terms; (f) the share of students directly enrolled in private schools remains unchanged at all levels of education; (g) the STR remains the same for the model but because the STR is a low-cost saving option, the optimal STR is also considered; (h) the age-specific fertility rate </w:t>
      </w:r>
      <w:r w:rsidR="006F00F5" w:rsidRPr="00477D8F">
        <w:rPr>
          <w:rFonts w:ascii="Sylfaen" w:hAnsi="Sylfaen"/>
          <w:bCs/>
        </w:rPr>
        <w:t>(</w:t>
      </w:r>
      <w:r w:rsidR="006F00F5" w:rsidRPr="00477D8F">
        <w:rPr>
          <w:rFonts w:ascii="Sylfaen" w:hAnsi="Sylfaen"/>
        </w:rPr>
        <w:t xml:space="preserve">ASFR) </w:t>
      </w:r>
      <w:r w:rsidRPr="00477D8F">
        <w:rPr>
          <w:rFonts w:ascii="Sylfaen" w:hAnsi="Sylfaen"/>
          <w:bCs/>
        </w:rPr>
        <w:t xml:space="preserve">is estimated from DHS; and (i) the PDE </w:t>
      </w:r>
      <w:r w:rsidRPr="00477D8F">
        <w:rPr>
          <w:rFonts w:ascii="Sylfaen" w:hAnsi="Sylfaen"/>
        </w:rPr>
        <w:t>detailed methodological note and assumptions are presented in the annex.</w:t>
      </w:r>
      <w:r w:rsidR="001E47FB" w:rsidRPr="00477D8F">
        <w:rPr>
          <w:rFonts w:ascii="Sylfaen" w:hAnsi="Sylfaen"/>
        </w:rPr>
        <w:t xml:space="preserve"> </w:t>
      </w:r>
    </w:p>
    <w:p w14:paraId="6E21689E" w14:textId="481F9185" w:rsidR="00B764F0" w:rsidRPr="00477D8F" w:rsidRDefault="00B764F0" w:rsidP="00B764F0">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bookmarkStart w:id="360" w:name="_Toc496603216"/>
      <w:r w:rsidRPr="00477D8F">
        <w:rPr>
          <w:rFonts w:ascii="Sylfaen" w:hAnsi="Sylfaen"/>
          <w:b/>
        </w:rPr>
        <w:t xml:space="preserve">Access indicators and </w:t>
      </w:r>
      <w:r w:rsidR="0048400E" w:rsidRPr="00477D8F">
        <w:rPr>
          <w:rFonts w:ascii="Sylfaen" w:hAnsi="Sylfaen"/>
          <w:b/>
        </w:rPr>
        <w:t xml:space="preserve">associated </w:t>
      </w:r>
      <w:r w:rsidRPr="00477D8F">
        <w:rPr>
          <w:rFonts w:ascii="Sylfaen" w:hAnsi="Sylfaen"/>
          <w:b/>
        </w:rPr>
        <w:t xml:space="preserve">budget implications </w:t>
      </w:r>
      <w:r w:rsidR="0048400E" w:rsidRPr="00477D8F">
        <w:rPr>
          <w:rFonts w:ascii="Sylfaen" w:hAnsi="Sylfaen"/>
          <w:b/>
        </w:rPr>
        <w:t>were</w:t>
      </w:r>
      <w:r w:rsidRPr="00477D8F">
        <w:rPr>
          <w:rFonts w:ascii="Sylfaen" w:hAnsi="Sylfaen"/>
          <w:b/>
        </w:rPr>
        <w:t xml:space="preserve"> estimated under three scenarios</w:t>
      </w:r>
      <w:r w:rsidR="0048400E" w:rsidRPr="00477D8F">
        <w:rPr>
          <w:rFonts w:ascii="Sylfaen" w:hAnsi="Sylfaen"/>
          <w:b/>
        </w:rPr>
        <w:t xml:space="preserve"> give the fiscal space issues to realize optimal target</w:t>
      </w:r>
      <w:r w:rsidRPr="00477D8F">
        <w:rPr>
          <w:rFonts w:ascii="Sylfaen" w:hAnsi="Sylfaen"/>
        </w:rPr>
        <w:t xml:space="preserve">. The high scenario—achieve universal access in basic education—includes achieving universal access in LBS by 2025 and in UBS by 2030, doubling enrollment in early child development (ECD) and SSS from about 40 percent in 2015 to 80 percent in </w:t>
      </w:r>
      <w:r w:rsidRPr="00477D8F">
        <w:rPr>
          <w:rFonts w:ascii="Sylfaen" w:hAnsi="Sylfaen"/>
        </w:rPr>
        <w:lastRenderedPageBreak/>
        <w:t>2030 and increasing enrollment in higher education from 742 in 2015 to 1,030 by 2030 per 100,000 habitants. The medium scenario would mean increasing the access rate by 20–25 percent in general education and increasing enrollment in higher education from 742 in 2015 to 800 by 2030 per 100,000 habitants to keep the sectors improving gradually but not achieving universal basic education. Lastly, the low scenario would mean maintaining the current level of access while coping with the high population growth. The high scenario is a level of access desired by the government but there are large cost implications associated with this scenario and resources are unlikely to be mobilized—it requires the education budget to be increased from US$39 million in 2015 to US$86 million in 2030. Based on the available resources from both internal sources and development partners, this will create a funding gap of 32 percent by 2030, which is equivalent to 1.9 percent of GDP (if this gap is financed by loan, it may increase the national debt by 0.74 percent). Similarly, the medium scenario implies a budget increase from US$39 million to US$69 million with a 14 percent financing gap (equivalent to 0.6 percent of GDP). Given the Government’s aspiration to achieve the high scenario, the result below is based on high scenario</w:t>
      </w:r>
      <w:r w:rsidR="00B31FCC" w:rsidRPr="00477D8F">
        <w:rPr>
          <w:rFonts w:ascii="Sylfaen" w:hAnsi="Sylfaen"/>
        </w:rPr>
        <w:t xml:space="preserve"> and A</w:t>
      </w:r>
      <w:r w:rsidRPr="00477D8F">
        <w:rPr>
          <w:rFonts w:ascii="Sylfaen" w:hAnsi="Sylfaen"/>
        </w:rPr>
        <w:t xml:space="preserve">nnex </w:t>
      </w:r>
      <w:r w:rsidR="00B31FCC" w:rsidRPr="00477D8F">
        <w:rPr>
          <w:rFonts w:ascii="Sylfaen" w:hAnsi="Sylfaen"/>
        </w:rPr>
        <w:t xml:space="preserve">B </w:t>
      </w:r>
      <w:r w:rsidRPr="00477D8F">
        <w:rPr>
          <w:rFonts w:ascii="Sylfaen" w:hAnsi="Sylfaen"/>
        </w:rPr>
        <w:t>(</w:t>
      </w:r>
      <w:r w:rsidR="00B31FCC" w:rsidRPr="00477D8F">
        <w:rPr>
          <w:rFonts w:ascii="Sylfaen" w:hAnsi="Sylfaen"/>
        </w:rPr>
        <w:t>Table B2 – Table B7)</w:t>
      </w:r>
      <w:r w:rsidR="0048400E" w:rsidRPr="00477D8F">
        <w:rPr>
          <w:rFonts w:ascii="Sylfaen" w:hAnsi="Sylfaen"/>
        </w:rPr>
        <w:t xml:space="preserve"> present</w:t>
      </w:r>
      <w:r w:rsidRPr="00477D8F">
        <w:rPr>
          <w:rFonts w:ascii="Sylfaen" w:hAnsi="Sylfaen"/>
        </w:rPr>
        <w:t xml:space="preserve"> full comparison of the three scenarios</w:t>
      </w:r>
      <w:r w:rsidR="00B31FCC" w:rsidRPr="00477D8F">
        <w:rPr>
          <w:rFonts w:ascii="Sylfaen" w:hAnsi="Sylfaen"/>
        </w:rPr>
        <w:t>.</w:t>
      </w:r>
      <w:r w:rsidR="0048400E" w:rsidRPr="00477D8F">
        <w:rPr>
          <w:rFonts w:ascii="Sylfaen" w:hAnsi="Sylfaen"/>
        </w:rPr>
        <w:t xml:space="preserve"> However, without hard choice on staff management, the high scenario is highly unlikely to be achieved.</w:t>
      </w:r>
    </w:p>
    <w:p w14:paraId="3023FEDF" w14:textId="77777777" w:rsidR="006F2CA4" w:rsidRPr="00477D8F" w:rsidRDefault="006F2CA4" w:rsidP="006F2CA4">
      <w:pPr>
        <w:pStyle w:val="Heading2"/>
      </w:pPr>
      <w:bookmarkStart w:id="361" w:name="_Toc497171885"/>
      <w:r w:rsidRPr="00477D8F">
        <w:t>Projection of enrollment by level of education</w:t>
      </w:r>
      <w:bookmarkEnd w:id="360"/>
      <w:bookmarkEnd w:id="361"/>
    </w:p>
    <w:p w14:paraId="6FF57951" w14:textId="52EC760A" w:rsidR="006F2CA4" w:rsidRPr="00477D8F" w:rsidRDefault="006F2CA4" w:rsidP="006F2CA4">
      <w:pPr>
        <w:pStyle w:val="ListParagraph"/>
        <w:numPr>
          <w:ilvl w:val="0"/>
          <w:numId w:val="24"/>
        </w:numPr>
        <w:autoSpaceDE w:val="0"/>
        <w:autoSpaceDN w:val="0"/>
        <w:adjustRightInd w:val="0"/>
        <w:spacing w:before="240" w:after="240" w:line="240" w:lineRule="auto"/>
        <w:ind w:left="0" w:firstLine="0"/>
        <w:contextualSpacing w:val="0"/>
        <w:jc w:val="both"/>
        <w:rPr>
          <w:rFonts w:ascii="Sylfaen" w:eastAsiaTheme="majorEastAsia" w:hAnsi="Sylfaen" w:cstheme="majorBidi"/>
          <w:bCs/>
        </w:rPr>
      </w:pPr>
      <w:r w:rsidRPr="00477D8F">
        <w:rPr>
          <w:rFonts w:ascii="Sylfaen" w:hAnsi="Sylfaen"/>
          <w:b/>
        </w:rPr>
        <w:t>The path to achieving the primary completion target by 2025 gradually improves access and</w:t>
      </w:r>
      <w:r w:rsidRPr="00477D8F">
        <w:rPr>
          <w:rFonts w:ascii="Sylfaen" w:hAnsi="Sylfaen" w:cstheme="majorBidi"/>
          <w:b/>
        </w:rPr>
        <w:t xml:space="preserve"> completion at all levels of education.</w:t>
      </w:r>
      <w:r w:rsidRPr="00477D8F">
        <w:rPr>
          <w:rFonts w:ascii="Sylfaen" w:hAnsi="Sylfaen" w:cstheme="majorBidi"/>
        </w:rPr>
        <w:t xml:space="preserve"> Key observations from the enrollment projections include the following: (a) ECD enrollment is projected to increase from 37 percent in 2015 to 81 percent in 2030 under the current pattern; however, additional resources and policies might be needed to fully achieve universal access; (b) the PCR, which is 74 percent, is unlikely to be achieved by 2025 despite the government’s target; and (c) the access to post-basic education remains low even under the PCR completion target by 2025. </w:t>
      </w:r>
      <w:r w:rsidRPr="00477D8F">
        <w:rPr>
          <w:rFonts w:ascii="Sylfaen" w:hAnsi="Sylfaen"/>
        </w:rPr>
        <w:t xml:space="preserve">This indicates that substantial effort is needed to ensure the school survival rate of students throughout the cycle. </w:t>
      </w:r>
      <w:r w:rsidRPr="00477D8F">
        <w:rPr>
          <w:rFonts w:ascii="Sylfaen" w:hAnsi="Sylfaen" w:cstheme="majorBidi"/>
        </w:rPr>
        <w:t>Overall, on average, The Gambia needs to increase primary education enrollment by 7 percent annually between 2015 and 2025 to meet the PCR completion target. The next section breaks down the increase in terms of the actual number of enrollment, teachers, and the budget allocated by level of education.</w:t>
      </w:r>
      <w:r w:rsidRPr="00477D8F">
        <w:rPr>
          <w:rFonts w:ascii="Sylfaen" w:eastAsiaTheme="majorEastAsia" w:hAnsi="Sylfaen" w:cstheme="majorBidi"/>
          <w:bCs/>
        </w:rPr>
        <w:t xml:space="preserve"> </w:t>
      </w:r>
    </w:p>
    <w:tbl>
      <w:tblPr>
        <w:tblW w:w="0" w:type="auto"/>
        <w:jc w:val="center"/>
        <w:tblLook w:val="04A0" w:firstRow="1" w:lastRow="0" w:firstColumn="1" w:lastColumn="0" w:noHBand="0" w:noVBand="1"/>
      </w:tblPr>
      <w:tblGrid>
        <w:gridCol w:w="9360"/>
      </w:tblGrid>
      <w:tr w:rsidR="006F2CA4" w:rsidRPr="00477D8F" w14:paraId="136AB9A0" w14:textId="77777777" w:rsidTr="00CC1D18">
        <w:trPr>
          <w:jc w:val="center"/>
        </w:trPr>
        <w:tc>
          <w:tcPr>
            <w:tcW w:w="9360" w:type="dxa"/>
          </w:tcPr>
          <w:p w14:paraId="373BFD21" w14:textId="13A62FBB" w:rsidR="006F2CA4" w:rsidRPr="00477D8F" w:rsidRDefault="006F2CA4" w:rsidP="00CC1D18">
            <w:pPr>
              <w:pStyle w:val="Caption1"/>
            </w:pPr>
            <w:bookmarkStart w:id="362" w:name="_Ref472203463"/>
            <w:bookmarkStart w:id="363" w:name="_Toc480445359"/>
            <w:bookmarkStart w:id="364" w:name="_Toc496603371"/>
            <w:bookmarkStart w:id="365" w:name="_Toc497171839"/>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69</w:t>
            </w:r>
            <w:r w:rsidR="002E5BDF" w:rsidRPr="00477D8F">
              <w:rPr>
                <w:noProof/>
              </w:rPr>
              <w:fldChar w:fldCharType="end"/>
            </w:r>
            <w:bookmarkEnd w:id="362"/>
            <w:r w:rsidRPr="00477D8F">
              <w:t xml:space="preserve">: Projection of primary </w:t>
            </w:r>
            <w:r w:rsidRPr="00477D8F">
              <w:rPr>
                <w:iCs/>
              </w:rPr>
              <w:t>GERs</w:t>
            </w:r>
            <w:r w:rsidRPr="00477D8F">
              <w:t xml:space="preserve"> by level of education and primary and lower secondary completion rates, 2015–2030</w:t>
            </w:r>
            <w:bookmarkEnd w:id="363"/>
            <w:bookmarkEnd w:id="364"/>
            <w:bookmarkEnd w:id="365"/>
          </w:p>
        </w:tc>
      </w:tr>
      <w:tr w:rsidR="006F2CA4" w:rsidRPr="00477D8F" w14:paraId="7BE38453" w14:textId="77777777" w:rsidTr="00B2642B">
        <w:trPr>
          <w:jc w:val="center"/>
        </w:trPr>
        <w:tc>
          <w:tcPr>
            <w:tcW w:w="9360" w:type="dxa"/>
          </w:tcPr>
          <w:p w14:paraId="005FF26A" w14:textId="2B909568" w:rsidR="006F2CA4" w:rsidRPr="00477D8F" w:rsidRDefault="00B2642B" w:rsidP="00CC1D18">
            <w:pPr>
              <w:rPr>
                <w:rFonts w:ascii="Sylfaen" w:hAnsi="Sylfaen" w:cstheme="majorBidi"/>
              </w:rPr>
            </w:pPr>
            <w:r w:rsidRPr="00477D8F">
              <w:rPr>
                <w:noProof/>
              </w:rPr>
              <w:drawing>
                <wp:inline distT="0" distB="0" distL="0" distR="0" wp14:anchorId="64C07C3D" wp14:editId="0964E43A">
                  <wp:extent cx="5943600" cy="2416175"/>
                  <wp:effectExtent l="0" t="0" r="0" b="3175"/>
                  <wp:docPr id="16" name="Chart 16">
                    <a:extLst xmlns:a="http://schemas.openxmlformats.org/drawingml/2006/main">
                      <a:ext uri="{FF2B5EF4-FFF2-40B4-BE49-F238E27FC236}">
                        <a16:creationId xmlns:a16="http://schemas.microsoft.com/office/drawing/2014/main" id="{00000000-0008-0000-1D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tc>
      </w:tr>
      <w:tr w:rsidR="006F2CA4" w:rsidRPr="00477D8F" w14:paraId="75E921C6" w14:textId="77777777" w:rsidTr="00CC1D18">
        <w:trPr>
          <w:jc w:val="center"/>
        </w:trPr>
        <w:tc>
          <w:tcPr>
            <w:tcW w:w="9360" w:type="dxa"/>
          </w:tcPr>
          <w:p w14:paraId="625870B8" w14:textId="3E93F9AA" w:rsidR="006F2CA4" w:rsidRPr="00477D8F" w:rsidRDefault="006F2CA4" w:rsidP="00CC1D18">
            <w:pPr>
              <w:pStyle w:val="Source"/>
              <w:rPr>
                <w:rFonts w:cstheme="majorBidi"/>
              </w:rPr>
            </w:pPr>
            <w:r w:rsidRPr="00477D8F">
              <w:rPr>
                <w:rFonts w:cstheme="majorBidi"/>
                <w:i/>
              </w:rPr>
              <w:t>Source:</w:t>
            </w:r>
            <w:r w:rsidRPr="00477D8F">
              <w:rPr>
                <w:rFonts w:cstheme="majorBidi"/>
              </w:rPr>
              <w:t xml:space="preserve"> </w:t>
            </w:r>
            <w:r w:rsidRPr="00477D8F">
              <w:t xml:space="preserve">Authors’ estimations based on IHS 2015, EMIS, </w:t>
            </w:r>
            <w:r w:rsidR="00B04D7A" w:rsidRPr="00477D8F">
              <w:t>UN Population Division (</w:t>
            </w:r>
            <w:r w:rsidRPr="00477D8F">
              <w:t>UNPD</w:t>
            </w:r>
            <w:r w:rsidR="00B04D7A" w:rsidRPr="00477D8F">
              <w:t>)</w:t>
            </w:r>
            <w:r w:rsidRPr="00477D8F">
              <w:t>, and UIS.</w:t>
            </w:r>
          </w:p>
        </w:tc>
      </w:tr>
    </w:tbl>
    <w:p w14:paraId="0BC1AE75" w14:textId="77777777" w:rsidR="006F2CA4" w:rsidRPr="00477D8F" w:rsidRDefault="006F2CA4" w:rsidP="006F2CA4">
      <w:pPr>
        <w:pStyle w:val="Heading2"/>
      </w:pPr>
      <w:bookmarkStart w:id="366" w:name="_Toc496603217"/>
      <w:bookmarkStart w:id="367" w:name="_Toc497171886"/>
      <w:r w:rsidRPr="00477D8F">
        <w:t>Projections of the number of students, teachers and financing</w:t>
      </w:r>
      <w:bookmarkEnd w:id="366"/>
      <w:bookmarkEnd w:id="367"/>
    </w:p>
    <w:p w14:paraId="204E65FE" w14:textId="258DB61F"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 xml:space="preserve">Demographics in The Gambia are a key issue in achieving education for all. </w:t>
      </w:r>
      <w:r w:rsidRPr="00477D8F">
        <w:rPr>
          <w:rFonts w:ascii="Sylfaen" w:hAnsi="Sylfaen"/>
        </w:rPr>
        <w:t xml:space="preserve">The primary school-age population represents 17 percent of the total population (one of the highest among the SSA countries) and is expected to grow faster than other countries in SSA. Out of the 330,749 million primary school-age children (ages 7–12) in 2015, 308,729 million were enrolled in primary schools. The projection suggests that the number of children enrolled is expected grow to 568,715 by 2030—with an annual growth rate of 5 percent. At the ECD and </w:t>
      </w:r>
      <w:r w:rsidR="00BE7A1E" w:rsidRPr="00477D8F">
        <w:rPr>
          <w:rFonts w:ascii="Sylfaen" w:hAnsi="Sylfaen"/>
        </w:rPr>
        <w:t>post primary</w:t>
      </w:r>
      <w:r w:rsidRPr="00477D8F">
        <w:rPr>
          <w:rFonts w:ascii="Sylfaen" w:hAnsi="Sylfaen"/>
        </w:rPr>
        <w:t xml:space="preserve"> levels, the enrollment is projected to increase by more than 100 percent (Figure </w:t>
      </w:r>
      <w:r w:rsidR="00E00339" w:rsidRPr="00477D8F">
        <w:rPr>
          <w:rFonts w:ascii="Sylfaen" w:hAnsi="Sylfaen"/>
        </w:rPr>
        <w:t>70</w:t>
      </w:r>
      <w:r w:rsidRPr="00477D8F">
        <w:rPr>
          <w:rFonts w:ascii="Sylfaen" w:hAnsi="Sylfaen"/>
        </w:rPr>
        <w:t xml:space="preserve">). While the population growth rate has contributed to the high demand for public services, the system is also characterized by high enrollment of overage children, which has led to the large share of students at the primary level. </w:t>
      </w:r>
    </w:p>
    <w:p w14:paraId="7AAB908B" w14:textId="25F1C941"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Based on the projected enrollment of students, 226,822 additional teachers will be needed at all levels of education (ECD to senior secondary) between 2015 and 2030.</w:t>
      </w:r>
      <w:r w:rsidRPr="00477D8F">
        <w:rPr>
          <w:rFonts w:ascii="Sylfaen" w:hAnsi="Sylfaen"/>
        </w:rPr>
        <w:t xml:space="preserve"> However, there is room for efficiency improvement by increasing the currently low STR. At the primary level, with a current STR of 33:1, 7,878 additional teachers are needed, which would represent an 84 percent increase in the number of teachers between 2015 and 2030. However, if the STR increases to the recommended STR level for primary (40:1), 4,862 additional teachers would be needed by 2030, which is only a 52 percent increase in the number of teachers between 2015 and 2030. Similarly, at the ECD and </w:t>
      </w:r>
      <w:r w:rsidR="00BE7A1E" w:rsidRPr="00477D8F">
        <w:rPr>
          <w:rFonts w:ascii="Sylfaen" w:hAnsi="Sylfaen"/>
        </w:rPr>
        <w:t>post primary</w:t>
      </w:r>
      <w:r w:rsidRPr="00477D8F">
        <w:rPr>
          <w:rFonts w:ascii="Sylfaen" w:hAnsi="Sylfaen"/>
        </w:rPr>
        <w:t xml:space="preserve"> levels, a near threefold increase of teachers would be required because the access rate is currently low. The additional number of teachers needed was estimated based on the current average STR of 28:1 at ECD, 33:1 at primary, 28:1 at lower secondary, and 27:1 at the </w:t>
      </w:r>
      <w:r w:rsidR="00E00339" w:rsidRPr="00477D8F">
        <w:rPr>
          <w:rFonts w:ascii="Sylfaen" w:hAnsi="Sylfaen"/>
        </w:rPr>
        <w:t xml:space="preserve">senior </w:t>
      </w:r>
      <w:r w:rsidRPr="00477D8F">
        <w:rPr>
          <w:rFonts w:ascii="Sylfaen" w:hAnsi="Sylfaen"/>
        </w:rPr>
        <w:t xml:space="preserve">secondary level. (Figure </w:t>
      </w:r>
      <w:r w:rsidR="00E00339" w:rsidRPr="00477D8F">
        <w:rPr>
          <w:rFonts w:ascii="Sylfaen" w:hAnsi="Sylfaen"/>
        </w:rPr>
        <w:t>70</w:t>
      </w:r>
      <w:r w:rsidRPr="00477D8F">
        <w:rPr>
          <w:rFonts w:ascii="Sylfaen" w:hAnsi="Sylfaen"/>
        </w:rPr>
        <w:t xml:space="preserve">). </w:t>
      </w:r>
    </w:p>
    <w:p w14:paraId="22D52B72" w14:textId="0DF37718" w:rsidR="006F2CA4" w:rsidRPr="00477D8F" w:rsidRDefault="006F2CA4" w:rsidP="00E57697">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rPr>
      </w:pPr>
      <w:r w:rsidRPr="00477D8F">
        <w:rPr>
          <w:rFonts w:ascii="Sylfaen" w:hAnsi="Sylfaen"/>
          <w:b/>
        </w:rPr>
        <w:t>The growth in student enrollment has serious financial implications on the public resources and the household contributions.</w:t>
      </w:r>
      <w:r w:rsidRPr="00477D8F">
        <w:rPr>
          <w:rFonts w:ascii="Sylfaen" w:hAnsi="Sylfaen"/>
        </w:rPr>
        <w:t xml:space="preserve"> On one hand, the projection of the public spending reveals that an additional 125 percent of the current public resources is needed by 2030 to achieve the PCR target by </w:t>
      </w:r>
      <w:r w:rsidRPr="00477D8F">
        <w:rPr>
          <w:rFonts w:ascii="Sylfaen" w:hAnsi="Sylfaen"/>
        </w:rPr>
        <w:lastRenderedPageBreak/>
        <w:t xml:space="preserve">2025 and maintain the momentum at all levels of education. This requires commitment of public resources to increase from US$31 million to US$70 million by 2030. On the other hand, the contribution from households are also expected to increase from US$50 million to US$117 million. The additional resource needed at the ECD and </w:t>
      </w:r>
      <w:r w:rsidR="00BE7A1E" w:rsidRPr="00477D8F">
        <w:rPr>
          <w:rFonts w:ascii="Sylfaen" w:hAnsi="Sylfaen"/>
        </w:rPr>
        <w:t>post primary</w:t>
      </w:r>
      <w:r w:rsidRPr="00477D8F">
        <w:rPr>
          <w:rFonts w:ascii="Sylfaen" w:hAnsi="Sylfaen"/>
        </w:rPr>
        <w:t xml:space="preserve"> level is very high both in terms of the public and household spending. Due to the limited fiscal space, increasing the budget to the required level might not be feasible; thus, carefully exploring avenues toward greater resource utilization efficiency, including the optimal deployment of teachers, is critical. </w:t>
      </w:r>
    </w:p>
    <w:tbl>
      <w:tblPr>
        <w:tblW w:w="9281" w:type="dxa"/>
        <w:jc w:val="center"/>
        <w:tblCellMar>
          <w:left w:w="115" w:type="dxa"/>
          <w:right w:w="115" w:type="dxa"/>
        </w:tblCellMar>
        <w:tblLook w:val="04A0" w:firstRow="1" w:lastRow="0" w:firstColumn="1" w:lastColumn="0" w:noHBand="0" w:noVBand="1"/>
      </w:tblPr>
      <w:tblGrid>
        <w:gridCol w:w="9281"/>
      </w:tblGrid>
      <w:tr w:rsidR="006F2CA4" w:rsidRPr="00477D8F" w14:paraId="30979E73" w14:textId="77777777" w:rsidTr="00CC1D18">
        <w:trPr>
          <w:cantSplit/>
          <w:trHeight w:val="17"/>
          <w:jc w:val="center"/>
        </w:trPr>
        <w:tc>
          <w:tcPr>
            <w:tcW w:w="9281" w:type="dxa"/>
            <w:hideMark/>
          </w:tcPr>
          <w:p w14:paraId="66F06D22" w14:textId="36C3C823" w:rsidR="006F2CA4" w:rsidRPr="00477D8F" w:rsidRDefault="006F2CA4" w:rsidP="00CC1D18">
            <w:pPr>
              <w:pStyle w:val="Caption1"/>
            </w:pPr>
            <w:bookmarkStart w:id="368" w:name="_Ref468895874"/>
            <w:bookmarkStart w:id="369" w:name="_Toc464555484"/>
            <w:bookmarkStart w:id="370" w:name="_Toc480445360"/>
            <w:bookmarkStart w:id="371" w:name="_Toc496603372"/>
            <w:bookmarkStart w:id="372" w:name="_Toc497171840"/>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70</w:t>
            </w:r>
            <w:r w:rsidR="002E5BDF" w:rsidRPr="00477D8F">
              <w:rPr>
                <w:noProof/>
              </w:rPr>
              <w:fldChar w:fldCharType="end"/>
            </w:r>
            <w:bookmarkEnd w:id="368"/>
            <w:r w:rsidRPr="00477D8F">
              <w:t xml:space="preserve">: </w:t>
            </w:r>
            <w:bookmarkEnd w:id="369"/>
            <w:r w:rsidRPr="00477D8F">
              <w:t xml:space="preserve">Projection of enrollment, teachers, and public and </w:t>
            </w:r>
            <w:r w:rsidRPr="00477D8F">
              <w:rPr>
                <w:bCs/>
              </w:rPr>
              <w:t>household</w:t>
            </w:r>
            <w:r w:rsidRPr="00477D8F">
              <w:t xml:space="preserve"> spending on education by level of education, 2015–2030 (in </w:t>
            </w:r>
            <w:r w:rsidR="00260177" w:rsidRPr="00477D8F">
              <w:t>thousands</w:t>
            </w:r>
            <w:r w:rsidRPr="00477D8F">
              <w:t xml:space="preserve"> for spending)</w:t>
            </w:r>
            <w:bookmarkEnd w:id="370"/>
            <w:bookmarkEnd w:id="371"/>
            <w:bookmarkEnd w:id="372"/>
          </w:p>
        </w:tc>
      </w:tr>
      <w:tr w:rsidR="006F2CA4" w:rsidRPr="00477D8F" w14:paraId="61D3513F" w14:textId="77777777" w:rsidTr="00CC1D18">
        <w:tblPrEx>
          <w:tblCellMar>
            <w:left w:w="108" w:type="dxa"/>
            <w:right w:w="108" w:type="dxa"/>
          </w:tblCellMar>
        </w:tblPrEx>
        <w:trPr>
          <w:cantSplit/>
          <w:trHeight w:val="395"/>
          <w:jc w:val="center"/>
        </w:trPr>
        <w:tc>
          <w:tcPr>
            <w:tcW w:w="9281" w:type="dxa"/>
            <w:hideMark/>
          </w:tcPr>
          <w:p w14:paraId="43A6673C" w14:textId="77777777" w:rsidR="006F2CA4" w:rsidRPr="00477D8F" w:rsidRDefault="006F2CA4" w:rsidP="00CC1D18">
            <w:pPr>
              <w:jc w:val="both"/>
              <w:rPr>
                <w:rFonts w:ascii="Sylfaen" w:hAnsi="Sylfaen"/>
              </w:rPr>
            </w:pPr>
            <w:r w:rsidRPr="00477D8F">
              <w:rPr>
                <w:rFonts w:ascii="Sylfaen" w:hAnsi="Sylfaen"/>
                <w:noProof/>
              </w:rPr>
              <w:drawing>
                <wp:inline distT="0" distB="0" distL="0" distR="0" wp14:anchorId="39387E7B" wp14:editId="47591770">
                  <wp:extent cx="2926080" cy="2245766"/>
                  <wp:effectExtent l="0" t="0" r="7620" b="2540"/>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r w:rsidRPr="00477D8F">
              <w:rPr>
                <w:rFonts w:ascii="Sylfaen" w:hAnsi="Sylfaen"/>
                <w:noProof/>
              </w:rPr>
              <w:drawing>
                <wp:inline distT="0" distB="0" distL="0" distR="0" wp14:anchorId="3FE50CF6" wp14:editId="512F1B13">
                  <wp:extent cx="2798445" cy="2253081"/>
                  <wp:effectExtent l="0" t="0" r="1905" b="13970"/>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r w:rsidRPr="00477D8F">
              <w:rPr>
                <w:rFonts w:ascii="Sylfaen" w:hAnsi="Sylfaen"/>
                <w:noProof/>
              </w:rPr>
              <w:drawing>
                <wp:inline distT="0" distB="0" distL="0" distR="0" wp14:anchorId="172E7C59" wp14:editId="6D653101">
                  <wp:extent cx="2941982" cy="2230755"/>
                  <wp:effectExtent l="0" t="0" r="10795" b="17145"/>
                  <wp:docPr id="105" name="Chart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r w:rsidRPr="00477D8F">
              <w:rPr>
                <w:rFonts w:ascii="Sylfaen" w:hAnsi="Sylfaen"/>
                <w:noProof/>
              </w:rPr>
              <w:drawing>
                <wp:inline distT="0" distB="0" distL="0" distR="0" wp14:anchorId="5E15E8ED" wp14:editId="0995A5CA">
                  <wp:extent cx="2767053" cy="2241550"/>
                  <wp:effectExtent l="0" t="0" r="14605" b="6350"/>
                  <wp:docPr id="106"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c>
      </w:tr>
      <w:tr w:rsidR="006F2CA4" w:rsidRPr="00477D8F" w14:paraId="0325DE8A" w14:textId="77777777" w:rsidTr="00CC1D18">
        <w:trPr>
          <w:cantSplit/>
          <w:trHeight w:val="17"/>
          <w:jc w:val="center"/>
        </w:trPr>
        <w:tc>
          <w:tcPr>
            <w:tcW w:w="9281" w:type="dxa"/>
            <w:hideMark/>
          </w:tcPr>
          <w:p w14:paraId="02E0BFAC" w14:textId="6FB4624A" w:rsidR="006F2CA4" w:rsidRPr="00477D8F" w:rsidRDefault="006F2CA4" w:rsidP="00CC1D18">
            <w:pPr>
              <w:pStyle w:val="Source"/>
            </w:pPr>
            <w:r w:rsidRPr="00477D8F">
              <w:rPr>
                <w:rFonts w:eastAsia="Times New Roman"/>
                <w:i/>
              </w:rPr>
              <w:t>Source:</w:t>
            </w:r>
            <w:r w:rsidRPr="00477D8F">
              <w:rPr>
                <w:rFonts w:eastAsia="Times New Roman"/>
              </w:rPr>
              <w:t xml:space="preserve"> </w:t>
            </w:r>
            <w:r w:rsidRPr="00477D8F">
              <w:t xml:space="preserve">Authors’ estimations based on IHS 2015, MoFEA </w:t>
            </w:r>
            <w:r w:rsidR="00E00339" w:rsidRPr="00477D8F">
              <w:t>b</w:t>
            </w:r>
            <w:r w:rsidRPr="00477D8F">
              <w:t>udget data, EMIS, Payroll data, and the UIS.</w:t>
            </w:r>
          </w:p>
        </w:tc>
      </w:tr>
    </w:tbl>
    <w:p w14:paraId="5ED6F853" w14:textId="77777777" w:rsidR="006F2CA4" w:rsidRPr="00477D8F" w:rsidRDefault="006F2CA4" w:rsidP="006F2CA4">
      <w:pPr>
        <w:pStyle w:val="Heading2"/>
      </w:pPr>
      <w:bookmarkStart w:id="373" w:name="_Toc496603218"/>
      <w:bookmarkStart w:id="374" w:name="_Toc497171887"/>
      <w:r w:rsidRPr="00477D8F">
        <w:t>Implication of primary completion on the labor market input</w:t>
      </w:r>
      <w:bookmarkEnd w:id="373"/>
      <w:bookmarkEnd w:id="374"/>
    </w:p>
    <w:p w14:paraId="78016EB9" w14:textId="5BDD23C4" w:rsidR="006F2CA4" w:rsidRPr="00477D8F" w:rsidRDefault="006F2CA4" w:rsidP="00E57697">
      <w:pPr>
        <w:pStyle w:val="ListParagraph"/>
        <w:numPr>
          <w:ilvl w:val="0"/>
          <w:numId w:val="24"/>
        </w:numPr>
        <w:autoSpaceDE w:val="0"/>
        <w:autoSpaceDN w:val="0"/>
        <w:adjustRightInd w:val="0"/>
        <w:spacing w:before="240" w:after="240" w:line="240" w:lineRule="auto"/>
        <w:ind w:left="0" w:firstLine="0"/>
        <w:contextualSpacing w:val="0"/>
        <w:jc w:val="both"/>
      </w:pPr>
      <w:r w:rsidRPr="00477D8F">
        <w:rPr>
          <w:rFonts w:ascii="Sylfaen" w:hAnsi="Sylfaen" w:cs="Times New Roman"/>
          <w:b/>
        </w:rPr>
        <w:t>The human capital projection shows that achieving universal primary education (MDG#2) by 2025 will reduce the risk of youth entering the labor market without having completed the primary cycle by 30 percent.</w:t>
      </w:r>
      <w:r w:rsidRPr="00477D8F">
        <w:rPr>
          <w:rFonts w:ascii="Sylfaen" w:hAnsi="Sylfaen" w:cs="Times New Roman"/>
        </w:rPr>
        <w:t xml:space="preserve"> To illustrate the effect of primary completion by 2025 on the educational attainment of labor force, the size of the labor force by education level is simulated using two scenarios: (a) the trend of dropout and retention remains the same until 2030 and (b) the MDG on universal primary education </w:t>
      </w:r>
      <w:r w:rsidRPr="00477D8F">
        <w:rPr>
          <w:rFonts w:ascii="Sylfaen" w:hAnsi="Sylfaen" w:cs="Times New Roman"/>
        </w:rPr>
        <w:lastRenderedPageBreak/>
        <w:t>is achieved by 2025. The first scenario assumes that no major investment or reform takes place to change the trend of the current retention rates at all levels of the education cycle. The second scenario is more ambitious and assumes that the MDG is met by 2025 with major investments and reforms in education, as outlined in the current education sector strategy. The simulations show that if the current trend persists, by 2030, about 30 percent of youth, ages 15–24, will enter the labor market without completing primary education (</w:t>
      </w:r>
      <w:r w:rsidRPr="00477D8F">
        <w:rPr>
          <w:rFonts w:ascii="Sylfaen" w:hAnsi="Sylfaen" w:cs="Times New Roman"/>
        </w:rPr>
        <w:fldChar w:fldCharType="begin"/>
      </w:r>
      <w:r w:rsidRPr="00477D8F">
        <w:rPr>
          <w:rFonts w:ascii="Sylfaen" w:hAnsi="Sylfaen" w:cs="Times New Roman"/>
        </w:rPr>
        <w:instrText xml:space="preserve"> REF _Ref484706803 \h  \* MERGEFORMAT </w:instrText>
      </w:r>
      <w:r w:rsidRPr="00477D8F">
        <w:rPr>
          <w:rFonts w:ascii="Sylfaen" w:hAnsi="Sylfaen" w:cs="Times New Roman"/>
        </w:rPr>
      </w:r>
      <w:r w:rsidRPr="00477D8F">
        <w:rPr>
          <w:rFonts w:ascii="Sylfaen" w:hAnsi="Sylfaen" w:cs="Times New Roman"/>
        </w:rPr>
        <w:fldChar w:fldCharType="separate"/>
      </w:r>
      <w:r w:rsidRPr="00477D8F">
        <w:rPr>
          <w:rFonts w:ascii="Sylfaen" w:eastAsia="Times New Roman" w:hAnsi="Sylfaen" w:cs="Times New Roman"/>
          <w:bCs/>
        </w:rPr>
        <w:t xml:space="preserve">Figure </w:t>
      </w:r>
      <w:r w:rsidRPr="00477D8F">
        <w:rPr>
          <w:rFonts w:ascii="Sylfaen" w:eastAsia="Times New Roman" w:hAnsi="Sylfaen" w:cs="Times New Roman"/>
          <w:bCs/>
          <w:noProof/>
        </w:rPr>
        <w:t>71</w:t>
      </w:r>
      <w:r w:rsidRPr="00477D8F">
        <w:rPr>
          <w:rFonts w:ascii="Sylfaen" w:hAnsi="Sylfaen" w:cs="Times New Roman"/>
        </w:rPr>
        <w:fldChar w:fldCharType="end"/>
      </w:r>
      <w:r w:rsidRPr="00477D8F">
        <w:rPr>
          <w:rFonts w:ascii="Sylfaen" w:hAnsi="Sylfaen" w:cs="Times New Roman"/>
        </w:rPr>
        <w:t xml:space="preserve">), whereas </w:t>
      </w:r>
      <w:r w:rsidR="00E00339" w:rsidRPr="00477D8F">
        <w:rPr>
          <w:rFonts w:ascii="Sylfaen" w:hAnsi="Sylfaen" w:cs="Times New Roman"/>
        </w:rPr>
        <w:t xml:space="preserve">the second </w:t>
      </w:r>
      <w:r w:rsidRPr="00477D8F">
        <w:rPr>
          <w:rFonts w:ascii="Sylfaen" w:hAnsi="Sylfaen" w:cs="Times New Roman"/>
        </w:rPr>
        <w:t>scenario (MDG scenario) would mean completion of primary education for all.</w:t>
      </w:r>
      <w:r w:rsidRPr="00477D8F">
        <w:rPr>
          <w:rFonts w:ascii="Sylfaen" w:hAnsi="Sylfaen" w:cs="Times New Roman"/>
          <w:lang w:eastAsia="ko-KR"/>
        </w:rPr>
        <w:t xml:space="preserve"> T</w:t>
      </w:r>
      <w:r w:rsidRPr="00477D8F">
        <w:rPr>
          <w:rFonts w:ascii="Sylfaen" w:hAnsi="Sylfaen" w:cs="Times New Roman"/>
        </w:rPr>
        <w:t xml:space="preserve">his illustrates the required evolution of the labor supply by 2030. Critical alignment of supply-side human capital policy and demand-side labor would be required to ensure sustainability of the system. </w:t>
      </w:r>
    </w:p>
    <w:tbl>
      <w:tblPr>
        <w:tblStyle w:val="TableGrid2"/>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5AA26445" w14:textId="77777777" w:rsidTr="00E57697">
        <w:trPr>
          <w:trHeight w:val="20"/>
          <w:jc w:val="center"/>
        </w:trPr>
        <w:tc>
          <w:tcPr>
            <w:tcW w:w="9350" w:type="dxa"/>
            <w:hideMark/>
          </w:tcPr>
          <w:p w14:paraId="6A019AF4" w14:textId="20B47C02" w:rsidR="006F2CA4" w:rsidRPr="00477D8F" w:rsidRDefault="006F2CA4" w:rsidP="00E57697">
            <w:pPr>
              <w:pStyle w:val="Caption1"/>
              <w:rPr>
                <w:lang w:eastAsia="ko-KR"/>
              </w:rPr>
            </w:pPr>
            <w:bookmarkStart w:id="375" w:name="_Ref484706803"/>
            <w:bookmarkStart w:id="376" w:name="_Toc496603373"/>
            <w:bookmarkStart w:id="377" w:name="_Toc497171841"/>
            <w:r w:rsidRPr="00477D8F">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71</w:t>
            </w:r>
            <w:r w:rsidR="002E5BDF" w:rsidRPr="00477D8F">
              <w:rPr>
                <w:noProof/>
              </w:rPr>
              <w:fldChar w:fldCharType="end"/>
            </w:r>
            <w:bookmarkEnd w:id="375"/>
            <w:r w:rsidRPr="00477D8F">
              <w:t>: Projection of educational attainment of youth under constant trend (left) and MDG scenario (right)</w:t>
            </w:r>
            <w:bookmarkEnd w:id="376"/>
            <w:bookmarkEnd w:id="377"/>
          </w:p>
        </w:tc>
      </w:tr>
      <w:tr w:rsidR="006F2CA4" w:rsidRPr="00477D8F" w14:paraId="47FAB717" w14:textId="77777777" w:rsidTr="00E57697">
        <w:trPr>
          <w:trHeight w:val="142"/>
          <w:jc w:val="center"/>
        </w:trPr>
        <w:tc>
          <w:tcPr>
            <w:tcW w:w="9350" w:type="dxa"/>
            <w:hideMark/>
          </w:tcPr>
          <w:p w14:paraId="22ED9EE8" w14:textId="77777777" w:rsidR="006F2CA4" w:rsidRPr="00477D8F" w:rsidRDefault="006F2CA4" w:rsidP="00E57697">
            <w:pPr>
              <w:ind w:hanging="113"/>
              <w:jc w:val="both"/>
              <w:rPr>
                <w:rFonts w:ascii="Sylfaen" w:hAnsi="Sylfaen" w:cs="Times New Roman"/>
              </w:rPr>
            </w:pPr>
            <w:r w:rsidRPr="00477D8F">
              <w:rPr>
                <w:rFonts w:ascii="Sylfaen" w:hAnsi="Sylfaen"/>
                <w:noProof/>
              </w:rPr>
              <w:drawing>
                <wp:inline distT="0" distB="0" distL="0" distR="0" wp14:anchorId="4D05FA1E" wp14:editId="79593287">
                  <wp:extent cx="2941955" cy="2901591"/>
                  <wp:effectExtent l="0" t="0" r="10795" b="13335"/>
                  <wp:docPr id="108"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r w:rsidRPr="00477D8F">
              <w:rPr>
                <w:rFonts w:ascii="Sylfaen" w:hAnsi="Sylfaen"/>
                <w:noProof/>
              </w:rPr>
              <w:drawing>
                <wp:inline distT="0" distB="0" distL="0" distR="0" wp14:anchorId="6DF458E1" wp14:editId="5202A90C">
                  <wp:extent cx="2870200" cy="2814761"/>
                  <wp:effectExtent l="0" t="0" r="6350" b="5080"/>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10F5FD15" w14:textId="77777777" w:rsidR="006F2CA4" w:rsidRPr="00477D8F" w:rsidRDefault="006F2CA4" w:rsidP="00E57697">
            <w:pPr>
              <w:ind w:hanging="113"/>
              <w:jc w:val="both"/>
              <w:rPr>
                <w:rFonts w:ascii="Sylfaen" w:hAnsi="Sylfaen" w:cs="Times New Roman"/>
              </w:rPr>
            </w:pPr>
          </w:p>
        </w:tc>
      </w:tr>
      <w:tr w:rsidR="006F2CA4" w:rsidRPr="00477D8F" w14:paraId="01BB1526" w14:textId="77777777" w:rsidTr="00E57697">
        <w:trPr>
          <w:trHeight w:val="20"/>
          <w:jc w:val="center"/>
        </w:trPr>
        <w:tc>
          <w:tcPr>
            <w:tcW w:w="9350" w:type="dxa"/>
            <w:hideMark/>
          </w:tcPr>
          <w:p w14:paraId="784ECA7D" w14:textId="77777777" w:rsidR="006F2CA4" w:rsidRPr="00477D8F" w:rsidRDefault="006F2CA4" w:rsidP="00E57697">
            <w:pPr>
              <w:pStyle w:val="Source"/>
            </w:pPr>
            <w:r w:rsidRPr="00477D8F">
              <w:rPr>
                <w:rFonts w:eastAsia="Times New Roman"/>
                <w:i/>
              </w:rPr>
              <w:t>Source:</w:t>
            </w:r>
            <w:r w:rsidRPr="00477D8F">
              <w:rPr>
                <w:rFonts w:eastAsia="Times New Roman"/>
              </w:rPr>
              <w:t xml:space="preserve"> </w:t>
            </w:r>
            <w:r w:rsidRPr="00477D8F">
              <w:t>Authors’ estimations based on IHS 2015, EMIS, UIS, UNDP, and UNPD.</w:t>
            </w:r>
          </w:p>
        </w:tc>
      </w:tr>
    </w:tbl>
    <w:p w14:paraId="0127107A" w14:textId="0D1AF04B" w:rsidR="006F2CA4" w:rsidRPr="00477D8F" w:rsidRDefault="006F2CA4" w:rsidP="001A041F">
      <w:pPr>
        <w:pStyle w:val="ListParagraph"/>
        <w:numPr>
          <w:ilvl w:val="0"/>
          <w:numId w:val="24"/>
        </w:numPr>
        <w:autoSpaceDE w:val="0"/>
        <w:autoSpaceDN w:val="0"/>
        <w:adjustRightInd w:val="0"/>
        <w:spacing w:before="240" w:after="240" w:line="240" w:lineRule="auto"/>
        <w:ind w:left="0" w:firstLine="0"/>
        <w:contextualSpacing w:val="0"/>
        <w:jc w:val="both"/>
        <w:rPr>
          <w:rFonts w:ascii="Sylfaen" w:hAnsi="Sylfaen" w:cstheme="majorBidi"/>
        </w:rPr>
      </w:pPr>
      <w:r w:rsidRPr="00477D8F">
        <w:rPr>
          <w:rFonts w:ascii="Sylfaen" w:hAnsi="Sylfaen" w:cstheme="majorBidi"/>
          <w:b/>
        </w:rPr>
        <w:t>If the MDG target was achieved by 2025 and sustained over time, the educational profile of the working-age population would significantly change by 2045 (</w:t>
      </w:r>
      <w:r w:rsidRPr="00477D8F">
        <w:rPr>
          <w:rFonts w:ascii="Sylfaen" w:hAnsi="Sylfaen" w:cstheme="majorBidi"/>
          <w:b/>
        </w:rPr>
        <w:fldChar w:fldCharType="begin"/>
      </w:r>
      <w:r w:rsidRPr="00477D8F">
        <w:rPr>
          <w:rFonts w:ascii="Sylfaen" w:hAnsi="Sylfaen" w:cstheme="majorBidi"/>
          <w:b/>
        </w:rPr>
        <w:instrText xml:space="preserve"> REF _Ref484706692 \h  \* MERGEFORMAT </w:instrText>
      </w:r>
      <w:r w:rsidRPr="00477D8F">
        <w:rPr>
          <w:rFonts w:ascii="Sylfaen" w:hAnsi="Sylfaen" w:cstheme="majorBidi"/>
          <w:b/>
        </w:rPr>
      </w:r>
      <w:r w:rsidRPr="00477D8F">
        <w:rPr>
          <w:rFonts w:ascii="Sylfaen" w:hAnsi="Sylfaen" w:cstheme="majorBidi"/>
          <w:b/>
        </w:rPr>
        <w:fldChar w:fldCharType="separate"/>
      </w:r>
      <w:r w:rsidRPr="00477D8F">
        <w:rPr>
          <w:rFonts w:ascii="Sylfaen" w:eastAsia="Times New Roman" w:hAnsi="Sylfaen" w:cs="Times New Roman"/>
          <w:b/>
          <w:bCs/>
        </w:rPr>
        <w:t xml:space="preserve">Figure </w:t>
      </w:r>
      <w:r w:rsidRPr="00477D8F">
        <w:rPr>
          <w:rFonts w:ascii="Sylfaen" w:eastAsia="Times New Roman" w:hAnsi="Sylfaen" w:cs="Times New Roman"/>
          <w:b/>
          <w:bCs/>
          <w:noProof/>
        </w:rPr>
        <w:t>72</w:t>
      </w:r>
      <w:r w:rsidRPr="00477D8F">
        <w:rPr>
          <w:rFonts w:ascii="Sylfaen" w:hAnsi="Sylfaen" w:cstheme="majorBidi"/>
          <w:b/>
        </w:rPr>
        <w:fldChar w:fldCharType="end"/>
      </w:r>
      <w:r w:rsidRPr="00477D8F">
        <w:rPr>
          <w:rFonts w:ascii="Sylfaen" w:hAnsi="Sylfaen" w:cstheme="majorBidi"/>
          <w:b/>
        </w:rPr>
        <w:t>).</w:t>
      </w:r>
      <w:r w:rsidRPr="00477D8F">
        <w:rPr>
          <w:rFonts w:ascii="Sylfaen" w:hAnsi="Sylfaen" w:cstheme="majorBidi"/>
        </w:rPr>
        <w:t xml:space="preserve"> However, The Gambia needs to invest more in post-basic education to stimulate economic growth and global competitiveness because higher levels of education are associated with higher economic returns. Specifically, The Gambia should increase investment in post-basic education to improve the educational attainment of the workforce and the skills required in the labor market because the economy largely relies on the services sector which necessitates a higher level of skills set. </w:t>
      </w:r>
    </w:p>
    <w:tbl>
      <w:tblPr>
        <w:tblStyle w:val="TableGrid2"/>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F2CA4" w:rsidRPr="00477D8F" w14:paraId="3A3BFB88" w14:textId="77777777" w:rsidTr="001A041F">
        <w:trPr>
          <w:trHeight w:val="20"/>
          <w:jc w:val="center"/>
        </w:trPr>
        <w:tc>
          <w:tcPr>
            <w:tcW w:w="9350" w:type="dxa"/>
            <w:hideMark/>
          </w:tcPr>
          <w:p w14:paraId="52AFB83E" w14:textId="3E1627C7" w:rsidR="006F2CA4" w:rsidRPr="00477D8F" w:rsidRDefault="006F2CA4" w:rsidP="001A041F">
            <w:pPr>
              <w:pStyle w:val="Caption1"/>
              <w:rPr>
                <w:lang w:eastAsia="ko-KR"/>
              </w:rPr>
            </w:pPr>
            <w:bookmarkStart w:id="378" w:name="_Ref484706692"/>
            <w:bookmarkStart w:id="379" w:name="_Toc496603374"/>
            <w:bookmarkStart w:id="380" w:name="_Toc497171842"/>
            <w:r w:rsidRPr="00477D8F">
              <w:lastRenderedPageBreak/>
              <w:t xml:space="preserve">Figure </w:t>
            </w:r>
            <w:r w:rsidR="002E5BDF" w:rsidRPr="00477D8F">
              <w:fldChar w:fldCharType="begin"/>
            </w:r>
            <w:r w:rsidR="002E5BDF" w:rsidRPr="00477D8F">
              <w:instrText xml:space="preserve"> SEQ Figure \* ARABIC </w:instrText>
            </w:r>
            <w:r w:rsidR="002E5BDF" w:rsidRPr="00477D8F">
              <w:fldChar w:fldCharType="separate"/>
            </w:r>
            <w:r w:rsidRPr="00477D8F">
              <w:rPr>
                <w:noProof/>
              </w:rPr>
              <w:t>72</w:t>
            </w:r>
            <w:r w:rsidR="002E5BDF" w:rsidRPr="00477D8F">
              <w:rPr>
                <w:noProof/>
              </w:rPr>
              <w:fldChar w:fldCharType="end"/>
            </w:r>
            <w:bookmarkEnd w:id="378"/>
            <w:r w:rsidRPr="00477D8F">
              <w:t>: Projection of educational attainment of working-age population (ages 15–64) in 2015 and by 2045 under MDG scenario</w:t>
            </w:r>
            <w:bookmarkEnd w:id="379"/>
            <w:bookmarkEnd w:id="380"/>
          </w:p>
        </w:tc>
      </w:tr>
      <w:tr w:rsidR="006F2CA4" w:rsidRPr="00477D8F" w14:paraId="2CFE114A" w14:textId="77777777" w:rsidTr="001A041F">
        <w:trPr>
          <w:trHeight w:val="411"/>
          <w:jc w:val="center"/>
        </w:trPr>
        <w:tc>
          <w:tcPr>
            <w:tcW w:w="9350" w:type="dxa"/>
            <w:hideMark/>
          </w:tcPr>
          <w:p w14:paraId="2A2D7569" w14:textId="77777777" w:rsidR="006F2CA4" w:rsidRPr="00477D8F" w:rsidRDefault="006F2CA4" w:rsidP="001A041F">
            <w:pPr>
              <w:jc w:val="both"/>
              <w:rPr>
                <w:rFonts w:ascii="Sylfaen" w:hAnsi="Sylfaen" w:cs="Times New Roman"/>
              </w:rPr>
            </w:pPr>
            <w:r w:rsidRPr="00477D8F">
              <w:rPr>
                <w:rFonts w:ascii="Sylfaen" w:hAnsi="Sylfaen" w:cs="Times New Roman"/>
                <w:noProof/>
              </w:rPr>
              <w:drawing>
                <wp:inline distT="0" distB="0" distL="0" distR="0" wp14:anchorId="4B1C0E32" wp14:editId="0E597008">
                  <wp:extent cx="2933700" cy="26136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33700" cy="2613660"/>
                          </a:xfrm>
                          <a:prstGeom prst="rect">
                            <a:avLst/>
                          </a:prstGeom>
                          <a:noFill/>
                        </pic:spPr>
                      </pic:pic>
                    </a:graphicData>
                  </a:graphic>
                </wp:inline>
              </w:drawing>
            </w:r>
            <w:r w:rsidRPr="00477D8F">
              <w:rPr>
                <w:rFonts w:ascii="Sylfaen" w:hAnsi="Sylfaen" w:cs="Times New Roman"/>
                <w:noProof/>
              </w:rPr>
              <w:drawing>
                <wp:inline distT="0" distB="0" distL="0" distR="0" wp14:anchorId="182B8A8C" wp14:editId="596ED3B5">
                  <wp:extent cx="2838450" cy="2593444"/>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63478" cy="2616312"/>
                          </a:xfrm>
                          <a:prstGeom prst="rect">
                            <a:avLst/>
                          </a:prstGeom>
                          <a:noFill/>
                        </pic:spPr>
                      </pic:pic>
                    </a:graphicData>
                  </a:graphic>
                </wp:inline>
              </w:drawing>
            </w:r>
          </w:p>
        </w:tc>
      </w:tr>
      <w:tr w:rsidR="006F2CA4" w:rsidRPr="00477D8F" w14:paraId="1569350C" w14:textId="77777777" w:rsidTr="001A041F">
        <w:trPr>
          <w:trHeight w:val="20"/>
          <w:jc w:val="center"/>
        </w:trPr>
        <w:tc>
          <w:tcPr>
            <w:tcW w:w="9350" w:type="dxa"/>
            <w:hideMark/>
          </w:tcPr>
          <w:p w14:paraId="29EA1D0D" w14:textId="77777777" w:rsidR="006F2CA4" w:rsidRPr="00477D8F" w:rsidRDefault="006F2CA4" w:rsidP="001A041F">
            <w:pPr>
              <w:pStyle w:val="Source"/>
            </w:pPr>
            <w:r w:rsidRPr="00477D8F">
              <w:rPr>
                <w:rFonts w:eastAsia="Times New Roman"/>
                <w:i/>
              </w:rPr>
              <w:t>Source:</w:t>
            </w:r>
            <w:r w:rsidRPr="00477D8F">
              <w:rPr>
                <w:rFonts w:eastAsia="Times New Roman"/>
              </w:rPr>
              <w:t xml:space="preserve"> </w:t>
            </w:r>
            <w:r w:rsidRPr="00477D8F">
              <w:t>Authors’ estimations based on IHS 2015, EMIS, UIS, UNDP, and UNPD.</w:t>
            </w:r>
          </w:p>
        </w:tc>
      </w:tr>
    </w:tbl>
    <w:p w14:paraId="0024BF1E" w14:textId="77777777" w:rsidR="006F2CA4" w:rsidRPr="00477D8F" w:rsidRDefault="006F2CA4" w:rsidP="006F2CA4">
      <w:pPr>
        <w:rPr>
          <w:rFonts w:ascii="Sylfaen" w:eastAsiaTheme="majorEastAsia" w:hAnsi="Sylfaen" w:cstheme="majorBidi"/>
          <w:bCs/>
          <w:color w:val="2E74B5" w:themeColor="accent1" w:themeShade="BF"/>
          <w:sz w:val="28"/>
          <w:szCs w:val="28"/>
        </w:rPr>
      </w:pPr>
      <w:r w:rsidRPr="00477D8F">
        <w:rPr>
          <w:rFonts w:ascii="Sylfaen" w:hAnsi="Sylfaen"/>
          <w:b/>
        </w:rPr>
        <w:br w:type="page"/>
      </w:r>
    </w:p>
    <w:p w14:paraId="1CC48664" w14:textId="77777777" w:rsidR="006F2CA4" w:rsidRPr="00477D8F" w:rsidRDefault="006F2CA4" w:rsidP="006F2CA4">
      <w:pPr>
        <w:pStyle w:val="Heading1"/>
      </w:pPr>
      <w:bookmarkStart w:id="381" w:name="_Toc496603219"/>
      <w:bookmarkStart w:id="382" w:name="_Toc497171888"/>
      <w:r w:rsidRPr="00477D8F">
        <w:lastRenderedPageBreak/>
        <w:t>Conclusions and Policy Recommendations</w:t>
      </w:r>
      <w:bookmarkEnd w:id="381"/>
      <w:bookmarkEnd w:id="382"/>
    </w:p>
    <w:p w14:paraId="3A646F6A" w14:textId="77777777" w:rsidR="006F2CA4" w:rsidRPr="00477D8F" w:rsidRDefault="006F2CA4" w:rsidP="006F2CA4">
      <w:pPr>
        <w:pStyle w:val="Heading2"/>
        <w:rPr>
          <w:b/>
        </w:rPr>
      </w:pPr>
      <w:bookmarkStart w:id="383" w:name="_Toc496603220"/>
      <w:bookmarkStart w:id="384" w:name="_Toc497171889"/>
      <w:r w:rsidRPr="00477D8F">
        <w:t>Conclusions</w:t>
      </w:r>
      <w:bookmarkEnd w:id="383"/>
      <w:bookmarkEnd w:id="384"/>
    </w:p>
    <w:p w14:paraId="3A130981" w14:textId="77777777" w:rsidR="006F2CA4" w:rsidRPr="00477D8F" w:rsidRDefault="006F2CA4" w:rsidP="006F2CA4">
      <w:pPr>
        <w:pStyle w:val="Heading3"/>
      </w:pPr>
      <w:r w:rsidRPr="00477D8F">
        <w:t>Sector performance</w:t>
      </w:r>
    </w:p>
    <w:p w14:paraId="07606518" w14:textId="7E716CF5"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LBS (grades 1–6).</w:t>
      </w:r>
      <w:r w:rsidRPr="00477D8F">
        <w:rPr>
          <w:rFonts w:ascii="Sylfaen" w:hAnsi="Sylfaen" w:cs="Times New Roman"/>
        </w:rPr>
        <w:t xml:space="preserve"> Access rates to primary education stagnated between 2010 and 2015, with the GER marginally decreasing from 90 percent to 87 percent, although the actual number of enrollments increased from 228,495 to 308,729 (a 35 percent increase) during the same time. Access tends to be lower in rural areas (79 percent) and among the poorest households (73 percent). It is also lower than the SSA average which stands at 102 percent. The Gambia’s progress in achieving the MDG objectives by 2015 is mixed. While the country was not able to achieve MDG#2 of reaching universal primary access by 2015, with a PCR of just 74 percent, it was able to achieve MDG#3 and reached gender parity in access at the primary level. In terms of internal efficiency, the primary level of education is also characterized by low repetition rates except at grade 1 where the average repetition rate is about 10 percent (13 percent in government schools). In addition, the rate of primary-age out- of-school children (of ages 7–12) has increased over time from 27 percent to 30 percent. This represents about 100,000 children, 95 percent of whom have never been to school. The remaining 5 percent have dropped out of the system. </w:t>
      </w:r>
    </w:p>
    <w:p w14:paraId="18130B49" w14:textId="0F9149CE"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UBS (grades 7–9) and SSS (grades 10–12).</w:t>
      </w:r>
      <w:r w:rsidRPr="00477D8F">
        <w:rPr>
          <w:rFonts w:ascii="Sylfaen" w:hAnsi="Sylfaen" w:cs="Times New Roman"/>
        </w:rPr>
        <w:t xml:space="preserve"> Access rates in secondary education are low, with GERs of 62 percent and 44 percent in UBS and SSS, respectively—both lower than the SSA average of 71 percent and 47 percent, respectively. As in LBS education, access rates at the secondary level (combined) have also stagnated between 2010 and 2015, with the GER going from 53 percent to 54 percent although actual enrollment increased—from 77,408 to 90,838 (17 percent) at UBS and from 37,790 to 56,001 (48 percent) in SSS. However, importantly, gender parity has been achieved at this level of education, just as in the case of primary. On the other hand, completion rates remain low, with 48 percent of students completing at the lower secondary level and 38 percent completing at the upper secondary level. Similar to primary education, the repetition rates are not an important source of inefficiency in the sector because they are also quite low at both lower and upper secondary levels, ranging between 2 percent and 5 percent across the six grades. However, the out-of-school rates for lower secondary age children (13–15 years) is high at 30 percent, with 80 percent of them having never attended. The out-of-school rate among upper secondary age children (16–18 years) is even higher at 43 percent, which represents a slight decrease over time. The decrease is mostly due to the reduction in the dropout incidence among this age group and hides an increase between 2010 and 2015 in the incidence of those having never attended. </w:t>
      </w:r>
    </w:p>
    <w:p w14:paraId="2DA4A086" w14:textId="67C644BF"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cs="Times New Roman"/>
          <w:b/>
        </w:rPr>
        <w:t>Postsecondary education.</w:t>
      </w:r>
      <w:r w:rsidRPr="00477D8F">
        <w:rPr>
          <w:rFonts w:ascii="Sylfaen" w:hAnsi="Sylfaen" w:cs="Times New Roman"/>
        </w:rPr>
        <w:t xml:space="preserve"> Access to higher education remains limited in The Gambia and is lower than the SSA average of 10 percent. Although there was a slight increase of 1.5 percent between 2010 and 2015, it currently stands at 6.5 percent. This level of education, unsurprisingly, registers the largest disparities across equity dimensions. For example, the access rate in urban areas stands at 9 percent versus only 3 percent in rural areas, with the largest disparity being between the richest households (13 percent) and the poorest (3 percent).</w:t>
      </w:r>
    </w:p>
    <w:p w14:paraId="1FAF0694" w14:textId="3982CA28"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lastRenderedPageBreak/>
        <w:t xml:space="preserve">Learning outcomes seemed to be increasing although appropriate instruments are missing to evaluate progress over time. </w:t>
      </w:r>
      <w:r w:rsidRPr="00477D8F">
        <w:rPr>
          <w:rFonts w:ascii="Sylfaen" w:hAnsi="Sylfaen"/>
        </w:rPr>
        <w:t xml:space="preserve">A standardized learning assessment system is key to ensuring a consistent and reliable evaluation of learning outcomes. Household survey-based information shows that learning outcome has been improving, but the existing instruments such as the NAT, GABECE, and WASSCE are not adequate to assess learning outcomes over time, although they can compare learning outcomes between regions and districts. Overall, although pieces of available information indicate that the learning level of Gambian children is increasing, The Gambia is missing reliable and consistent learning outcome assessment tools for both national comparison and international comparison. </w:t>
      </w:r>
    </w:p>
    <w:p w14:paraId="189C23B3" w14:textId="6992228A"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b/>
        </w:rPr>
        <w:t>The combined effects of the high out-of-school incidence and the increasing share of the dropout rate have affected the educational attainment of the labor force, lowering the human capital base for the country.</w:t>
      </w:r>
      <w:r w:rsidRPr="00477D8F">
        <w:rPr>
          <w:rFonts w:ascii="Sylfaen" w:hAnsi="Sylfaen"/>
        </w:rPr>
        <w:t xml:space="preserve"> On average, the working-age population has not completed primary education and more than half of the population has no formal education. This poses a threat to the country’s economic growth and global competitiveness.</w:t>
      </w:r>
    </w:p>
    <w:p w14:paraId="39124BE4" w14:textId="26440950" w:rsidR="006F2CA4" w:rsidRPr="00477D8F" w:rsidRDefault="006F2CA4" w:rsidP="006F2CA4">
      <w:pPr>
        <w:pStyle w:val="Heading3"/>
      </w:pPr>
      <w:r w:rsidRPr="00477D8F">
        <w:t xml:space="preserve">Sector financing </w:t>
      </w:r>
    </w:p>
    <w:p w14:paraId="0DF636B5" w14:textId="3331ACA1"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b/>
        </w:rPr>
        <w:t>The PEFA assessment indicates weaknesses within The Gambia’s overall financial management and accountability environment</w:t>
      </w:r>
      <w:r w:rsidRPr="00477D8F">
        <w:rPr>
          <w:rFonts w:ascii="Sylfaen" w:hAnsi="Sylfaen" w:cs="Times New Roman"/>
          <w:b/>
        </w:rPr>
        <w:t>.</w:t>
      </w:r>
      <w:r w:rsidRPr="00477D8F">
        <w:rPr>
          <w:rFonts w:ascii="Sylfaen" w:hAnsi="Sylfaen" w:cs="Times New Roman"/>
        </w:rPr>
        <w:t xml:space="preserve"> In spite of these general weaknesses, the education sector PFM is expected to rate better on key PEFA indicators than the national average due to its strong management. However, there is limited information to carry out a thorough evaluation of the system. Nonetheless, there are some key financial management and accountability aspects such as accounting, recording, and reporting that require further strengthening within the sector. The education budget planning is a layered process involving discussions and negotiations with the PMO on the allocation of staff positions. The PMO accounts for the largest share of the education budget and is dependent on the allocation by the MoFEA. In addition, the education sector financial management is semi-fragmented, with some schools, known as grant-aided schools, and select Madrassah schools receiving direct subventions. The transfers are managed entirely by the school board and the Secretariat of the Arab-Islamic Education in The Gambia (AMANA) for Madrassah schools, with limited accountability channels in place to record and report on the use of these public funds. Given that most of these funds are most likely used for paying teachers, the lack of a clear accountability mechanism makes tracking of teacher salaries difficult at the ministry level. </w:t>
      </w:r>
    </w:p>
    <w:p w14:paraId="399D7F2B" w14:textId="531D152B"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cs="Times New Roman"/>
        </w:rPr>
      </w:pPr>
      <w:r w:rsidRPr="00477D8F">
        <w:rPr>
          <w:rFonts w:ascii="Sylfaen" w:hAnsi="Sylfaen"/>
          <w:b/>
        </w:rPr>
        <w:t>The education sector is funded in large part by private households which contributed about 5</w:t>
      </w:r>
      <w:r w:rsidR="000F1CC7" w:rsidRPr="00477D8F">
        <w:rPr>
          <w:rFonts w:ascii="Sylfaen" w:hAnsi="Sylfaen"/>
          <w:b/>
        </w:rPr>
        <w:t>8</w:t>
      </w:r>
      <w:r w:rsidRPr="00477D8F">
        <w:rPr>
          <w:rFonts w:ascii="Sylfaen" w:hAnsi="Sylfaen"/>
          <w:b/>
        </w:rPr>
        <w:t xml:space="preserve"> percent of total spending in education in 2015, followed by the public sector which accounted for </w:t>
      </w:r>
      <w:r w:rsidR="000F1CC7" w:rsidRPr="00477D8F">
        <w:rPr>
          <w:rFonts w:ascii="Sylfaen" w:hAnsi="Sylfaen"/>
          <w:b/>
        </w:rPr>
        <w:t>34</w:t>
      </w:r>
      <w:r w:rsidRPr="00477D8F">
        <w:rPr>
          <w:rFonts w:ascii="Sylfaen" w:hAnsi="Sylfaen"/>
          <w:b/>
        </w:rPr>
        <w:t xml:space="preserve"> percent</w:t>
      </w:r>
      <w:r w:rsidRPr="00477D8F">
        <w:rPr>
          <w:rFonts w:ascii="Sylfaen" w:hAnsi="Sylfaen" w:cs="Times New Roman"/>
          <w:b/>
        </w:rPr>
        <w:t>.</w:t>
      </w:r>
      <w:r w:rsidRPr="00477D8F">
        <w:rPr>
          <w:rFonts w:ascii="Sylfaen" w:hAnsi="Sylfaen" w:cs="Times New Roman"/>
        </w:rPr>
        <w:t xml:space="preserve"> The sector also relies heavily on donor contributions which were equivalent to more than 20 percent of non-household spending in 2015. </w:t>
      </w:r>
      <w:r w:rsidR="00823943" w:rsidRPr="00477D8F">
        <w:rPr>
          <w:rFonts w:ascii="Sylfaen" w:hAnsi="Sylfaen" w:cs="Times New Roman"/>
        </w:rPr>
        <w:t xml:space="preserve">The breakdown by level of education reveals that the public sector contributes close to 39.6 percent of total spending at the basic education level, while households contribute 47.4 percent. At the SSS level, households account for 53 percent of total spending, while the public contributes 37.4 percent. Lastly, donors contributed the most within the basic education level: 13 percent of total spending at that level compared. </w:t>
      </w:r>
      <w:r w:rsidR="000F1CC7" w:rsidRPr="00477D8F">
        <w:rPr>
          <w:rFonts w:ascii="Sylfaen" w:hAnsi="Sylfaen" w:cs="Times New Roman"/>
        </w:rPr>
        <w:t>Although budget shows</w:t>
      </w:r>
      <w:r w:rsidR="00823943" w:rsidRPr="00477D8F">
        <w:rPr>
          <w:rFonts w:ascii="Sylfaen" w:hAnsi="Sylfaen" w:cs="Times New Roman"/>
        </w:rPr>
        <w:t xml:space="preserve"> high share of commitment at the higher education level is mostly linked to the capital spending tied to the expansion of the University of The Gambia, execution rate is very low</w:t>
      </w:r>
      <w:r w:rsidRPr="00477D8F">
        <w:rPr>
          <w:rFonts w:ascii="Sylfaen" w:hAnsi="Sylfaen" w:cs="Times New Roman"/>
        </w:rPr>
        <w:t xml:space="preserve">. </w:t>
      </w:r>
    </w:p>
    <w:p w14:paraId="6A245E0C" w14:textId="18324DC0"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lastRenderedPageBreak/>
        <w:t>Public spending is increasing over time both in real and nominal terms, reflecting the government’s commitment to funding the education sector</w:t>
      </w:r>
      <w:r w:rsidRPr="00477D8F">
        <w:rPr>
          <w:rFonts w:ascii="Sylfaen" w:hAnsi="Sylfaen"/>
        </w:rPr>
        <w:t>. As shown in</w:t>
      </w:r>
      <w:r w:rsidR="00AD6395" w:rsidRPr="00477D8F">
        <w:rPr>
          <w:rFonts w:ascii="Sylfaen" w:hAnsi="Sylfaen"/>
        </w:rPr>
        <w:t xml:space="preserve"> </w:t>
      </w:r>
      <w:r w:rsidR="0054542B" w:rsidRPr="00477D8F">
        <w:rPr>
          <w:rFonts w:ascii="Sylfaen" w:hAnsi="Sylfaen"/>
        </w:rPr>
        <w:fldChar w:fldCharType="begin"/>
      </w:r>
      <w:r w:rsidR="0054542B" w:rsidRPr="00477D8F">
        <w:rPr>
          <w:rFonts w:ascii="Sylfaen" w:hAnsi="Sylfaen"/>
        </w:rPr>
        <w:instrText xml:space="preserve"> REF _Ref496883372 \h  \* MERGEFORMAT </w:instrText>
      </w:r>
      <w:r w:rsidR="0054542B" w:rsidRPr="00477D8F">
        <w:rPr>
          <w:rFonts w:ascii="Sylfaen" w:hAnsi="Sylfaen"/>
        </w:rPr>
      </w:r>
      <w:r w:rsidR="0054542B" w:rsidRPr="00477D8F">
        <w:rPr>
          <w:rFonts w:ascii="Sylfaen" w:hAnsi="Sylfaen"/>
        </w:rPr>
        <w:fldChar w:fldCharType="separate"/>
      </w:r>
      <w:r w:rsidR="0054542B" w:rsidRPr="00477D8F">
        <w:rPr>
          <w:rFonts w:ascii="Sylfaen" w:hAnsi="Sylfaen"/>
        </w:rPr>
        <w:t>Figure E.</w:t>
      </w:r>
      <w:r w:rsidR="0054542B" w:rsidRPr="00477D8F">
        <w:rPr>
          <w:rFonts w:ascii="Sylfaen" w:hAnsi="Sylfaen"/>
          <w:noProof/>
        </w:rPr>
        <w:t>2</w:t>
      </w:r>
      <w:r w:rsidR="0054542B" w:rsidRPr="00477D8F">
        <w:rPr>
          <w:rFonts w:ascii="Sylfaen" w:hAnsi="Sylfaen"/>
        </w:rPr>
        <w:fldChar w:fldCharType="end"/>
      </w:r>
      <w:r w:rsidRPr="00477D8F">
        <w:rPr>
          <w:rFonts w:ascii="Sylfaen" w:hAnsi="Sylfaen"/>
        </w:rPr>
        <w:t>, total education spending as a share of GDP has steadily increased from 2.6 percent in 2010 to 3.2 percent in 2015, although this allocation remains below the best practice benchmark of allocating 4–6 percent of GDP. The share allocated to the MoBSE has increased from 2.3 percent to 2.8 percent of GDP while the MoHERST’s share has remained around 0.3 percent throughout the 2010–2015 period. It should also be noted that the government uses cash method budgeting,</w:t>
      </w:r>
      <w:r w:rsidRPr="00477D8F">
        <w:rPr>
          <w:rStyle w:val="FootnoteReference"/>
          <w:rFonts w:ascii="Sylfaen" w:hAnsi="Sylfaen"/>
        </w:rPr>
        <w:footnoteReference w:id="25"/>
      </w:r>
      <w:r w:rsidRPr="00477D8F">
        <w:rPr>
          <w:rFonts w:ascii="Sylfaen" w:hAnsi="Sylfaen"/>
        </w:rPr>
        <w:t xml:space="preserve"> leading to high execution rates across the board, with execution rates of 97 percent for the MoBSE and 89 percent for the MoHERST.</w:t>
      </w:r>
    </w:p>
    <w:p w14:paraId="1038F2DD" w14:textId="711B8533"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bCs/>
        </w:rPr>
      </w:pPr>
      <w:r w:rsidRPr="00477D8F">
        <w:rPr>
          <w:rFonts w:ascii="Sylfaen" w:hAnsi="Sylfaen"/>
          <w:b/>
        </w:rPr>
        <w:t>Total public spending in The Gambia is biased toward basic education; however, the disproportionately low spending in postsecondary education might be a prohibitive factor affecting students from poor households.</w:t>
      </w:r>
      <w:r w:rsidRPr="00477D8F">
        <w:rPr>
          <w:rFonts w:ascii="Sylfaen" w:hAnsi="Sylfaen"/>
        </w:rPr>
        <w:t xml:space="preserve"> The Gambia allocates 75 percent of the total sector budget to basic education, 12 percent to senior secondary, and 13 percent to postsecondary. When using UIS breakdown of spending by level of education, it shows that The Gambia spent 51.1 percent on primary education, which is close to the GPE-recommended 50 percent. However, the Government spent a high share on secondary education (36.5 percent), leaving the remaining minimal—12.5 percent to the postsecondary level. This level of spending in postsecondary education tends to be very low, even when compared with the SSA average, which is 44 percent in primary (grades 1–6), 28 percent in secondary (grades 7 to 12/13), and 19 percent to postsecondary. </w:t>
      </w:r>
      <w:r w:rsidRPr="00477D8F">
        <w:rPr>
          <w:rFonts w:ascii="Sylfaen" w:hAnsi="Sylfaen"/>
          <w:bCs/>
        </w:rPr>
        <w:t xml:space="preserve">Although most of the public funding is allocated to basic education levels where the poor participate the most, the lower spending in postsecondary leads to an increase in the unit cost of postsecondary education, making it extremely difficult for the poor to afford. </w:t>
      </w:r>
    </w:p>
    <w:p w14:paraId="73C9CF77" w14:textId="77777777"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 xml:space="preserve">The functional allocation reveals that the budget does not adequately provide for non-personnel costs which are essential for public schools to offer effective teaching and run well-managed establishments. </w:t>
      </w:r>
      <w:r w:rsidRPr="00477D8F">
        <w:rPr>
          <w:rFonts w:ascii="Sylfaen" w:hAnsi="Sylfaen"/>
        </w:rPr>
        <w:t xml:space="preserve">Non-personnel costs include spending on school materials, library books, and blackboards, among other day-to-day running costs incurred in the management of the school. While The Gambia allocates enough in terms of the share on non-salary spending (about 23 percent of recurrent budget), at school level, on average between 2010 and 2015, 95 percent of the spending went to teacher salaries, leaving little room for non-salary spending. Of the non-salary spending that does reach the school, school grants take the highest share at 66 percent. The vast majority of non-salary spending at the central level is transferred to other public institutions which are not directly connected to learning enhancement at the school level. Contributions to other general government units, subventions to nonfinancial public corporations/institutions, and contributions to international organizations accounted for about 51 percent of non-salary recurrent spending at the central level. </w:t>
      </w:r>
    </w:p>
    <w:p w14:paraId="2028F780" w14:textId="594C0107"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The budget nomenclature is not aligned to the government’s education priorities and goals and does not allow effective monitoring and evaluation (M&amp;E) of the policy outcomes.</w:t>
      </w:r>
      <w:r w:rsidRPr="00477D8F">
        <w:rPr>
          <w:rFonts w:ascii="Sylfaen" w:hAnsi="Sylfaen"/>
        </w:rPr>
        <w:t xml:space="preserve"> For example, the budget code for some preprimary, primary, and lower secondary items are combined, despite each level of education having a specific target to be achieved, as outlined in the sector strategy. Furthermore, the lack of a budget linked to the sector targets also makes it difficult to raise local and international </w:t>
      </w:r>
      <w:r w:rsidRPr="00477D8F">
        <w:rPr>
          <w:rFonts w:ascii="Sylfaen" w:hAnsi="Sylfaen"/>
        </w:rPr>
        <w:lastRenderedPageBreak/>
        <w:t xml:space="preserve">resources to achieve global targets such as the MDGs and SDGs or even allow timely M&amp;E of the effectiveness the programs. Therefore, it is important to have a budget that allows a breakdown for all levels of education separately. </w:t>
      </w:r>
    </w:p>
    <w:p w14:paraId="5EABB94C" w14:textId="77777777" w:rsidR="006F2CA4" w:rsidRPr="00477D8F" w:rsidRDefault="006F2CA4" w:rsidP="006F2CA4">
      <w:pPr>
        <w:pStyle w:val="Heading3"/>
      </w:pPr>
      <w:r w:rsidRPr="00477D8F">
        <w:t xml:space="preserve">Adequacy and sustainability of public spending </w:t>
      </w:r>
    </w:p>
    <w:p w14:paraId="7CF0839B" w14:textId="554B13AF"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Despite the government’s commitment to the education sector, total spending on all levels of education represented only 3.2 percent of GDP, compared with the recommended level of 4–6 percent</w:t>
      </w:r>
      <w:r w:rsidRPr="00477D8F">
        <w:rPr>
          <w:rStyle w:val="FootnoteReference"/>
          <w:rFonts w:ascii="Sylfaen" w:hAnsi="Sylfaen"/>
        </w:rPr>
        <w:footnoteReference w:id="26"/>
      </w:r>
      <w:r w:rsidRPr="00477D8F">
        <w:rPr>
          <w:rFonts w:ascii="Sylfaen" w:hAnsi="Sylfaen"/>
        </w:rPr>
        <w:t xml:space="preserve"> </w:t>
      </w:r>
      <w:r w:rsidRPr="00477D8F">
        <w:rPr>
          <w:rFonts w:ascii="Sylfaen" w:hAnsi="Sylfaen"/>
          <w:b/>
        </w:rPr>
        <w:t>and the 4.6 SSA average.</w:t>
      </w:r>
      <w:r w:rsidRPr="00477D8F">
        <w:rPr>
          <w:rFonts w:ascii="Sylfaen" w:hAnsi="Sylfaen"/>
        </w:rPr>
        <w:t xml:space="preserve"> However, education spending as a share of total public spending stands at 20.4 percent which is in the recommended range of 17–25 percent depending on the country’s situation. Education receives the highest share of the budget in the country but because the total public spending as share of GDP is low (15 percent), education spending as share of spending is also low. This is also one of the key reasons why the post-basic level relies heavily on household and development partner contributions. </w:t>
      </w:r>
    </w:p>
    <w:p w14:paraId="31F5B9D6" w14:textId="0F50E82C"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b/>
          <w:bCs/>
        </w:rPr>
      </w:pPr>
      <w:r w:rsidRPr="00477D8F">
        <w:rPr>
          <w:rFonts w:ascii="Sylfaen" w:hAnsi="Sylfaen"/>
          <w:b/>
        </w:rPr>
        <w:t xml:space="preserve">The cost of educating a child in The Gambia is high compared to many SSA countries and has been on an increasing trend. </w:t>
      </w:r>
      <w:r w:rsidRPr="00477D8F">
        <w:rPr>
          <w:rFonts w:ascii="Sylfaen" w:hAnsi="Sylfaen"/>
        </w:rPr>
        <w:t xml:space="preserve">This is unlikely to be sustainable given that many children are still out of school and the increasingly constrained fiscal space. Public unit cost per capita spending in The Gambia is above the SSA average at the primary and secondary levels while it is below the SSA average at the postsecondary level. Increasing the unit cost might not be sustainable given the fiscal constraints facing the country and the large number of out-of-school children who still need to be accommodated into the system. </w:t>
      </w:r>
    </w:p>
    <w:p w14:paraId="3AE70934" w14:textId="2AF53085"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The number of teachers is the key driver of the cost of schooling although teacher salaries are generally low—1.9 times the GDP per capita compared with the benchmark of 3.5 times GDP per capita at the LBS level</w:t>
      </w:r>
      <w:r w:rsidRPr="00477D8F">
        <w:rPr>
          <w:rFonts w:ascii="Sylfaen" w:hAnsi="Sylfaen"/>
        </w:rPr>
        <w:t>. The growth in the number of teachers during the last five years is more than double that of enrollment growth (the number of teachers grew annually by 11 percent compared with student growth of 5 percent between 2010 and 2015). The result has been that the STR has been declining and stands below the recommended level of 40:1 at LBS—for example, reduced from 41:1 in 2010 to 33:1 in 2015. The institutional arrangement between The Gambia College (</w:t>
      </w:r>
      <w:r w:rsidRPr="00477D8F">
        <w:rPr>
          <w:rStyle w:val="Hyperlink1"/>
          <w:rFonts w:ascii="Sylfaen" w:eastAsia="Sylfaen" w:hAnsi="Sylfaen" w:cs="Sylfaen"/>
        </w:rPr>
        <w:t>the teacher-training institution)</w:t>
      </w:r>
      <w:r w:rsidRPr="00477D8F">
        <w:rPr>
          <w:rFonts w:ascii="Sylfaen" w:hAnsi="Sylfaen"/>
        </w:rPr>
        <w:t xml:space="preserve"> and the ministry is such that the ministry takes in the graduates of the education college without ensuring that the intake into (and eventual graduates of) The Gambia College are strategically aligned with the planned teacher needs. Given the limited fiscal space and needs, the pattern is not affordable nor sustainable.</w:t>
      </w:r>
    </w:p>
    <w:p w14:paraId="4C58EE26" w14:textId="2E43F2B8"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 xml:space="preserve">The disparities in the availability of adequate school infrastructure, including location of schools, are adversely linked to learning outcomes in The Gambia and affect the various school levels differently. </w:t>
      </w:r>
      <w:r w:rsidRPr="00477D8F">
        <w:rPr>
          <w:rFonts w:ascii="Sylfaen" w:hAnsi="Sylfaen"/>
        </w:rPr>
        <w:t xml:space="preserve">School inputs and factors such as appropriate class size and availability of other school facilities are uneven across regions. For example, in most of the remote regions, particularly region 5, there are overcrowded classrooms, poor classroom conditions, and limited separate toilet and water facilities. These regions also tend to have low learning outcomes. The low access to critical school inputs is in large part due to lack of financing for operating costs. Although the provision of some school level inputs is adequate, and the government is on the right path to achieving the goal of providing a school </w:t>
      </w:r>
      <w:r w:rsidRPr="00477D8F">
        <w:rPr>
          <w:rFonts w:ascii="Sylfaen" w:hAnsi="Sylfaen"/>
        </w:rPr>
        <w:lastRenderedPageBreak/>
        <w:t xml:space="preserve">within 3 km of communities, there is also a significant shortage of some of the critical school inputs, for example, electricity, libraries, and textbooks, although this also varies by region. </w:t>
      </w:r>
    </w:p>
    <w:p w14:paraId="0AB514FB" w14:textId="77777777" w:rsidR="006F2CA4" w:rsidRPr="00477D8F" w:rsidRDefault="006F2CA4" w:rsidP="006F2CA4">
      <w:pPr>
        <w:pStyle w:val="Heading3"/>
      </w:pPr>
      <w:r w:rsidRPr="00477D8F">
        <w:t>Efficiency of the education system</w:t>
      </w:r>
    </w:p>
    <w:p w14:paraId="5FF2873F" w14:textId="0EF2C18B"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 xml:space="preserve">The efficiency analysis results indicate that the same services can be provided with 18 percent fewer resources through optimal resource utilization—in other words—inefficiencies are potentially equivalent to 18 percent of the budget. </w:t>
      </w:r>
      <w:r w:rsidRPr="00477D8F">
        <w:rPr>
          <w:rFonts w:ascii="Sylfaen" w:hAnsi="Sylfaen"/>
        </w:rPr>
        <w:t>At the national level, efficiency scores</w:t>
      </w:r>
      <w:r w:rsidRPr="00477D8F">
        <w:rPr>
          <w:rStyle w:val="FootnoteReference"/>
          <w:rFonts w:ascii="Sylfaen" w:hAnsi="Sylfaen"/>
        </w:rPr>
        <w:footnoteReference w:id="27"/>
      </w:r>
      <w:r w:rsidRPr="00477D8F">
        <w:rPr>
          <w:rFonts w:ascii="Sylfaen" w:hAnsi="Sylfaen"/>
        </w:rPr>
        <w:t xml:space="preserve"> stand at 82 percent with large variations by region, implying that some regions and districts have even more potential to optimize resources for greater efficiency. In particular, given the constrained fiscal situation in The Gambia, the government needs to explore any areas of efficiency gain to cope with the challenges and be able to provide consistent service delivery. </w:t>
      </w:r>
    </w:p>
    <w:p w14:paraId="763B6036" w14:textId="7E74FE6F"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The large variation in unit cost, which is jointly driven by the high share of personnel cost in the total budget and the unequal distribution of teachers by region, contributed to low efficiency of resources utilization.</w:t>
      </w:r>
      <w:r w:rsidRPr="00477D8F">
        <w:rPr>
          <w:rFonts w:ascii="Sylfaen" w:hAnsi="Sylfaen"/>
        </w:rPr>
        <w:t xml:space="preserve"> There is a large variation of unit cost across regions, school levels, and school management (ownership). The key driver of unit cost is teacher salaries, which account for more than 90 percent of the school-level education budget. Given that teacher compensation in The Gambia is low, onboarding large numbers of teachers (leading to the low STR) and disparities in deployment of teachers contributed to unit cost variations. Generally, grant-aided public schools are associated with lower unit costs, implying better efficiency, but data are not available to carry out in-depth analysis as to why they are more efficient. Variation of non-financial school inputs (infrastructure, learning materials, and so on) by school also contributed to efficiency differences observed.</w:t>
      </w:r>
    </w:p>
    <w:p w14:paraId="5EE70023" w14:textId="6951DB69"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The government has made tremendous efforts to reduce internal inefficiencies related to repetition but other dimensions of internal efficiency related to delayed entry, survival, and completion remain key bottlenecks.</w:t>
      </w:r>
      <w:r w:rsidRPr="00477D8F">
        <w:rPr>
          <w:rFonts w:ascii="Sylfaen" w:hAnsi="Sylfaen"/>
        </w:rPr>
        <w:t xml:space="preserve"> Given the financial resource constraints under which the public sector is operating, there is a strong rationale to explore potential efficiency savings. Repetition (which is a concern in early grades) and dropout rates remain a source of internal inefficiencies. To address these issues, it is essential to ensure that the automatic promotion policy is effectively applied. For example, about 38 percent of children do not start school at the official school starting age (age 7), and the share of over-age children in the last grade of primary reaches 72 percent. From those who started grade 1, only 56 percent survive to the last grade of primary, 43 percent to the last grade of lower secondary, and 24 percent to the last grade of upper secondary. </w:t>
      </w:r>
    </w:p>
    <w:p w14:paraId="2E5ED45D" w14:textId="59CDA15B" w:rsidR="006F2CA4" w:rsidRPr="00477D8F" w:rsidRDefault="006F2CA4" w:rsidP="0016354C">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 xml:space="preserve">Although the government encourages ECD through different initiatives such as ‘annexing’ preschools to preexisting primary schools, given that ECD provision is one solution to the problem of inefficiency, more can be done at this level. </w:t>
      </w:r>
      <w:r w:rsidRPr="00477D8F">
        <w:rPr>
          <w:rFonts w:ascii="Sylfaen" w:hAnsi="Sylfaen"/>
        </w:rPr>
        <w:t xml:space="preserve">The current enrollment in ECD shows that take up at this level of education is mostly by children from wealthier households; however, there are clear benefits that could accrue to children from lower-income households, such as greater on-time enrollment. Given the three tenets of education investment—invest early, invest smartly, and invest for all—the </w:t>
      </w:r>
      <w:r w:rsidRPr="00477D8F">
        <w:rPr>
          <w:rFonts w:ascii="Sylfaen" w:hAnsi="Sylfaen"/>
        </w:rPr>
        <w:lastRenderedPageBreak/>
        <w:t xml:space="preserve">weaker focus on ECD programs and the inequality at this stage could hamper future efforts for inclusive growth and equal opportunities. </w:t>
      </w:r>
    </w:p>
    <w:p w14:paraId="0705BCFE" w14:textId="4F2DD2B5"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 xml:space="preserve">Although the EMIS database is well developed in the MoBSE, it does not capture adequate staff information to assess other dimensions of efficiency such as share of non-teaching staff at both the MoBSE and the MoHERST. </w:t>
      </w:r>
      <w:r w:rsidRPr="00477D8F">
        <w:rPr>
          <w:rFonts w:ascii="Sylfaen" w:hAnsi="Sylfaen"/>
        </w:rPr>
        <w:t>The availability of adequate and systematically collected data on all facets of education, including of non-teaching staff, is key to ensure M&amp;E of these efficiency aspects. In particular, the EMIS is not well developed in the MoHERST, which is a key limitation to carryout detailed analysis on the subsector.</w:t>
      </w:r>
    </w:p>
    <w:p w14:paraId="02302183" w14:textId="2A72AD58"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Returns to education reveal that there is clear value for investment on education both in terms of public and private returns.</w:t>
      </w:r>
      <w:r w:rsidRPr="00477D8F">
        <w:rPr>
          <w:rFonts w:ascii="Sylfaen" w:hAnsi="Sylfaen"/>
        </w:rPr>
        <w:t xml:space="preserve"> The private returns to education are positive for all levels of education and more educated people tend to work for the public sector. However, the working-age population, on average, has not completed primary education (having an average of 3.7 years of schooling) and about 58 percent of them have no formal education. This has significant implications on The Gambia’s economic growth and global competitiveness. Given that the country depends heavily on the services sector which requires skills, the country should increase investment on human capital for economic growth to better compete in the global economy. </w:t>
      </w:r>
    </w:p>
    <w:p w14:paraId="0B824BC6" w14:textId="77777777" w:rsidR="006F2CA4" w:rsidRPr="00477D8F" w:rsidRDefault="006F2CA4" w:rsidP="006F2CA4">
      <w:pPr>
        <w:pStyle w:val="Heading3"/>
      </w:pPr>
      <w:r w:rsidRPr="00477D8F">
        <w:t>Equity, role of government, and affordability</w:t>
      </w:r>
    </w:p>
    <w:p w14:paraId="20A1B2B7" w14:textId="19D0CD2F"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 xml:space="preserve">Inequality in access to education is pervasive in The Gambia across geographical zones, income status, and areas of residence. </w:t>
      </w:r>
      <w:r w:rsidRPr="00477D8F">
        <w:rPr>
          <w:rFonts w:ascii="Sylfaen" w:hAnsi="Sylfaen"/>
        </w:rPr>
        <w:t xml:space="preserve">The Gambia’s overall low education performance is clearly driven by the poor performance in the remote regions. Although The Gambia achieved gender parity in access at all levels of education except higher education, completion of specific levels of education still tends to favor boys: the </w:t>
      </w:r>
      <w:r w:rsidRPr="00477D8F">
        <w:rPr>
          <w:rStyle w:val="None"/>
          <w:rFonts w:ascii="Sylfaen" w:eastAsia="Sylfaen" w:hAnsi="Sylfaen" w:cs="Sylfaen"/>
          <w:iCs/>
        </w:rPr>
        <w:t>PCR</w:t>
      </w:r>
      <w:r w:rsidRPr="00477D8F">
        <w:rPr>
          <w:rFonts w:ascii="Sylfaen" w:hAnsi="Sylfaen"/>
        </w:rPr>
        <w:t xml:space="preserve"> for boys stands at 82 percent compared with 66 percent for girls in 2015. While girls have a slight advantage in the lower secondary level—7 percentage points higher—boys have a 13 percentage point advantage in completion of senior secondary. </w:t>
      </w:r>
    </w:p>
    <w:p w14:paraId="7651E165" w14:textId="2C7B3179"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 xml:space="preserve">The incidence of out-of-school children is high in rural areas, among children from the poorest quintile and in regions 4–6. </w:t>
      </w:r>
      <w:r w:rsidRPr="00477D8F">
        <w:rPr>
          <w:rFonts w:ascii="Sylfaen" w:hAnsi="Sylfaen"/>
        </w:rPr>
        <w:t>The highest incidence rate is in region 5, where out-of-school rates reach as high as 80 percent in one of the districts.</w:t>
      </w:r>
      <w:r w:rsidRPr="00477D8F">
        <w:rPr>
          <w:rFonts w:ascii="Sylfaen" w:hAnsi="Sylfaen"/>
          <w:b/>
        </w:rPr>
        <w:t xml:space="preserve"> </w:t>
      </w:r>
      <w:r w:rsidRPr="00477D8F">
        <w:rPr>
          <w:rFonts w:ascii="Sylfaen" w:hAnsi="Sylfaen"/>
        </w:rPr>
        <w:t xml:space="preserve">Overall, household head education level, sector of activity, and household wealth status are key determinants of out-of-school incidence in The Gambia. In particular, children from households where the household head has no education, is working in agriculture, and is from the lowest quintile have the highest out-of-school incidence. </w:t>
      </w:r>
    </w:p>
    <w:p w14:paraId="3E40E939" w14:textId="77777777"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While households contribute significantly to the education sector, the cost of education is not affordable for the poor.</w:t>
      </w:r>
      <w:r w:rsidRPr="00477D8F">
        <w:rPr>
          <w:rFonts w:ascii="Sylfaen" w:hAnsi="Sylfaen"/>
        </w:rPr>
        <w:t xml:space="preserve"> The commitment of households to education has been increasing faster than public spending. On average, household spending on education as share of their income increased from 1.5 percent in 2010 to 5.9 percent in 2015, while public spending as share of GDP increased from 2.6 percent to 3.2 percent during the same time. Cost of schooling remains a significant burden for the poor—for example, households from the poorest quintile spend about 98 percent of their income per capita on education, compared with 46 percent for the richest quintile, which implies that a child from the poorest quintile would go to school at the expense of his or her sibling and other family members. </w:t>
      </w:r>
    </w:p>
    <w:p w14:paraId="5B4005CC" w14:textId="61B28AE7"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lastRenderedPageBreak/>
        <w:t>Resources available for children from the poorest quintile are less across all levels of education, and when children face multiple socioeconomic barriers, they tend to leave the system early.</w:t>
      </w:r>
      <w:r w:rsidRPr="00477D8F">
        <w:rPr>
          <w:rFonts w:ascii="Sylfaen" w:hAnsi="Sylfaen"/>
        </w:rPr>
        <w:t xml:space="preserve"> While the government has made tremendous efforts to reduce school fees for all students, indirect costs such as uniforms, lunch, pocket money, and school meals costs are not affordable for the poor. A holistic approach to the subsidy (giving the same for all) may not help the poor to overcome key socioeconomic challenges. In addition, one of the key reasons for families keeping children out of school in The Gambia is associated with religious beliefs, which could also be linked with parents’ education and other sociocultural factors. Those children that do start school are more likely to drop out, given the limited funds and multiple socioeconomic barriers. This, in turn, contributes to the intergenerational poverty trap. </w:t>
      </w:r>
    </w:p>
    <w:p w14:paraId="422B57FF" w14:textId="609C4047"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The high unit cost, especially in postsecondary education, is prohibitive to poor households despite their strong commitment to educating their children.</w:t>
      </w:r>
      <w:r w:rsidRPr="00477D8F">
        <w:rPr>
          <w:rFonts w:ascii="Sylfaen" w:hAnsi="Sylfaen"/>
        </w:rPr>
        <w:t xml:space="preserve"> Unit costs in postsecondary education are a particularly heavy burden for the poorest households—the unit costs represent 100 percent of their per capita income for preschool, 87 percent for LBS, 122 percent for UBS, 132 percent for SSS, and 169 percent at the post-education level. Given that the inequality gap between the rich and the poor is high, poorer households may face greater difficulties in sustaining their investment in education.</w:t>
      </w:r>
    </w:p>
    <w:p w14:paraId="13DBB944" w14:textId="6760080B"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b/>
        </w:rPr>
        <w:t>Public spending in education tends to be pro-rich at all levels of education or benefits the rich more.</w:t>
      </w:r>
      <w:r w:rsidRPr="00477D8F">
        <w:rPr>
          <w:rFonts w:ascii="Sylfaen" w:hAnsi="Sylfaen"/>
        </w:rPr>
        <w:t xml:space="preserve"> Although the government has implemented several interventions to reduce regional and gender disparities, the non-targeted approach of interventions had not helped reduce inequalities in access by household income quintile. It should also be noted that education spending in basic education and senior secondary are more equitable than the general income disparity in society, while postsecondary spending is less equable. </w:t>
      </w:r>
    </w:p>
    <w:p w14:paraId="6F5F2132" w14:textId="77777777" w:rsidR="006F2CA4" w:rsidRPr="00477D8F" w:rsidRDefault="006F2CA4" w:rsidP="006F2CA4">
      <w:pPr>
        <w:pStyle w:val="Heading3"/>
      </w:pPr>
      <w:r w:rsidRPr="00477D8F">
        <w:t>Human capital development</w:t>
      </w:r>
    </w:p>
    <w:p w14:paraId="2F895D8C" w14:textId="6A218787"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eastAsiaTheme="majorEastAsia" w:hAnsi="Sylfaen" w:cstheme="majorBidi"/>
          <w:bCs/>
        </w:rPr>
      </w:pPr>
      <w:r w:rsidRPr="00477D8F">
        <w:rPr>
          <w:rFonts w:ascii="Sylfaen" w:hAnsi="Sylfaen"/>
          <w:b/>
        </w:rPr>
        <w:t>If there are no changes to current trends, the human capital projection suggests that by 2030, 30 percent of young people will enter the labor market without primary education.</w:t>
      </w:r>
      <w:r w:rsidRPr="00477D8F">
        <w:rPr>
          <w:rFonts w:ascii="Sylfaen" w:hAnsi="Sylfaen"/>
        </w:rPr>
        <w:t xml:space="preserve"> However, by achieving its MDGs in education, the same projection shows that, by 2030, there will not be any new entrants in the labor market without primary education. This increase in the human capital stock of the country would enable The Gambia to better meet the needs of the growth sectors and better align the education sector with the evolving labor demand needs. However, it requires a significant financial commitment to fund the expected increase of enrollment at the primary level by 67 percent and teachers by 70 percent. This would require a public sector budget increase to education by 67 percent, assuming the private provision stays the same and plays the same role; otherwise, it may require a more significant increase. </w:t>
      </w:r>
    </w:p>
    <w:p w14:paraId="43D68A5E" w14:textId="77777777" w:rsidR="006F2CA4" w:rsidRPr="00477D8F" w:rsidRDefault="006F2CA4" w:rsidP="006F2CA4">
      <w:pPr>
        <w:pStyle w:val="Heading2"/>
        <w:rPr>
          <w:b/>
        </w:rPr>
      </w:pPr>
      <w:bookmarkStart w:id="385" w:name="_Toc496603221"/>
      <w:bookmarkStart w:id="386" w:name="_Toc497171890"/>
      <w:r w:rsidRPr="00477D8F">
        <w:t>Policy recommendations</w:t>
      </w:r>
      <w:bookmarkEnd w:id="385"/>
      <w:bookmarkEnd w:id="386"/>
    </w:p>
    <w:p w14:paraId="18870F11" w14:textId="235937B6" w:rsidR="006F2CA4" w:rsidRPr="00477D8F" w:rsidRDefault="006F2CA4" w:rsidP="006F2CA4">
      <w:pPr>
        <w:keepNext/>
        <w:tabs>
          <w:tab w:val="left" w:pos="540"/>
        </w:tabs>
        <w:spacing w:before="240" w:after="240"/>
        <w:jc w:val="both"/>
        <w:rPr>
          <w:rFonts w:ascii="Sylfaen" w:hAnsi="Sylfaen" w:cs="Times New Roman"/>
        </w:rPr>
      </w:pPr>
      <w:r w:rsidRPr="00477D8F">
        <w:rPr>
          <w:rFonts w:ascii="Sylfaen" w:hAnsi="Sylfaen" w:cs="Times New Roman"/>
          <w:b/>
        </w:rPr>
        <w:t>(a) Improve the allocative efficiency to ensure that all levels of education and spending categories are adequately funded</w:t>
      </w:r>
    </w:p>
    <w:p w14:paraId="1059CDA1" w14:textId="06EB8D7C"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 xml:space="preserve">Develop an appropriate distribution of the budget based on preset criteria and sector priorities to provide consistent and productive service delivery at all levels of education. This requires strategic </w:t>
      </w:r>
      <w:r w:rsidRPr="00477D8F">
        <w:rPr>
          <w:rFonts w:ascii="Sylfaen" w:hAnsi="Sylfaen"/>
        </w:rPr>
        <w:lastRenderedPageBreak/>
        <w:t>planning of skills needed and effective allocation to the correct levels of education to develop such skills. Given that the existing education spending (as a percentage of GDP) is low, this analysis does not recommend reallocation between sectors but rather suggests that increases in the total education budget be focused more on the postsecondary education level.</w:t>
      </w:r>
    </w:p>
    <w:p w14:paraId="603253C8" w14:textId="218F567E"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 xml:space="preserve">Increase the share of the budget on non-salary school level spending to at least 20 percent to provide enough school inputs and learning materials for better learning outcomes. In particular, the </w:t>
      </w:r>
      <w:r w:rsidRPr="00477D8F">
        <w:rPr>
          <w:rFonts w:ascii="Sylfaen" w:eastAsia="Times New Roman" w:hAnsi="Sylfaen" w:cs="Times New Roman"/>
          <w:color w:val="000000"/>
        </w:rPr>
        <w:t>LBSs</w:t>
      </w:r>
      <w:r w:rsidRPr="00477D8F">
        <w:rPr>
          <w:rFonts w:ascii="Sylfaen" w:hAnsi="Sylfaen"/>
        </w:rPr>
        <w:t xml:space="preserve"> are most affected by the shortage of school inputs and infrastructure. Given that spending on this level of education benefits the poor the most, increasing the share of non-salary funding at the school level will have a positive effect on equality of education and the added benefit of improving the inequitable distribution of resources as well.</w:t>
      </w:r>
    </w:p>
    <w:p w14:paraId="05C505A3" w14:textId="391A97E8"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bCs/>
        </w:rPr>
      </w:pPr>
      <w:r w:rsidRPr="00477D8F">
        <w:rPr>
          <w:rFonts w:ascii="Sylfaen" w:hAnsi="Sylfaen"/>
        </w:rPr>
        <w:t>Improve the budget elaboration and preparation process to clearly reflect each level of education and the sectoral priorities of the government, especially with respect to the attainment of the MDGs. The budget preparation and elaboration process needs to reflect the sectoral priorities both at the allocation and execution stages. The budget nomenclature should also be revised to ensure adequate M&amp;E of activities by level of education.</w:t>
      </w:r>
    </w:p>
    <w:p w14:paraId="7275F9DB" w14:textId="337D38D1"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iCs/>
        </w:rPr>
      </w:pPr>
      <w:r w:rsidRPr="00477D8F">
        <w:rPr>
          <w:rFonts w:ascii="Sylfaen" w:hAnsi="Sylfaen"/>
        </w:rPr>
        <w:t xml:space="preserve">While key PFM indicators require a detailed assessment by the MoBSE and the MoHERST, the two ministries should ensure the following three elements: (i) establish guidelines regarding the percentage of GDP to be allocated to the ministries so that they can develop their long-term plans, (ii) establish transparent accounting and reporting systems on all non-salary expenditures, and (iii) build clearer coordination between the donor coordination unit and each Project Coordination Unit (PCU). </w:t>
      </w:r>
    </w:p>
    <w:p w14:paraId="32FF36E1" w14:textId="2DC2A496" w:rsidR="006F2CA4" w:rsidRPr="00477D8F" w:rsidRDefault="006F2CA4" w:rsidP="006F2CA4">
      <w:pPr>
        <w:tabs>
          <w:tab w:val="left" w:pos="540"/>
        </w:tabs>
        <w:spacing w:before="240" w:after="240"/>
        <w:jc w:val="both"/>
        <w:rPr>
          <w:rFonts w:ascii="Sylfaen" w:hAnsi="Sylfaen" w:cs="Times New Roman"/>
          <w:b/>
        </w:rPr>
      </w:pPr>
      <w:r w:rsidRPr="00477D8F">
        <w:rPr>
          <w:rFonts w:ascii="Sylfaen" w:hAnsi="Sylfaen" w:cs="Times New Roman"/>
          <w:b/>
        </w:rPr>
        <w:t>(b) Ensure the adequacy and sustainability of public spending</w:t>
      </w:r>
    </w:p>
    <w:p w14:paraId="03E91402" w14:textId="0CA8DC3B"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 xml:space="preserve">Increase spending on education while targeting the most challenged regions (regions 4–6) and levels of education (post-basic). As it currently stands, public investment in education in The Gambia is at 3.2 percent of GDP, far below the levels recommended to effectuate any real change to the sector. </w:t>
      </w:r>
    </w:p>
    <w:p w14:paraId="1FB14208" w14:textId="6579838E"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Use the unit cost as an instrument in the preparation of policies and associated budgets for effective utilization of funding. To ensure sustainability of the education budget, the unit cost should be a key tool used in the planning process.</w:t>
      </w:r>
    </w:p>
    <w:p w14:paraId="6E3EF44F" w14:textId="2700B9D7"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 xml:space="preserve">The teacher staffing process should be based on a predetermined set of criteria including STR, classrooms, school size, subjects taught, and facilities available at the school level. In particular, the current preservice teacher training program and hiring practice should be immediately reconsidered for hiring decisions based on number and type of teachers needed. </w:t>
      </w:r>
    </w:p>
    <w:p w14:paraId="002F7EE0" w14:textId="77777777"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The availability of adequate school inputs and favorable learning environments are key for ensuring good learning outcomes, and as such, it is crucial that appropriate funds (operating costs and capital expenditure) be earmarked to make the learning environment conducive to educational achievement.</w:t>
      </w:r>
    </w:p>
    <w:p w14:paraId="39231ABC" w14:textId="61E632DD" w:rsidR="006F2CA4" w:rsidRPr="00477D8F" w:rsidRDefault="006F2CA4" w:rsidP="006F2CA4">
      <w:pPr>
        <w:pStyle w:val="ListParagraph"/>
        <w:autoSpaceDE w:val="0"/>
        <w:autoSpaceDN w:val="0"/>
        <w:adjustRightInd w:val="0"/>
        <w:spacing w:before="240" w:after="0" w:line="240" w:lineRule="auto"/>
        <w:ind w:left="0"/>
        <w:contextualSpacing w:val="0"/>
        <w:jc w:val="both"/>
        <w:rPr>
          <w:rFonts w:ascii="Sylfaen" w:hAnsi="Sylfaen"/>
        </w:rPr>
      </w:pPr>
      <w:r w:rsidRPr="00477D8F">
        <w:rPr>
          <w:rFonts w:ascii="Sylfaen" w:hAnsi="Sylfaen" w:cs="Times New Roman"/>
          <w:b/>
        </w:rPr>
        <w:t xml:space="preserve">(c) Ensure resources distributions are equitable and protects the poor </w:t>
      </w:r>
    </w:p>
    <w:p w14:paraId="12C58374" w14:textId="431CB46B"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lastRenderedPageBreak/>
        <w:t xml:space="preserve">Institute pro-poor education policy intervention programs focusing on marginalized communities by providing financial support or vouchers for children from poor families to afford schooling and overcome other socioeconomic-related barriers. This may include conditional cash transfers (CCTs) to encourage parents to send their children to school or school-feeding programs targeting children from poor families, rural areas, and remote regions, as poverty is one of the key factors that hinder school participation. </w:t>
      </w:r>
    </w:p>
    <w:p w14:paraId="3E50C33F" w14:textId="3F424FB4"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Strengthen school development plan committees and other types of community-level grassroots mobilization to create awareness on education, including developing sensitization campaigns for communities where participation in conventional public schools are low. This could be combined with exploring opportunities to meet community demand while at the same time focusing on clear learning outcomes and equity measures. This may include provision of inputs (school feeding) and/or incorporation of religious instruction in exchange for commitments to provide the official curriculum and continued engagement with the community.</w:t>
      </w:r>
    </w:p>
    <w:p w14:paraId="3B5F1404" w14:textId="38785AAE"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Enhance PPPs focusing on marginalized populations in addition to the current partnership in Madrassah schools.</w:t>
      </w:r>
      <w:r w:rsidRPr="00477D8F">
        <w:rPr>
          <w:rFonts w:ascii="Sylfaen" w:hAnsi="Sylfaen"/>
          <w:vertAlign w:val="superscript"/>
        </w:rPr>
        <w:footnoteReference w:id="28"/>
      </w:r>
      <w:r w:rsidRPr="00477D8F">
        <w:rPr>
          <w:rFonts w:ascii="Sylfaen" w:hAnsi="Sylfaen"/>
        </w:rPr>
        <w:t xml:space="preserve"> Given that local private schools are more culture and community oriented, there are clear benefits from extending conventional private participation where the out-of-school issue is critical and providing additional support to integrate more Madrassah schools under the AMANA system. This can be done, for example, by providing grants to private schools to enroll children from poor households and to communities where out-of-school levels are high.</w:t>
      </w:r>
    </w:p>
    <w:p w14:paraId="498FA5E9" w14:textId="164BC7A8" w:rsidR="006F2CA4" w:rsidRPr="00477D8F" w:rsidRDefault="006F2CA4" w:rsidP="006F2CA4">
      <w:pPr>
        <w:tabs>
          <w:tab w:val="left" w:pos="540"/>
        </w:tabs>
        <w:spacing w:before="240" w:after="240"/>
        <w:jc w:val="both"/>
        <w:rPr>
          <w:rFonts w:ascii="Sylfaen" w:hAnsi="Sylfaen" w:cs="Times New Roman"/>
          <w:b/>
        </w:rPr>
      </w:pPr>
      <w:r w:rsidRPr="00477D8F">
        <w:rPr>
          <w:rFonts w:ascii="Sylfaen" w:hAnsi="Sylfaen" w:cs="Times New Roman"/>
          <w:b/>
        </w:rPr>
        <w:t xml:space="preserve"> (d) Adopt measures to utilize resources efficiently and improve the internal efficiency, for better educational outcomes</w:t>
      </w:r>
    </w:p>
    <w:p w14:paraId="26DCA7EC" w14:textId="1CDDB4BA"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 xml:space="preserve">Encourage ECD programs to increase children’s readiness for primary school; promote learning; help reduce factors that affect internal efficiency (dropout, repetition, and delayed entry); and increase the probability of having longer productive lives in the labor market. ECD programs have the potential to strengthen the foundation of the education system, enabling children to transition more easily into primary school. This in turn increases the likelihood of joining LBS on time and therefore, reduces the likelihood of dropping out and delayed entry, which are an important source of inefficiency in The Gambia. It also increases the likelihood of joining the labor market earlier, which could have a significant cumulative impact on the lifetime income stream of the individual. </w:t>
      </w:r>
    </w:p>
    <w:p w14:paraId="7A22DF20" w14:textId="77777777"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For better assessment and evaluation of learning outcomes, The Gambia should establish a standardized assessment at all levels of education to allow for comparability of results across time following elaboration of assessments based on the international standard.</w:t>
      </w:r>
    </w:p>
    <w:p w14:paraId="26D6B906" w14:textId="230473FD"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Strengthen the EMIS capacity by providing adequate technical and financial resources to produce reliable and consistent data for policy making and to ensure all necessary indicators such as non-teaching staff are being captured in the data collected. In particular, the postsecondary-level EMIS requires further advancement.</w:t>
      </w:r>
    </w:p>
    <w:p w14:paraId="1684F253" w14:textId="18C9B23F"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lastRenderedPageBreak/>
        <w:t xml:space="preserve">To improve the efficiency and effectiveness of resource utilization and eliminate inefficiencies in the education sector, it is crucial for regions and the central management to make decisions based on clear guidelines. For example, the teacher staffing process should be based on a predetermined set of criteria including the STR, classrooms, school size, subjects taught, and facilities available at the school level and hardship status of the school location or district. </w:t>
      </w:r>
    </w:p>
    <w:p w14:paraId="05511726" w14:textId="77777777"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 xml:space="preserve">Given the financial resource constraints under which the public sector is operating, there is a strong rationale to explore potential efficiency savings, that is, savings arising from more efficient use of resources. Repetition and dropout rates as well as delayed entry are an important source of internal inefficiency, and to address these issues, there should be a mandatory enrollment age and automatic promotion at least within the primary education level. </w:t>
      </w:r>
    </w:p>
    <w:p w14:paraId="12F1BABD" w14:textId="0CC7DF26" w:rsidR="006F2CA4" w:rsidRPr="00477D8F" w:rsidRDefault="006F2CA4" w:rsidP="006F2CA4">
      <w:pPr>
        <w:pStyle w:val="ListParagraph"/>
        <w:tabs>
          <w:tab w:val="left" w:pos="540"/>
        </w:tabs>
        <w:autoSpaceDE w:val="0"/>
        <w:autoSpaceDN w:val="0"/>
        <w:adjustRightInd w:val="0"/>
        <w:spacing w:before="240" w:after="240" w:line="240" w:lineRule="auto"/>
        <w:ind w:left="0"/>
        <w:contextualSpacing w:val="0"/>
        <w:jc w:val="both"/>
        <w:rPr>
          <w:rFonts w:ascii="Sylfaen" w:hAnsi="Sylfaen" w:cs="Times New Roman"/>
          <w:b/>
        </w:rPr>
      </w:pPr>
      <w:r w:rsidRPr="00477D8F">
        <w:rPr>
          <w:rFonts w:ascii="Sylfaen" w:hAnsi="Sylfaen" w:cs="Times New Roman"/>
          <w:b/>
        </w:rPr>
        <w:t xml:space="preserve"> (e) Improve the human capital development of the labor force through adequate provision of second chance education programs</w:t>
      </w:r>
    </w:p>
    <w:p w14:paraId="5E95A566" w14:textId="6AC87A7C" w:rsidR="006F2CA4" w:rsidRPr="00477D8F" w:rsidRDefault="006F2CA4" w:rsidP="006F2CA4">
      <w:pPr>
        <w:pStyle w:val="ListParagraph"/>
        <w:numPr>
          <w:ilvl w:val="0"/>
          <w:numId w:val="24"/>
        </w:numPr>
        <w:autoSpaceDE w:val="0"/>
        <w:autoSpaceDN w:val="0"/>
        <w:adjustRightInd w:val="0"/>
        <w:spacing w:before="240" w:after="0" w:line="240" w:lineRule="auto"/>
        <w:ind w:left="0" w:firstLine="0"/>
        <w:contextualSpacing w:val="0"/>
        <w:jc w:val="both"/>
        <w:rPr>
          <w:rFonts w:ascii="Sylfaen" w:hAnsi="Sylfaen"/>
        </w:rPr>
      </w:pPr>
      <w:r w:rsidRPr="00477D8F">
        <w:rPr>
          <w:rFonts w:ascii="Sylfaen" w:hAnsi="Sylfaen"/>
        </w:rPr>
        <w:t xml:space="preserve">In addition to increasing investment in regular schooling, the government should consider the expansion of alternative learning programs to provide second chance education for parents and youth, giving them the opportunity to overcome educational gaps. Adequate provision of basic education opportunities for parents could have positive effects, not only in raising their own education level but also in motivating them to send their own children to school, and could gradually narrow the inequality gap and cultural barriers. For example, given that the out-of-school issue is most pressing in the remote regions, where poverty rates are higher, parents are less educated, religious factors are high, and resources are sparser, funds could be dedicated to increasing the public provision of schooling. </w:t>
      </w:r>
    </w:p>
    <w:p w14:paraId="42BF0B51" w14:textId="77777777" w:rsidR="006F2CA4" w:rsidRPr="00477D8F" w:rsidRDefault="006F2CA4" w:rsidP="006F2CA4">
      <w:pPr>
        <w:rPr>
          <w:rFonts w:ascii="Sylfaen" w:eastAsiaTheme="majorEastAsia" w:hAnsi="Sylfaen" w:cstheme="majorBidi"/>
          <w:bCs/>
        </w:rPr>
      </w:pPr>
      <w:r w:rsidRPr="00477D8F">
        <w:rPr>
          <w:rFonts w:ascii="Sylfaen" w:hAnsi="Sylfaen"/>
          <w:b/>
        </w:rPr>
        <w:br w:type="page"/>
      </w:r>
    </w:p>
    <w:p w14:paraId="7F951B05" w14:textId="23EDA699" w:rsidR="006D0967" w:rsidRPr="00477D8F" w:rsidRDefault="00A77C55" w:rsidP="00ED0E68">
      <w:pPr>
        <w:pStyle w:val="Heading1"/>
        <w:numPr>
          <w:ilvl w:val="0"/>
          <w:numId w:val="0"/>
        </w:numPr>
        <w:ind w:left="720" w:hanging="720"/>
      </w:pPr>
      <w:bookmarkStart w:id="387" w:name="_Toc497171891"/>
      <w:r w:rsidRPr="00477D8F">
        <w:lastRenderedPageBreak/>
        <w:t>References</w:t>
      </w:r>
      <w:bookmarkEnd w:id="387"/>
    </w:p>
    <w:p w14:paraId="3B365791" w14:textId="77777777"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Afridi, F. 2007. “The Impact of School Meals on School Participation: Evidence from Rural India.” Syracuse University.</w:t>
      </w:r>
    </w:p>
    <w:p w14:paraId="2ECA258D" w14:textId="15D9420A"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Roman"/>
        </w:rPr>
        <w:t xml:space="preserve">Agresti, A. 2002. </w:t>
      </w:r>
      <w:r w:rsidRPr="00477D8F">
        <w:rPr>
          <w:rFonts w:ascii="Sylfaen" w:hAnsi="Sylfaen" w:cs="Times-Italic"/>
          <w:i/>
          <w:iCs/>
        </w:rPr>
        <w:t xml:space="preserve">Categorical </w:t>
      </w:r>
      <w:r w:rsidR="009C7980" w:rsidRPr="00477D8F">
        <w:rPr>
          <w:rFonts w:ascii="Sylfaen" w:hAnsi="Sylfaen" w:cs="Times-Italic"/>
          <w:i/>
          <w:iCs/>
        </w:rPr>
        <w:t>D</w:t>
      </w:r>
      <w:r w:rsidRPr="00477D8F">
        <w:rPr>
          <w:rFonts w:ascii="Sylfaen" w:hAnsi="Sylfaen" w:cs="Times-Italic"/>
          <w:i/>
          <w:iCs/>
        </w:rPr>
        <w:t xml:space="preserve">ata </w:t>
      </w:r>
      <w:r w:rsidR="009C7980" w:rsidRPr="00477D8F">
        <w:rPr>
          <w:rFonts w:ascii="Sylfaen" w:hAnsi="Sylfaen" w:cs="Times-Italic"/>
          <w:i/>
          <w:iCs/>
        </w:rPr>
        <w:t>A</w:t>
      </w:r>
      <w:r w:rsidRPr="00477D8F">
        <w:rPr>
          <w:rFonts w:ascii="Sylfaen" w:hAnsi="Sylfaen" w:cs="Times-Italic"/>
          <w:i/>
          <w:iCs/>
        </w:rPr>
        <w:t>nalysis</w:t>
      </w:r>
      <w:r w:rsidR="00477BBB" w:rsidRPr="00477D8F">
        <w:rPr>
          <w:rFonts w:ascii="Sylfaen" w:hAnsi="Sylfaen" w:cs="Times-Italic"/>
          <w:iCs/>
        </w:rPr>
        <w:t>.</w:t>
      </w:r>
      <w:r w:rsidRPr="00477D8F">
        <w:rPr>
          <w:rFonts w:ascii="Sylfaen" w:hAnsi="Sylfaen" w:cs="Times-Italic"/>
          <w:iCs/>
        </w:rPr>
        <w:t xml:space="preserve"> </w:t>
      </w:r>
      <w:r w:rsidRPr="00477D8F">
        <w:rPr>
          <w:rFonts w:ascii="Sylfaen" w:hAnsi="Sylfaen" w:cs="Times-Roman"/>
        </w:rPr>
        <w:t>2nd ed. New York: John Wiley &amp; Sons</w:t>
      </w:r>
      <w:r w:rsidR="00477BBB" w:rsidRPr="00477D8F">
        <w:rPr>
          <w:rFonts w:ascii="Sylfaen" w:hAnsi="Sylfaen" w:cs="Times-Roman"/>
        </w:rPr>
        <w:t>.</w:t>
      </w:r>
    </w:p>
    <w:p w14:paraId="1C0F5DD4" w14:textId="5D130D90"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Alderman, H., J. Kim, and P. Orazem. 1999.</w:t>
      </w:r>
      <w:r w:rsidR="00272695" w:rsidRPr="00477D8F">
        <w:rPr>
          <w:rFonts w:ascii="Sylfaen" w:hAnsi="Sylfaen" w:cs="Times New Roman"/>
          <w:bCs/>
        </w:rPr>
        <w:t xml:space="preserve"> </w:t>
      </w:r>
      <w:r w:rsidR="00477BBB" w:rsidRPr="00477D8F">
        <w:rPr>
          <w:rFonts w:ascii="Sylfaen" w:hAnsi="Sylfaen" w:cs="Times New Roman"/>
          <w:bCs/>
        </w:rPr>
        <w:t>“</w:t>
      </w:r>
      <w:r w:rsidRPr="00477D8F">
        <w:rPr>
          <w:rFonts w:ascii="Sylfaen" w:hAnsi="Sylfaen" w:cs="Times New Roman"/>
          <w:bCs/>
        </w:rPr>
        <w:t>Can Private School Subsidies Increase Enrollment for the Poor? The Quetta Urban Fellowship Program</w:t>
      </w:r>
      <w:r w:rsidR="00477BBB" w:rsidRPr="00477D8F">
        <w:rPr>
          <w:rFonts w:ascii="Sylfaen" w:hAnsi="Sylfaen" w:cs="Times New Roman"/>
          <w:bCs/>
        </w:rPr>
        <w:t>.”</w:t>
      </w:r>
      <w:r w:rsidRPr="00477D8F">
        <w:rPr>
          <w:rFonts w:ascii="Sylfaen" w:hAnsi="Sylfaen" w:cs="Times New Roman"/>
          <w:bCs/>
        </w:rPr>
        <w:t xml:space="preserve"> </w:t>
      </w:r>
      <w:r w:rsidRPr="00477D8F">
        <w:rPr>
          <w:rFonts w:ascii="Sylfaen" w:hAnsi="Sylfaen" w:cs="Times New Roman"/>
          <w:bCs/>
          <w:i/>
        </w:rPr>
        <w:t>World Bank Economic Review</w:t>
      </w:r>
      <w:r w:rsidRPr="00477D8F">
        <w:rPr>
          <w:rFonts w:ascii="Sylfaen" w:hAnsi="Sylfaen" w:cs="Times New Roman"/>
          <w:bCs/>
        </w:rPr>
        <w:t xml:space="preserve"> 13 </w:t>
      </w:r>
      <w:r w:rsidR="00477BBB" w:rsidRPr="00477D8F">
        <w:rPr>
          <w:rFonts w:ascii="Sylfaen" w:hAnsi="Sylfaen" w:cs="Times New Roman"/>
          <w:bCs/>
        </w:rPr>
        <w:t>(</w:t>
      </w:r>
      <w:r w:rsidRPr="00477D8F">
        <w:rPr>
          <w:rFonts w:ascii="Sylfaen" w:hAnsi="Sylfaen" w:cs="Times New Roman"/>
          <w:bCs/>
        </w:rPr>
        <w:t>3</w:t>
      </w:r>
      <w:r w:rsidR="00477BBB" w:rsidRPr="00477D8F">
        <w:rPr>
          <w:rFonts w:ascii="Sylfaen" w:hAnsi="Sylfaen" w:cs="Times New Roman"/>
          <w:bCs/>
        </w:rPr>
        <w:t>):</w:t>
      </w:r>
      <w:r w:rsidRPr="00477D8F">
        <w:rPr>
          <w:rFonts w:ascii="Sylfaen" w:hAnsi="Sylfaen" w:cs="Times New Roman"/>
          <w:bCs/>
        </w:rPr>
        <w:t xml:space="preserve"> 443</w:t>
      </w:r>
      <w:r w:rsidR="00477BBB" w:rsidRPr="00477D8F">
        <w:rPr>
          <w:rFonts w:ascii="Sylfaen" w:hAnsi="Sylfaen" w:cs="Times New Roman"/>
          <w:bCs/>
        </w:rPr>
        <w:t>–</w:t>
      </w:r>
      <w:r w:rsidRPr="00477D8F">
        <w:rPr>
          <w:rFonts w:ascii="Sylfaen" w:hAnsi="Sylfaen" w:cs="Times New Roman"/>
          <w:bCs/>
        </w:rPr>
        <w:t>465</w:t>
      </w:r>
      <w:r w:rsidR="00477BBB" w:rsidRPr="00477D8F">
        <w:rPr>
          <w:rFonts w:ascii="Sylfaen" w:hAnsi="Sylfaen" w:cs="Times New Roman"/>
          <w:bCs/>
        </w:rPr>
        <w:t>.</w:t>
      </w:r>
    </w:p>
    <w:p w14:paraId="148F4C0F" w14:textId="6D5C7379"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Barrera-Osorio, F., D. S. Blakeslee, M. Hoover, L.</w:t>
      </w:r>
      <w:r w:rsidR="00477BBB" w:rsidRPr="00477D8F">
        <w:rPr>
          <w:rFonts w:ascii="Sylfaen" w:hAnsi="Sylfaen" w:cs="Times New Roman"/>
          <w:bCs/>
        </w:rPr>
        <w:t xml:space="preserve"> </w:t>
      </w:r>
      <w:r w:rsidRPr="00477D8F">
        <w:rPr>
          <w:rFonts w:ascii="Sylfaen" w:hAnsi="Sylfaen" w:cs="Times New Roman"/>
          <w:bCs/>
        </w:rPr>
        <w:t>L. Linden, and D. Raju. 2011 “Expanding Educational Opportunities in Remote Parts of the World: Evidence from a RCT of a Public Private Partnership in Pakistan.” Third Institute for the Study of Labor (IZA) Workshop ‘Child Labor in Developing Countries’.</w:t>
      </w:r>
    </w:p>
    <w:p w14:paraId="71F91797" w14:textId="289A334B"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Bruns, B., D. Evans, and J. Luque. 2012. “Achieving World-Class Education in Brazil. The Next Agenda.” World Bank</w:t>
      </w:r>
      <w:r w:rsidR="00477BBB" w:rsidRPr="00477D8F">
        <w:rPr>
          <w:rFonts w:ascii="Sylfaen" w:hAnsi="Sylfaen" w:cs="Times New Roman"/>
          <w:bCs/>
        </w:rPr>
        <w:t>.</w:t>
      </w:r>
      <w:r w:rsidRPr="00477D8F">
        <w:rPr>
          <w:rFonts w:ascii="Sylfaen" w:hAnsi="Sylfaen" w:cs="Times New Roman"/>
          <w:bCs/>
        </w:rPr>
        <w:t xml:space="preserve"> </w:t>
      </w:r>
    </w:p>
    <w:p w14:paraId="6F946C26" w14:textId="77777777" w:rsidR="00F25E59" w:rsidRPr="00477D8F" w:rsidRDefault="00F25E59" w:rsidP="00F25E59">
      <w:pPr>
        <w:spacing w:after="240" w:line="240" w:lineRule="auto"/>
        <w:ind w:left="360" w:hanging="360"/>
        <w:jc w:val="both"/>
        <w:rPr>
          <w:rFonts w:ascii="Sylfaen" w:hAnsi="Sylfaen" w:cs="Times New Roman"/>
          <w:bCs/>
        </w:rPr>
      </w:pPr>
      <w:r w:rsidRPr="00477D8F">
        <w:rPr>
          <w:rFonts w:ascii="Sylfaen" w:hAnsi="Sylfaen" w:cs="Times New Roman"/>
          <w:bCs/>
        </w:rPr>
        <w:t>Bruns, B., A. Mingat, and R. Rakotomalala. 2003. “Achieving Universal Primary Education by 2015: A Chance for Every Child.” World Bank.</w:t>
      </w:r>
    </w:p>
    <w:p w14:paraId="7C0AF875" w14:textId="1C557769"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 xml:space="preserve">Buis, L. M. 2010. “Not </w:t>
      </w:r>
      <w:r w:rsidR="009C7980" w:rsidRPr="00477D8F">
        <w:rPr>
          <w:rFonts w:ascii="Sylfaen" w:hAnsi="Sylfaen" w:cs="Times New Roman"/>
          <w:bCs/>
        </w:rPr>
        <w:t>A</w:t>
      </w:r>
      <w:r w:rsidRPr="00477D8F">
        <w:rPr>
          <w:rFonts w:ascii="Sylfaen" w:hAnsi="Sylfaen" w:cs="Times New Roman"/>
          <w:bCs/>
        </w:rPr>
        <w:t xml:space="preserve">ll </w:t>
      </w:r>
      <w:r w:rsidR="009C7980" w:rsidRPr="00477D8F">
        <w:rPr>
          <w:rFonts w:ascii="Sylfaen" w:hAnsi="Sylfaen" w:cs="Times New Roman"/>
          <w:bCs/>
        </w:rPr>
        <w:t>Transitions Are Equal: The Relationship Between Inequality of Educational Opportunities and Inequality of Educational Outcomes</w:t>
      </w:r>
      <w:r w:rsidRPr="00477D8F">
        <w:rPr>
          <w:rFonts w:ascii="Sylfaen" w:hAnsi="Sylfaen" w:cs="Times New Roman"/>
          <w:bCs/>
        </w:rPr>
        <w:t>.” VU University</w:t>
      </w:r>
      <w:r w:rsidR="00477BBB" w:rsidRPr="00477D8F">
        <w:rPr>
          <w:rFonts w:ascii="Sylfaen" w:hAnsi="Sylfaen" w:cs="Times New Roman"/>
          <w:bCs/>
        </w:rPr>
        <w:t>,</w:t>
      </w:r>
      <w:r w:rsidRPr="00477D8F">
        <w:rPr>
          <w:rFonts w:ascii="Sylfaen" w:hAnsi="Sylfaen" w:cs="Times New Roman"/>
          <w:bCs/>
        </w:rPr>
        <w:t xml:space="preserve"> Amsterdam.</w:t>
      </w:r>
    </w:p>
    <w:p w14:paraId="4BEAA367" w14:textId="77777777"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Demery, L. 2000. “Benefit Incidence: A Practitioner’s Guide, Poverty and Social Development Group Africa Region.” World Bank.</w:t>
      </w:r>
    </w:p>
    <w:p w14:paraId="038B8CD9" w14:textId="4264B003"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Duflo, E., P. Dupas, and M. Kremer. 2011.</w:t>
      </w:r>
      <w:r w:rsidRPr="00477D8F">
        <w:rPr>
          <w:rFonts w:ascii="Sylfaen" w:hAnsi="Sylfaen" w:cs="Times New Roman"/>
          <w:bCs/>
          <w:i/>
          <w:iCs/>
          <w:specVanish/>
        </w:rPr>
        <w:t xml:space="preserve"> </w:t>
      </w:r>
      <w:r w:rsidR="00477BBB" w:rsidRPr="00477D8F">
        <w:rPr>
          <w:rFonts w:ascii="Sylfaen" w:hAnsi="Sylfaen" w:cs="Times New Roman"/>
          <w:bCs/>
        </w:rPr>
        <w:t>“</w:t>
      </w:r>
      <w:r w:rsidRPr="00477D8F">
        <w:rPr>
          <w:rFonts w:ascii="Sylfaen" w:hAnsi="Sylfaen" w:cs="Times New Roman"/>
          <w:bCs/>
        </w:rPr>
        <w:t>Peer Effects, Teacher Incentives, and the Impact of Tracking: Evidence from a Randomized Evaluation in Kenya.</w:t>
      </w:r>
      <w:r w:rsidR="00477BBB" w:rsidRPr="00477D8F">
        <w:rPr>
          <w:rFonts w:ascii="Sylfaen" w:hAnsi="Sylfaen" w:cs="Times New Roman"/>
          <w:bCs/>
        </w:rPr>
        <w:t>”</w:t>
      </w:r>
      <w:r w:rsidRPr="00477D8F">
        <w:rPr>
          <w:rFonts w:ascii="Sylfaen" w:hAnsi="Sylfaen" w:cs="Times New Roman"/>
          <w:bCs/>
          <w:i/>
          <w:iCs/>
          <w:specVanish/>
        </w:rPr>
        <w:t xml:space="preserve"> American Economic Review </w:t>
      </w:r>
      <w:r w:rsidRPr="00477D8F">
        <w:rPr>
          <w:rFonts w:ascii="Sylfaen" w:hAnsi="Sylfaen" w:cs="Times New Roman"/>
          <w:bCs/>
        </w:rPr>
        <w:t>101</w:t>
      </w:r>
      <w:r w:rsidR="00477BBB" w:rsidRPr="00477D8F">
        <w:rPr>
          <w:rFonts w:ascii="Sylfaen" w:hAnsi="Sylfaen" w:cs="Times New Roman"/>
          <w:bCs/>
        </w:rPr>
        <w:t xml:space="preserve"> </w:t>
      </w:r>
      <w:r w:rsidRPr="00477D8F">
        <w:rPr>
          <w:rFonts w:ascii="Sylfaen" w:hAnsi="Sylfaen" w:cs="Times New Roman"/>
          <w:bCs/>
        </w:rPr>
        <w:t>(5): 1739</w:t>
      </w:r>
      <w:r w:rsidR="00477BBB" w:rsidRPr="00477D8F">
        <w:rPr>
          <w:rFonts w:ascii="Sylfaen" w:hAnsi="Sylfaen" w:cs="Times New Roman"/>
          <w:bCs/>
        </w:rPr>
        <w:t>–</w:t>
      </w:r>
      <w:r w:rsidRPr="00477D8F">
        <w:rPr>
          <w:rFonts w:ascii="Sylfaen" w:hAnsi="Sylfaen" w:cs="Times New Roman"/>
          <w:bCs/>
        </w:rPr>
        <w:t>74.</w:t>
      </w:r>
    </w:p>
    <w:p w14:paraId="1BA71FED" w14:textId="08FD453B" w:rsidR="00705D2D" w:rsidRPr="00477D8F" w:rsidRDefault="00F25E59" w:rsidP="00705D2D">
      <w:pPr>
        <w:spacing w:after="240" w:line="240" w:lineRule="auto"/>
        <w:ind w:left="360" w:hanging="360"/>
        <w:jc w:val="both"/>
        <w:rPr>
          <w:rFonts w:ascii="Sylfaen" w:hAnsi="Sylfaen" w:cs="Times New Roman"/>
          <w:bCs/>
        </w:rPr>
      </w:pPr>
      <w:r w:rsidRPr="00477D8F">
        <w:rPr>
          <w:rFonts w:ascii="Sylfaen" w:hAnsi="Sylfaen" w:cs="Times New Roman"/>
          <w:bCs/>
        </w:rPr>
        <w:t>———</w:t>
      </w:r>
      <w:r w:rsidR="00705D2D" w:rsidRPr="00477D8F">
        <w:rPr>
          <w:rFonts w:ascii="Sylfaen" w:hAnsi="Sylfaen" w:cs="Times New Roman"/>
          <w:bCs/>
        </w:rPr>
        <w:t>. 2012.</w:t>
      </w:r>
      <w:r w:rsidR="00272695" w:rsidRPr="00477D8F">
        <w:rPr>
          <w:rFonts w:ascii="Sylfaen" w:hAnsi="Sylfaen" w:cs="Times New Roman"/>
          <w:bCs/>
        </w:rPr>
        <w:t xml:space="preserve"> </w:t>
      </w:r>
      <w:r w:rsidR="00705D2D" w:rsidRPr="00477D8F">
        <w:rPr>
          <w:rFonts w:ascii="Sylfaen" w:hAnsi="Sylfaen" w:cs="Times New Roman"/>
          <w:bCs/>
        </w:rPr>
        <w:t xml:space="preserve">“School Governance, Teacher Incentives, and Pupil Teacher </w:t>
      </w:r>
      <w:r w:rsidR="00E84C62" w:rsidRPr="00477D8F">
        <w:rPr>
          <w:rFonts w:ascii="Sylfaen" w:hAnsi="Sylfaen" w:cs="Times New Roman"/>
          <w:bCs/>
        </w:rPr>
        <w:t>R</w:t>
      </w:r>
      <w:r w:rsidR="00705D2D" w:rsidRPr="00477D8F">
        <w:rPr>
          <w:rFonts w:ascii="Sylfaen" w:hAnsi="Sylfaen" w:cs="Times New Roman"/>
          <w:bCs/>
        </w:rPr>
        <w:t xml:space="preserve">atios: Experimental Evidence from Kenyan </w:t>
      </w:r>
      <w:r w:rsidR="00477BBB" w:rsidRPr="00477D8F">
        <w:rPr>
          <w:rFonts w:ascii="Sylfaen" w:hAnsi="Sylfaen" w:cs="Times New Roman"/>
          <w:bCs/>
        </w:rPr>
        <w:t>P</w:t>
      </w:r>
      <w:r w:rsidR="00705D2D" w:rsidRPr="00477D8F">
        <w:rPr>
          <w:rFonts w:ascii="Sylfaen" w:hAnsi="Sylfaen" w:cs="Times New Roman"/>
          <w:bCs/>
        </w:rPr>
        <w:t xml:space="preserve">rimary </w:t>
      </w:r>
      <w:r w:rsidR="00477BBB" w:rsidRPr="00477D8F">
        <w:rPr>
          <w:rFonts w:ascii="Sylfaen" w:hAnsi="Sylfaen" w:cs="Times New Roman"/>
          <w:bCs/>
        </w:rPr>
        <w:t>S</w:t>
      </w:r>
      <w:r w:rsidR="00705D2D" w:rsidRPr="00477D8F">
        <w:rPr>
          <w:rFonts w:ascii="Sylfaen" w:hAnsi="Sylfaen" w:cs="Times New Roman"/>
          <w:bCs/>
        </w:rPr>
        <w:t>chools.</w:t>
      </w:r>
      <w:r w:rsidR="00477BBB" w:rsidRPr="00477D8F">
        <w:rPr>
          <w:rFonts w:ascii="Sylfaen" w:hAnsi="Sylfaen" w:cs="Times New Roman"/>
          <w:bCs/>
        </w:rPr>
        <w:t>”</w:t>
      </w:r>
      <w:r w:rsidR="00705D2D" w:rsidRPr="00477D8F">
        <w:rPr>
          <w:rFonts w:ascii="Sylfaen" w:hAnsi="Sylfaen" w:cs="Times New Roman"/>
          <w:bCs/>
        </w:rPr>
        <w:t xml:space="preserve"> National Bureau of Economic Research Working Paper 17939</w:t>
      </w:r>
      <w:r w:rsidR="009C7980" w:rsidRPr="00477D8F">
        <w:rPr>
          <w:rFonts w:ascii="Sylfaen" w:hAnsi="Sylfaen" w:cs="Times New Roman"/>
          <w:bCs/>
        </w:rPr>
        <w:t>,</w:t>
      </w:r>
      <w:r w:rsidR="00705D2D" w:rsidRPr="00477D8F">
        <w:rPr>
          <w:rFonts w:ascii="Sylfaen" w:hAnsi="Sylfaen" w:cs="Times New Roman"/>
          <w:bCs/>
        </w:rPr>
        <w:t xml:space="preserve"> </w:t>
      </w:r>
      <w:r w:rsidR="00477BBB" w:rsidRPr="00477D8F">
        <w:rPr>
          <w:rFonts w:ascii="Sylfaen" w:hAnsi="Sylfaen" w:cs="Times New Roman"/>
          <w:bCs/>
        </w:rPr>
        <w:t xml:space="preserve">National Bureau of Economic Research, </w:t>
      </w:r>
      <w:r w:rsidR="00705D2D" w:rsidRPr="00477D8F">
        <w:rPr>
          <w:rFonts w:ascii="Sylfaen" w:hAnsi="Sylfaen" w:cs="Times New Roman"/>
          <w:bCs/>
        </w:rPr>
        <w:t>Cambridge, MA.</w:t>
      </w:r>
    </w:p>
    <w:p w14:paraId="5C94EEF4" w14:textId="3DFF615F"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Filmer, D., and N. Schady. 2006. “Getting Girls into School: Evidence from a Scholarship Program</w:t>
      </w:r>
      <w:r w:rsidR="00477BBB" w:rsidRPr="00477D8F">
        <w:rPr>
          <w:rFonts w:ascii="Sylfaen" w:hAnsi="Sylfaen" w:cs="Times New Roman"/>
          <w:bCs/>
        </w:rPr>
        <w:t xml:space="preserve"> </w:t>
      </w:r>
      <w:r w:rsidRPr="00477D8F">
        <w:rPr>
          <w:rFonts w:ascii="Sylfaen" w:hAnsi="Sylfaen" w:cs="Times New Roman"/>
          <w:bCs/>
        </w:rPr>
        <w:t>in Cambodia.” World Bank.</w:t>
      </w:r>
    </w:p>
    <w:p w14:paraId="589FE892" w14:textId="76288D1F"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 xml:space="preserve">Fox, J. 1997. </w:t>
      </w:r>
      <w:r w:rsidRPr="00477D8F">
        <w:rPr>
          <w:rFonts w:ascii="Sylfaen" w:hAnsi="Sylfaen" w:cs="Times New Roman"/>
          <w:bCs/>
          <w:i/>
        </w:rPr>
        <w:t xml:space="preserve">Applied </w:t>
      </w:r>
      <w:r w:rsidR="00477BBB" w:rsidRPr="00477D8F">
        <w:rPr>
          <w:rFonts w:ascii="Sylfaen" w:hAnsi="Sylfaen" w:cs="Times New Roman"/>
          <w:bCs/>
          <w:i/>
        </w:rPr>
        <w:t>R</w:t>
      </w:r>
      <w:r w:rsidRPr="00477D8F">
        <w:rPr>
          <w:rFonts w:ascii="Sylfaen" w:hAnsi="Sylfaen" w:cs="Times New Roman"/>
          <w:bCs/>
          <w:i/>
        </w:rPr>
        <w:t xml:space="preserve">egression </w:t>
      </w:r>
      <w:r w:rsidR="00477BBB" w:rsidRPr="00477D8F">
        <w:rPr>
          <w:rFonts w:ascii="Sylfaen" w:hAnsi="Sylfaen" w:cs="Times New Roman"/>
          <w:bCs/>
          <w:i/>
        </w:rPr>
        <w:t>A</w:t>
      </w:r>
      <w:r w:rsidRPr="00477D8F">
        <w:rPr>
          <w:rFonts w:ascii="Sylfaen" w:hAnsi="Sylfaen" w:cs="Times New Roman"/>
          <w:bCs/>
          <w:i/>
        </w:rPr>
        <w:t xml:space="preserve">nalysis, </w:t>
      </w:r>
      <w:r w:rsidR="00477BBB" w:rsidRPr="00477D8F">
        <w:rPr>
          <w:rFonts w:ascii="Sylfaen" w:hAnsi="Sylfaen" w:cs="Times New Roman"/>
          <w:bCs/>
          <w:i/>
        </w:rPr>
        <w:t>L</w:t>
      </w:r>
      <w:r w:rsidRPr="00477D8F">
        <w:rPr>
          <w:rFonts w:ascii="Sylfaen" w:hAnsi="Sylfaen" w:cs="Times New Roman"/>
          <w:bCs/>
          <w:i/>
        </w:rPr>
        <w:t xml:space="preserve">inear </w:t>
      </w:r>
      <w:r w:rsidR="00477BBB" w:rsidRPr="00477D8F">
        <w:rPr>
          <w:rFonts w:ascii="Sylfaen" w:hAnsi="Sylfaen" w:cs="Times New Roman"/>
          <w:bCs/>
          <w:i/>
        </w:rPr>
        <w:t>M</w:t>
      </w:r>
      <w:r w:rsidRPr="00477D8F">
        <w:rPr>
          <w:rFonts w:ascii="Sylfaen" w:hAnsi="Sylfaen" w:cs="Times New Roman"/>
          <w:bCs/>
          <w:i/>
        </w:rPr>
        <w:t xml:space="preserve">odels, and </w:t>
      </w:r>
      <w:r w:rsidR="00477BBB" w:rsidRPr="00477D8F">
        <w:rPr>
          <w:rFonts w:ascii="Sylfaen" w:hAnsi="Sylfaen" w:cs="Times New Roman"/>
          <w:bCs/>
          <w:i/>
        </w:rPr>
        <w:t>R</w:t>
      </w:r>
      <w:r w:rsidRPr="00477D8F">
        <w:rPr>
          <w:rFonts w:ascii="Sylfaen" w:hAnsi="Sylfaen" w:cs="Times New Roman"/>
          <w:bCs/>
          <w:i/>
        </w:rPr>
        <w:t xml:space="preserve">elated </w:t>
      </w:r>
      <w:r w:rsidR="00477BBB" w:rsidRPr="00477D8F">
        <w:rPr>
          <w:rFonts w:ascii="Sylfaen" w:hAnsi="Sylfaen" w:cs="Times New Roman"/>
          <w:bCs/>
          <w:i/>
        </w:rPr>
        <w:t>M</w:t>
      </w:r>
      <w:r w:rsidRPr="00477D8F">
        <w:rPr>
          <w:rFonts w:ascii="Sylfaen" w:hAnsi="Sylfaen" w:cs="Times New Roman"/>
          <w:bCs/>
          <w:i/>
        </w:rPr>
        <w:t>ethods</w:t>
      </w:r>
      <w:r w:rsidRPr="00477D8F">
        <w:rPr>
          <w:rFonts w:ascii="Sylfaen" w:hAnsi="Sylfaen" w:cs="Times New Roman"/>
          <w:bCs/>
        </w:rPr>
        <w:t>. Thousand Oaks, CA: Sage.</w:t>
      </w:r>
    </w:p>
    <w:p w14:paraId="5C9048A3" w14:textId="7E473B48"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Gertler, P. J., M. Rubio-Codina, and H.</w:t>
      </w:r>
      <w:r w:rsidR="00477BBB" w:rsidRPr="00477D8F">
        <w:rPr>
          <w:rFonts w:ascii="Sylfaen" w:hAnsi="Sylfaen" w:cs="Times New Roman"/>
          <w:bCs/>
        </w:rPr>
        <w:t xml:space="preserve"> </w:t>
      </w:r>
      <w:r w:rsidRPr="00477D8F">
        <w:rPr>
          <w:rFonts w:ascii="Sylfaen" w:hAnsi="Sylfaen" w:cs="Times New Roman"/>
          <w:bCs/>
        </w:rPr>
        <w:t>A. Patrinos. 2006. “</w:t>
      </w:r>
      <w:r w:rsidRPr="00477D8F">
        <w:rPr>
          <w:rFonts w:ascii="Sylfaen" w:hAnsi="Sylfaen" w:cs="Times New Roman"/>
          <w:bCs/>
          <w:iCs/>
        </w:rPr>
        <w:t xml:space="preserve">Empowering </w:t>
      </w:r>
      <w:r w:rsidR="00477BBB" w:rsidRPr="00477D8F">
        <w:rPr>
          <w:rFonts w:ascii="Sylfaen" w:hAnsi="Sylfaen" w:cs="Times New Roman"/>
          <w:bCs/>
          <w:iCs/>
        </w:rPr>
        <w:t>P</w:t>
      </w:r>
      <w:r w:rsidRPr="00477D8F">
        <w:rPr>
          <w:rFonts w:ascii="Sylfaen" w:hAnsi="Sylfaen" w:cs="Times New Roman"/>
          <w:bCs/>
          <w:iCs/>
        </w:rPr>
        <w:t xml:space="preserve">arents to </w:t>
      </w:r>
      <w:r w:rsidR="00477BBB" w:rsidRPr="00477D8F">
        <w:rPr>
          <w:rFonts w:ascii="Sylfaen" w:hAnsi="Sylfaen" w:cs="Times New Roman"/>
          <w:bCs/>
          <w:iCs/>
        </w:rPr>
        <w:t>I</w:t>
      </w:r>
      <w:r w:rsidRPr="00477D8F">
        <w:rPr>
          <w:rFonts w:ascii="Sylfaen" w:hAnsi="Sylfaen" w:cs="Times New Roman"/>
          <w:bCs/>
          <w:iCs/>
        </w:rPr>
        <w:t xml:space="preserve">mprove </w:t>
      </w:r>
      <w:r w:rsidR="00477BBB" w:rsidRPr="00477D8F">
        <w:rPr>
          <w:rFonts w:ascii="Sylfaen" w:hAnsi="Sylfaen" w:cs="Times New Roman"/>
          <w:bCs/>
          <w:iCs/>
        </w:rPr>
        <w:t>E</w:t>
      </w:r>
      <w:r w:rsidRPr="00477D8F">
        <w:rPr>
          <w:rFonts w:ascii="Sylfaen" w:hAnsi="Sylfaen" w:cs="Times New Roman"/>
          <w:bCs/>
          <w:iCs/>
        </w:rPr>
        <w:t xml:space="preserve">ducation: Evidence from </w:t>
      </w:r>
      <w:r w:rsidR="00477BBB" w:rsidRPr="00477D8F">
        <w:rPr>
          <w:rFonts w:ascii="Sylfaen" w:hAnsi="Sylfaen" w:cs="Times New Roman"/>
          <w:bCs/>
          <w:iCs/>
        </w:rPr>
        <w:t>R</w:t>
      </w:r>
      <w:r w:rsidRPr="00477D8F">
        <w:rPr>
          <w:rFonts w:ascii="Sylfaen" w:hAnsi="Sylfaen" w:cs="Times New Roman"/>
          <w:bCs/>
          <w:iCs/>
        </w:rPr>
        <w:t>ural Mexico</w:t>
      </w:r>
      <w:r w:rsidRPr="00477D8F">
        <w:rPr>
          <w:rFonts w:ascii="Sylfaen" w:hAnsi="Sylfaen" w:cs="Times New Roman"/>
          <w:bCs/>
        </w:rPr>
        <w:t>.” World Bank Policy Research Working Paper 3935</w:t>
      </w:r>
      <w:r w:rsidR="00477BBB" w:rsidRPr="00477D8F">
        <w:rPr>
          <w:rFonts w:ascii="Sylfaen" w:hAnsi="Sylfaen" w:cs="Times New Roman"/>
          <w:bCs/>
        </w:rPr>
        <w:t>.</w:t>
      </w:r>
    </w:p>
    <w:p w14:paraId="263F8BE7" w14:textId="64F942D0"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Gillespie, W. I. 1965. “Public Expenditures and Income Distribution</w:t>
      </w:r>
      <w:r w:rsidR="00477BBB" w:rsidRPr="00477D8F">
        <w:rPr>
          <w:rFonts w:ascii="Sylfaen" w:hAnsi="Sylfaen" w:cs="Times New Roman"/>
          <w:bCs/>
        </w:rPr>
        <w:t>.</w:t>
      </w:r>
      <w:r w:rsidRPr="00477D8F">
        <w:rPr>
          <w:rFonts w:ascii="Sylfaen" w:hAnsi="Sylfaen" w:cs="Times New Roman"/>
          <w:bCs/>
        </w:rPr>
        <w:t xml:space="preserve">” </w:t>
      </w:r>
      <w:r w:rsidR="00477BBB" w:rsidRPr="00477D8F">
        <w:rPr>
          <w:rFonts w:ascii="Sylfaen" w:hAnsi="Sylfaen" w:cs="Times New Roman"/>
          <w:bCs/>
        </w:rPr>
        <w:t>I</w:t>
      </w:r>
      <w:r w:rsidRPr="00477D8F">
        <w:rPr>
          <w:rFonts w:ascii="Sylfaen" w:hAnsi="Sylfaen" w:cs="Times New Roman"/>
          <w:bCs/>
        </w:rPr>
        <w:t xml:space="preserve">n </w:t>
      </w:r>
      <w:r w:rsidRPr="00477D8F">
        <w:rPr>
          <w:rFonts w:ascii="Sylfaen" w:hAnsi="Sylfaen" w:cs="Times New Roman"/>
          <w:bCs/>
          <w:i/>
        </w:rPr>
        <w:t>Essays in Fiscal Federalism</w:t>
      </w:r>
      <w:r w:rsidRPr="00477D8F">
        <w:rPr>
          <w:rFonts w:ascii="Sylfaen" w:hAnsi="Sylfaen" w:cs="Times New Roman"/>
          <w:bCs/>
        </w:rPr>
        <w:t xml:space="preserve">, </w:t>
      </w:r>
      <w:r w:rsidR="00477BBB" w:rsidRPr="00477D8F">
        <w:rPr>
          <w:rFonts w:ascii="Sylfaen" w:hAnsi="Sylfaen" w:cs="Times New Roman"/>
          <w:bCs/>
        </w:rPr>
        <w:t xml:space="preserve">edited </w:t>
      </w:r>
      <w:r w:rsidRPr="00477D8F">
        <w:rPr>
          <w:rFonts w:ascii="Sylfaen" w:hAnsi="Sylfaen" w:cs="Times New Roman"/>
          <w:bCs/>
        </w:rPr>
        <w:t>by Richard Musgrave. Washington</w:t>
      </w:r>
      <w:r w:rsidR="00477BBB" w:rsidRPr="00477D8F">
        <w:rPr>
          <w:rFonts w:ascii="Sylfaen" w:hAnsi="Sylfaen" w:cs="Times New Roman"/>
          <w:bCs/>
        </w:rPr>
        <w:t>, DC</w:t>
      </w:r>
      <w:r w:rsidRPr="00477D8F">
        <w:rPr>
          <w:rFonts w:ascii="Sylfaen" w:hAnsi="Sylfaen" w:cs="Times New Roman"/>
          <w:bCs/>
        </w:rPr>
        <w:t>: Brookings Institute.</w:t>
      </w:r>
    </w:p>
    <w:p w14:paraId="4A7BF517" w14:textId="1349EDB0"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lastRenderedPageBreak/>
        <w:t>Glewwe, P.</w:t>
      </w:r>
      <w:r w:rsidR="008640A4" w:rsidRPr="00477D8F">
        <w:rPr>
          <w:rFonts w:ascii="Sylfaen" w:hAnsi="Sylfaen" w:cs="Times New Roman"/>
          <w:bCs/>
        </w:rPr>
        <w:t>,</w:t>
      </w:r>
      <w:r w:rsidRPr="00477D8F">
        <w:rPr>
          <w:rFonts w:ascii="Sylfaen" w:hAnsi="Sylfaen" w:cs="Times New Roman"/>
          <w:bCs/>
        </w:rPr>
        <w:t xml:space="preserve"> and </w:t>
      </w:r>
      <w:r w:rsidR="008640A4" w:rsidRPr="00477D8F">
        <w:rPr>
          <w:rFonts w:ascii="Sylfaen" w:hAnsi="Sylfaen" w:cs="Times New Roman"/>
          <w:bCs/>
        </w:rPr>
        <w:t xml:space="preserve">A. </w:t>
      </w:r>
      <w:r w:rsidRPr="00477D8F">
        <w:rPr>
          <w:rFonts w:ascii="Sylfaen" w:hAnsi="Sylfaen" w:cs="Times New Roman"/>
          <w:bCs/>
        </w:rPr>
        <w:t xml:space="preserve">Kassouf. 2012. “The </w:t>
      </w:r>
      <w:r w:rsidR="008640A4" w:rsidRPr="00477D8F">
        <w:rPr>
          <w:rFonts w:ascii="Sylfaen" w:hAnsi="Sylfaen" w:cs="Times New Roman"/>
          <w:bCs/>
        </w:rPr>
        <w:t>I</w:t>
      </w:r>
      <w:r w:rsidRPr="00477D8F">
        <w:rPr>
          <w:rFonts w:ascii="Sylfaen" w:hAnsi="Sylfaen" w:cs="Times New Roman"/>
          <w:bCs/>
        </w:rPr>
        <w:t xml:space="preserve">mpact of the Bolsa Escola/Família </w:t>
      </w:r>
      <w:r w:rsidR="008640A4" w:rsidRPr="00477D8F">
        <w:rPr>
          <w:rFonts w:ascii="Sylfaen" w:hAnsi="Sylfaen" w:cs="Times New Roman"/>
          <w:bCs/>
        </w:rPr>
        <w:t>C</w:t>
      </w:r>
      <w:r w:rsidRPr="00477D8F">
        <w:rPr>
          <w:rFonts w:ascii="Sylfaen" w:hAnsi="Sylfaen" w:cs="Times New Roman"/>
          <w:bCs/>
        </w:rPr>
        <w:t xml:space="preserve">onditional </w:t>
      </w:r>
      <w:r w:rsidR="00DA612F" w:rsidRPr="00477D8F">
        <w:rPr>
          <w:rFonts w:ascii="Sylfaen" w:hAnsi="Sylfaen" w:cs="Times New Roman"/>
          <w:bCs/>
        </w:rPr>
        <w:t>C</w:t>
      </w:r>
      <w:r w:rsidRPr="00477D8F">
        <w:rPr>
          <w:rFonts w:ascii="Sylfaen" w:hAnsi="Sylfaen" w:cs="Times New Roman"/>
          <w:bCs/>
        </w:rPr>
        <w:t xml:space="preserve">ash </w:t>
      </w:r>
      <w:r w:rsidR="00DA612F" w:rsidRPr="00477D8F">
        <w:rPr>
          <w:rFonts w:ascii="Sylfaen" w:hAnsi="Sylfaen" w:cs="Times New Roman"/>
          <w:bCs/>
        </w:rPr>
        <w:t>T</w:t>
      </w:r>
      <w:r w:rsidRPr="00477D8F">
        <w:rPr>
          <w:rFonts w:ascii="Sylfaen" w:hAnsi="Sylfaen" w:cs="Times New Roman"/>
          <w:bCs/>
        </w:rPr>
        <w:t xml:space="preserve">ransfer </w:t>
      </w:r>
      <w:r w:rsidR="00DA612F" w:rsidRPr="00477D8F">
        <w:rPr>
          <w:rFonts w:ascii="Sylfaen" w:hAnsi="Sylfaen" w:cs="Times New Roman"/>
          <w:bCs/>
        </w:rPr>
        <w:t>P</w:t>
      </w:r>
      <w:r w:rsidRPr="00477D8F">
        <w:rPr>
          <w:rFonts w:ascii="Sylfaen" w:hAnsi="Sylfaen" w:cs="Times New Roman"/>
          <w:bCs/>
        </w:rPr>
        <w:t xml:space="preserve">rogram on </w:t>
      </w:r>
      <w:r w:rsidR="00DA612F" w:rsidRPr="00477D8F">
        <w:rPr>
          <w:rFonts w:ascii="Sylfaen" w:hAnsi="Sylfaen" w:cs="Times New Roman"/>
          <w:bCs/>
        </w:rPr>
        <w:t>E</w:t>
      </w:r>
      <w:r w:rsidRPr="00477D8F">
        <w:rPr>
          <w:rFonts w:ascii="Sylfaen" w:hAnsi="Sylfaen" w:cs="Times New Roman"/>
          <w:bCs/>
        </w:rPr>
        <w:t xml:space="preserve">nrollment, </w:t>
      </w:r>
      <w:r w:rsidR="00DA612F" w:rsidRPr="00477D8F">
        <w:rPr>
          <w:rFonts w:ascii="Sylfaen" w:hAnsi="Sylfaen" w:cs="Times New Roman"/>
          <w:bCs/>
        </w:rPr>
        <w:t>D</w:t>
      </w:r>
      <w:r w:rsidRPr="00477D8F">
        <w:rPr>
          <w:rFonts w:ascii="Sylfaen" w:hAnsi="Sylfaen" w:cs="Times New Roman"/>
          <w:bCs/>
        </w:rPr>
        <w:t xml:space="preserve">ropout </w:t>
      </w:r>
      <w:r w:rsidR="00DA612F" w:rsidRPr="00477D8F">
        <w:rPr>
          <w:rFonts w:ascii="Sylfaen" w:hAnsi="Sylfaen" w:cs="Times New Roman"/>
          <w:bCs/>
        </w:rPr>
        <w:t>R</w:t>
      </w:r>
      <w:r w:rsidRPr="00477D8F">
        <w:rPr>
          <w:rFonts w:ascii="Sylfaen" w:hAnsi="Sylfaen" w:cs="Times New Roman"/>
          <w:bCs/>
        </w:rPr>
        <w:t xml:space="preserve">ates and </w:t>
      </w:r>
      <w:r w:rsidR="00DA612F" w:rsidRPr="00477D8F">
        <w:rPr>
          <w:rFonts w:ascii="Sylfaen" w:hAnsi="Sylfaen" w:cs="Times New Roman"/>
          <w:bCs/>
        </w:rPr>
        <w:t>G</w:t>
      </w:r>
      <w:r w:rsidRPr="00477D8F">
        <w:rPr>
          <w:rFonts w:ascii="Sylfaen" w:hAnsi="Sylfaen" w:cs="Times New Roman"/>
          <w:bCs/>
        </w:rPr>
        <w:t xml:space="preserve">rade </w:t>
      </w:r>
      <w:r w:rsidR="00DA612F" w:rsidRPr="00477D8F">
        <w:rPr>
          <w:rFonts w:ascii="Sylfaen" w:hAnsi="Sylfaen" w:cs="Times New Roman"/>
          <w:bCs/>
        </w:rPr>
        <w:t>P</w:t>
      </w:r>
      <w:r w:rsidRPr="00477D8F">
        <w:rPr>
          <w:rFonts w:ascii="Sylfaen" w:hAnsi="Sylfaen" w:cs="Times New Roman"/>
          <w:bCs/>
        </w:rPr>
        <w:t xml:space="preserve">romotion in Brazil.” </w:t>
      </w:r>
      <w:r w:rsidRPr="00477D8F">
        <w:rPr>
          <w:rFonts w:ascii="Sylfaen" w:hAnsi="Sylfaen" w:cs="Times New Roman"/>
          <w:bCs/>
          <w:i/>
        </w:rPr>
        <w:t>Journal of Development Economics</w:t>
      </w:r>
      <w:r w:rsidRPr="00477D8F">
        <w:rPr>
          <w:rFonts w:ascii="Sylfaen" w:hAnsi="Sylfaen" w:cs="Times New Roman"/>
          <w:bCs/>
        </w:rPr>
        <w:t xml:space="preserve"> 97</w:t>
      </w:r>
      <w:r w:rsidR="00DA612F" w:rsidRPr="00477D8F">
        <w:rPr>
          <w:rFonts w:ascii="Sylfaen" w:hAnsi="Sylfaen" w:cs="Times New Roman"/>
          <w:bCs/>
        </w:rPr>
        <w:t xml:space="preserve"> </w:t>
      </w:r>
      <w:r w:rsidRPr="00477D8F">
        <w:rPr>
          <w:rFonts w:ascii="Sylfaen" w:hAnsi="Sylfaen" w:cs="Times New Roman"/>
          <w:bCs/>
        </w:rPr>
        <w:t>(2)</w:t>
      </w:r>
      <w:r w:rsidR="00743494" w:rsidRPr="00477D8F">
        <w:rPr>
          <w:rFonts w:ascii="Sylfaen" w:hAnsi="Sylfaen" w:cs="Times New Roman"/>
          <w:bCs/>
        </w:rPr>
        <w:t>:</w:t>
      </w:r>
      <w:r w:rsidRPr="00477D8F">
        <w:rPr>
          <w:rFonts w:ascii="Sylfaen" w:hAnsi="Sylfaen" w:cs="Times New Roman"/>
          <w:bCs/>
        </w:rPr>
        <w:t xml:space="preserve"> 505</w:t>
      </w:r>
      <w:r w:rsidR="00743494" w:rsidRPr="00477D8F">
        <w:rPr>
          <w:rFonts w:ascii="Sylfaen" w:hAnsi="Sylfaen" w:cs="Times New Roman"/>
          <w:bCs/>
        </w:rPr>
        <w:t>–</w:t>
      </w:r>
      <w:r w:rsidRPr="00477D8F">
        <w:rPr>
          <w:rFonts w:ascii="Sylfaen" w:hAnsi="Sylfaen" w:cs="Times New Roman"/>
          <w:bCs/>
        </w:rPr>
        <w:t>517</w:t>
      </w:r>
      <w:r w:rsidR="00743494" w:rsidRPr="00477D8F">
        <w:rPr>
          <w:rFonts w:ascii="Sylfaen" w:hAnsi="Sylfaen" w:cs="Times New Roman"/>
          <w:bCs/>
        </w:rPr>
        <w:t>.</w:t>
      </w:r>
    </w:p>
    <w:p w14:paraId="10763FEF" w14:textId="3C54D0FA"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 xml:space="preserve">Glewwe, P., M. Kremer, and S. Moulin. 2009. “Many </w:t>
      </w:r>
      <w:r w:rsidR="00743494" w:rsidRPr="00477D8F">
        <w:rPr>
          <w:rFonts w:ascii="Sylfaen" w:hAnsi="Sylfaen" w:cs="Times New Roman"/>
          <w:bCs/>
        </w:rPr>
        <w:t>C</w:t>
      </w:r>
      <w:r w:rsidRPr="00477D8F">
        <w:rPr>
          <w:rFonts w:ascii="Sylfaen" w:hAnsi="Sylfaen" w:cs="Times New Roman"/>
          <w:bCs/>
        </w:rPr>
        <w:t xml:space="preserve">hildren </w:t>
      </w:r>
      <w:r w:rsidR="00743494" w:rsidRPr="00477D8F">
        <w:rPr>
          <w:rFonts w:ascii="Sylfaen" w:hAnsi="Sylfaen" w:cs="Times New Roman"/>
          <w:bCs/>
        </w:rPr>
        <w:t>L</w:t>
      </w:r>
      <w:r w:rsidRPr="00477D8F">
        <w:rPr>
          <w:rFonts w:ascii="Sylfaen" w:hAnsi="Sylfaen" w:cs="Times New Roman"/>
          <w:bCs/>
        </w:rPr>
        <w:t xml:space="preserve">eft </w:t>
      </w:r>
      <w:r w:rsidR="00743494" w:rsidRPr="00477D8F">
        <w:rPr>
          <w:rFonts w:ascii="Sylfaen" w:hAnsi="Sylfaen" w:cs="Times New Roman"/>
          <w:bCs/>
        </w:rPr>
        <w:t>B</w:t>
      </w:r>
      <w:r w:rsidRPr="00477D8F">
        <w:rPr>
          <w:rFonts w:ascii="Sylfaen" w:hAnsi="Sylfaen" w:cs="Times New Roman"/>
          <w:bCs/>
        </w:rPr>
        <w:t xml:space="preserve">ehind? Textbooks and </w:t>
      </w:r>
      <w:r w:rsidR="00743494" w:rsidRPr="00477D8F">
        <w:rPr>
          <w:rFonts w:ascii="Sylfaen" w:hAnsi="Sylfaen" w:cs="Times New Roman"/>
          <w:bCs/>
        </w:rPr>
        <w:t>T</w:t>
      </w:r>
      <w:r w:rsidRPr="00477D8F">
        <w:rPr>
          <w:rFonts w:ascii="Sylfaen" w:hAnsi="Sylfaen" w:cs="Times New Roman"/>
          <w:bCs/>
        </w:rPr>
        <w:t xml:space="preserve">est </w:t>
      </w:r>
      <w:r w:rsidR="00743494" w:rsidRPr="00477D8F">
        <w:rPr>
          <w:rFonts w:ascii="Sylfaen" w:hAnsi="Sylfaen" w:cs="Times New Roman"/>
          <w:bCs/>
        </w:rPr>
        <w:t>S</w:t>
      </w:r>
      <w:r w:rsidRPr="00477D8F">
        <w:rPr>
          <w:rFonts w:ascii="Sylfaen" w:hAnsi="Sylfaen" w:cs="Times New Roman"/>
          <w:bCs/>
        </w:rPr>
        <w:t xml:space="preserve">cores in Kenya.” </w:t>
      </w:r>
      <w:r w:rsidRPr="00477D8F">
        <w:rPr>
          <w:rFonts w:ascii="Sylfaen" w:hAnsi="Sylfaen" w:cs="Times New Roman"/>
          <w:bCs/>
          <w:i/>
        </w:rPr>
        <w:t>American Economic Journal: Applied Economics</w:t>
      </w:r>
      <w:r w:rsidRPr="00477D8F">
        <w:rPr>
          <w:rFonts w:ascii="Sylfaen" w:hAnsi="Sylfaen" w:cs="Times New Roman"/>
          <w:bCs/>
        </w:rPr>
        <w:t xml:space="preserve"> 1</w:t>
      </w:r>
      <w:r w:rsidR="00743494" w:rsidRPr="00477D8F">
        <w:rPr>
          <w:rFonts w:ascii="Sylfaen" w:hAnsi="Sylfaen" w:cs="Times New Roman"/>
          <w:bCs/>
        </w:rPr>
        <w:t>:</w:t>
      </w:r>
      <w:r w:rsidRPr="00477D8F">
        <w:rPr>
          <w:rFonts w:ascii="Sylfaen" w:hAnsi="Sylfaen" w:cs="Times New Roman"/>
          <w:bCs/>
        </w:rPr>
        <w:t xml:space="preserve"> 112–135.</w:t>
      </w:r>
    </w:p>
    <w:p w14:paraId="237F7FBB" w14:textId="1CE1E9F4"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Gunnarsson, L. V., P. Orazem, M. Sanchez, and A. Verdisco. 2004. “Does School Decentralization Raise Student Outcomes? Theory and Evidence on the Roles of School Autonomy and Community Participation.” Working Paper 04005, Department of Economics</w:t>
      </w:r>
      <w:r w:rsidR="00743494" w:rsidRPr="00477D8F">
        <w:rPr>
          <w:rFonts w:ascii="Sylfaen" w:hAnsi="Sylfaen" w:cs="Times New Roman"/>
          <w:bCs/>
        </w:rPr>
        <w:t>, Iowa Stata University</w:t>
      </w:r>
      <w:r w:rsidRPr="00477D8F">
        <w:rPr>
          <w:rFonts w:ascii="Sylfaen" w:hAnsi="Sylfaen" w:cs="Times New Roman"/>
          <w:bCs/>
        </w:rPr>
        <w:t>.</w:t>
      </w:r>
    </w:p>
    <w:p w14:paraId="6D53DC7B" w14:textId="21D8F508"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Hasan, A. 2010. “Gender-Targeted Conditional Cash Transfers: Enrollment, Spillover Effects and Instructional Quality.” World Bank Policy Research Working Paper 5257.</w:t>
      </w:r>
    </w:p>
    <w:p w14:paraId="453E59B0" w14:textId="77777777"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Heltberg, R., K. Simler, and F. Tarp. 2003. “Public Spending and Poverty in Mozambique.” FCND Discussion Papers 167, International Food Policy Research Institute (IFPRI).</w:t>
      </w:r>
    </w:p>
    <w:p w14:paraId="16DCC1BA" w14:textId="4FEE2742"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 xml:space="preserve">Lutz, W., J. Crespo Cuaresma, and </w:t>
      </w:r>
      <w:r w:rsidR="00743494" w:rsidRPr="00477D8F">
        <w:rPr>
          <w:rFonts w:ascii="Sylfaen" w:hAnsi="Sylfaen" w:cs="Times New Roman"/>
          <w:bCs/>
        </w:rPr>
        <w:t xml:space="preserve">M. J. </w:t>
      </w:r>
      <w:r w:rsidRPr="00477D8F">
        <w:rPr>
          <w:rFonts w:ascii="Sylfaen" w:hAnsi="Sylfaen" w:cs="Times New Roman"/>
          <w:bCs/>
        </w:rPr>
        <w:t>Abbasi-Shavazi</w:t>
      </w:r>
      <w:r w:rsidR="00743494" w:rsidRPr="00477D8F">
        <w:rPr>
          <w:rFonts w:ascii="Sylfaen" w:hAnsi="Sylfaen" w:cs="Times New Roman"/>
          <w:bCs/>
        </w:rPr>
        <w:t>.</w:t>
      </w:r>
      <w:r w:rsidRPr="00477D8F">
        <w:rPr>
          <w:rFonts w:ascii="Sylfaen" w:hAnsi="Sylfaen" w:cs="Times New Roman"/>
          <w:bCs/>
        </w:rPr>
        <w:t xml:space="preserve"> 2010. “Demography, Education, and Democracy: Global Trends and the </w:t>
      </w:r>
      <w:r w:rsidR="00743494" w:rsidRPr="00477D8F">
        <w:rPr>
          <w:rFonts w:ascii="Sylfaen" w:hAnsi="Sylfaen" w:cs="Times New Roman"/>
          <w:bCs/>
        </w:rPr>
        <w:t>C</w:t>
      </w:r>
      <w:r w:rsidRPr="00477D8F">
        <w:rPr>
          <w:rFonts w:ascii="Sylfaen" w:hAnsi="Sylfaen" w:cs="Times New Roman"/>
          <w:bCs/>
        </w:rPr>
        <w:t xml:space="preserve">ase of Iran.” </w:t>
      </w:r>
      <w:r w:rsidRPr="00477D8F">
        <w:rPr>
          <w:rFonts w:ascii="Sylfaen" w:hAnsi="Sylfaen" w:cs="Times New Roman"/>
          <w:bCs/>
          <w:i/>
          <w:iCs/>
        </w:rPr>
        <w:t xml:space="preserve">Population and Development Review </w:t>
      </w:r>
      <w:r w:rsidRPr="00477D8F">
        <w:rPr>
          <w:rFonts w:ascii="Sylfaen" w:hAnsi="Sylfaen" w:cs="Times New Roman"/>
          <w:bCs/>
          <w:iCs/>
        </w:rPr>
        <w:t>36</w:t>
      </w:r>
      <w:r w:rsidR="00743494" w:rsidRPr="00477D8F">
        <w:rPr>
          <w:rFonts w:ascii="Sylfaen" w:hAnsi="Sylfaen" w:cs="Times New Roman"/>
          <w:bCs/>
          <w:iCs/>
        </w:rPr>
        <w:t>:</w:t>
      </w:r>
      <w:r w:rsidRPr="00477D8F">
        <w:rPr>
          <w:rFonts w:ascii="Sylfaen" w:hAnsi="Sylfaen" w:cs="Times New Roman"/>
          <w:bCs/>
        </w:rPr>
        <w:t xml:space="preserve"> 253–281.</w:t>
      </w:r>
    </w:p>
    <w:p w14:paraId="1C77D7FB" w14:textId="77777777" w:rsidR="00E84C62" w:rsidRPr="00477D8F" w:rsidRDefault="00F25E59" w:rsidP="00705D2D">
      <w:pPr>
        <w:spacing w:after="240" w:line="240" w:lineRule="auto"/>
        <w:ind w:left="360" w:hanging="360"/>
        <w:jc w:val="both"/>
        <w:rPr>
          <w:rFonts w:ascii="Sylfaen" w:hAnsi="Sylfaen" w:cs="Times New Roman"/>
          <w:bCs/>
        </w:rPr>
      </w:pPr>
      <w:r w:rsidRPr="00477D8F">
        <w:rPr>
          <w:rFonts w:ascii="Sylfaen" w:hAnsi="Sylfaen" w:cs="Times New Roman"/>
          <w:bCs/>
        </w:rPr>
        <w:t xml:space="preserve">Lutz, W., A. Goujon, K. C. Samir, and W. C. Sanderson. 2007. “Reconstruction of Populations by Age, Sex and Level of Educational Attainment for 120 Countries for 1970–2000.” </w:t>
      </w:r>
      <w:r w:rsidRPr="00477D8F">
        <w:rPr>
          <w:rFonts w:ascii="Sylfaen" w:hAnsi="Sylfaen" w:cs="Times New Roman"/>
          <w:bCs/>
          <w:i/>
          <w:iCs/>
        </w:rPr>
        <w:t xml:space="preserve">Vienna Yearbook of Population Research </w:t>
      </w:r>
      <w:r w:rsidRPr="00477D8F">
        <w:rPr>
          <w:rFonts w:ascii="Sylfaen" w:hAnsi="Sylfaen" w:cs="Times New Roman"/>
          <w:bCs/>
          <w:iCs/>
        </w:rPr>
        <w:t>5</w:t>
      </w:r>
      <w:r w:rsidRPr="00477D8F">
        <w:rPr>
          <w:rFonts w:ascii="Sylfaen" w:hAnsi="Sylfaen" w:cs="Times New Roman"/>
          <w:bCs/>
        </w:rPr>
        <w:t>: 193–235.</w:t>
      </w:r>
    </w:p>
    <w:p w14:paraId="2E00C0AE" w14:textId="00166DAC"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Maddala, G.</w:t>
      </w:r>
      <w:r w:rsidR="00743494" w:rsidRPr="00477D8F">
        <w:rPr>
          <w:rFonts w:ascii="Sylfaen" w:hAnsi="Sylfaen" w:cs="Times New Roman"/>
          <w:bCs/>
        </w:rPr>
        <w:t xml:space="preserve"> </w:t>
      </w:r>
      <w:r w:rsidRPr="00477D8F">
        <w:rPr>
          <w:rFonts w:ascii="Sylfaen" w:hAnsi="Sylfaen" w:cs="Times New Roman"/>
          <w:bCs/>
        </w:rPr>
        <w:t xml:space="preserve">S. 1983. </w:t>
      </w:r>
      <w:r w:rsidRPr="00477D8F">
        <w:rPr>
          <w:rFonts w:ascii="Sylfaen" w:hAnsi="Sylfaen" w:cs="Times New Roman"/>
          <w:bCs/>
          <w:i/>
        </w:rPr>
        <w:t>Limited Dependent and Qualitative Variables in Econometrics.</w:t>
      </w:r>
      <w:r w:rsidRPr="00477D8F">
        <w:rPr>
          <w:rFonts w:ascii="Sylfaen" w:hAnsi="Sylfaen" w:cs="Times New Roman"/>
          <w:bCs/>
        </w:rPr>
        <w:t xml:space="preserve"> Cambridge: Cambridge University Press.</w:t>
      </w:r>
    </w:p>
    <w:p w14:paraId="6DECB152" w14:textId="777A07DE"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 xml:space="preserve">Mare, D. R. 1981. “Change and Stability in Educational Stratification.” </w:t>
      </w:r>
      <w:r w:rsidRPr="00477D8F">
        <w:rPr>
          <w:rFonts w:ascii="Sylfaen" w:hAnsi="Sylfaen" w:cs="Times New Roman"/>
          <w:bCs/>
          <w:i/>
        </w:rPr>
        <w:t xml:space="preserve">American Sociological Review </w:t>
      </w:r>
      <w:r w:rsidRPr="00477D8F">
        <w:rPr>
          <w:rFonts w:ascii="Sylfaen" w:hAnsi="Sylfaen" w:cs="Times New Roman"/>
          <w:bCs/>
        </w:rPr>
        <w:t>46 (1)</w:t>
      </w:r>
      <w:r w:rsidR="005D1EC7" w:rsidRPr="00477D8F">
        <w:rPr>
          <w:rFonts w:ascii="Sylfaen" w:hAnsi="Sylfaen" w:cs="Times New Roman"/>
          <w:bCs/>
        </w:rPr>
        <w:t>:</w:t>
      </w:r>
      <w:r w:rsidRPr="00477D8F">
        <w:rPr>
          <w:rFonts w:ascii="Sylfaen" w:hAnsi="Sylfaen" w:cs="Times New Roman"/>
          <w:bCs/>
        </w:rPr>
        <w:t xml:space="preserve"> 72-87.</w:t>
      </w:r>
    </w:p>
    <w:p w14:paraId="2C5B7606" w14:textId="7781E3FD"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 xml:space="preserve">Meerman, J. 1979. </w:t>
      </w:r>
      <w:r w:rsidRPr="00477D8F">
        <w:rPr>
          <w:rFonts w:ascii="Sylfaen" w:hAnsi="Sylfaen" w:cs="Times New Roman"/>
          <w:bCs/>
          <w:i/>
        </w:rPr>
        <w:t>Public Expenditures in Malaysia: Who Benefits and Why?</w:t>
      </w:r>
      <w:r w:rsidRPr="00477D8F">
        <w:rPr>
          <w:rFonts w:ascii="Sylfaen" w:hAnsi="Sylfaen" w:cs="Times New Roman"/>
          <w:bCs/>
        </w:rPr>
        <w:t xml:space="preserve"> New York: Oxford University Press.</w:t>
      </w:r>
    </w:p>
    <w:p w14:paraId="5CB68048" w14:textId="7586242C" w:rsidR="00705D2D" w:rsidRPr="00477D8F" w:rsidRDefault="00F25E59" w:rsidP="00705D2D">
      <w:pPr>
        <w:spacing w:after="240" w:line="240" w:lineRule="auto"/>
        <w:ind w:left="360" w:hanging="360"/>
        <w:jc w:val="both"/>
        <w:rPr>
          <w:rFonts w:ascii="Sylfaen" w:hAnsi="Sylfaen" w:cs="Times New Roman"/>
          <w:bCs/>
        </w:rPr>
      </w:pPr>
      <w:r w:rsidRPr="00477D8F">
        <w:rPr>
          <w:rFonts w:ascii="Sylfaen" w:hAnsi="Sylfaen" w:cs="Times New Roman"/>
          <w:bCs/>
        </w:rPr>
        <w:t>———</w:t>
      </w:r>
      <w:r w:rsidR="00705D2D" w:rsidRPr="00477D8F">
        <w:rPr>
          <w:rFonts w:ascii="Sylfaen" w:hAnsi="Sylfaen" w:cs="Times New Roman"/>
          <w:bCs/>
        </w:rPr>
        <w:t xml:space="preserve">. 2011. “Teacher Performance Pay: Experimental Evidence from India.” </w:t>
      </w:r>
      <w:r w:rsidR="00705D2D" w:rsidRPr="00477D8F">
        <w:rPr>
          <w:rFonts w:ascii="Sylfaen" w:hAnsi="Sylfaen" w:cs="Times New Roman"/>
          <w:bCs/>
          <w:i/>
        </w:rPr>
        <w:t>The Journal of Political Economy</w:t>
      </w:r>
      <w:r w:rsidR="00705D2D" w:rsidRPr="00477D8F">
        <w:rPr>
          <w:rFonts w:ascii="Sylfaen" w:hAnsi="Sylfaen" w:cs="Times New Roman"/>
          <w:bCs/>
        </w:rPr>
        <w:t xml:space="preserve"> 119</w:t>
      </w:r>
      <w:r w:rsidR="005D1EC7" w:rsidRPr="00477D8F">
        <w:rPr>
          <w:rFonts w:ascii="Sylfaen" w:hAnsi="Sylfaen" w:cs="Times New Roman"/>
          <w:bCs/>
        </w:rPr>
        <w:t xml:space="preserve"> (</w:t>
      </w:r>
      <w:r w:rsidR="00705D2D" w:rsidRPr="00477D8F">
        <w:rPr>
          <w:rFonts w:ascii="Sylfaen" w:hAnsi="Sylfaen" w:cs="Times New Roman"/>
          <w:bCs/>
        </w:rPr>
        <w:t>1</w:t>
      </w:r>
      <w:r w:rsidR="005D1EC7" w:rsidRPr="00477D8F">
        <w:rPr>
          <w:rFonts w:ascii="Sylfaen" w:hAnsi="Sylfaen" w:cs="Times New Roman"/>
          <w:bCs/>
        </w:rPr>
        <w:t xml:space="preserve">): </w:t>
      </w:r>
      <w:r w:rsidR="00705D2D" w:rsidRPr="00477D8F">
        <w:rPr>
          <w:rFonts w:ascii="Sylfaen" w:hAnsi="Sylfaen" w:cs="Times New Roman"/>
          <w:bCs/>
        </w:rPr>
        <w:t>39</w:t>
      </w:r>
      <w:r w:rsidR="005D1EC7" w:rsidRPr="00477D8F">
        <w:rPr>
          <w:rFonts w:ascii="Sylfaen" w:hAnsi="Sylfaen" w:cs="Times New Roman"/>
          <w:bCs/>
        </w:rPr>
        <w:t>–</w:t>
      </w:r>
      <w:r w:rsidR="00705D2D" w:rsidRPr="00477D8F">
        <w:rPr>
          <w:rFonts w:ascii="Sylfaen" w:hAnsi="Sylfaen" w:cs="Times New Roman"/>
          <w:bCs/>
        </w:rPr>
        <w:t>77</w:t>
      </w:r>
      <w:r w:rsidR="005D1EC7" w:rsidRPr="00477D8F">
        <w:rPr>
          <w:rFonts w:ascii="Sylfaen" w:hAnsi="Sylfaen" w:cs="Times New Roman"/>
          <w:bCs/>
        </w:rPr>
        <w:t>.</w:t>
      </w:r>
    </w:p>
    <w:p w14:paraId="60642F3C" w14:textId="05BB927A"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 xml:space="preserve">Pradhan, M., et al. 2013. “Improving </w:t>
      </w:r>
      <w:r w:rsidR="005D1EC7" w:rsidRPr="00477D8F">
        <w:rPr>
          <w:rFonts w:ascii="Sylfaen" w:hAnsi="Sylfaen" w:cs="Times New Roman"/>
          <w:bCs/>
        </w:rPr>
        <w:t>E</w:t>
      </w:r>
      <w:r w:rsidRPr="00477D8F">
        <w:rPr>
          <w:rFonts w:ascii="Sylfaen" w:hAnsi="Sylfaen" w:cs="Times New Roman"/>
          <w:bCs/>
        </w:rPr>
        <w:t xml:space="preserve">ducational </w:t>
      </w:r>
      <w:r w:rsidR="005D1EC7" w:rsidRPr="00477D8F">
        <w:rPr>
          <w:rFonts w:ascii="Sylfaen" w:hAnsi="Sylfaen" w:cs="Times New Roman"/>
          <w:bCs/>
        </w:rPr>
        <w:t>Q</w:t>
      </w:r>
      <w:r w:rsidRPr="00477D8F">
        <w:rPr>
          <w:rFonts w:ascii="Sylfaen" w:hAnsi="Sylfaen" w:cs="Times New Roman"/>
          <w:bCs/>
        </w:rPr>
        <w:t xml:space="preserve">uality </w:t>
      </w:r>
      <w:r w:rsidR="005D1EC7" w:rsidRPr="00477D8F">
        <w:rPr>
          <w:rFonts w:ascii="Sylfaen" w:hAnsi="Sylfaen" w:cs="Times New Roman"/>
          <w:bCs/>
        </w:rPr>
        <w:t>T</w:t>
      </w:r>
      <w:r w:rsidRPr="00477D8F">
        <w:rPr>
          <w:rFonts w:ascii="Sylfaen" w:hAnsi="Sylfaen" w:cs="Times New Roman"/>
          <w:bCs/>
        </w:rPr>
        <w:t xml:space="preserve">hrough </w:t>
      </w:r>
      <w:r w:rsidR="005D1EC7" w:rsidRPr="00477D8F">
        <w:rPr>
          <w:rFonts w:ascii="Sylfaen" w:hAnsi="Sylfaen" w:cs="Times New Roman"/>
          <w:bCs/>
        </w:rPr>
        <w:t>E</w:t>
      </w:r>
      <w:r w:rsidRPr="00477D8F">
        <w:rPr>
          <w:rFonts w:ascii="Sylfaen" w:hAnsi="Sylfaen" w:cs="Times New Roman"/>
          <w:bCs/>
        </w:rPr>
        <w:t xml:space="preserve">nhancing </w:t>
      </w:r>
      <w:r w:rsidR="005D1EC7" w:rsidRPr="00477D8F">
        <w:rPr>
          <w:rFonts w:ascii="Sylfaen" w:hAnsi="Sylfaen" w:cs="Times New Roman"/>
          <w:bCs/>
        </w:rPr>
        <w:t>C</w:t>
      </w:r>
      <w:r w:rsidRPr="00477D8F">
        <w:rPr>
          <w:rFonts w:ascii="Sylfaen" w:hAnsi="Sylfaen" w:cs="Times New Roman"/>
          <w:bCs/>
        </w:rPr>
        <w:t xml:space="preserve">ommunity </w:t>
      </w:r>
      <w:r w:rsidR="005D1EC7" w:rsidRPr="00477D8F">
        <w:rPr>
          <w:rFonts w:ascii="Sylfaen" w:hAnsi="Sylfaen" w:cs="Times New Roman"/>
          <w:bCs/>
        </w:rPr>
        <w:t>P</w:t>
      </w:r>
      <w:r w:rsidRPr="00477D8F">
        <w:rPr>
          <w:rFonts w:ascii="Sylfaen" w:hAnsi="Sylfaen" w:cs="Times New Roman"/>
          <w:bCs/>
        </w:rPr>
        <w:t xml:space="preserve">articipation: Results from a </w:t>
      </w:r>
      <w:r w:rsidR="005D1EC7" w:rsidRPr="00477D8F">
        <w:rPr>
          <w:rFonts w:ascii="Sylfaen" w:hAnsi="Sylfaen" w:cs="Times New Roman"/>
          <w:bCs/>
        </w:rPr>
        <w:t>R</w:t>
      </w:r>
      <w:r w:rsidRPr="00477D8F">
        <w:rPr>
          <w:rFonts w:ascii="Sylfaen" w:hAnsi="Sylfaen" w:cs="Times New Roman"/>
          <w:bCs/>
        </w:rPr>
        <w:t xml:space="preserve">andomized </w:t>
      </w:r>
      <w:r w:rsidR="005D1EC7" w:rsidRPr="00477D8F">
        <w:rPr>
          <w:rFonts w:ascii="Sylfaen" w:hAnsi="Sylfaen" w:cs="Times New Roman"/>
          <w:bCs/>
        </w:rPr>
        <w:t>F</w:t>
      </w:r>
      <w:r w:rsidRPr="00477D8F">
        <w:rPr>
          <w:rFonts w:ascii="Sylfaen" w:hAnsi="Sylfaen" w:cs="Times New Roman"/>
          <w:bCs/>
        </w:rPr>
        <w:t xml:space="preserve">ield </w:t>
      </w:r>
      <w:r w:rsidR="005D1EC7" w:rsidRPr="00477D8F">
        <w:rPr>
          <w:rFonts w:ascii="Sylfaen" w:hAnsi="Sylfaen" w:cs="Times New Roman"/>
          <w:bCs/>
        </w:rPr>
        <w:t>E</w:t>
      </w:r>
      <w:r w:rsidRPr="00477D8F">
        <w:rPr>
          <w:rFonts w:ascii="Sylfaen" w:hAnsi="Sylfaen" w:cs="Times New Roman"/>
          <w:bCs/>
        </w:rPr>
        <w:t>xperiment in Indonesia.”</w:t>
      </w:r>
      <w:r w:rsidR="00272695" w:rsidRPr="00477D8F">
        <w:rPr>
          <w:rFonts w:ascii="Sylfaen" w:hAnsi="Sylfaen" w:cs="Times New Roman"/>
          <w:bCs/>
        </w:rPr>
        <w:t xml:space="preserve"> </w:t>
      </w:r>
      <w:r w:rsidRPr="00477D8F">
        <w:rPr>
          <w:rFonts w:ascii="Sylfaen" w:hAnsi="Sylfaen" w:cs="Times New Roman"/>
          <w:bCs/>
        </w:rPr>
        <w:t>World Bank</w:t>
      </w:r>
      <w:r w:rsidR="005D1EC7" w:rsidRPr="00477D8F">
        <w:rPr>
          <w:rFonts w:ascii="Sylfaen" w:hAnsi="Sylfaen" w:cs="Times New Roman"/>
          <w:bCs/>
        </w:rPr>
        <w:t>.</w:t>
      </w:r>
    </w:p>
    <w:p w14:paraId="7E74EBE8" w14:textId="77777777"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Sahn, D. E., and D. S. Younger. 1999. “Dominance Testing of Social Sector Expenditures and Taxes in Africa.” IMF Working Papers 99/172, International Monetary Fund.</w:t>
      </w:r>
    </w:p>
    <w:p w14:paraId="668B1EB0" w14:textId="64195C22" w:rsidR="00705D2D" w:rsidRPr="00477D8F" w:rsidRDefault="002E5BDF" w:rsidP="00705D2D">
      <w:pPr>
        <w:spacing w:after="240" w:line="240" w:lineRule="auto"/>
        <w:ind w:left="360" w:hanging="360"/>
        <w:jc w:val="both"/>
        <w:rPr>
          <w:rFonts w:ascii="Sylfaen" w:hAnsi="Sylfaen" w:cs="Times New Roman"/>
          <w:bCs/>
        </w:rPr>
      </w:pPr>
      <w:hyperlink r:id="rId124" w:history="1">
        <w:r w:rsidR="00705D2D" w:rsidRPr="00477D8F">
          <w:rPr>
            <w:rFonts w:ascii="Sylfaen" w:hAnsi="Sylfaen" w:cs="Times New Roman"/>
            <w:bCs/>
          </w:rPr>
          <w:t>S</w:t>
        </w:r>
      </w:hyperlink>
      <w:r w:rsidR="00705D2D" w:rsidRPr="00477D8F">
        <w:rPr>
          <w:rFonts w:ascii="Sylfaen" w:hAnsi="Sylfaen" w:cs="Times New Roman"/>
          <w:bCs/>
        </w:rPr>
        <w:t>amir,</w:t>
      </w:r>
      <w:hyperlink r:id="rId125" w:history="1">
        <w:r w:rsidR="00705D2D" w:rsidRPr="00477D8F">
          <w:rPr>
            <w:rFonts w:ascii="Sylfaen" w:hAnsi="Sylfaen" w:cs="Times New Roman"/>
            <w:bCs/>
          </w:rPr>
          <w:t xml:space="preserve"> K. C., B</w:t>
        </w:r>
      </w:hyperlink>
      <w:r w:rsidR="00705D2D" w:rsidRPr="00477D8F">
        <w:rPr>
          <w:rFonts w:ascii="Sylfaen" w:hAnsi="Sylfaen" w:cs="Times New Roman"/>
          <w:bCs/>
        </w:rPr>
        <w:t>. Barakat,</w:t>
      </w:r>
      <w:hyperlink r:id="rId126" w:history="1">
        <w:r w:rsidR="00705D2D" w:rsidRPr="00477D8F">
          <w:rPr>
            <w:rFonts w:ascii="Sylfaen" w:hAnsi="Sylfaen" w:cs="Times New Roman"/>
            <w:bCs/>
          </w:rPr>
          <w:t xml:space="preserve"> A</w:t>
        </w:r>
      </w:hyperlink>
      <w:r w:rsidR="00705D2D" w:rsidRPr="00477D8F">
        <w:rPr>
          <w:rFonts w:ascii="Sylfaen" w:hAnsi="Sylfaen" w:cs="Times New Roman"/>
          <w:bCs/>
        </w:rPr>
        <w:t>. Goujon,</w:t>
      </w:r>
      <w:hyperlink r:id="rId127" w:history="1">
        <w:r w:rsidR="00705D2D" w:rsidRPr="00477D8F">
          <w:rPr>
            <w:rFonts w:ascii="Sylfaen" w:hAnsi="Sylfaen" w:cs="Times New Roman"/>
            <w:bCs/>
          </w:rPr>
          <w:t xml:space="preserve"> V</w:t>
        </w:r>
      </w:hyperlink>
      <w:r w:rsidR="00705D2D" w:rsidRPr="00477D8F">
        <w:rPr>
          <w:rFonts w:ascii="Sylfaen" w:hAnsi="Sylfaen" w:cs="Times New Roman"/>
          <w:bCs/>
        </w:rPr>
        <w:t>. Skirbekk,</w:t>
      </w:r>
      <w:hyperlink r:id="rId128" w:history="1">
        <w:r w:rsidR="00705D2D" w:rsidRPr="00477D8F">
          <w:rPr>
            <w:rFonts w:ascii="Sylfaen" w:hAnsi="Sylfaen" w:cs="Times New Roman"/>
            <w:bCs/>
          </w:rPr>
          <w:t xml:space="preserve"> W. C</w:t>
        </w:r>
      </w:hyperlink>
      <w:r w:rsidR="00705D2D" w:rsidRPr="00477D8F">
        <w:rPr>
          <w:rFonts w:ascii="Sylfaen" w:hAnsi="Sylfaen" w:cs="Times New Roman"/>
          <w:bCs/>
        </w:rPr>
        <w:t>. Sanderson,</w:t>
      </w:r>
      <w:hyperlink r:id="rId129" w:history="1">
        <w:r w:rsidR="00705D2D" w:rsidRPr="00477D8F">
          <w:rPr>
            <w:rFonts w:ascii="Sylfaen" w:hAnsi="Sylfaen" w:cs="Times New Roman"/>
            <w:bCs/>
          </w:rPr>
          <w:t xml:space="preserve"> </w:t>
        </w:r>
        <w:r w:rsidR="005D1EC7" w:rsidRPr="00477D8F">
          <w:rPr>
            <w:rFonts w:ascii="Sylfaen" w:hAnsi="Sylfaen" w:cs="Times New Roman"/>
            <w:bCs/>
          </w:rPr>
          <w:t xml:space="preserve">and </w:t>
        </w:r>
        <w:r w:rsidR="00705D2D" w:rsidRPr="00477D8F">
          <w:rPr>
            <w:rFonts w:ascii="Sylfaen" w:hAnsi="Sylfaen" w:cs="Times New Roman"/>
            <w:bCs/>
          </w:rPr>
          <w:t>W</w:t>
        </w:r>
      </w:hyperlink>
      <w:r w:rsidR="00705D2D" w:rsidRPr="00477D8F">
        <w:rPr>
          <w:rFonts w:ascii="Sylfaen" w:hAnsi="Sylfaen" w:cs="Times New Roman"/>
          <w:bCs/>
        </w:rPr>
        <w:t xml:space="preserve">. Lutz. 2010. “Projection of Populations by Level of Educational Attainment, Age, and Sex for 120 Countries for 2005–2050.” </w:t>
      </w:r>
      <w:r w:rsidR="00705D2D" w:rsidRPr="00477D8F">
        <w:rPr>
          <w:rFonts w:ascii="Sylfaen" w:hAnsi="Sylfaen" w:cs="Times New Roman"/>
          <w:bCs/>
          <w:i/>
        </w:rPr>
        <w:t>Demographic Research</w:t>
      </w:r>
      <w:r w:rsidR="00705D2D" w:rsidRPr="00477D8F">
        <w:rPr>
          <w:rFonts w:ascii="Sylfaen" w:hAnsi="Sylfaen" w:cs="Times New Roman"/>
          <w:bCs/>
        </w:rPr>
        <w:t xml:space="preserve"> 22 (15): 383–472.</w:t>
      </w:r>
    </w:p>
    <w:p w14:paraId="02252613" w14:textId="37AA00EF"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lastRenderedPageBreak/>
        <w:t xml:space="preserve">Schultz, T. P. 2004. “School </w:t>
      </w:r>
      <w:r w:rsidR="005D1EC7" w:rsidRPr="00477D8F">
        <w:rPr>
          <w:rFonts w:ascii="Sylfaen" w:hAnsi="Sylfaen" w:cs="Times New Roman"/>
          <w:bCs/>
        </w:rPr>
        <w:t>S</w:t>
      </w:r>
      <w:r w:rsidRPr="00477D8F">
        <w:rPr>
          <w:rFonts w:ascii="Sylfaen" w:hAnsi="Sylfaen" w:cs="Times New Roman"/>
          <w:bCs/>
        </w:rPr>
        <w:t xml:space="preserve">ubsidies for the </w:t>
      </w:r>
      <w:r w:rsidR="005D1EC7" w:rsidRPr="00477D8F">
        <w:rPr>
          <w:rFonts w:ascii="Sylfaen" w:hAnsi="Sylfaen" w:cs="Times New Roman"/>
          <w:bCs/>
        </w:rPr>
        <w:t>P</w:t>
      </w:r>
      <w:r w:rsidRPr="00477D8F">
        <w:rPr>
          <w:rFonts w:ascii="Sylfaen" w:hAnsi="Sylfaen" w:cs="Times New Roman"/>
          <w:bCs/>
        </w:rPr>
        <w:t xml:space="preserve">oor: </w:t>
      </w:r>
      <w:r w:rsidR="005D1EC7" w:rsidRPr="00477D8F">
        <w:rPr>
          <w:rFonts w:ascii="Sylfaen" w:hAnsi="Sylfaen" w:cs="Times New Roman"/>
          <w:bCs/>
        </w:rPr>
        <w:t>E</w:t>
      </w:r>
      <w:r w:rsidRPr="00477D8F">
        <w:rPr>
          <w:rFonts w:ascii="Sylfaen" w:hAnsi="Sylfaen" w:cs="Times New Roman"/>
          <w:bCs/>
        </w:rPr>
        <w:t xml:space="preserve">valuating a Mexican </w:t>
      </w:r>
      <w:r w:rsidR="005D1EC7" w:rsidRPr="00477D8F">
        <w:rPr>
          <w:rFonts w:ascii="Sylfaen" w:hAnsi="Sylfaen" w:cs="Times New Roman"/>
          <w:bCs/>
        </w:rPr>
        <w:t>S</w:t>
      </w:r>
      <w:r w:rsidRPr="00477D8F">
        <w:rPr>
          <w:rFonts w:ascii="Sylfaen" w:hAnsi="Sylfaen" w:cs="Times New Roman"/>
          <w:bCs/>
        </w:rPr>
        <w:t xml:space="preserve">trategy for </w:t>
      </w:r>
      <w:r w:rsidR="005D1EC7" w:rsidRPr="00477D8F">
        <w:rPr>
          <w:rFonts w:ascii="Sylfaen" w:hAnsi="Sylfaen" w:cs="Times New Roman"/>
          <w:bCs/>
        </w:rPr>
        <w:t>R</w:t>
      </w:r>
      <w:r w:rsidRPr="00477D8F">
        <w:rPr>
          <w:rFonts w:ascii="Sylfaen" w:hAnsi="Sylfaen" w:cs="Times New Roman"/>
          <w:bCs/>
        </w:rPr>
        <w:t xml:space="preserve">educing </w:t>
      </w:r>
      <w:r w:rsidR="005D1EC7" w:rsidRPr="00477D8F">
        <w:rPr>
          <w:rFonts w:ascii="Sylfaen" w:hAnsi="Sylfaen" w:cs="Times New Roman"/>
          <w:bCs/>
        </w:rPr>
        <w:t>P</w:t>
      </w:r>
      <w:r w:rsidRPr="00477D8F">
        <w:rPr>
          <w:rFonts w:ascii="Sylfaen" w:hAnsi="Sylfaen" w:cs="Times New Roman"/>
          <w:bCs/>
        </w:rPr>
        <w:t xml:space="preserve">overty.” </w:t>
      </w:r>
      <w:r w:rsidRPr="00477D8F">
        <w:rPr>
          <w:rFonts w:ascii="Sylfaen" w:hAnsi="Sylfaen" w:cs="Times New Roman"/>
          <w:bCs/>
          <w:i/>
        </w:rPr>
        <w:t>Journal of Development Economics</w:t>
      </w:r>
      <w:r w:rsidRPr="00477D8F">
        <w:rPr>
          <w:rFonts w:ascii="Sylfaen" w:hAnsi="Sylfaen" w:cs="Times New Roman"/>
          <w:bCs/>
        </w:rPr>
        <w:t xml:space="preserve"> 74</w:t>
      </w:r>
      <w:r w:rsidR="005D1EC7" w:rsidRPr="00477D8F">
        <w:rPr>
          <w:rFonts w:ascii="Sylfaen" w:hAnsi="Sylfaen" w:cs="Times New Roman"/>
          <w:bCs/>
        </w:rPr>
        <w:t xml:space="preserve"> </w:t>
      </w:r>
      <w:r w:rsidRPr="00477D8F">
        <w:rPr>
          <w:rFonts w:ascii="Sylfaen" w:hAnsi="Sylfaen" w:cs="Times New Roman"/>
          <w:bCs/>
        </w:rPr>
        <w:t>(1): 199</w:t>
      </w:r>
      <w:r w:rsidR="005D1EC7" w:rsidRPr="00477D8F">
        <w:rPr>
          <w:rFonts w:ascii="Sylfaen" w:hAnsi="Sylfaen" w:cs="Times New Roman"/>
          <w:bCs/>
        </w:rPr>
        <w:t>–</w:t>
      </w:r>
      <w:r w:rsidRPr="00477D8F">
        <w:rPr>
          <w:rFonts w:ascii="Sylfaen" w:hAnsi="Sylfaen" w:cs="Times New Roman"/>
          <w:bCs/>
        </w:rPr>
        <w:t>250.</w:t>
      </w:r>
    </w:p>
    <w:p w14:paraId="66325C19" w14:textId="77777777"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Selden, M. T., and M. J. Wasylenko. 1992. “Benefit Incidence Analysis in Developing Countries.” Policy Research Working Paper Series 1015, World Bank.</w:t>
      </w:r>
    </w:p>
    <w:p w14:paraId="350429F0" w14:textId="497BA907"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Shavit, Y.</w:t>
      </w:r>
      <w:r w:rsidR="005D1EC7" w:rsidRPr="00477D8F">
        <w:rPr>
          <w:rFonts w:ascii="Sylfaen" w:hAnsi="Sylfaen" w:cs="Times New Roman"/>
          <w:bCs/>
        </w:rPr>
        <w:t>,</w:t>
      </w:r>
      <w:r w:rsidRPr="00477D8F">
        <w:rPr>
          <w:rFonts w:ascii="Sylfaen" w:hAnsi="Sylfaen" w:cs="Times New Roman"/>
          <w:bCs/>
        </w:rPr>
        <w:t xml:space="preserve"> and </w:t>
      </w:r>
      <w:r w:rsidR="005D1EC7" w:rsidRPr="00477D8F">
        <w:rPr>
          <w:rFonts w:ascii="Sylfaen" w:hAnsi="Sylfaen" w:cs="Times New Roman"/>
          <w:bCs/>
        </w:rPr>
        <w:t xml:space="preserve">H. P. </w:t>
      </w:r>
      <w:r w:rsidRPr="00477D8F">
        <w:rPr>
          <w:rFonts w:ascii="Sylfaen" w:hAnsi="Sylfaen" w:cs="Times New Roman"/>
          <w:bCs/>
        </w:rPr>
        <w:t>Blossfeld</w:t>
      </w:r>
      <w:r w:rsidR="005D1EC7" w:rsidRPr="00477D8F">
        <w:rPr>
          <w:rFonts w:ascii="Sylfaen" w:hAnsi="Sylfaen" w:cs="Times New Roman"/>
          <w:bCs/>
        </w:rPr>
        <w:t>.</w:t>
      </w:r>
      <w:r w:rsidRPr="00477D8F">
        <w:rPr>
          <w:rFonts w:ascii="Sylfaen" w:hAnsi="Sylfaen" w:cs="Times New Roman"/>
          <w:bCs/>
        </w:rPr>
        <w:t xml:space="preserve"> 1993. </w:t>
      </w:r>
      <w:r w:rsidRPr="00477D8F">
        <w:rPr>
          <w:rFonts w:ascii="Sylfaen" w:hAnsi="Sylfaen" w:cs="Times New Roman"/>
          <w:bCs/>
          <w:i/>
        </w:rPr>
        <w:t>Persistent Inequality: Changing Educational Attainment in Thirteen Countries.</w:t>
      </w:r>
      <w:r w:rsidRPr="00477D8F">
        <w:rPr>
          <w:rFonts w:ascii="Sylfaen" w:hAnsi="Sylfaen" w:cs="Times New Roman"/>
          <w:bCs/>
        </w:rPr>
        <w:t xml:space="preserve"> Boulder: Westview Press.</w:t>
      </w:r>
    </w:p>
    <w:p w14:paraId="7BC9BA85" w14:textId="3ADC146D"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 xml:space="preserve">Sparrow, R. 2007. “Protecting Education for the Poor in Times of Crisis: An Evaluation of a Scholarship Programme in Indonesia.” </w:t>
      </w:r>
      <w:r w:rsidRPr="00477D8F">
        <w:rPr>
          <w:rFonts w:ascii="Sylfaen" w:hAnsi="Sylfaen" w:cs="Times New Roman"/>
          <w:bCs/>
          <w:i/>
        </w:rPr>
        <w:t>Oxford Bulletin of Economics and Statistics</w:t>
      </w:r>
      <w:r w:rsidRPr="00477D8F">
        <w:rPr>
          <w:rFonts w:ascii="Sylfaen" w:hAnsi="Sylfaen" w:cs="Times New Roman"/>
          <w:bCs/>
        </w:rPr>
        <w:t xml:space="preserve"> 69 (1)</w:t>
      </w:r>
      <w:r w:rsidR="005D1EC7" w:rsidRPr="00477D8F">
        <w:rPr>
          <w:rFonts w:ascii="Sylfaen" w:hAnsi="Sylfaen" w:cs="Times New Roman"/>
          <w:bCs/>
        </w:rPr>
        <w:t>:</w:t>
      </w:r>
      <w:r w:rsidRPr="00477D8F">
        <w:rPr>
          <w:rFonts w:ascii="Sylfaen" w:hAnsi="Sylfaen" w:cs="Times New Roman"/>
          <w:bCs/>
        </w:rPr>
        <w:t xml:space="preserve"> 99</w:t>
      </w:r>
      <w:r w:rsidR="005D1EC7" w:rsidRPr="00477D8F">
        <w:rPr>
          <w:rFonts w:ascii="Sylfaen" w:hAnsi="Sylfaen" w:cs="Times New Roman"/>
          <w:bCs/>
        </w:rPr>
        <w:t>–</w:t>
      </w:r>
      <w:r w:rsidRPr="00477D8F">
        <w:rPr>
          <w:rFonts w:ascii="Sylfaen" w:hAnsi="Sylfaen" w:cs="Times New Roman"/>
          <w:bCs/>
        </w:rPr>
        <w:t>122.</w:t>
      </w:r>
    </w:p>
    <w:p w14:paraId="3D5174F6" w14:textId="29765EB9"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UNDP</w:t>
      </w:r>
      <w:r w:rsidR="00F25E59" w:rsidRPr="00477D8F">
        <w:rPr>
          <w:rFonts w:ascii="Sylfaen" w:hAnsi="Sylfaen" w:cs="Times New Roman"/>
          <w:bCs/>
        </w:rPr>
        <w:t xml:space="preserve"> (</w:t>
      </w:r>
      <w:r w:rsidR="00F25E59" w:rsidRPr="00477D8F">
        <w:rPr>
          <w:rFonts w:ascii="Sylfaen" w:eastAsia="Times New Roman" w:hAnsi="Sylfaen" w:cs="Times New Roman"/>
          <w:bCs/>
          <w:color w:val="000000"/>
        </w:rPr>
        <w:t>United Nations Development Programme)</w:t>
      </w:r>
      <w:r w:rsidRPr="00477D8F">
        <w:rPr>
          <w:rFonts w:ascii="Sylfaen" w:hAnsi="Sylfaen" w:cs="Times New Roman"/>
          <w:bCs/>
        </w:rPr>
        <w:t xml:space="preserve">. 2016. “Briefing </w:t>
      </w:r>
      <w:r w:rsidR="005D1EC7" w:rsidRPr="00477D8F">
        <w:rPr>
          <w:rFonts w:ascii="Sylfaen" w:hAnsi="Sylfaen" w:cs="Times New Roman"/>
          <w:bCs/>
        </w:rPr>
        <w:t>N</w:t>
      </w:r>
      <w:r w:rsidRPr="00477D8F">
        <w:rPr>
          <w:rFonts w:ascii="Sylfaen" w:hAnsi="Sylfaen" w:cs="Times New Roman"/>
          <w:bCs/>
        </w:rPr>
        <w:t xml:space="preserve">ote for </w:t>
      </w:r>
      <w:r w:rsidR="005D1EC7" w:rsidRPr="00477D8F">
        <w:rPr>
          <w:rFonts w:ascii="Sylfaen" w:hAnsi="Sylfaen" w:cs="Times New Roman"/>
          <w:bCs/>
        </w:rPr>
        <w:t>C</w:t>
      </w:r>
      <w:r w:rsidRPr="00477D8F">
        <w:rPr>
          <w:rFonts w:ascii="Sylfaen" w:hAnsi="Sylfaen" w:cs="Times New Roman"/>
          <w:bCs/>
        </w:rPr>
        <w:t>ountries on the 2016 Human Development Report</w:t>
      </w:r>
      <w:r w:rsidR="005D1EC7" w:rsidRPr="00477D8F">
        <w:rPr>
          <w:rFonts w:ascii="Sylfaen" w:hAnsi="Sylfaen" w:cs="Times New Roman"/>
          <w:bCs/>
        </w:rPr>
        <w:t>.</w:t>
      </w:r>
      <w:r w:rsidRPr="00477D8F">
        <w:rPr>
          <w:rFonts w:ascii="Sylfaen" w:hAnsi="Sylfaen" w:cs="Times New Roman"/>
          <w:bCs/>
        </w:rPr>
        <w:t xml:space="preserve">” </w:t>
      </w:r>
    </w:p>
    <w:p w14:paraId="7900CDA4" w14:textId="05029CAE"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UNICEF (United Nations Children’s Fund). 2010. “Child-Friendly Schools: Ethiopia Case Study</w:t>
      </w:r>
      <w:r w:rsidR="000B4CCF" w:rsidRPr="00477D8F">
        <w:rPr>
          <w:rFonts w:ascii="Sylfaen" w:hAnsi="Sylfaen" w:cs="Times New Roman"/>
          <w:bCs/>
        </w:rPr>
        <w:t>.</w:t>
      </w:r>
      <w:r w:rsidRPr="00477D8F">
        <w:rPr>
          <w:rFonts w:ascii="Sylfaen" w:hAnsi="Sylfaen" w:cs="Times New Roman"/>
          <w:bCs/>
        </w:rPr>
        <w:t>”</w:t>
      </w:r>
    </w:p>
    <w:p w14:paraId="5D9B343B" w14:textId="2C136FC9" w:rsidR="00B04D7A" w:rsidRPr="00477D8F" w:rsidRDefault="00B04D7A" w:rsidP="00B04D7A">
      <w:pPr>
        <w:spacing w:after="240" w:line="240" w:lineRule="auto"/>
        <w:ind w:left="360" w:hanging="360"/>
        <w:jc w:val="both"/>
        <w:rPr>
          <w:rFonts w:ascii="Sylfaen" w:hAnsi="Sylfaen" w:cs="Times New Roman"/>
          <w:bCs/>
        </w:rPr>
      </w:pPr>
      <w:r w:rsidRPr="00477D8F">
        <w:rPr>
          <w:rFonts w:ascii="Sylfaen" w:hAnsi="Sylfaen" w:cs="Times New Roman"/>
          <w:bCs/>
        </w:rPr>
        <w:t>UNPD (UN Population Division). 2015. “World Population Prospects.” The 2012 Revision.</w:t>
      </w:r>
    </w:p>
    <w:p w14:paraId="2EDE0956" w14:textId="77777777" w:rsidR="00705D2D" w:rsidRPr="00477D8F" w:rsidRDefault="00705D2D" w:rsidP="00705D2D">
      <w:pPr>
        <w:spacing w:after="240" w:line="240" w:lineRule="auto"/>
        <w:ind w:left="360" w:hanging="360"/>
        <w:jc w:val="both"/>
        <w:rPr>
          <w:rFonts w:ascii="Sylfaen" w:hAnsi="Sylfaen" w:cs="Times New Roman"/>
          <w:bCs/>
        </w:rPr>
      </w:pPr>
      <w:r w:rsidRPr="00477D8F">
        <w:rPr>
          <w:rFonts w:ascii="Sylfaen" w:hAnsi="Sylfaen" w:cs="Times New Roman"/>
          <w:bCs/>
        </w:rPr>
        <w:t>Vermeersch, C., and M. Kremer. 2005. “School Meals, Education Achievement and School Competition: Evidence from a Randomized Evaluation.” World Bank Working Paper 3523.</w:t>
      </w:r>
    </w:p>
    <w:p w14:paraId="5E1BD8CC" w14:textId="77777777" w:rsidR="008839EE" w:rsidRPr="00477D8F" w:rsidRDefault="008839EE" w:rsidP="008261B8">
      <w:pPr>
        <w:jc w:val="both"/>
        <w:rPr>
          <w:rFonts w:ascii="Sylfaen" w:eastAsiaTheme="majorEastAsia" w:hAnsi="Sylfaen" w:cstheme="majorBidi"/>
          <w:bCs/>
        </w:rPr>
      </w:pPr>
      <w:r w:rsidRPr="00477D8F">
        <w:rPr>
          <w:rFonts w:ascii="Sylfaen" w:hAnsi="Sylfaen"/>
        </w:rPr>
        <w:br w:type="page"/>
      </w:r>
    </w:p>
    <w:p w14:paraId="2DCC388F" w14:textId="77777777" w:rsidR="00480421" w:rsidRPr="00477D8F" w:rsidRDefault="00480421" w:rsidP="00480421">
      <w:pPr>
        <w:pStyle w:val="Heading1"/>
        <w:numPr>
          <w:ilvl w:val="0"/>
          <w:numId w:val="0"/>
        </w:numPr>
        <w:ind w:left="720" w:hanging="720"/>
      </w:pPr>
      <w:bookmarkStart w:id="388" w:name="_Toc496603223"/>
      <w:bookmarkStart w:id="389" w:name="_Toc497171892"/>
      <w:r w:rsidRPr="00477D8F">
        <w:lastRenderedPageBreak/>
        <w:t>Annexes</w:t>
      </w:r>
      <w:bookmarkEnd w:id="388"/>
      <w:bookmarkEnd w:id="389"/>
    </w:p>
    <w:p w14:paraId="0EA291EE" w14:textId="3D1CAFC1" w:rsidR="00480421" w:rsidRPr="00477D8F" w:rsidRDefault="00480421" w:rsidP="00480421">
      <w:pPr>
        <w:pStyle w:val="Heading2"/>
      </w:pPr>
      <w:bookmarkStart w:id="390" w:name="_Toc485282508"/>
      <w:bookmarkStart w:id="391" w:name="_Toc496603224"/>
      <w:bookmarkStart w:id="392" w:name="_Toc497171893"/>
      <w:r w:rsidRPr="00477D8F">
        <w:t>Annex A. Methodological notes</w:t>
      </w:r>
      <w:bookmarkEnd w:id="390"/>
      <w:bookmarkEnd w:id="391"/>
      <w:bookmarkEnd w:id="392"/>
    </w:p>
    <w:p w14:paraId="0DC511FC" w14:textId="77777777" w:rsidR="00480421" w:rsidRPr="00477D8F" w:rsidRDefault="00480421" w:rsidP="00480421">
      <w:pPr>
        <w:pStyle w:val="Heading3"/>
      </w:pPr>
      <w:r w:rsidRPr="00477D8F">
        <w:t xml:space="preserve">Note </w:t>
      </w:r>
      <w:r w:rsidR="002E5BDF" w:rsidRPr="00477D8F">
        <w:fldChar w:fldCharType="begin"/>
      </w:r>
      <w:r w:rsidR="002E5BDF" w:rsidRPr="00477D8F">
        <w:instrText xml:space="preserve"> SEQ Note \* ARABIC </w:instrText>
      </w:r>
      <w:r w:rsidR="002E5BDF" w:rsidRPr="00477D8F">
        <w:fldChar w:fldCharType="separate"/>
      </w:r>
      <w:r w:rsidRPr="00477D8F">
        <w:rPr>
          <w:noProof/>
        </w:rPr>
        <w:t>1</w:t>
      </w:r>
      <w:r w:rsidR="002E5BDF" w:rsidRPr="00477D8F">
        <w:rPr>
          <w:noProof/>
        </w:rPr>
        <w:fldChar w:fldCharType="end"/>
      </w:r>
      <w:r w:rsidRPr="00477D8F">
        <w:t>: Benefit Incidence Analysis</w:t>
      </w:r>
    </w:p>
    <w:p w14:paraId="5C4F9EB4" w14:textId="1A96E5B5" w:rsidR="00480421" w:rsidRPr="00477D8F" w:rsidRDefault="00480421" w:rsidP="00480421">
      <w:pPr>
        <w:numPr>
          <w:ilvl w:val="0"/>
          <w:numId w:val="5"/>
        </w:numPr>
        <w:tabs>
          <w:tab w:val="left" w:pos="540"/>
        </w:tabs>
        <w:spacing w:after="240" w:line="240" w:lineRule="auto"/>
        <w:ind w:left="0" w:firstLine="0"/>
        <w:jc w:val="both"/>
        <w:rPr>
          <w:rFonts w:ascii="Sylfaen" w:hAnsi="Sylfaen" w:cs="Times New Roman"/>
          <w:bCs/>
        </w:rPr>
      </w:pPr>
      <w:r w:rsidRPr="00477D8F">
        <w:rPr>
          <w:rFonts w:ascii="Sylfaen" w:hAnsi="Sylfaen" w:cs="Times New Roman"/>
          <w:bCs/>
        </w:rPr>
        <w:t>A BIA illustrates how public expenditure on services is distributed among population subgroups, utilizing both the service provision costs and participation or usage rates of a specific service (Heltberg, Simler, and Tarp 2003). Benefit incidence studies are particularly useful in determining the extent to which public spending on social sectors—for the present chapter, education—benefits the poorest strata and therefore, creates a well-targeted instrument for poverty reduction.</w:t>
      </w:r>
      <w:r w:rsidRPr="00477D8F">
        <w:rPr>
          <w:rFonts w:ascii="Sylfaen" w:hAnsi="Sylfaen"/>
          <w:bCs/>
          <w:vertAlign w:val="superscript"/>
        </w:rPr>
        <w:footnoteReference w:id="29"/>
      </w:r>
      <w:r w:rsidRPr="00477D8F">
        <w:rPr>
          <w:rFonts w:ascii="Sylfaen" w:hAnsi="Sylfaen" w:cs="Times New Roman"/>
          <w:bCs/>
        </w:rPr>
        <w:t xml:space="preserve"> A BIA can likewise analyze expenditure by different groups or regional locations though this analysis requires greater disaggregation in spending data which was not available for this analysis. This chapter has been therefore limited to the income group (denoted by expenditure quintile).</w:t>
      </w:r>
    </w:p>
    <w:p w14:paraId="75883508" w14:textId="7F121050" w:rsidR="00480421" w:rsidRPr="00477D8F" w:rsidRDefault="00480421" w:rsidP="00480421">
      <w:pPr>
        <w:numPr>
          <w:ilvl w:val="0"/>
          <w:numId w:val="5"/>
        </w:numPr>
        <w:tabs>
          <w:tab w:val="left" w:pos="540"/>
        </w:tabs>
        <w:spacing w:after="240" w:line="240" w:lineRule="auto"/>
        <w:ind w:left="0" w:firstLine="0"/>
        <w:jc w:val="both"/>
        <w:rPr>
          <w:rFonts w:ascii="Sylfaen" w:hAnsi="Sylfaen" w:cs="Times New Roman"/>
          <w:bCs/>
        </w:rPr>
      </w:pPr>
      <w:r w:rsidRPr="00477D8F">
        <w:rPr>
          <w:rFonts w:ascii="Sylfaen" w:hAnsi="Sylfaen" w:cs="Times New Roman"/>
          <w:bCs/>
        </w:rPr>
        <w:t>A BIA requires three elements: household-level survey data which gather (a) information from which to construct a proper welfare indicator (that is, per capita household consumption expenditures, appropriately adjusted) and (b) utilization of or participation in the public service of interest (enrollment in school) and administrative or budget data that provide (c) unit costs to the government for the provision of those same services (for example, the cost of one year of schooling per student).</w:t>
      </w:r>
    </w:p>
    <w:p w14:paraId="0567655A" w14:textId="33A07C7C" w:rsidR="00480421" w:rsidRPr="00477D8F" w:rsidRDefault="00480421" w:rsidP="00480421">
      <w:pPr>
        <w:numPr>
          <w:ilvl w:val="0"/>
          <w:numId w:val="5"/>
        </w:numPr>
        <w:tabs>
          <w:tab w:val="left" w:pos="540"/>
        </w:tabs>
        <w:spacing w:after="240" w:line="240" w:lineRule="auto"/>
        <w:ind w:left="0" w:firstLine="0"/>
        <w:jc w:val="both"/>
        <w:rPr>
          <w:rFonts w:ascii="Sylfaen" w:hAnsi="Sylfaen" w:cs="Times New Roman"/>
          <w:bCs/>
        </w:rPr>
      </w:pPr>
      <w:r w:rsidRPr="00477D8F">
        <w:rPr>
          <w:rFonts w:ascii="Sylfaen" w:hAnsi="Sylfaen" w:cs="Times New Roman"/>
          <w:bCs/>
        </w:rPr>
        <w:t>In the case of The Gambia, the IHS 2015 is an adequate instrument to conduct a BIA with as it gathers appropriate information on both enrollment figures as well as consumption measures for constructing accurate welfare indicators. Welfare, in this case, is measured by the aggregate household consumption over the last 12 months, after incorporating food consumption, non-food consumption, housing, and benefits derived from durable goods. The unit costs of education are derived from figures for public spending on education reported by the Ministry of Finance for Public Spending on Education. By utilizing government expenditure sources in addition to household expenditure on education, a more accurate unit cost can be calculated.</w:t>
      </w:r>
    </w:p>
    <w:p w14:paraId="6AA7E178" w14:textId="7C263E5A" w:rsidR="00480421" w:rsidRPr="00477D8F" w:rsidRDefault="00480421" w:rsidP="00480421">
      <w:pPr>
        <w:numPr>
          <w:ilvl w:val="0"/>
          <w:numId w:val="5"/>
        </w:numPr>
        <w:tabs>
          <w:tab w:val="left" w:pos="540"/>
        </w:tabs>
        <w:spacing w:after="240" w:line="240" w:lineRule="auto"/>
        <w:ind w:left="0" w:firstLine="0"/>
        <w:jc w:val="both"/>
        <w:rPr>
          <w:rFonts w:ascii="Sylfaen" w:hAnsi="Sylfaen" w:cs="Times New Roman"/>
          <w:bCs/>
        </w:rPr>
      </w:pPr>
      <w:r w:rsidRPr="00477D8F">
        <w:rPr>
          <w:rFonts w:ascii="Sylfaen" w:hAnsi="Sylfaen" w:cs="Times New Roman"/>
          <w:bCs/>
        </w:rPr>
        <w:t>Individuals (or households) must first be ranked by their measure of welfare according to the household survey and then aggregated into population groups to compare how the subsidy itself is distributed across these groups. These groups are typically quintiles or deciles. This analysis utilizes expenditure quintiles, in which the first quintile holds the poorest 20 percent of the population and so on.</w:t>
      </w:r>
    </w:p>
    <w:p w14:paraId="4581A624" w14:textId="71FE9BA8" w:rsidR="00480421" w:rsidRPr="00477D8F" w:rsidRDefault="00480421" w:rsidP="00480421">
      <w:pPr>
        <w:numPr>
          <w:ilvl w:val="0"/>
          <w:numId w:val="5"/>
        </w:numPr>
        <w:tabs>
          <w:tab w:val="left" w:pos="540"/>
        </w:tabs>
        <w:spacing w:after="240" w:line="240" w:lineRule="auto"/>
        <w:ind w:left="0" w:firstLine="0"/>
        <w:jc w:val="both"/>
        <w:rPr>
          <w:rFonts w:ascii="Sylfaen" w:hAnsi="Sylfaen" w:cs="Times New Roman"/>
          <w:bCs/>
        </w:rPr>
      </w:pPr>
      <w:r w:rsidRPr="00477D8F">
        <w:rPr>
          <w:rFonts w:ascii="Sylfaen" w:hAnsi="Sylfaen" w:cs="Times New Roman"/>
          <w:bCs/>
        </w:rPr>
        <w:t xml:space="preserve">Next, using the data provided in the household survey, the total number of individuals who participated in or used the publicly provided service in question (those who were enrolled in school) must be identified. Each user (or household) is then multiplied by the unit cost of service provision and finally, these beneficiaries are aggregated into their appropriate population groups (consumption </w:t>
      </w:r>
      <w:r w:rsidRPr="00477D8F">
        <w:rPr>
          <w:rFonts w:ascii="Sylfaen" w:hAnsi="Sylfaen" w:cs="Times New Roman"/>
          <w:bCs/>
        </w:rPr>
        <w:lastRenderedPageBreak/>
        <w:t>quintiles). It is the distribution of this in-kind transfer of the population that constitutes a BIA. The BIA model for The Gambia can be expressed as</w:t>
      </w:r>
    </w:p>
    <w:p w14:paraId="19CF7BFC" w14:textId="77777777" w:rsidR="00480421" w:rsidRPr="00477D8F" w:rsidRDefault="00480421" w:rsidP="00480421">
      <w:pPr>
        <w:spacing w:after="120"/>
        <w:jc w:val="center"/>
        <w:rPr>
          <w:rFonts w:ascii="Sylfaen" w:hAnsi="Sylfaen" w:cs="Times New Roman"/>
          <w:bCs/>
        </w:rPr>
      </w:pPr>
      <w:r w:rsidRPr="00477D8F">
        <w:rPr>
          <w:rFonts w:ascii="Sylfaen" w:hAnsi="Sylfaen" w:cs="Times New Roman"/>
          <w:bCs/>
          <w:position w:val="-30"/>
        </w:rPr>
        <w:object w:dxaOrig="2480" w:dyaOrig="700" w14:anchorId="1F53F9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95pt;height:36.55pt" o:ole="">
            <v:imagedata r:id="rId130" o:title=""/>
          </v:shape>
          <o:OLEObject Type="Embed" ProgID="Equation.3" ShapeID="_x0000_i1025" DrawAspect="Content" ObjectID="_1570913651" r:id="rId131"/>
        </w:object>
      </w:r>
      <w:r w:rsidRPr="00477D8F">
        <w:rPr>
          <w:rFonts w:ascii="Sylfaen" w:hAnsi="Sylfaen" w:cs="Times New Roman"/>
          <w:bCs/>
        </w:rPr>
        <w:t>,</w:t>
      </w:r>
    </w:p>
    <w:p w14:paraId="47D44245" w14:textId="6517D1D2" w:rsidR="00480421" w:rsidRPr="00477D8F" w:rsidRDefault="00480421" w:rsidP="00480421">
      <w:pPr>
        <w:tabs>
          <w:tab w:val="left" w:pos="540"/>
        </w:tabs>
        <w:spacing w:after="240" w:line="240" w:lineRule="auto"/>
        <w:jc w:val="both"/>
        <w:rPr>
          <w:rFonts w:ascii="Sylfaen" w:hAnsi="Sylfaen"/>
          <w:bCs/>
        </w:rPr>
      </w:pPr>
      <w:r w:rsidRPr="00477D8F">
        <w:rPr>
          <w:rFonts w:ascii="Sylfaen" w:hAnsi="Sylfaen"/>
          <w:bCs/>
        </w:rPr>
        <w:t xml:space="preserve">where </w:t>
      </w:r>
      <w:r w:rsidRPr="00477D8F">
        <w:rPr>
          <w:rFonts w:ascii="Cambria Math" w:hAnsi="Cambria Math"/>
          <w:bCs/>
          <w:i/>
        </w:rPr>
        <w:t>X</w:t>
      </w:r>
      <w:r w:rsidRPr="00477D8F">
        <w:rPr>
          <w:rFonts w:ascii="Cambria Math" w:hAnsi="Cambria Math"/>
          <w:bCs/>
          <w:i/>
          <w:vertAlign w:val="subscript"/>
        </w:rPr>
        <w:t>j</w:t>
      </w:r>
      <w:r w:rsidRPr="00477D8F">
        <w:rPr>
          <w:rFonts w:ascii="Cambria Math" w:hAnsi="Cambria Math"/>
          <w:bCs/>
        </w:rPr>
        <w:t xml:space="preserve"> </w:t>
      </w:r>
      <w:r w:rsidRPr="00477D8F">
        <w:rPr>
          <w:rFonts w:ascii="Sylfaen" w:hAnsi="Sylfaen"/>
          <w:bCs/>
        </w:rPr>
        <w:t xml:space="preserve">is the value of the total education subsidy imputed to consumption quintile </w:t>
      </w:r>
      <w:r w:rsidRPr="00477D8F">
        <w:rPr>
          <w:rFonts w:ascii="Cambria Math" w:hAnsi="Cambria Math"/>
          <w:bCs/>
          <w:i/>
        </w:rPr>
        <w:t>j</w:t>
      </w:r>
      <w:r w:rsidRPr="00477D8F">
        <w:rPr>
          <w:rFonts w:ascii="Sylfaen" w:hAnsi="Sylfaen"/>
          <w:bCs/>
        </w:rPr>
        <w:t xml:space="preserve">. </w:t>
      </w:r>
      <w:r w:rsidRPr="00477D8F">
        <w:rPr>
          <w:rFonts w:ascii="Cambria Math" w:hAnsi="Cambria Math"/>
          <w:bCs/>
          <w:i/>
        </w:rPr>
        <w:t>E</w:t>
      </w:r>
      <w:r w:rsidRPr="00477D8F">
        <w:rPr>
          <w:rFonts w:ascii="Cambria Math" w:hAnsi="Cambria Math"/>
          <w:bCs/>
          <w:i/>
          <w:vertAlign w:val="subscript"/>
        </w:rPr>
        <w:t>ij</w:t>
      </w:r>
      <w:r w:rsidRPr="00477D8F">
        <w:rPr>
          <w:rFonts w:ascii="Sylfaen" w:hAnsi="Sylfaen"/>
          <w:bCs/>
        </w:rPr>
        <w:t xml:space="preserve"> represents the number of school enrollments of consumption quintile </w:t>
      </w:r>
      <w:r w:rsidRPr="00477D8F">
        <w:rPr>
          <w:rFonts w:ascii="Cambria Math" w:hAnsi="Cambria Math"/>
          <w:bCs/>
          <w:i/>
        </w:rPr>
        <w:t>j</w:t>
      </w:r>
      <w:r w:rsidRPr="00477D8F">
        <w:rPr>
          <w:rFonts w:ascii="Cambria Math" w:hAnsi="Cambria Math"/>
          <w:bCs/>
        </w:rPr>
        <w:t xml:space="preserve"> </w:t>
      </w:r>
      <w:r w:rsidRPr="00477D8F">
        <w:rPr>
          <w:rFonts w:ascii="Sylfaen" w:hAnsi="Sylfaen"/>
          <w:bCs/>
        </w:rPr>
        <w:t xml:space="preserve">at education level </w:t>
      </w:r>
      <w:r w:rsidRPr="00477D8F">
        <w:rPr>
          <w:rFonts w:ascii="Cambria Math" w:hAnsi="Cambria Math"/>
          <w:bCs/>
          <w:i/>
        </w:rPr>
        <w:t>i</w:t>
      </w:r>
      <w:r w:rsidRPr="00477D8F">
        <w:rPr>
          <w:rFonts w:ascii="Sylfaen" w:hAnsi="Sylfaen"/>
          <w:bCs/>
        </w:rPr>
        <w:t xml:space="preserve"> and </w:t>
      </w:r>
      <w:r w:rsidRPr="00477D8F">
        <w:rPr>
          <w:rFonts w:ascii="Cambria Math" w:hAnsi="Cambria Math"/>
          <w:bCs/>
          <w:i/>
        </w:rPr>
        <w:t>E</w:t>
      </w:r>
      <w:r w:rsidRPr="00477D8F">
        <w:rPr>
          <w:rFonts w:ascii="Cambria Math" w:hAnsi="Cambria Math"/>
          <w:bCs/>
          <w:i/>
          <w:vertAlign w:val="subscript"/>
        </w:rPr>
        <w:t>i</w:t>
      </w:r>
      <w:r w:rsidRPr="00477D8F">
        <w:rPr>
          <w:rFonts w:ascii="Sylfaen" w:hAnsi="Sylfaen"/>
          <w:bCs/>
        </w:rPr>
        <w:t xml:space="preserve"> the total number of enrollments (across all consumption quintile) at that level. </w:t>
      </w:r>
      <w:r w:rsidRPr="00477D8F">
        <w:rPr>
          <w:rFonts w:ascii="Cambria Math" w:hAnsi="Cambria Math"/>
          <w:bCs/>
          <w:i/>
        </w:rPr>
        <w:t xml:space="preserve">Si </w:t>
      </w:r>
      <w:r w:rsidRPr="00477D8F">
        <w:rPr>
          <w:rFonts w:ascii="Sylfaen" w:hAnsi="Sylfaen"/>
          <w:bCs/>
        </w:rPr>
        <w:t xml:space="preserve">is government spending on education level </w:t>
      </w:r>
      <w:r w:rsidRPr="00477D8F">
        <w:rPr>
          <w:rFonts w:ascii="Cambria Math" w:hAnsi="Cambria Math"/>
          <w:bCs/>
          <w:i/>
        </w:rPr>
        <w:t>i</w:t>
      </w:r>
      <w:r w:rsidRPr="00477D8F">
        <w:rPr>
          <w:rFonts w:ascii="Sylfaen" w:hAnsi="Sylfaen"/>
          <w:bCs/>
        </w:rPr>
        <w:t xml:space="preserve"> and </w:t>
      </w:r>
      <w:r w:rsidRPr="00477D8F">
        <w:rPr>
          <w:rFonts w:ascii="Cambria Math" w:hAnsi="Cambria Math"/>
          <w:bCs/>
          <w:i/>
        </w:rPr>
        <w:t>i</w:t>
      </w:r>
      <w:r w:rsidRPr="00477D8F">
        <w:rPr>
          <w:rFonts w:ascii="Sylfaen" w:hAnsi="Sylfaen"/>
          <w:bCs/>
        </w:rPr>
        <w:t xml:space="preserve"> (= 1,...,4) denotes the level of education (primary, lower secondary, upper secondary, and tertiary). Note that </w:t>
      </w:r>
      <w:r w:rsidRPr="00477D8F">
        <w:rPr>
          <w:rFonts w:ascii="Cambria Math" w:hAnsi="Cambria Math"/>
          <w:bCs/>
          <w:i/>
        </w:rPr>
        <w:t>Si/Ei</w:t>
      </w:r>
      <w:r w:rsidRPr="00477D8F">
        <w:rPr>
          <w:rFonts w:ascii="Sylfaen" w:hAnsi="Sylfaen"/>
          <w:bCs/>
        </w:rPr>
        <w:t xml:space="preserve"> is the unit subsidy of providing a school place at level </w:t>
      </w:r>
      <w:r w:rsidRPr="00477D8F">
        <w:rPr>
          <w:rFonts w:ascii="Cambria Math" w:hAnsi="Cambria Math"/>
          <w:bCs/>
          <w:i/>
        </w:rPr>
        <w:t>i</w:t>
      </w:r>
      <w:r w:rsidRPr="00477D8F">
        <w:rPr>
          <w:rFonts w:ascii="Sylfaen" w:hAnsi="Sylfaen"/>
          <w:bCs/>
        </w:rPr>
        <w:t xml:space="preserve"> (Demery 2000).</w:t>
      </w:r>
    </w:p>
    <w:p w14:paraId="34FF3519" w14:textId="1C0346D7" w:rsidR="00480421" w:rsidRPr="00477D8F" w:rsidRDefault="00480421" w:rsidP="00480421">
      <w:pPr>
        <w:numPr>
          <w:ilvl w:val="0"/>
          <w:numId w:val="5"/>
        </w:numPr>
        <w:tabs>
          <w:tab w:val="left" w:pos="540"/>
        </w:tabs>
        <w:spacing w:after="240" w:line="240" w:lineRule="auto"/>
        <w:ind w:left="0" w:firstLine="0"/>
        <w:jc w:val="both"/>
        <w:rPr>
          <w:rFonts w:ascii="Sylfaen" w:hAnsi="Sylfaen" w:cs="Times New Roman"/>
          <w:bCs/>
        </w:rPr>
      </w:pPr>
      <w:r w:rsidRPr="00477D8F">
        <w:rPr>
          <w:rFonts w:ascii="Sylfaen" w:hAnsi="Sylfaen" w:cs="Times New Roman"/>
          <w:bCs/>
        </w:rPr>
        <w:t>The resulting profile illustrates the distribution of public spending on education that is allocated to each welfare group (expenditure quintile) or the ‘benefit incidence’. Concentration curves can then be plotted that show the cumulative distribution of these benefits across households and can be compared to the cumulative distribution of total consumption (what is typically referred to as the Lorenz curve). The Lorenz curve is a graphical interpretation of the cumulative distribution of income on the vertical axis against the cumulative distribution of population on the horizontal axis. The progressivity of spending is pro-poor if the poor receive more of the services’ benefits than the non-poor as well as a share greater than their share of the population; graphically this line appears above the diagonal line as this is the line indicating that each quintile in the distribution is receiving the same share, in this case, 20 percent of spending. Pro-poor spending is an indication of the successful targeting of public service benefits toward poorer households (Heltberg, Simler, and Tarp 2003). ‘Not-pro-poor but progressive’ refers to a scenario where the non-poor receive more than the poor, but the poor still receive a share larger than their share of consumption; graphically this line appears below the diagonal but above the Lorenz. ‘Not-pro-poor and regressive’ occurs if the non-poor receive more than the poor and the share of the poor is less than their share of consumption; graphically this line appears below the diagonal and below the Lorenz.</w:t>
      </w:r>
    </w:p>
    <w:p w14:paraId="3DA4C65E" w14:textId="393FAE0E" w:rsidR="00480421" w:rsidRPr="00477D8F" w:rsidRDefault="00480421" w:rsidP="00480421">
      <w:pPr>
        <w:numPr>
          <w:ilvl w:val="0"/>
          <w:numId w:val="5"/>
        </w:numPr>
        <w:tabs>
          <w:tab w:val="left" w:pos="540"/>
        </w:tabs>
        <w:spacing w:after="240" w:line="240" w:lineRule="auto"/>
        <w:ind w:left="0" w:firstLine="0"/>
        <w:jc w:val="both"/>
        <w:rPr>
          <w:rFonts w:ascii="Sylfaen" w:hAnsi="Sylfaen" w:cs="Times New Roman"/>
          <w:bCs/>
        </w:rPr>
      </w:pPr>
      <w:r w:rsidRPr="00477D8F">
        <w:rPr>
          <w:rFonts w:ascii="Sylfaen" w:hAnsi="Sylfaen" w:cs="Times New Roman"/>
          <w:bCs/>
        </w:rPr>
        <w:t>When determining enrollment as an element of BIA, its distribution can be interpreted in one of two ways: (a) net enrollment (the share of children of school-age groups attending the corresponding school level) or (b) gross enrollment (the share of all children regardless of their age who are attending a specific school level). The differences in these two can add depth to further interpretations of the benefit incidence analysis. In The Gambia, given the overages, older children still enrolled in primary school contribute to differing enrollment rates and the GER is used.</w:t>
      </w:r>
    </w:p>
    <w:p w14:paraId="755AC628" w14:textId="77777777" w:rsidR="00480421" w:rsidRPr="00477D8F" w:rsidRDefault="00480421" w:rsidP="00480421">
      <w:pPr>
        <w:pStyle w:val="Heading3"/>
      </w:pPr>
      <w:r w:rsidRPr="00477D8F">
        <w:t>Note 2: The determinants of transition through the school system</w:t>
      </w:r>
    </w:p>
    <w:p w14:paraId="3670EDB5" w14:textId="421DDFD4" w:rsidR="00480421" w:rsidRPr="00477D8F" w:rsidRDefault="00480421" w:rsidP="00480421">
      <w:pPr>
        <w:numPr>
          <w:ilvl w:val="0"/>
          <w:numId w:val="5"/>
        </w:numPr>
        <w:tabs>
          <w:tab w:val="left" w:pos="540"/>
        </w:tabs>
        <w:spacing w:after="240" w:line="240" w:lineRule="auto"/>
        <w:ind w:left="0" w:firstLine="0"/>
        <w:jc w:val="both"/>
        <w:rPr>
          <w:rFonts w:ascii="Sylfaen" w:hAnsi="Sylfaen" w:cs="Times New Roman"/>
        </w:rPr>
      </w:pPr>
      <w:r w:rsidRPr="00477D8F">
        <w:rPr>
          <w:rFonts w:ascii="Sylfaen" w:hAnsi="Sylfaen" w:cs="Times New Roman"/>
        </w:rPr>
        <w:t>To investigate the determinants of transition through the education system, a sequential logit model is estimated.</w:t>
      </w:r>
      <w:r w:rsidRPr="00477D8F">
        <w:rPr>
          <w:rFonts w:ascii="Sylfaen" w:hAnsi="Sylfaen"/>
          <w:vertAlign w:val="superscript"/>
        </w:rPr>
        <w:footnoteReference w:id="30"/>
      </w:r>
      <w:r w:rsidRPr="00477D8F">
        <w:rPr>
          <w:rFonts w:ascii="Sylfaen" w:hAnsi="Sylfaen" w:cs="Times New Roman"/>
        </w:rPr>
        <w:t xml:space="preserve"> At each level of education, the probability of completion depends on whether individuals have completed the previous education level or not. For instance, completing primary education matters for individuals who are engaged in the education system and only people who have </w:t>
      </w:r>
      <w:r w:rsidRPr="00477D8F">
        <w:rPr>
          <w:rFonts w:ascii="Sylfaen" w:hAnsi="Sylfaen" w:cs="Times New Roman"/>
        </w:rPr>
        <w:lastRenderedPageBreak/>
        <w:t>already completed primary education are concerned by secondary education completion. Sequential logit model allows modeling the probability of completing each level of education and that of moving to the next level of education taking into account the completion of the previous level of education. The purpose is to model the influence of the explanatory variables on the probability of passing a set of transitions.</w:t>
      </w:r>
    </w:p>
    <w:p w14:paraId="255C184A" w14:textId="452BDC8C" w:rsidR="00480421" w:rsidRPr="00477D8F" w:rsidRDefault="00480421" w:rsidP="00480421">
      <w:pPr>
        <w:numPr>
          <w:ilvl w:val="0"/>
          <w:numId w:val="5"/>
        </w:numPr>
        <w:tabs>
          <w:tab w:val="left" w:pos="540"/>
        </w:tabs>
        <w:spacing w:after="240" w:line="240" w:lineRule="auto"/>
        <w:ind w:left="0" w:firstLine="0"/>
        <w:jc w:val="both"/>
        <w:rPr>
          <w:rFonts w:ascii="Sylfaen" w:hAnsi="Sylfaen" w:cs="Times New Roman"/>
          <w:bCs/>
        </w:rPr>
      </w:pPr>
      <w:r w:rsidRPr="00477D8F">
        <w:rPr>
          <w:rFonts w:ascii="Sylfaen" w:hAnsi="Sylfaen" w:cs="Times New Roman"/>
          <w:bCs/>
        </w:rPr>
        <w:t>The model that is estimated for The Gambia includes five transitions: first, the decision to continue/finish primary school (versus never enrolling or dropping out of primary school); second, given that the youth continued/finished primary school, whether to get into lower secondary education or not; third, given that the youth enrolled in lower secondary education, whether the youth eventually dropped out or not; fourth, given that the youth enrolled in upper secondary education, whether the youth eventually dropped out or not; and fifth, given that the youth continued with upper secondary education, whether the youth completed upper secondary education by the age of 24, are still participating in upper secondary education or not. We focus on youth (ages 15 to 24) because they seem to be more concerned by transition issues in the education system.</w:t>
      </w:r>
    </w:p>
    <w:p w14:paraId="591C9910" w14:textId="6291A5D5" w:rsidR="00480421" w:rsidRPr="00477D8F" w:rsidRDefault="00480421" w:rsidP="00480421">
      <w:pPr>
        <w:numPr>
          <w:ilvl w:val="0"/>
          <w:numId w:val="5"/>
        </w:numPr>
        <w:tabs>
          <w:tab w:val="left" w:pos="540"/>
        </w:tabs>
        <w:spacing w:after="240" w:line="240" w:lineRule="auto"/>
        <w:ind w:left="0" w:firstLine="0"/>
        <w:jc w:val="both"/>
        <w:rPr>
          <w:rFonts w:ascii="Sylfaen" w:hAnsi="Sylfaen" w:cs="Times New Roman"/>
        </w:rPr>
      </w:pPr>
      <w:r w:rsidRPr="00477D8F">
        <w:rPr>
          <w:rFonts w:ascii="Sylfaen" w:hAnsi="Sylfaen" w:cs="Times New Roman"/>
        </w:rPr>
        <w:t>A schematic of the model is shown in Figure A1. According to this chart, one is required to have passed all lower transitions to make a decision to continue or to leave the school system. Given the assumption that decisions are independent, one can estimate the model by running a series of logit regressions for each transition on the appropriate subsample.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480421" w:rsidRPr="00477D8F" w14:paraId="6D7027FA" w14:textId="77777777" w:rsidTr="001A041F">
        <w:trPr>
          <w:jc w:val="center"/>
        </w:trPr>
        <w:tc>
          <w:tcPr>
            <w:tcW w:w="9350" w:type="dxa"/>
          </w:tcPr>
          <w:p w14:paraId="3928CDE9" w14:textId="77777777" w:rsidR="00480421" w:rsidRPr="00477D8F" w:rsidRDefault="00480421" w:rsidP="0018522D">
            <w:pPr>
              <w:pStyle w:val="Caption1"/>
              <w:rPr>
                <w:bCs/>
              </w:rPr>
            </w:pPr>
            <w:bookmarkStart w:id="393" w:name="_Toc497170682"/>
            <w:r w:rsidRPr="00477D8F">
              <w:t>Figure A</w:t>
            </w:r>
            <w:r w:rsidR="002E5BDF" w:rsidRPr="00477D8F">
              <w:fldChar w:fldCharType="begin"/>
            </w:r>
            <w:r w:rsidR="002E5BDF" w:rsidRPr="00477D8F">
              <w:instrText xml:space="preserve"> SEQ Figure_A \* ARABIC </w:instrText>
            </w:r>
            <w:r w:rsidR="002E5BDF" w:rsidRPr="00477D8F">
              <w:fldChar w:fldCharType="separate"/>
            </w:r>
            <w:r w:rsidRPr="00477D8F">
              <w:rPr>
                <w:noProof/>
              </w:rPr>
              <w:t>1</w:t>
            </w:r>
            <w:r w:rsidR="002E5BDF" w:rsidRPr="00477D8F">
              <w:rPr>
                <w:noProof/>
              </w:rPr>
              <w:fldChar w:fldCharType="end"/>
            </w:r>
            <w:r w:rsidRPr="00477D8F">
              <w:t>: Illustration of the transition through The Gambia’s education system</w:t>
            </w:r>
            <w:bookmarkEnd w:id="393"/>
          </w:p>
        </w:tc>
      </w:tr>
      <w:tr w:rsidR="00480421" w:rsidRPr="00477D8F" w14:paraId="4AECA8B0" w14:textId="77777777" w:rsidTr="001A041F">
        <w:trPr>
          <w:jc w:val="center"/>
        </w:trPr>
        <w:tc>
          <w:tcPr>
            <w:tcW w:w="9350" w:type="dxa"/>
          </w:tcPr>
          <w:p w14:paraId="02BA94D7" w14:textId="77777777" w:rsidR="00480421" w:rsidRPr="00477D8F" w:rsidRDefault="00480421" w:rsidP="009A2538">
            <w:pPr>
              <w:rPr>
                <w:rFonts w:ascii="Sylfaen" w:hAnsi="Sylfaen" w:cs="Times New Roman"/>
              </w:rPr>
            </w:pPr>
            <w:r w:rsidRPr="00477D8F">
              <w:rPr>
                <w:rFonts w:ascii="Sylfaen" w:hAnsi="Sylfaen" w:cs="Times New Roman"/>
                <w:noProof/>
              </w:rPr>
              <mc:AlternateContent>
                <mc:Choice Requires="wps">
                  <w:drawing>
                    <wp:anchor distT="0" distB="0" distL="114300" distR="114300" simplePos="0" relativeHeight="251668480" behindDoc="0" locked="0" layoutInCell="1" allowOverlap="1" wp14:anchorId="2BB4F6D8" wp14:editId="586E7424">
                      <wp:simplePos x="0" y="0"/>
                      <wp:positionH relativeFrom="column">
                        <wp:posOffset>4399239</wp:posOffset>
                      </wp:positionH>
                      <wp:positionV relativeFrom="paragraph">
                        <wp:posOffset>1163782</wp:posOffset>
                      </wp:positionV>
                      <wp:extent cx="343568" cy="213360"/>
                      <wp:effectExtent l="0" t="0" r="18415" b="15240"/>
                      <wp:wrapNone/>
                      <wp:docPr id="700" name="Rectangle 700"/>
                      <wp:cNvGraphicFramePr/>
                      <a:graphic xmlns:a="http://schemas.openxmlformats.org/drawingml/2006/main">
                        <a:graphicData uri="http://schemas.microsoft.com/office/word/2010/wordprocessingShape">
                          <wps:wsp>
                            <wps:cNvSpPr/>
                            <wps:spPr>
                              <a:xfrm>
                                <a:off x="0" y="0"/>
                                <a:ext cx="343568" cy="213360"/>
                              </a:xfrm>
                              <a:prstGeom prst="rect">
                                <a:avLst/>
                              </a:prstGeom>
                            </wps:spPr>
                            <wps:style>
                              <a:lnRef idx="1">
                                <a:schemeClr val="accent6"/>
                              </a:lnRef>
                              <a:fillRef idx="3">
                                <a:schemeClr val="accent6"/>
                              </a:fillRef>
                              <a:effectRef idx="2">
                                <a:schemeClr val="accent6"/>
                              </a:effectRef>
                              <a:fontRef idx="minor">
                                <a:schemeClr val="lt1"/>
                              </a:fontRef>
                            </wps:style>
                            <wps:txbx>
                              <w:txbxContent>
                                <w:p w14:paraId="73A56D1F" w14:textId="77777777" w:rsidR="00305B32" w:rsidRPr="009443C7" w:rsidRDefault="00305B32" w:rsidP="00480421">
                                  <w:pPr>
                                    <w:jc w:val="center"/>
                                    <w:rPr>
                                      <w:sz w:val="14"/>
                                      <w:szCs w:val="14"/>
                                      <w:vertAlign w:val="subscript"/>
                                    </w:rPr>
                                  </w:pPr>
                                  <w:r>
                                    <w:rPr>
                                      <w:sz w:val="14"/>
                                      <w:szCs w:val="14"/>
                                    </w:rPr>
                                    <w:t>1-</w:t>
                                  </w:r>
                                  <w:r w:rsidRPr="009443C7">
                                    <w:rPr>
                                      <w:sz w:val="14"/>
                                      <w:szCs w:val="14"/>
                                    </w:rPr>
                                    <w:t>P</w:t>
                                  </w:r>
                                  <w:r>
                                    <w:rPr>
                                      <w:sz w:val="14"/>
                                      <w:szCs w:val="14"/>
                                      <w:vertAlign w:val="subscript"/>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4F6D8" id="Rectangle 700" o:spid="_x0000_s1026" style="position:absolute;margin-left:346.4pt;margin-top:91.65pt;width:27.05pt;height:16.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vixZwIAACQFAAAOAAAAZHJzL2Uyb0RvYy54bWysVN9r2zAQfh/sfxB6XxwnabqFOiWkdAxK&#10;W9qOPiuylBhknXZSYmd//U6y45auUBh7sXW63999p4vLtjbsoNBXYAuej8acKSuhrOy24D+frr98&#10;5cwHYUthwKqCH5Xnl8vPny4at1AT2IEpFTIKYv2icQXfheAWWeblTtXCj8ApS0oNWItAIm6zEkVD&#10;0WuTTcbjedYAlg5BKu/p9qpT8mWKr7WS4U5rrwIzBafaQvpi+m7iN1teiMUWhdtVsi9D/EMVtags&#10;JR1CXYkg2B6rv0LVlUTwoMNIQp2B1pVUqQfqJh+/6eZxJ5xKvRA43g0w+f8XVt4e7pFVZcHPx4SP&#10;FTUN6YFgE3ZrFIuXBFHj/IIsH9099pKnY+y31VjHP3XC2gTrcYBVtYFJupzOpmdz4oEk1SSfTucp&#10;Zvbi7NCH7wpqFg8FR0qfwBSHGx8oIZmeTEiIxXTp0ykcjYoVGPugNHVCCfPknTik1gbZQdD0hZTK&#10;hnlsh+Il6+imK2MGx+nHjr19dFWJX4Pz5GPnwSNlBhsG57qygO8FMCHvS9ad/QmBru8IQWg3bT+W&#10;DZRHmidCR3Tv5HVFmN4IH+4FErNpxrSt4Y4+2kBTcOhPnO0Af793H+2JcKTlrKFNKbj/tReoODM/&#10;LFHxWz6bxdVKwuzsfEICvtZsXmvsvl4DjSOnd8HJdIz2wZyOGqF+pqVexaykElZS7oLLgCdhHboN&#10;pmdBqtUqmdE6ORFu7KOTJwJEzjy1zwJdT6xAjLyF01aJxRt+dbZxNBZW+wC6SuSLEHe49tDTKiYO&#10;9c9G3PXXcrJ6edyWfwAAAP//AwBQSwMEFAAGAAgAAAAhAIDGS9HiAAAACwEAAA8AAABkcnMvZG93&#10;bnJldi54bWxMj01Lw0AQhu+C/2EZwZvdJJW0SbMpInooHiTVQr1Nk202uB9hd9vGf+94qrcZ3pdn&#10;nqnWk9HsLH0YnBWQzhJg0rauG2wv4PPj9WEJLES0HWpnpYAfGWBd395UWHbuYht53saeEcSGEgWo&#10;GMeS89AqaTDM3CgtZUfnDUZafc87jxeCG82zJMm5wcHSBYWjfFay/d6ejIBs8/7mp+ZrM6r9S7Fo&#10;0t0e9U6I+7vpaQUsyiley/CnT+pQk9PBnWwXmBaQFxmpRwqW8zkwaiwe8wLYgfApDbyu+P8f6l8A&#10;AAD//wMAUEsBAi0AFAAGAAgAAAAhALaDOJL+AAAA4QEAABMAAAAAAAAAAAAAAAAAAAAAAFtDb250&#10;ZW50X1R5cGVzXS54bWxQSwECLQAUAAYACAAAACEAOP0h/9YAAACUAQAACwAAAAAAAAAAAAAAAAAv&#10;AQAAX3JlbHMvLnJlbHNQSwECLQAUAAYACAAAACEATGb4sWcCAAAkBQAADgAAAAAAAAAAAAAAAAAu&#10;AgAAZHJzL2Uyb0RvYy54bWxQSwECLQAUAAYACAAAACEAgMZL0eIAAAALAQAADwAAAAAAAAAAAAAA&#10;AADBBAAAZHJzL2Rvd25yZXYueG1sUEsFBgAAAAAEAAQA8wAAANAFAAAAAA==&#10;" fillcolor="#77b64e [3033]" strokecolor="#70ad47 [3209]" strokeweight=".5pt">
                      <v:fill color2="#6eaa46 [3177]" rotate="t" colors="0 #81b861;.5 #6fb242;1 #61a235" focus="100%" type="gradient">
                        <o:fill v:ext="view" type="gradientUnscaled"/>
                      </v:fill>
                      <v:textbox>
                        <w:txbxContent>
                          <w:p w14:paraId="73A56D1F" w14:textId="77777777" w:rsidR="00305B32" w:rsidRPr="009443C7" w:rsidRDefault="00305B32" w:rsidP="00480421">
                            <w:pPr>
                              <w:jc w:val="center"/>
                              <w:rPr>
                                <w:sz w:val="14"/>
                                <w:szCs w:val="14"/>
                                <w:vertAlign w:val="subscript"/>
                              </w:rPr>
                            </w:pPr>
                            <w:r>
                              <w:rPr>
                                <w:sz w:val="14"/>
                                <w:szCs w:val="14"/>
                              </w:rPr>
                              <w:t>1-</w:t>
                            </w:r>
                            <w:r w:rsidRPr="009443C7">
                              <w:rPr>
                                <w:sz w:val="14"/>
                                <w:szCs w:val="14"/>
                              </w:rPr>
                              <w:t>P</w:t>
                            </w:r>
                            <w:r>
                              <w:rPr>
                                <w:sz w:val="14"/>
                                <w:szCs w:val="14"/>
                                <w:vertAlign w:val="subscript"/>
                              </w:rPr>
                              <w:t>5</w:t>
                            </w:r>
                          </w:p>
                        </w:txbxContent>
                      </v:textbox>
                    </v:rect>
                  </w:pict>
                </mc:Fallback>
              </mc:AlternateContent>
            </w:r>
            <w:r w:rsidRPr="00477D8F">
              <w:rPr>
                <w:rFonts w:ascii="Sylfaen" w:hAnsi="Sylfaen" w:cs="Times New Roman"/>
                <w:noProof/>
              </w:rPr>
              <mc:AlternateContent>
                <mc:Choice Requires="wps">
                  <w:drawing>
                    <wp:anchor distT="0" distB="0" distL="114300" distR="114300" simplePos="0" relativeHeight="251667456" behindDoc="0" locked="0" layoutInCell="1" allowOverlap="1" wp14:anchorId="206A6159" wp14:editId="2C2545C3">
                      <wp:simplePos x="0" y="0"/>
                      <wp:positionH relativeFrom="column">
                        <wp:posOffset>4470994</wp:posOffset>
                      </wp:positionH>
                      <wp:positionV relativeFrom="paragraph">
                        <wp:posOffset>570016</wp:posOffset>
                      </wp:positionV>
                      <wp:extent cx="272316" cy="213360"/>
                      <wp:effectExtent l="0" t="0" r="13970" b="15240"/>
                      <wp:wrapNone/>
                      <wp:docPr id="701" name="Rectangle 701"/>
                      <wp:cNvGraphicFramePr/>
                      <a:graphic xmlns:a="http://schemas.openxmlformats.org/drawingml/2006/main">
                        <a:graphicData uri="http://schemas.microsoft.com/office/word/2010/wordprocessingShape">
                          <wps:wsp>
                            <wps:cNvSpPr/>
                            <wps:spPr>
                              <a:xfrm>
                                <a:off x="0" y="0"/>
                                <a:ext cx="272316" cy="213360"/>
                              </a:xfrm>
                              <a:prstGeom prst="rect">
                                <a:avLst/>
                              </a:prstGeom>
                            </wps:spPr>
                            <wps:style>
                              <a:lnRef idx="1">
                                <a:schemeClr val="accent6"/>
                              </a:lnRef>
                              <a:fillRef idx="3">
                                <a:schemeClr val="accent6"/>
                              </a:fillRef>
                              <a:effectRef idx="2">
                                <a:schemeClr val="accent6"/>
                              </a:effectRef>
                              <a:fontRef idx="minor">
                                <a:schemeClr val="lt1"/>
                              </a:fontRef>
                            </wps:style>
                            <wps:txbx>
                              <w:txbxContent>
                                <w:p w14:paraId="2C58364C" w14:textId="77777777" w:rsidR="00305B32" w:rsidRPr="009443C7" w:rsidRDefault="00305B32" w:rsidP="00480421">
                                  <w:pPr>
                                    <w:jc w:val="center"/>
                                    <w:rPr>
                                      <w:sz w:val="14"/>
                                      <w:szCs w:val="14"/>
                                      <w:vertAlign w:val="subscript"/>
                                    </w:rPr>
                                  </w:pPr>
                                  <w:r w:rsidRPr="009443C7">
                                    <w:rPr>
                                      <w:sz w:val="14"/>
                                      <w:szCs w:val="14"/>
                                    </w:rPr>
                                    <w:t>P</w:t>
                                  </w:r>
                                  <w:r>
                                    <w:rPr>
                                      <w:sz w:val="14"/>
                                      <w:szCs w:val="14"/>
                                      <w:vertAlign w:val="subscript"/>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A6159" id="Rectangle 701" o:spid="_x0000_s1027" style="position:absolute;margin-left:352.05pt;margin-top:44.9pt;width:21.45pt;height:16.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0VnagIAACsFAAAOAAAAZHJzL2Uyb0RvYy54bWysVN9P2zAQfp+0/8Hy+0iTssIqUlSBmCYh&#10;qICJZ9ex20iOzzu7Tbq/fmcnDYghIU17cXy+3999l4vLrjFsr9DXYEuen0w4U1ZCVdtNyX8+3Xw5&#10;58wHYSthwKqSH5Tnl4vPny5aN1cFbMFUChkFsX7eupJvQ3DzLPNyqxrhT8ApS0oN2IhAIm6yCkVL&#10;0RuTFZPJLGsBK4cglff0et0r+SLF11rJcK+1V4GZklNtIZ2YznU8s8WFmG9QuG0thzLEP1TRiNpS&#10;0jHUtQiC7bD+K1RTSwQPOpxIaDLQupYq9UDd5JM33TxuhVOpFwLHuxEm///Cyrv9ClldlfxsknNm&#10;RUNDeiDYhN0YxeIjQdQ6PyfLR7fCQfJ0jf12Gpv4pU5Yl2A9jLCqLjBJj8VZMc1nnElSFfl0Okuw&#10;Zy/ODn34rqBh8VJypPQJTLG/9YESkunRhIRYTJ8+3cLBqFiBsQ9KUyeUME/eiUPqyiDbC5q+kFLZ&#10;MIvtULxkHd10bczoOP3YcbCPrirxa3QuPnYePVJmsGF0bmoL+F4AE9IEqGTd2x8R6PuOEIRu3aUR&#10;jrNaQ3WgsSL0fPdO3tQE7a3wYSWQCE6rQEsb7unQBtqSw3DjbAv4+733aE+8Iy1nLS1Myf2vnUDF&#10;mflhiZHf8tPTuGFJOP16VpCArzXr1xq7a66ApkKco+rSNdoHc7xqhOaZdnsZs5JKWEm5Sy4DHoWr&#10;0C8y/R2kWi6TGW2VE+HWPjp55EGkzlP3LNAN/ApEzDs4LpeYv6FZbxsnZGG5C6DrxMGIdI/rMAHa&#10;yESl4e8RV/61nKxe/nGLPwAAAP//AwBQSwMEFAAGAAgAAAAhADsmMQ3gAAAACgEAAA8AAABkcnMv&#10;ZG93bnJldi54bWxMj8tOwzAQRfdI/IM1SOyokxCRNsSpEIJFxQKlUKnsprGJI/yIbLcNf8+wguVo&#10;ju49t1nP1rCTCnH0TkC+yIAp13s5ukHA+9vzzRJYTOgkGu+UgG8VYd1eXjRYS392nTpt08AoxMUa&#10;BeiUpprz2GtlMS78pBz9Pn2wmOgMA5cBzxRuDS+y7I5bHB01aJzUo1b91/ZoBRSb15cwdx+bSe+f&#10;VlWX7/ZodkJcX80P98CSmtMfDL/6pA4tOR380cnIjIAqK3NCBSxXNIGAqqxo3IHI4rYE3jb8/4T2&#10;BwAA//8DAFBLAQItABQABgAIAAAAIQC2gziS/gAAAOEBAAATAAAAAAAAAAAAAAAAAAAAAABbQ29u&#10;dGVudF9UeXBlc10ueG1sUEsBAi0AFAAGAAgAAAAhADj9If/WAAAAlAEAAAsAAAAAAAAAAAAAAAAA&#10;LwEAAF9yZWxzLy5yZWxzUEsBAi0AFAAGAAgAAAAhAIUvRWdqAgAAKwUAAA4AAAAAAAAAAAAAAAAA&#10;LgIAAGRycy9lMm9Eb2MueG1sUEsBAi0AFAAGAAgAAAAhADsmMQ3gAAAACgEAAA8AAAAAAAAAAAAA&#10;AAAAxAQAAGRycy9kb3ducmV2LnhtbFBLBQYAAAAABAAEAPMAAADRBQAAAAA=&#10;" fillcolor="#77b64e [3033]" strokecolor="#70ad47 [3209]" strokeweight=".5pt">
                      <v:fill color2="#6eaa46 [3177]" rotate="t" colors="0 #81b861;.5 #6fb242;1 #61a235" focus="100%" type="gradient">
                        <o:fill v:ext="view" type="gradientUnscaled"/>
                      </v:fill>
                      <v:textbox>
                        <w:txbxContent>
                          <w:p w14:paraId="2C58364C" w14:textId="77777777" w:rsidR="00305B32" w:rsidRPr="009443C7" w:rsidRDefault="00305B32" w:rsidP="00480421">
                            <w:pPr>
                              <w:jc w:val="center"/>
                              <w:rPr>
                                <w:sz w:val="14"/>
                                <w:szCs w:val="14"/>
                                <w:vertAlign w:val="subscript"/>
                              </w:rPr>
                            </w:pPr>
                            <w:r w:rsidRPr="009443C7">
                              <w:rPr>
                                <w:sz w:val="14"/>
                                <w:szCs w:val="14"/>
                              </w:rPr>
                              <w:t>P</w:t>
                            </w:r>
                            <w:r>
                              <w:rPr>
                                <w:sz w:val="14"/>
                                <w:szCs w:val="14"/>
                                <w:vertAlign w:val="subscript"/>
                              </w:rPr>
                              <w:t>5</w:t>
                            </w:r>
                          </w:p>
                        </w:txbxContent>
                      </v:textbox>
                    </v:rect>
                  </w:pict>
                </mc:Fallback>
              </mc:AlternateContent>
            </w:r>
            <w:r w:rsidRPr="00477D8F">
              <w:rPr>
                <w:rFonts w:ascii="Sylfaen" w:hAnsi="Sylfaen" w:cs="Times New Roman"/>
                <w:noProof/>
              </w:rPr>
              <mc:AlternateContent>
                <mc:Choice Requires="wps">
                  <w:drawing>
                    <wp:anchor distT="0" distB="0" distL="114300" distR="114300" simplePos="0" relativeHeight="251666432" behindDoc="0" locked="0" layoutInCell="1" allowOverlap="1" wp14:anchorId="2CF206AF" wp14:editId="5BF72DEE">
                      <wp:simplePos x="0" y="0"/>
                      <wp:positionH relativeFrom="column">
                        <wp:posOffset>3437840</wp:posOffset>
                      </wp:positionH>
                      <wp:positionV relativeFrom="paragraph">
                        <wp:posOffset>1324099</wp:posOffset>
                      </wp:positionV>
                      <wp:extent cx="343568" cy="213360"/>
                      <wp:effectExtent l="0" t="0" r="18415" b="15240"/>
                      <wp:wrapNone/>
                      <wp:docPr id="9" name="Rectangle 9"/>
                      <wp:cNvGraphicFramePr/>
                      <a:graphic xmlns:a="http://schemas.openxmlformats.org/drawingml/2006/main">
                        <a:graphicData uri="http://schemas.microsoft.com/office/word/2010/wordprocessingShape">
                          <wps:wsp>
                            <wps:cNvSpPr/>
                            <wps:spPr>
                              <a:xfrm>
                                <a:off x="0" y="0"/>
                                <a:ext cx="343568" cy="213360"/>
                              </a:xfrm>
                              <a:prstGeom prst="rect">
                                <a:avLst/>
                              </a:prstGeom>
                            </wps:spPr>
                            <wps:style>
                              <a:lnRef idx="1">
                                <a:schemeClr val="accent6"/>
                              </a:lnRef>
                              <a:fillRef idx="3">
                                <a:schemeClr val="accent6"/>
                              </a:fillRef>
                              <a:effectRef idx="2">
                                <a:schemeClr val="accent6"/>
                              </a:effectRef>
                              <a:fontRef idx="minor">
                                <a:schemeClr val="lt1"/>
                              </a:fontRef>
                            </wps:style>
                            <wps:txbx>
                              <w:txbxContent>
                                <w:p w14:paraId="4F27DB26" w14:textId="77777777" w:rsidR="00305B32" w:rsidRPr="009443C7" w:rsidRDefault="00305B32" w:rsidP="00480421">
                                  <w:pPr>
                                    <w:jc w:val="center"/>
                                    <w:rPr>
                                      <w:sz w:val="14"/>
                                      <w:szCs w:val="14"/>
                                      <w:vertAlign w:val="subscript"/>
                                    </w:rPr>
                                  </w:pPr>
                                  <w:r>
                                    <w:rPr>
                                      <w:sz w:val="14"/>
                                      <w:szCs w:val="14"/>
                                    </w:rPr>
                                    <w:t>1-</w:t>
                                  </w:r>
                                  <w:r w:rsidRPr="009443C7">
                                    <w:rPr>
                                      <w:sz w:val="14"/>
                                      <w:szCs w:val="14"/>
                                    </w:rPr>
                                    <w:t>P</w:t>
                                  </w:r>
                                  <w:r>
                                    <w:rPr>
                                      <w:sz w:val="14"/>
                                      <w:szCs w:val="14"/>
                                      <w:vertAlign w:val="subscript"/>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206AF" id="Rectangle 9" o:spid="_x0000_s1028" style="position:absolute;margin-left:270.7pt;margin-top:104.25pt;width:27.05pt;height:16.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eQ0aAIAACcFAAAOAAAAZHJzL2Uyb0RvYy54bWysVG1r2zAQ/j7YfxD6vjpO0mwNdUpo6RiU&#10;trQd/azIUmKQddpJiZ39+p3kl5auUBj7Iut87889p/OLtjbsoNBXYAuen0w4U1ZCWdltwX8+XX/5&#10;xpkPwpbCgFUFPyrPL1afP503bqmmsANTKmQUxPpl4wq+C8Ets8zLnaqFPwGnLCk1YC0CibjNShQN&#10;Ra9NNp1MFlkDWDoEqbynv1edkq9SfK2VDHdaexWYKTjVFtKJ6dzEM1udi+UWhdtVsi9D/EMVtags&#10;JR1DXYkg2B6rv0LVlUTwoMOJhDoDrSupUg/UTT55083jTjiVeiFwvBth8v8vrLw93COryoKfcWZF&#10;TSN6INCE3RrFziI8jfNLsnp099hLnq6x11ZjHb/UBWsTpMcRUtUGJunnbD47XRAHJKmm+Wy2SJBn&#10;L84OffiuoGbxUnCk5AlIcbjxgRKS6WBCQiymS59u4WhUrMDYB6WpC0qYJ+/EH3VpkB0ETV5IqWxY&#10;xHYoXrKObroyZnScfezY20dXlbg1Ok8/dh49UmawYXSuKwv4XgAT8r5k3dkPCHR9RwhCu2nT+KbD&#10;rDZQHmmkCB3XvZPXFUF7I3y4F0jkpjWghQ13dGgDTcGhv3G2A/z93v9oT5wjLWcNLUvB/a+9QMWZ&#10;+WGJjWf5fB63Kwnz069TEvC1ZvNaY/f1JdBUcnoanEzXaB/McNUI9TPt9TpmJZWwknIXXAYchMvQ&#10;LTG9DFKt18mMNsqJcGMfnRx4EKnz1D4LdD2/AhHzFobFEss3NOts44QsrPcBdJU4GJHucO0nQNuY&#10;qNS/HHHdX8vJ6uV9W/0BAAD//wMAUEsDBBQABgAIAAAAIQDx7kFA4QAAAAsBAAAPAAAAZHJzL2Rv&#10;d25yZXYueG1sTI89T8MwEIZ3JP6DdUhs1EmUQBviVAjBUDGgFCqVzY1NHGGfI9ttw7/nmGC7j0fv&#10;PdesZ2fZSYc4ehSQLzJgGnuvRhwEvL893yyBxSRRSetRC/jWEdbt5UUja+XP2OnTNg2MQjDWUoBJ&#10;aao5j73RTsaFnzTS7tMHJxO1YeAqyDOFO8uLLLvlTo5IF4yc9KPR/df26AQUm9eXMHcfm8nsn1Z3&#10;Xb7bS7sT4vpqfrgHlvSc/mD41Sd1aMnp4I+oIrMCqjIvCaWwbFkBI6JaVVQcaFIWOfC24f9/aH8A&#10;AAD//wMAUEsBAi0AFAAGAAgAAAAhALaDOJL+AAAA4QEAABMAAAAAAAAAAAAAAAAAAAAAAFtDb250&#10;ZW50X1R5cGVzXS54bWxQSwECLQAUAAYACAAAACEAOP0h/9YAAACUAQAACwAAAAAAAAAAAAAAAAAv&#10;AQAAX3JlbHMvLnJlbHNQSwECLQAUAAYACAAAACEANLnkNGgCAAAnBQAADgAAAAAAAAAAAAAAAAAu&#10;AgAAZHJzL2Uyb0RvYy54bWxQSwECLQAUAAYACAAAACEA8e5BQOEAAAALAQAADwAAAAAAAAAAAAAA&#10;AADCBAAAZHJzL2Rvd25yZXYueG1sUEsFBgAAAAAEAAQA8wAAANAFAAAAAA==&#10;" fillcolor="#77b64e [3033]" strokecolor="#70ad47 [3209]" strokeweight=".5pt">
                      <v:fill color2="#6eaa46 [3177]" rotate="t" colors="0 #81b861;.5 #6fb242;1 #61a235" focus="100%" type="gradient">
                        <o:fill v:ext="view" type="gradientUnscaled"/>
                      </v:fill>
                      <v:textbox>
                        <w:txbxContent>
                          <w:p w14:paraId="4F27DB26" w14:textId="77777777" w:rsidR="00305B32" w:rsidRPr="009443C7" w:rsidRDefault="00305B32" w:rsidP="00480421">
                            <w:pPr>
                              <w:jc w:val="center"/>
                              <w:rPr>
                                <w:sz w:val="14"/>
                                <w:szCs w:val="14"/>
                                <w:vertAlign w:val="subscript"/>
                              </w:rPr>
                            </w:pPr>
                            <w:r>
                              <w:rPr>
                                <w:sz w:val="14"/>
                                <w:szCs w:val="14"/>
                              </w:rPr>
                              <w:t>1-</w:t>
                            </w:r>
                            <w:r w:rsidRPr="009443C7">
                              <w:rPr>
                                <w:sz w:val="14"/>
                                <w:szCs w:val="14"/>
                              </w:rPr>
                              <w:t>P</w:t>
                            </w:r>
                            <w:r>
                              <w:rPr>
                                <w:sz w:val="14"/>
                                <w:szCs w:val="14"/>
                                <w:vertAlign w:val="subscript"/>
                              </w:rPr>
                              <w:t>4</w:t>
                            </w:r>
                          </w:p>
                        </w:txbxContent>
                      </v:textbox>
                    </v:rect>
                  </w:pict>
                </mc:Fallback>
              </mc:AlternateContent>
            </w:r>
            <w:r w:rsidRPr="00477D8F">
              <w:rPr>
                <w:rFonts w:ascii="Sylfaen" w:hAnsi="Sylfaen" w:cs="Times New Roman"/>
                <w:noProof/>
              </w:rPr>
              <mc:AlternateContent>
                <mc:Choice Requires="wps">
                  <w:drawing>
                    <wp:anchor distT="0" distB="0" distL="114300" distR="114300" simplePos="0" relativeHeight="251665408" behindDoc="0" locked="0" layoutInCell="1" allowOverlap="1" wp14:anchorId="34A9F2CE" wp14:editId="76D49F86">
                      <wp:simplePos x="0" y="0"/>
                      <wp:positionH relativeFrom="column">
                        <wp:posOffset>3532843</wp:posOffset>
                      </wp:positionH>
                      <wp:positionV relativeFrom="paragraph">
                        <wp:posOffset>748145</wp:posOffset>
                      </wp:positionV>
                      <wp:extent cx="272316" cy="213360"/>
                      <wp:effectExtent l="0" t="0" r="13970" b="15240"/>
                      <wp:wrapNone/>
                      <wp:docPr id="12" name="Rectangle 12"/>
                      <wp:cNvGraphicFramePr/>
                      <a:graphic xmlns:a="http://schemas.openxmlformats.org/drawingml/2006/main">
                        <a:graphicData uri="http://schemas.microsoft.com/office/word/2010/wordprocessingShape">
                          <wps:wsp>
                            <wps:cNvSpPr/>
                            <wps:spPr>
                              <a:xfrm>
                                <a:off x="0" y="0"/>
                                <a:ext cx="272316" cy="213360"/>
                              </a:xfrm>
                              <a:prstGeom prst="rect">
                                <a:avLst/>
                              </a:prstGeom>
                            </wps:spPr>
                            <wps:style>
                              <a:lnRef idx="1">
                                <a:schemeClr val="accent6"/>
                              </a:lnRef>
                              <a:fillRef idx="3">
                                <a:schemeClr val="accent6"/>
                              </a:fillRef>
                              <a:effectRef idx="2">
                                <a:schemeClr val="accent6"/>
                              </a:effectRef>
                              <a:fontRef idx="minor">
                                <a:schemeClr val="lt1"/>
                              </a:fontRef>
                            </wps:style>
                            <wps:txbx>
                              <w:txbxContent>
                                <w:p w14:paraId="470F1CF7" w14:textId="77777777" w:rsidR="00305B32" w:rsidRPr="009443C7" w:rsidRDefault="00305B32" w:rsidP="00480421">
                                  <w:pPr>
                                    <w:jc w:val="center"/>
                                    <w:rPr>
                                      <w:sz w:val="14"/>
                                      <w:szCs w:val="14"/>
                                      <w:vertAlign w:val="subscript"/>
                                    </w:rPr>
                                  </w:pPr>
                                  <w:r w:rsidRPr="009443C7">
                                    <w:rPr>
                                      <w:sz w:val="14"/>
                                      <w:szCs w:val="14"/>
                                    </w:rPr>
                                    <w:t>P</w:t>
                                  </w:r>
                                  <w:r>
                                    <w:rPr>
                                      <w:sz w:val="14"/>
                                      <w:szCs w:val="14"/>
                                      <w:vertAlign w:val="subscript"/>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A9F2CE" id="Rectangle 12" o:spid="_x0000_s1029" style="position:absolute;margin-left:278.2pt;margin-top:58.9pt;width:21.45pt;height:16.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aVaaQIAACkFAAAOAAAAZHJzL2Uyb0RvYy54bWysVG1r2zAQ/j7YfxD6vjp2umwLdUpo6RiU&#10;trQd/azIUmKQddpJiZ39+p3kl5auUBj7Yut07889p7PzrjHsoNDXYEuen8w4U1ZCVdttyX8+Xn36&#10;ypkPwlbCgFUlPyrPz1cfP5y1bqkK2IGpFDIKYv2ydSXfheCWWeblTjXCn4BTlpQasBGBRNxmFYqW&#10;ojcmK2azRdYCVg5BKu/p9rJX8lWKr7WS4VZrrwIzJafaQvpi+m7iN1udieUWhdvVcihD/EMVjagt&#10;JZ1CXYog2B7rv0I1tUTwoMOJhCYDrWupUg/UTT571c3DTjiVeiFwvJtg8v8vrLw53CGrK5pdwZkV&#10;Dc3onlATdmsUozsCqHV+SXYP7g4HydMxdttpbOKf+mBdAvU4gaq6wCRdFl+Keb7gTJKqyOfzRQI9&#10;e3Z26MN3BQ2Lh5IjZU9QisO1D5SQTEcTEmIxffp0CkejYgXG3itNfVDCPHknBqkLg+wgaPZCSmXD&#10;IrZD8ZJ1dNO1MZPj/H3HwT66qsSuybl433nySJnBhsm5qS3gWwFMyIeSdW8/ItD3HSEI3aZLA5yP&#10;s9pAdaShIvRs905e1QTttfDhTiDRmxaBVjbc0kcbaEsOw4mzHeDvt+6jPbGOtJy1tC4l97/2AhVn&#10;5oclPn7LT0/jfiXh9POXggR8qdm81Nh9cwE0lZweByfTMdoHMx41QvNEm72OWUklrKTcJZcBR+Ei&#10;9GtMb4NU63Uyo51yIlzbBydHHkTqPHZPAt3Ar0DEvIFxtcTyFc162zghC+t9AF0nDkake1yHCdA+&#10;JioNb0dc+Jdysnp+4VZ/AAAA//8DAFBLAwQUAAYACAAAACEAgSNohOIAAAALAQAADwAAAGRycy9k&#10;b3ducmV2LnhtbEyPwU7DMBBE70j8g7VI3KiT0rQkxKkQgkPFAaVQqdzc2MQR9jqy3Tb8PcsJjjvz&#10;NDtTrydn2UmHOHgUkM8yYBo7rwbsBby/Pd/cAYtJopLWoxbwrSOsm8uLWlbKn7HVp23qGYVgrKQA&#10;k9JYcR47o52MMz9qJO/TBycTnaHnKsgzhTvL51m25E4OSB+MHPWj0d3X9ugEzDevL2FqPzaj2T+V&#10;qzbf7aXdCXF9NT3cA0t6Sn8w/Nan6tBQp4M/oorMCiiK5YJQMvIVbSCiKMtbYAdSinwBvKn5/w3N&#10;DwAAAP//AwBQSwECLQAUAAYACAAAACEAtoM4kv4AAADhAQAAEwAAAAAAAAAAAAAAAAAAAAAAW0Nv&#10;bnRlbnRfVHlwZXNdLnhtbFBLAQItABQABgAIAAAAIQA4/SH/1gAAAJQBAAALAAAAAAAAAAAAAAAA&#10;AC8BAABfcmVscy8ucmVsc1BLAQItABQABgAIAAAAIQBrDaVaaQIAACkFAAAOAAAAAAAAAAAAAAAA&#10;AC4CAABkcnMvZTJvRG9jLnhtbFBLAQItABQABgAIAAAAIQCBI2iE4gAAAAsBAAAPAAAAAAAAAAAA&#10;AAAAAMMEAABkcnMvZG93bnJldi54bWxQSwUGAAAAAAQABADzAAAA0gUAAAAA&#10;" fillcolor="#77b64e [3033]" strokecolor="#70ad47 [3209]" strokeweight=".5pt">
                      <v:fill color2="#6eaa46 [3177]" rotate="t" colors="0 #81b861;.5 #6fb242;1 #61a235" focus="100%" type="gradient">
                        <o:fill v:ext="view" type="gradientUnscaled"/>
                      </v:fill>
                      <v:textbox>
                        <w:txbxContent>
                          <w:p w14:paraId="470F1CF7" w14:textId="77777777" w:rsidR="00305B32" w:rsidRPr="009443C7" w:rsidRDefault="00305B32" w:rsidP="00480421">
                            <w:pPr>
                              <w:jc w:val="center"/>
                              <w:rPr>
                                <w:sz w:val="14"/>
                                <w:szCs w:val="14"/>
                                <w:vertAlign w:val="subscript"/>
                              </w:rPr>
                            </w:pPr>
                            <w:r w:rsidRPr="009443C7">
                              <w:rPr>
                                <w:sz w:val="14"/>
                                <w:szCs w:val="14"/>
                              </w:rPr>
                              <w:t>P</w:t>
                            </w:r>
                            <w:r>
                              <w:rPr>
                                <w:sz w:val="14"/>
                                <w:szCs w:val="14"/>
                                <w:vertAlign w:val="subscript"/>
                              </w:rPr>
                              <w:t>4</w:t>
                            </w:r>
                          </w:p>
                        </w:txbxContent>
                      </v:textbox>
                    </v:rect>
                  </w:pict>
                </mc:Fallback>
              </mc:AlternateContent>
            </w:r>
            <w:r w:rsidRPr="00477D8F">
              <w:rPr>
                <w:rFonts w:ascii="Sylfaen" w:hAnsi="Sylfaen" w:cs="Times New Roman"/>
                <w:noProof/>
              </w:rPr>
              <mc:AlternateContent>
                <mc:Choice Requires="wps">
                  <w:drawing>
                    <wp:anchor distT="0" distB="0" distL="114300" distR="114300" simplePos="0" relativeHeight="251664384" behindDoc="0" locked="0" layoutInCell="1" allowOverlap="1" wp14:anchorId="55F8DDF3" wp14:editId="4767A04C">
                      <wp:simplePos x="0" y="0"/>
                      <wp:positionH relativeFrom="column">
                        <wp:posOffset>2481876</wp:posOffset>
                      </wp:positionH>
                      <wp:positionV relativeFrom="paragraph">
                        <wp:posOffset>1466603</wp:posOffset>
                      </wp:positionV>
                      <wp:extent cx="343568" cy="213360"/>
                      <wp:effectExtent l="0" t="0" r="18415" b="15240"/>
                      <wp:wrapNone/>
                      <wp:docPr id="702" name="Rectangle 702"/>
                      <wp:cNvGraphicFramePr/>
                      <a:graphic xmlns:a="http://schemas.openxmlformats.org/drawingml/2006/main">
                        <a:graphicData uri="http://schemas.microsoft.com/office/word/2010/wordprocessingShape">
                          <wps:wsp>
                            <wps:cNvSpPr/>
                            <wps:spPr>
                              <a:xfrm>
                                <a:off x="0" y="0"/>
                                <a:ext cx="343568" cy="213360"/>
                              </a:xfrm>
                              <a:prstGeom prst="rect">
                                <a:avLst/>
                              </a:prstGeom>
                            </wps:spPr>
                            <wps:style>
                              <a:lnRef idx="1">
                                <a:schemeClr val="accent6"/>
                              </a:lnRef>
                              <a:fillRef idx="3">
                                <a:schemeClr val="accent6"/>
                              </a:fillRef>
                              <a:effectRef idx="2">
                                <a:schemeClr val="accent6"/>
                              </a:effectRef>
                              <a:fontRef idx="minor">
                                <a:schemeClr val="lt1"/>
                              </a:fontRef>
                            </wps:style>
                            <wps:txbx>
                              <w:txbxContent>
                                <w:p w14:paraId="29D7199B" w14:textId="77777777" w:rsidR="00305B32" w:rsidRPr="009443C7" w:rsidRDefault="00305B32" w:rsidP="00480421">
                                  <w:pPr>
                                    <w:jc w:val="center"/>
                                    <w:rPr>
                                      <w:sz w:val="14"/>
                                      <w:szCs w:val="14"/>
                                      <w:vertAlign w:val="subscript"/>
                                    </w:rPr>
                                  </w:pPr>
                                  <w:r>
                                    <w:rPr>
                                      <w:sz w:val="14"/>
                                      <w:szCs w:val="14"/>
                                    </w:rPr>
                                    <w:t>1-</w:t>
                                  </w:r>
                                  <w:r w:rsidRPr="009443C7">
                                    <w:rPr>
                                      <w:sz w:val="14"/>
                                      <w:szCs w:val="14"/>
                                    </w:rPr>
                                    <w:t>P</w:t>
                                  </w:r>
                                  <w:r>
                                    <w:rPr>
                                      <w:sz w:val="14"/>
                                      <w:szCs w:val="14"/>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8DDF3" id="Rectangle 702" o:spid="_x0000_s1030" style="position:absolute;margin-left:195.4pt;margin-top:115.5pt;width:27.05pt;height:16.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2nZawIAACsFAAAOAAAAZHJzL2Uyb0RvYy54bWysVG1r2zAQ/j7YfxD6vjpO0nQLdUpo6RiU&#10;trQd/azIUmKQddpJiZ39+p3kl5auUBj7Yut07889p/OLtjbsoNBXYAuen0w4U1ZCWdltwX8+XX/5&#10;ypkPwpbCgFUFPyrPL1afP503bqmmsANTKmQUxPpl4wq+C8Ets8zLnaqFPwGnLCk1YC0CibjNShQN&#10;Ra9NNp1MFlkDWDoEqbyn26tOyVcpvtZKhjutvQrMFJxqC+mL6buJ32x1LpZbFG5Xyb4M8Q9V1KKy&#10;lHQMdSWCYHus/gpVVxLBgw4nEuoMtK6kSj1QN/nkTTePO+FU6oXA8W6Eyf+/sPL2cI+sKgt+Nply&#10;ZkVNQ3og2ITdGsXiJUHUOL8ky0d3j73k6Rj7bTXW8U+dsDbBehxhVW1gki5n89npgnggSTXNZ7NF&#10;gj17cXbow3cFNYuHgiOlT2CKw40PlJBMBxMSYjFd+nQKR6NiBcY+KE2dUMI8eScOqUuD7CBo+kJK&#10;ZcMitkPxknV005Uxo+PsY8fePrqqxK/Refqx8+iRMoMNo3NdWcD3ApiQ9yXrzn5AoOs7QhDaTZtG&#10;OB9mtYHySGNF6PjunbyuCNob4cO9QCI4rQItbbijjzbQFBz6E2c7wN/v3Ud74h1pOWtoYQruf+0F&#10;Ks7MD0uM/JbP53HDkjA/PZuSgK81m9cau68vgaaS0/PgZDpG+2CGo0aon2m31zErqYSVlLvgMuAg&#10;XIZukel1kGq9Tma0VU6EG/vo5MCDSJ2n9lmg6/kViJi3MCyXWL6hWWcbJ2RhvQ+gq8TBiHSHaz8B&#10;2shEpf71iCv/Wk5WL2/c6g8AAAD//wMAUEsDBBQABgAIAAAAIQDqnX6T4QAAAAsBAAAPAAAAZHJz&#10;L2Rvd25yZXYueG1sTI/BTsMwDIbvSLxDZCRuLO1WFVqaTgjBYeKAOpg0blkTmorEqZJsK2+POcHR&#10;9q/P39+sZ2fZSYc4ehSQLzJgGnuvRhwEvL8939wBi0miktajFvCtI6zby4tG1sqfsdOnbRoYQTDW&#10;UoBJaao5j73RTsaFnzTS7dMHJxONYeAqyDPBneXLLCu5kyPSByMn/Wh0/7U9OgHLzetLmLuPzWT2&#10;T9Vtl+/20u6EuL6aH+6BJT2nvzD86pM6tOR08EdUkVkBqyoj9USwVU6lKFEURQXsQJuyKIG3Df/f&#10;of0BAAD//wMAUEsBAi0AFAAGAAgAAAAhALaDOJL+AAAA4QEAABMAAAAAAAAAAAAAAAAAAAAAAFtD&#10;b250ZW50X1R5cGVzXS54bWxQSwECLQAUAAYACAAAACEAOP0h/9YAAACUAQAACwAAAAAAAAAAAAAA&#10;AAAvAQAAX3JlbHMvLnJlbHNQSwECLQAUAAYACAAAACEAvF9p2WsCAAArBQAADgAAAAAAAAAAAAAA&#10;AAAuAgAAZHJzL2Uyb0RvYy54bWxQSwECLQAUAAYACAAAACEA6p1+k+EAAAALAQAADwAAAAAAAAAA&#10;AAAAAADFBAAAZHJzL2Rvd25yZXYueG1sUEsFBgAAAAAEAAQA8wAAANMFAAAAAA==&#10;" fillcolor="#77b64e [3033]" strokecolor="#70ad47 [3209]" strokeweight=".5pt">
                      <v:fill color2="#6eaa46 [3177]" rotate="t" colors="0 #81b861;.5 #6fb242;1 #61a235" focus="100%" type="gradient">
                        <o:fill v:ext="view" type="gradientUnscaled"/>
                      </v:fill>
                      <v:textbox>
                        <w:txbxContent>
                          <w:p w14:paraId="29D7199B" w14:textId="77777777" w:rsidR="00305B32" w:rsidRPr="009443C7" w:rsidRDefault="00305B32" w:rsidP="00480421">
                            <w:pPr>
                              <w:jc w:val="center"/>
                              <w:rPr>
                                <w:sz w:val="14"/>
                                <w:szCs w:val="14"/>
                                <w:vertAlign w:val="subscript"/>
                              </w:rPr>
                            </w:pPr>
                            <w:r>
                              <w:rPr>
                                <w:sz w:val="14"/>
                                <w:szCs w:val="14"/>
                              </w:rPr>
                              <w:t>1-</w:t>
                            </w:r>
                            <w:r w:rsidRPr="009443C7">
                              <w:rPr>
                                <w:sz w:val="14"/>
                                <w:szCs w:val="14"/>
                              </w:rPr>
                              <w:t>P</w:t>
                            </w:r>
                            <w:r>
                              <w:rPr>
                                <w:sz w:val="14"/>
                                <w:szCs w:val="14"/>
                                <w:vertAlign w:val="subscript"/>
                              </w:rPr>
                              <w:t>3</w:t>
                            </w:r>
                          </w:p>
                        </w:txbxContent>
                      </v:textbox>
                    </v:rect>
                  </w:pict>
                </mc:Fallback>
              </mc:AlternateContent>
            </w:r>
            <w:r w:rsidRPr="00477D8F">
              <w:rPr>
                <w:rFonts w:ascii="Sylfaen" w:hAnsi="Sylfaen" w:cs="Times New Roman"/>
                <w:noProof/>
              </w:rPr>
              <mc:AlternateContent>
                <mc:Choice Requires="wps">
                  <w:drawing>
                    <wp:anchor distT="0" distB="0" distL="114300" distR="114300" simplePos="0" relativeHeight="251663360" behindDoc="0" locked="0" layoutInCell="1" allowOverlap="1" wp14:anchorId="6D7D6876" wp14:editId="7F1D636F">
                      <wp:simplePos x="0" y="0"/>
                      <wp:positionH relativeFrom="column">
                        <wp:posOffset>2606634</wp:posOffset>
                      </wp:positionH>
                      <wp:positionV relativeFrom="paragraph">
                        <wp:posOffset>908462</wp:posOffset>
                      </wp:positionV>
                      <wp:extent cx="272316" cy="213360"/>
                      <wp:effectExtent l="0" t="0" r="13970" b="15240"/>
                      <wp:wrapNone/>
                      <wp:docPr id="14" name="Rectangle 14"/>
                      <wp:cNvGraphicFramePr/>
                      <a:graphic xmlns:a="http://schemas.openxmlformats.org/drawingml/2006/main">
                        <a:graphicData uri="http://schemas.microsoft.com/office/word/2010/wordprocessingShape">
                          <wps:wsp>
                            <wps:cNvSpPr/>
                            <wps:spPr>
                              <a:xfrm>
                                <a:off x="0" y="0"/>
                                <a:ext cx="272316" cy="213360"/>
                              </a:xfrm>
                              <a:prstGeom prst="rect">
                                <a:avLst/>
                              </a:prstGeom>
                            </wps:spPr>
                            <wps:style>
                              <a:lnRef idx="1">
                                <a:schemeClr val="accent6"/>
                              </a:lnRef>
                              <a:fillRef idx="3">
                                <a:schemeClr val="accent6"/>
                              </a:fillRef>
                              <a:effectRef idx="2">
                                <a:schemeClr val="accent6"/>
                              </a:effectRef>
                              <a:fontRef idx="minor">
                                <a:schemeClr val="lt1"/>
                              </a:fontRef>
                            </wps:style>
                            <wps:txbx>
                              <w:txbxContent>
                                <w:p w14:paraId="3BFE1C09" w14:textId="77777777" w:rsidR="00305B32" w:rsidRPr="009443C7" w:rsidRDefault="00305B32" w:rsidP="00480421">
                                  <w:pPr>
                                    <w:jc w:val="center"/>
                                    <w:rPr>
                                      <w:sz w:val="14"/>
                                      <w:szCs w:val="14"/>
                                      <w:vertAlign w:val="subscript"/>
                                    </w:rPr>
                                  </w:pPr>
                                  <w:r w:rsidRPr="009443C7">
                                    <w:rPr>
                                      <w:sz w:val="14"/>
                                      <w:szCs w:val="14"/>
                                    </w:rPr>
                                    <w:t>P</w:t>
                                  </w:r>
                                  <w:r>
                                    <w:rPr>
                                      <w:sz w:val="14"/>
                                      <w:szCs w:val="14"/>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D6876" id="Rectangle 14" o:spid="_x0000_s1031" style="position:absolute;margin-left:205.25pt;margin-top:71.55pt;width:21.45pt;height:16.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77aQIAACkFAAAOAAAAZHJzL2Uyb0RvYy54bWysVFtr2zAUfh/sPwi9L46dNN1CnRJSOgal&#10;LW1HnxVZSgy67UiJnf36HcmXlq5QGHuxdXTu3/mOLi5brchRgK+tKWk+mVIiDLdVbXYl/fl0/eUr&#10;JT4wUzFljSjpSXh6ufr86aJxS1HYvVWVAIJBjF82rqT7ENwyyzzfC838xDphUCktaBZQhF1WAWsw&#10;ulZZMZ0ussZC5cBy4T3eXnVKukrxpRQ83EnpRSCqpFhbSF9I3238ZqsLttwBc/ua92Wwf6hCs9pg&#10;0jHUFQuMHKD+K5SuOVhvZZhwqzMrZc1F6gG7yadvunncMydSLwiOdyNM/v+F5bfHeyB1hbObU2KY&#10;xhk9IGrM7JQgeIcANc4v0e7R3UMveTzGblsJOv6xD9ImUE8jqKINhONlcV7M8gUlHFVFPpstEujZ&#10;i7MDH74Lq0k8lBQwe4KSHW98wIRoOpigEIvp0qdTOCkRK1DmQUjsAxPmyTsxSGwUkCPD2TPOhQmL&#10;2A7GS9bRTdZKjY6zjx17++gqErtG5+Jj59EjZbYmjM66NhbeC6BC3pcsO/sBga7vCEFot20a4Nkw&#10;q62tTjhUsB3bvePXNUJ7w3y4Z4D0xkXAlQ13+JHKNiW1/YmSvYXf791He2QdailpcF1K6n8dGAhK&#10;1A+DfPyWz+dxv5IwPzsvUIDXmu1rjTnojcWp5Pg4OJ6O0T6o4SjB6mfc7HXMiipmOOYuKQ8wCJvQ&#10;rTG+DVys18kMd8qxcGMeHR94EKnz1D4zcD2/AhLz1g6rxZZvaNbZxgkZuz4EK+vEwYh0h2s/AdzH&#10;RKX+7YgL/1pOVi8v3OoPAAAA//8DAFBLAwQUAAYACAAAACEABqJ9i+IAAAALAQAADwAAAGRycy9k&#10;b3ducmV2LnhtbEyPy07DMBBF90j8gzVI7KiTNm0gxKkQgkXFAqVQqeymsYkj/Ihstw1/z7CC5cw9&#10;unOmXk/WsJMKcfBOQD7LgCnXeTm4XsD72/PNLbCY0Ek03ikB3yrCurm8qLGS/uxaddqmnlGJixUK&#10;0CmNFeex08pinPlROco+fbCYaAw9lwHPVG4Nn2fZilscHF3QOKpHrbqv7dEKmG9eX8LUfmxGvX+6&#10;K9t8t0ezE+L6anq4B5bUlP5g+NUndWjI6eCPTkZmBBR5tiSUgmKRAyOiWC4KYAfalKsSeFPz/z80&#10;PwAAAP//AwBQSwECLQAUAAYACAAAACEAtoM4kv4AAADhAQAAEwAAAAAAAAAAAAAAAAAAAAAAW0Nv&#10;bnRlbnRfVHlwZXNdLnhtbFBLAQItABQABgAIAAAAIQA4/SH/1gAAAJQBAAALAAAAAAAAAAAAAAAA&#10;AC8BAABfcmVscy8ucmVsc1BLAQItABQABgAIAAAAIQCw+l77aQIAACkFAAAOAAAAAAAAAAAAAAAA&#10;AC4CAABkcnMvZTJvRG9jLnhtbFBLAQItABQABgAIAAAAIQAGon2L4gAAAAsBAAAPAAAAAAAAAAAA&#10;AAAAAMMEAABkcnMvZG93bnJldi54bWxQSwUGAAAAAAQABADzAAAA0gUAAAAA&#10;" fillcolor="#77b64e [3033]" strokecolor="#70ad47 [3209]" strokeweight=".5pt">
                      <v:fill color2="#6eaa46 [3177]" rotate="t" colors="0 #81b861;.5 #6fb242;1 #61a235" focus="100%" type="gradient">
                        <o:fill v:ext="view" type="gradientUnscaled"/>
                      </v:fill>
                      <v:textbox>
                        <w:txbxContent>
                          <w:p w14:paraId="3BFE1C09" w14:textId="77777777" w:rsidR="00305B32" w:rsidRPr="009443C7" w:rsidRDefault="00305B32" w:rsidP="00480421">
                            <w:pPr>
                              <w:jc w:val="center"/>
                              <w:rPr>
                                <w:sz w:val="14"/>
                                <w:szCs w:val="14"/>
                                <w:vertAlign w:val="subscript"/>
                              </w:rPr>
                            </w:pPr>
                            <w:r w:rsidRPr="009443C7">
                              <w:rPr>
                                <w:sz w:val="14"/>
                                <w:szCs w:val="14"/>
                              </w:rPr>
                              <w:t>P</w:t>
                            </w:r>
                            <w:r>
                              <w:rPr>
                                <w:sz w:val="14"/>
                                <w:szCs w:val="14"/>
                                <w:vertAlign w:val="subscript"/>
                              </w:rPr>
                              <w:t>3</w:t>
                            </w:r>
                          </w:p>
                        </w:txbxContent>
                      </v:textbox>
                    </v:rect>
                  </w:pict>
                </mc:Fallback>
              </mc:AlternateContent>
            </w:r>
            <w:r w:rsidRPr="00477D8F">
              <w:rPr>
                <w:rFonts w:ascii="Sylfaen" w:hAnsi="Sylfaen" w:cs="Times New Roman"/>
                <w:noProof/>
              </w:rPr>
              <mc:AlternateContent>
                <mc:Choice Requires="wps">
                  <w:drawing>
                    <wp:anchor distT="0" distB="0" distL="114300" distR="114300" simplePos="0" relativeHeight="251661312" behindDoc="0" locked="0" layoutInCell="1" allowOverlap="1" wp14:anchorId="257CA12C" wp14:editId="393FD499">
                      <wp:simplePos x="0" y="0"/>
                      <wp:positionH relativeFrom="column">
                        <wp:posOffset>1632857</wp:posOffset>
                      </wp:positionH>
                      <wp:positionV relativeFrom="paragraph">
                        <wp:posOffset>1039091</wp:posOffset>
                      </wp:positionV>
                      <wp:extent cx="272316" cy="213360"/>
                      <wp:effectExtent l="0" t="0" r="13970" b="15240"/>
                      <wp:wrapNone/>
                      <wp:docPr id="703" name="Rectangle 703"/>
                      <wp:cNvGraphicFramePr/>
                      <a:graphic xmlns:a="http://schemas.openxmlformats.org/drawingml/2006/main">
                        <a:graphicData uri="http://schemas.microsoft.com/office/word/2010/wordprocessingShape">
                          <wps:wsp>
                            <wps:cNvSpPr/>
                            <wps:spPr>
                              <a:xfrm>
                                <a:off x="0" y="0"/>
                                <a:ext cx="272316" cy="213360"/>
                              </a:xfrm>
                              <a:prstGeom prst="rect">
                                <a:avLst/>
                              </a:prstGeom>
                            </wps:spPr>
                            <wps:style>
                              <a:lnRef idx="1">
                                <a:schemeClr val="accent6"/>
                              </a:lnRef>
                              <a:fillRef idx="3">
                                <a:schemeClr val="accent6"/>
                              </a:fillRef>
                              <a:effectRef idx="2">
                                <a:schemeClr val="accent6"/>
                              </a:effectRef>
                              <a:fontRef idx="minor">
                                <a:schemeClr val="lt1"/>
                              </a:fontRef>
                            </wps:style>
                            <wps:txbx>
                              <w:txbxContent>
                                <w:p w14:paraId="1E865F1C" w14:textId="77777777" w:rsidR="00305B32" w:rsidRPr="009443C7" w:rsidRDefault="00305B32" w:rsidP="00480421">
                                  <w:pPr>
                                    <w:jc w:val="center"/>
                                    <w:rPr>
                                      <w:sz w:val="14"/>
                                      <w:szCs w:val="14"/>
                                      <w:vertAlign w:val="subscript"/>
                                    </w:rPr>
                                  </w:pPr>
                                  <w:r w:rsidRPr="009443C7">
                                    <w:rPr>
                                      <w:sz w:val="14"/>
                                      <w:szCs w:val="14"/>
                                    </w:rPr>
                                    <w:t>P</w:t>
                                  </w:r>
                                  <w:r>
                                    <w:rPr>
                                      <w:sz w:val="14"/>
                                      <w:szCs w:val="14"/>
                                      <w:vertAlign w:val="sub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CA12C" id="Rectangle 703" o:spid="_x0000_s1032" style="position:absolute;margin-left:128.55pt;margin-top:81.8pt;width:21.45pt;height:16.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EB2aQIAACsFAAAOAAAAZHJzL2Uyb0RvYy54bWysVN9P2zAQfp+0/8Hy+0iTssIqUlSBmCYh&#10;qICJZ9ex20iOzzu7Tbq/fmcnDYghIU17SXy+399954vLrjFsr9DXYEuen0w4U1ZCVdtNyX8+3Xw5&#10;58wHYSthwKqSH5Tnl4vPny5aN1cFbMFUChkFsX7eupJvQ3DzLPNyqxrhT8ApS0oN2IhAIm6yCkVL&#10;0RuTFZPJLGsBK4cglfd0e90r+SLF11rJcK+1V4GZklNtIX0xfdfxmy0uxHyDwm1rOZQh/qGKRtSW&#10;ko6hrkUQbIf1X6GaWiJ40OFEQpOB1rVUqQfqJp+86eZxK5xKvRA43o0w+f8XVt7tV8jqquRnkyln&#10;VjQ0pAeCTdiNUSxeEkSt83OyfHQrHCRPx9hvp7GJf+qEdQnWwwir6gKTdFmcFdN8xpkkVZFPp7ME&#10;e/bi7NCH7woaFg8lR0qfwBT7Wx8oIZkeTUiIxfTp0ykcjIoVGPugNHVCCfPknTikrgyyvaDpCymV&#10;DbPYDsVL1tFN18aMjtOPHQf76KoSv0bn4mPn0SNlBhtG56a2gO8FMCEfSta9/RGBvu8IQejWXRph&#10;ai7erKE60FgRer57J29qgvZW+LASSASnVaClDff00QbaksNw4mwL+Pu9+2hPvCMtZy0tTMn9r51A&#10;xZn5YYmR3/LT07hhSTj9elaQgK8169cau2uugKaS0/PgZDpG+2COR43QPNNuL2NWUgkrKXfJZcCj&#10;cBX6RabXQarlMpnRVjkRbu2jk0ceROo8dc8C3cCvQMS8g+NyifkbmvW2cUIWlrsAuk4cfMF1mABt&#10;ZKLS8HrElX8tJ6uXN27xBwAA//8DAFBLAwQUAAYACAAAACEALw9IbuEAAAALAQAADwAAAGRycy9k&#10;b3ducmV2LnhtbEyPzU7DMBCE70i8g7VI3KidVCQ0xKkQgkPFAaVQqdzceEki/BPZbhvenuUEx535&#10;NDtTr2dr2AlDHL2TkC0EMHSd16PrJby/Pd/cAYtJOa2MdyjhGyOsm8uLWlXan12Lp23qGYW4WCkJ&#10;Q0pTxXnsBrQqLvyEjrxPH6xKdIae66DOFG4Nz4UouFWjow+DmvBxwO5re7QS8s3rS5jbj8007J9W&#10;ZZvt9srspLy+mh/ugSWc0x8Mv/WpOjTU6eCPTkdmKOO2zAglo1gWwIhYCkHrDqSsyhx4U/P/G5of&#10;AAAA//8DAFBLAQItABQABgAIAAAAIQC2gziS/gAAAOEBAAATAAAAAAAAAAAAAAAAAAAAAABbQ29u&#10;dGVudF9UeXBlc10ueG1sUEsBAi0AFAAGAAgAAAAhADj9If/WAAAAlAEAAAsAAAAAAAAAAAAAAAAA&#10;LwEAAF9yZWxzLy5yZWxzUEsBAi0AFAAGAAgAAAAhAL0AQHZpAgAAKwUAAA4AAAAAAAAAAAAAAAAA&#10;LgIAAGRycy9lMm9Eb2MueG1sUEsBAi0AFAAGAAgAAAAhAC8PSG7hAAAACwEAAA8AAAAAAAAAAAAA&#10;AAAAwwQAAGRycy9kb3ducmV2LnhtbFBLBQYAAAAABAAEAPMAAADRBQAAAAA=&#10;" fillcolor="#77b64e [3033]" strokecolor="#70ad47 [3209]" strokeweight=".5pt">
                      <v:fill color2="#6eaa46 [3177]" rotate="t" colors="0 #81b861;.5 #6fb242;1 #61a235" focus="100%" type="gradient">
                        <o:fill v:ext="view" type="gradientUnscaled"/>
                      </v:fill>
                      <v:textbox>
                        <w:txbxContent>
                          <w:p w14:paraId="1E865F1C" w14:textId="77777777" w:rsidR="00305B32" w:rsidRPr="009443C7" w:rsidRDefault="00305B32" w:rsidP="00480421">
                            <w:pPr>
                              <w:jc w:val="center"/>
                              <w:rPr>
                                <w:sz w:val="14"/>
                                <w:szCs w:val="14"/>
                                <w:vertAlign w:val="subscript"/>
                              </w:rPr>
                            </w:pPr>
                            <w:r w:rsidRPr="009443C7">
                              <w:rPr>
                                <w:sz w:val="14"/>
                                <w:szCs w:val="14"/>
                              </w:rPr>
                              <w:t>P</w:t>
                            </w:r>
                            <w:r>
                              <w:rPr>
                                <w:sz w:val="14"/>
                                <w:szCs w:val="14"/>
                                <w:vertAlign w:val="subscript"/>
                              </w:rPr>
                              <w:t>2</w:t>
                            </w:r>
                          </w:p>
                        </w:txbxContent>
                      </v:textbox>
                    </v:rect>
                  </w:pict>
                </mc:Fallback>
              </mc:AlternateContent>
            </w:r>
            <w:r w:rsidRPr="00477D8F">
              <w:rPr>
                <w:rFonts w:ascii="Sylfaen" w:hAnsi="Sylfaen" w:cs="Times New Roman"/>
                <w:noProof/>
              </w:rPr>
              <mc:AlternateContent>
                <mc:Choice Requires="wps">
                  <w:drawing>
                    <wp:anchor distT="0" distB="0" distL="114300" distR="114300" simplePos="0" relativeHeight="251659264" behindDoc="0" locked="0" layoutInCell="1" allowOverlap="1" wp14:anchorId="60CBD396" wp14:editId="068111D0">
                      <wp:simplePos x="0" y="0"/>
                      <wp:positionH relativeFrom="column">
                        <wp:posOffset>659081</wp:posOffset>
                      </wp:positionH>
                      <wp:positionV relativeFrom="paragraph">
                        <wp:posOffset>1193470</wp:posOffset>
                      </wp:positionV>
                      <wp:extent cx="284191" cy="213360"/>
                      <wp:effectExtent l="0" t="0" r="20955" b="15240"/>
                      <wp:wrapNone/>
                      <wp:docPr id="32" name="Rectangle 32"/>
                      <wp:cNvGraphicFramePr/>
                      <a:graphic xmlns:a="http://schemas.openxmlformats.org/drawingml/2006/main">
                        <a:graphicData uri="http://schemas.microsoft.com/office/word/2010/wordprocessingShape">
                          <wps:wsp>
                            <wps:cNvSpPr/>
                            <wps:spPr>
                              <a:xfrm>
                                <a:off x="0" y="0"/>
                                <a:ext cx="284191" cy="213360"/>
                              </a:xfrm>
                              <a:prstGeom prst="rect">
                                <a:avLst/>
                              </a:prstGeom>
                            </wps:spPr>
                            <wps:style>
                              <a:lnRef idx="1">
                                <a:schemeClr val="accent6"/>
                              </a:lnRef>
                              <a:fillRef idx="3">
                                <a:schemeClr val="accent6"/>
                              </a:fillRef>
                              <a:effectRef idx="2">
                                <a:schemeClr val="accent6"/>
                              </a:effectRef>
                              <a:fontRef idx="minor">
                                <a:schemeClr val="lt1"/>
                              </a:fontRef>
                            </wps:style>
                            <wps:txbx>
                              <w:txbxContent>
                                <w:p w14:paraId="23FB86D9" w14:textId="77777777" w:rsidR="00305B32" w:rsidRPr="009443C7" w:rsidRDefault="00305B32" w:rsidP="00480421">
                                  <w:pPr>
                                    <w:jc w:val="center"/>
                                    <w:rPr>
                                      <w:sz w:val="14"/>
                                      <w:szCs w:val="14"/>
                                      <w:vertAlign w:val="subscript"/>
                                    </w:rPr>
                                  </w:pPr>
                                  <w:r w:rsidRPr="009443C7">
                                    <w:rPr>
                                      <w:sz w:val="14"/>
                                      <w:szCs w:val="14"/>
                                    </w:rPr>
                                    <w:t>P</w:t>
                                  </w:r>
                                  <w:r w:rsidRPr="009443C7">
                                    <w:rPr>
                                      <w:sz w:val="14"/>
                                      <w:szCs w:val="14"/>
                                      <w:vertAlign w:val="sub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CBD396" id="Rectangle 32" o:spid="_x0000_s1033" style="position:absolute;margin-left:51.9pt;margin-top:93.95pt;width:22.4pt;height:1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brGaAIAACkFAAAOAAAAZHJzL2Uyb0RvYy54bWysVFtr2zAUfh/sPwi9r46drJcQp4SUjkFp&#10;S9vRZ0WWEoNuO1JiZ79+R/KlpS0Uxl5kHZ37d77jxWWrFTkI8LU1Jc1PJpQIw21Vm21Jfz1dfzun&#10;xAdmKqasESU9Ck8vl1+/LBo3F4XdWVUJIBjE+HnjSroLwc2zzPOd0MyfWCcMKqUFzQKKsM0qYA1G&#10;1yorJpPTrLFQObBceI+vV52SLlN8KQUPd1J6EYgqKdYW0gnp3MQzWy7YfAvM7Wrel8H+oQrNaoNJ&#10;x1BXLDCyh/pdKF1zsN7KcMKtzqyUNRepB+wmn7zp5nHHnEi9IDjejTD5/xeW3x7ugdRVSacFJYZp&#10;nNEDosbMVgmCbwhQ4/wc7R7dPfSSx2vstpWg4xf7IG0C9TiCKtpAOD4W57P8IqeEo6rIp9PTBHr2&#10;4uzAhx/CahIvJQXMnqBkhxsfMCGaDiYoxGK69OkWjkrECpR5EBL7wIR58k4MEmsF5MBw9oxzYcJp&#10;bAfjJevoJmulRsfp5469fXQViV2jc/G58+iRMlsTRmddGwsfBVAh70uWnf2AQNd3hCC0mzYN8GyY&#10;1cZWRxwq2I7t3vHrGqG9YT7cM0B64yLgyoY7PKSyTUltf6NkZ+HPR+/RHlmHWkoaXJeS+t97BoIS&#10;9dMgHy/y2SzuVxJm388KFOC1ZvNaY/Z6bXEqSAusLl2jfVDDVYLVz7jZq5gVVcxwzF1SHmAQ1qFb&#10;Y/w3cLFaJTPcKcfCjXl0fOBBpM5T+8zA9fwKSMxbO6wWm7+hWWcbJ2Tsah+srBMHI9Idrv0EcB8T&#10;lfp/R1z413KyevnDLf8CAAD//wMAUEsDBBQABgAIAAAAIQBYsEie4QAAAAsBAAAPAAAAZHJzL2Rv&#10;d25yZXYueG1sTI/BTsMwDIbvSLxDZCRuLG2BrStNJ4TgMHFAHUwat6wJTUXiVEm2lbfHO8HNv/zr&#10;8+d6NTnLjjrEwaOAfJYB09h5NWAv4OP95aYEFpNEJa1HLeBHR1g1lxe1rJQ/YauPm9QzgmCspACT&#10;0lhxHjujnYwzP2qk3ZcPTiaKoecqyBPBneVFls25kwPSBSNH/WR09705OAHF+u01TO3nejS75+Wi&#10;zbc7abdCXF9Njw/Akp7SXxnO+qQODTnt/QFVZJZydkvqiYZysQR2btyVc2B7whf5PfCm5v9/aH4B&#10;AAD//wMAUEsBAi0AFAAGAAgAAAAhALaDOJL+AAAA4QEAABMAAAAAAAAAAAAAAAAAAAAAAFtDb250&#10;ZW50X1R5cGVzXS54bWxQSwECLQAUAAYACAAAACEAOP0h/9YAAACUAQAACwAAAAAAAAAAAAAAAAAv&#10;AQAAX3JlbHMvLnJlbHNQSwECLQAUAAYACAAAACEAAyG6xmgCAAApBQAADgAAAAAAAAAAAAAAAAAu&#10;AgAAZHJzL2Uyb0RvYy54bWxQSwECLQAUAAYACAAAACEAWLBInuEAAAALAQAADwAAAAAAAAAAAAAA&#10;AADCBAAAZHJzL2Rvd25yZXYueG1sUEsFBgAAAAAEAAQA8wAAANAFAAAAAA==&#10;" fillcolor="#77b64e [3033]" strokecolor="#70ad47 [3209]" strokeweight=".5pt">
                      <v:fill color2="#6eaa46 [3177]" rotate="t" colors="0 #81b861;.5 #6fb242;1 #61a235" focus="100%" type="gradient">
                        <o:fill v:ext="view" type="gradientUnscaled"/>
                      </v:fill>
                      <v:textbox>
                        <w:txbxContent>
                          <w:p w14:paraId="23FB86D9" w14:textId="77777777" w:rsidR="00305B32" w:rsidRPr="009443C7" w:rsidRDefault="00305B32" w:rsidP="00480421">
                            <w:pPr>
                              <w:jc w:val="center"/>
                              <w:rPr>
                                <w:sz w:val="14"/>
                                <w:szCs w:val="14"/>
                                <w:vertAlign w:val="subscript"/>
                              </w:rPr>
                            </w:pPr>
                            <w:r w:rsidRPr="009443C7">
                              <w:rPr>
                                <w:sz w:val="14"/>
                                <w:szCs w:val="14"/>
                              </w:rPr>
                              <w:t>P</w:t>
                            </w:r>
                            <w:r w:rsidRPr="009443C7">
                              <w:rPr>
                                <w:sz w:val="14"/>
                                <w:szCs w:val="14"/>
                                <w:vertAlign w:val="subscript"/>
                              </w:rPr>
                              <w:t>1</w:t>
                            </w:r>
                          </w:p>
                        </w:txbxContent>
                      </v:textbox>
                    </v:rect>
                  </w:pict>
                </mc:Fallback>
              </mc:AlternateContent>
            </w:r>
            <w:r w:rsidRPr="00477D8F">
              <w:rPr>
                <w:rFonts w:ascii="Sylfaen" w:hAnsi="Sylfaen" w:cs="Times New Roman"/>
                <w:noProof/>
              </w:rPr>
              <mc:AlternateContent>
                <mc:Choice Requires="wps">
                  <w:drawing>
                    <wp:anchor distT="0" distB="0" distL="114300" distR="114300" simplePos="0" relativeHeight="251662336" behindDoc="0" locked="0" layoutInCell="1" allowOverlap="1" wp14:anchorId="209516C1" wp14:editId="1296BAD0">
                      <wp:simplePos x="0" y="0"/>
                      <wp:positionH relativeFrom="column">
                        <wp:posOffset>1537856</wp:posOffset>
                      </wp:positionH>
                      <wp:positionV relativeFrom="paragraph">
                        <wp:posOffset>1626919</wp:posOffset>
                      </wp:positionV>
                      <wp:extent cx="343568" cy="213360"/>
                      <wp:effectExtent l="0" t="0" r="18415" b="15240"/>
                      <wp:wrapNone/>
                      <wp:docPr id="15" name="Rectangle 15"/>
                      <wp:cNvGraphicFramePr/>
                      <a:graphic xmlns:a="http://schemas.openxmlformats.org/drawingml/2006/main">
                        <a:graphicData uri="http://schemas.microsoft.com/office/word/2010/wordprocessingShape">
                          <wps:wsp>
                            <wps:cNvSpPr/>
                            <wps:spPr>
                              <a:xfrm>
                                <a:off x="0" y="0"/>
                                <a:ext cx="343568" cy="213360"/>
                              </a:xfrm>
                              <a:prstGeom prst="rect">
                                <a:avLst/>
                              </a:prstGeom>
                            </wps:spPr>
                            <wps:style>
                              <a:lnRef idx="1">
                                <a:schemeClr val="accent6"/>
                              </a:lnRef>
                              <a:fillRef idx="3">
                                <a:schemeClr val="accent6"/>
                              </a:fillRef>
                              <a:effectRef idx="2">
                                <a:schemeClr val="accent6"/>
                              </a:effectRef>
                              <a:fontRef idx="minor">
                                <a:schemeClr val="lt1"/>
                              </a:fontRef>
                            </wps:style>
                            <wps:txbx>
                              <w:txbxContent>
                                <w:p w14:paraId="0370E5DD" w14:textId="77777777" w:rsidR="00305B32" w:rsidRPr="009443C7" w:rsidRDefault="00305B32" w:rsidP="00480421">
                                  <w:pPr>
                                    <w:jc w:val="center"/>
                                    <w:rPr>
                                      <w:sz w:val="14"/>
                                      <w:szCs w:val="14"/>
                                      <w:vertAlign w:val="subscript"/>
                                    </w:rPr>
                                  </w:pPr>
                                  <w:r>
                                    <w:rPr>
                                      <w:sz w:val="14"/>
                                      <w:szCs w:val="14"/>
                                    </w:rPr>
                                    <w:t>1-</w:t>
                                  </w:r>
                                  <w:r w:rsidRPr="009443C7">
                                    <w:rPr>
                                      <w:sz w:val="14"/>
                                      <w:szCs w:val="14"/>
                                    </w:rPr>
                                    <w:t>P</w:t>
                                  </w:r>
                                  <w:r>
                                    <w:rPr>
                                      <w:sz w:val="14"/>
                                      <w:szCs w:val="14"/>
                                      <w:vertAlign w:val="sub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516C1" id="Rectangle 15" o:spid="_x0000_s1034" style="position:absolute;margin-left:121.1pt;margin-top:128.1pt;width:27.05pt;height:16.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DITaQIAACkFAAAOAAAAZHJzL2Uyb0RvYy54bWysVG1r2zAQ/j7YfxD6vjpO0qwLdUpo6RiU&#10;trQd/azIUmKQddpJiZ39+p3kl5auUBj7Yut07889p/OLtjbsoNBXYAuen0w4U1ZCWdltwX8+XX85&#10;48wHYUthwKqCH5XnF6vPn84bt1RT2IEpFTIKYv2ycQXfheCWWeblTtXCn4BTlpQasBaBRNxmJYqG&#10;otcmm04mi6wBLB2CVN7T7VWn5KsUX2slw53WXgVmCk61hfTF9N3Eb7Y6F8stCrerZF+G+IcqalFZ&#10;SjqGuhJBsD1Wf4WqK4ngQYcTCXUGWldSpR6om3zyppvHnXAq9ULgeDfC5P9fWHl7uEdWlTS7U86s&#10;qGlGD4SasFujGN0RQI3zS7J7dPfYS56OsdtWYx3/1AdrE6jHEVTVBibpcjafnS6IBZJU03w2WyTQ&#10;sxdnhz58V1CzeCg4UvYEpTjc+EAJyXQwISEW06VPp3A0KlZg7IPS1AclzJN3YpC6NMgOgmYvpFQ2&#10;LGI7FC9ZRzddGTM6zj527O2jq0rsGp2nHzuPHikz2DA615UFfC+ACXlfsu7sBwS6viMEod20aYBn&#10;w6w2UB5pqAgd272T1xVBeyN8uBdI9KZFoJUNd/TRBpqCQ3/ibAf4+737aE+sIy1nDa1Lwf2vvUDF&#10;mflhiY/f8vk87lcS5qdfpyTga83mtcbu60ugqeT0ODiZjtE+mOGoEepn2ux1zEoqYSXlLrgMOAiX&#10;oVtjehukWq+TGe2UE+HGPjo58CBS56l9Fuh6fgUi5i0MqyWWb2jW2cYJWVjvA+gqcTAi3eHaT4D2&#10;MVGpfzviwr+Wk9XLC7f6AwAA//8DAFBLAwQUAAYACAAAACEAOCkC3uAAAAALAQAADwAAAGRycy9k&#10;b3ducmV2LnhtbEyPwU7DMAyG70i8Q2QkbixdgNKWphNCcJg4oA4mjZvXhKaiSaok28rbY05w+y1/&#10;+vy7Xs12ZEcd4uCdhOUiA6Zd59Xgegnvb89XBbCY0CkcvdMSvnWEVXN+VmOl/Mm1+rhJPSOJixVK&#10;MClNFeexM9piXPhJO9p9+mAx0Rh6rgKeSG5HLrIs5xYHRxcMTvrR6O5rc7ASxPr1Jcztx3oyu6fy&#10;rl1udzhupby8mB/ugSU9pz8YfutTdWio094fnIpsJMeNEIRSuM0pECHK/BrYnkJRFsCbmv//ofkB&#10;AAD//wMAUEsBAi0AFAAGAAgAAAAhALaDOJL+AAAA4QEAABMAAAAAAAAAAAAAAAAAAAAAAFtDb250&#10;ZW50X1R5cGVzXS54bWxQSwECLQAUAAYACAAAACEAOP0h/9YAAACUAQAACwAAAAAAAAAAAAAAAAAv&#10;AQAAX3JlbHMvLnJlbHNQSwECLQAUAAYACAAAACEAhjQyE2kCAAApBQAADgAAAAAAAAAAAAAAAAAu&#10;AgAAZHJzL2Uyb0RvYy54bWxQSwECLQAUAAYACAAAACEAOCkC3uAAAAALAQAADwAAAAAAAAAAAAAA&#10;AADDBAAAZHJzL2Rvd25yZXYueG1sUEsFBgAAAAAEAAQA8wAAANAFAAAAAA==&#10;" fillcolor="#77b64e [3033]" strokecolor="#70ad47 [3209]" strokeweight=".5pt">
                      <v:fill color2="#6eaa46 [3177]" rotate="t" colors="0 #81b861;.5 #6fb242;1 #61a235" focus="100%" type="gradient">
                        <o:fill v:ext="view" type="gradientUnscaled"/>
                      </v:fill>
                      <v:textbox>
                        <w:txbxContent>
                          <w:p w14:paraId="0370E5DD" w14:textId="77777777" w:rsidR="00305B32" w:rsidRPr="009443C7" w:rsidRDefault="00305B32" w:rsidP="00480421">
                            <w:pPr>
                              <w:jc w:val="center"/>
                              <w:rPr>
                                <w:sz w:val="14"/>
                                <w:szCs w:val="14"/>
                                <w:vertAlign w:val="subscript"/>
                              </w:rPr>
                            </w:pPr>
                            <w:r>
                              <w:rPr>
                                <w:sz w:val="14"/>
                                <w:szCs w:val="14"/>
                              </w:rPr>
                              <w:t>1-</w:t>
                            </w:r>
                            <w:r w:rsidRPr="009443C7">
                              <w:rPr>
                                <w:sz w:val="14"/>
                                <w:szCs w:val="14"/>
                              </w:rPr>
                              <w:t>P</w:t>
                            </w:r>
                            <w:r>
                              <w:rPr>
                                <w:sz w:val="14"/>
                                <w:szCs w:val="14"/>
                                <w:vertAlign w:val="subscript"/>
                              </w:rPr>
                              <w:t>2</w:t>
                            </w:r>
                          </w:p>
                        </w:txbxContent>
                      </v:textbox>
                    </v:rect>
                  </w:pict>
                </mc:Fallback>
              </mc:AlternateContent>
            </w:r>
            <w:r w:rsidRPr="00477D8F">
              <w:rPr>
                <w:rFonts w:ascii="Sylfaen" w:hAnsi="Sylfaen" w:cs="Times New Roman"/>
                <w:noProof/>
              </w:rPr>
              <mc:AlternateContent>
                <mc:Choice Requires="wps">
                  <w:drawing>
                    <wp:anchor distT="0" distB="0" distL="114300" distR="114300" simplePos="0" relativeHeight="251660288" behindDoc="0" locked="0" layoutInCell="1" allowOverlap="1" wp14:anchorId="3B898917" wp14:editId="265D14CB">
                      <wp:simplePos x="0" y="0"/>
                      <wp:positionH relativeFrom="column">
                        <wp:posOffset>605642</wp:posOffset>
                      </wp:positionH>
                      <wp:positionV relativeFrom="paragraph">
                        <wp:posOffset>1852551</wp:posOffset>
                      </wp:positionV>
                      <wp:extent cx="356177" cy="213756"/>
                      <wp:effectExtent l="0" t="0" r="25400" b="15240"/>
                      <wp:wrapNone/>
                      <wp:docPr id="33" name="Rectangle 33"/>
                      <wp:cNvGraphicFramePr/>
                      <a:graphic xmlns:a="http://schemas.openxmlformats.org/drawingml/2006/main">
                        <a:graphicData uri="http://schemas.microsoft.com/office/word/2010/wordprocessingShape">
                          <wps:wsp>
                            <wps:cNvSpPr/>
                            <wps:spPr>
                              <a:xfrm>
                                <a:off x="0" y="0"/>
                                <a:ext cx="356177" cy="213756"/>
                              </a:xfrm>
                              <a:prstGeom prst="rect">
                                <a:avLst/>
                              </a:prstGeom>
                            </wps:spPr>
                            <wps:style>
                              <a:lnRef idx="1">
                                <a:schemeClr val="accent6"/>
                              </a:lnRef>
                              <a:fillRef idx="3">
                                <a:schemeClr val="accent6"/>
                              </a:fillRef>
                              <a:effectRef idx="2">
                                <a:schemeClr val="accent6"/>
                              </a:effectRef>
                              <a:fontRef idx="minor">
                                <a:schemeClr val="lt1"/>
                              </a:fontRef>
                            </wps:style>
                            <wps:txbx>
                              <w:txbxContent>
                                <w:p w14:paraId="1D2EF726" w14:textId="77777777" w:rsidR="00305B32" w:rsidRPr="009443C7" w:rsidRDefault="00305B32" w:rsidP="00480421">
                                  <w:pPr>
                                    <w:jc w:val="center"/>
                                    <w:rPr>
                                      <w:sz w:val="14"/>
                                      <w:szCs w:val="14"/>
                                      <w:vertAlign w:val="subscript"/>
                                    </w:rPr>
                                  </w:pPr>
                                  <w:r>
                                    <w:rPr>
                                      <w:sz w:val="14"/>
                                      <w:szCs w:val="14"/>
                                    </w:rPr>
                                    <w:t>1-</w:t>
                                  </w:r>
                                  <w:r w:rsidRPr="009443C7">
                                    <w:rPr>
                                      <w:sz w:val="14"/>
                                      <w:szCs w:val="14"/>
                                    </w:rPr>
                                    <w:t>P</w:t>
                                  </w:r>
                                  <w:r w:rsidRPr="009443C7">
                                    <w:rPr>
                                      <w:sz w:val="14"/>
                                      <w:szCs w:val="14"/>
                                      <w:vertAlign w:val="sub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98917" id="Rectangle 33" o:spid="_x0000_s1035" style="position:absolute;margin-left:47.7pt;margin-top:145.85pt;width:28.05pt;height:16.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P9gaAIAACkFAAAOAAAAZHJzL2Uyb0RvYy54bWysVG1P2zAQ/j5p/8Hy95GmBQoVKapATJMQ&#10;IGDis+vYbSTH553dJt2v39l5ATEkpGlfkjvfm++553xx2daG7RX6CmzB86MJZ8pKKCu7KfjP55tv&#10;Z5z5IGwpDFhV8IPy/HL59ctF4xZqClswpUJGSaxfNK7g2xDcIsu83Kpa+CNwypJRA9YikIqbrETR&#10;UPbaZNPJ5DRrAEuHIJX3dHrdGfky5ddayXCvtVeBmYLT3UL6Yvqu4zdbXojFBoXbVrK/hviHW9Si&#10;slR0THUtgmA7rP5KVVcSwYMORxLqDLSupEo9UDf55F03T1vhVOqFwPFuhMn/v7Tybv+ArCoLPptx&#10;ZkVNM3ok1ITdGMXojABqnF+Q35N7wF7zJMZuW411/FMfrE2gHkZQVRuYpMPZyWk+n3MmyTTNZ/OT&#10;05gzew126MN3BTWLQsGRqicoxf7Wh851cKG4eJmufJLCwah4A2MflaY+qGCeohOD1JVBthc0eyGl&#10;smEonbxjmK6MGQNnnwf2/jFUJXaNwdPPg8eIVBlsGIPrygJ+lMCEvEdLd/4DAl3fEYLQrts0wPNh&#10;VmsoDzRUhI7t3smbiqC9FT48CCR60yLQyoZ7+mgDTcGhlzjbAv7+6Dz6E+vIyllD61Jw/2snUHFm&#10;flji43l+fBz3KynHJ/MpKfjWsn5rsbv6CmgqOT0OTiYx+gcziBqhfqHNXsWqZBJWUu2Cy4CDchW6&#10;Naa3QarVKrnRTjkRbu2TkwMPInWe2xeBrudXIGLewbBaYvGOZp1vnJCF1S6ArhIHI9Idrv0EaB8T&#10;i/u3Iy78Wz15vb5wyz8AAAD//wMAUEsDBBQABgAIAAAAIQAHht3+4QAAAAoBAAAPAAAAZHJzL2Rv&#10;d25yZXYueG1sTI/LTsMwEEX3SPyDNUjsqJNAaBPiVAjBomJRpVCp3bnxEEf4EcVuG/6e6QqWo3t1&#10;7plqOVnDTjiG3jsB6SwBhq71qnedgM+Pt7sFsBClU9J4hwJ+MMCyvr6qZKn82TV42sSOEcSFUgrQ&#10;MQ4l56HVaGWY+QEdZV9+tDLSOXZcjfJMcGt4liSP3Mre0YKWA75obL83RysgW63fx6nZrwa9ey3m&#10;TbrdSbMV4vZmen4CFnGKf2W46JM61OR08EenAjMCivyBmsQq0jmwSyFPc2AHAfcZRbyu+P8X6l8A&#10;AAD//wMAUEsBAi0AFAAGAAgAAAAhALaDOJL+AAAA4QEAABMAAAAAAAAAAAAAAAAAAAAAAFtDb250&#10;ZW50X1R5cGVzXS54bWxQSwECLQAUAAYACAAAACEAOP0h/9YAAACUAQAACwAAAAAAAAAAAAAAAAAv&#10;AQAAX3JlbHMvLnJlbHNQSwECLQAUAAYACAAAACEA90D/YGgCAAApBQAADgAAAAAAAAAAAAAAAAAu&#10;AgAAZHJzL2Uyb0RvYy54bWxQSwECLQAUAAYACAAAACEAB4bd/uEAAAAKAQAADwAAAAAAAAAAAAAA&#10;AADCBAAAZHJzL2Rvd25yZXYueG1sUEsFBgAAAAAEAAQA8wAAANAFAAAAAA==&#10;" fillcolor="#77b64e [3033]" strokecolor="#70ad47 [3209]" strokeweight=".5pt">
                      <v:fill color2="#6eaa46 [3177]" rotate="t" colors="0 #81b861;.5 #6fb242;1 #61a235" focus="100%" type="gradient">
                        <o:fill v:ext="view" type="gradientUnscaled"/>
                      </v:fill>
                      <v:textbox>
                        <w:txbxContent>
                          <w:p w14:paraId="1D2EF726" w14:textId="77777777" w:rsidR="00305B32" w:rsidRPr="009443C7" w:rsidRDefault="00305B32" w:rsidP="00480421">
                            <w:pPr>
                              <w:jc w:val="center"/>
                              <w:rPr>
                                <w:sz w:val="14"/>
                                <w:szCs w:val="14"/>
                                <w:vertAlign w:val="subscript"/>
                              </w:rPr>
                            </w:pPr>
                            <w:r>
                              <w:rPr>
                                <w:sz w:val="14"/>
                                <w:szCs w:val="14"/>
                              </w:rPr>
                              <w:t>1-</w:t>
                            </w:r>
                            <w:r w:rsidRPr="009443C7">
                              <w:rPr>
                                <w:sz w:val="14"/>
                                <w:szCs w:val="14"/>
                              </w:rPr>
                              <w:t>P</w:t>
                            </w:r>
                            <w:r w:rsidRPr="009443C7">
                              <w:rPr>
                                <w:sz w:val="14"/>
                                <w:szCs w:val="14"/>
                                <w:vertAlign w:val="subscript"/>
                              </w:rPr>
                              <w:t>1</w:t>
                            </w:r>
                          </w:p>
                        </w:txbxContent>
                      </v:textbox>
                    </v:rect>
                  </w:pict>
                </mc:Fallback>
              </mc:AlternateContent>
            </w:r>
            <w:r w:rsidRPr="00477D8F">
              <w:rPr>
                <w:rFonts w:ascii="Sylfaen" w:hAnsi="Sylfaen" w:cs="Times New Roman"/>
                <w:noProof/>
              </w:rPr>
              <w:drawing>
                <wp:inline distT="0" distB="0" distL="0" distR="0" wp14:anchorId="5BF376A0" wp14:editId="261AD1E3">
                  <wp:extent cx="5427023" cy="2529271"/>
                  <wp:effectExtent l="57150" t="0" r="59690" b="0"/>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tc>
      </w:tr>
    </w:tbl>
    <w:p w14:paraId="741044B3" w14:textId="296E49BA" w:rsidR="00480421" w:rsidRPr="00477D8F" w:rsidRDefault="00480421" w:rsidP="001A041F">
      <w:pPr>
        <w:numPr>
          <w:ilvl w:val="0"/>
          <w:numId w:val="5"/>
        </w:numPr>
        <w:tabs>
          <w:tab w:val="left" w:pos="540"/>
        </w:tabs>
        <w:spacing w:before="240" w:after="240" w:line="240" w:lineRule="auto"/>
        <w:ind w:left="0" w:firstLine="0"/>
        <w:jc w:val="both"/>
        <w:rPr>
          <w:rFonts w:ascii="Sylfaen" w:hAnsi="Sylfaen" w:cs="Times New Roman"/>
        </w:rPr>
      </w:pPr>
      <w:r w:rsidRPr="00477D8F">
        <w:rPr>
          <w:rFonts w:ascii="Sylfaen" w:hAnsi="Sylfaen" w:cs="Times New Roman"/>
        </w:rPr>
        <w:t xml:space="preserve">After assigning a value to each level of education (pseudo-years) one can study the effect of the explanatory variables on the expected final outcome. The probability that person </w:t>
      </w:r>
      <w:r w:rsidRPr="00477D8F">
        <w:rPr>
          <w:rFonts w:ascii="Cambria Math" w:hAnsi="Cambria Math" w:cs="Times New Roman"/>
        </w:rPr>
        <w:t>i</w:t>
      </w:r>
      <w:r w:rsidRPr="00477D8F">
        <w:rPr>
          <w:rFonts w:ascii="Sylfaen" w:hAnsi="Sylfaen" w:cs="Times New Roman"/>
        </w:rPr>
        <w:t xml:space="preserve"> passes transition </w:t>
      </w:r>
      <w:r w:rsidRPr="00477D8F">
        <w:rPr>
          <w:rFonts w:ascii="Cambria Math" w:hAnsi="Cambria Math" w:cs="Times New Roman"/>
        </w:rPr>
        <w:t>k</w:t>
      </w:r>
      <w:r w:rsidRPr="00477D8F">
        <w:rPr>
          <w:rFonts w:ascii="Sylfaen" w:hAnsi="Sylfaen" w:cs="Times New Roman"/>
        </w:rPr>
        <w:t xml:space="preserve">, </w:t>
      </w:r>
      <w:r w:rsidRPr="00477D8F">
        <w:rPr>
          <w:rFonts w:ascii="Cambria Math" w:hAnsi="Cambria Math" w:cs="Times New Roman"/>
        </w:rPr>
        <w:t>pk</w:t>
      </w:r>
      <w:r w:rsidRPr="00477D8F">
        <w:rPr>
          <w:rFonts w:ascii="Sylfaen" w:hAnsi="Sylfaen" w:cs="Times New Roman"/>
        </w:rPr>
        <w:t>, is given by</w:t>
      </w:r>
    </w:p>
    <w:p w14:paraId="2F2872ED" w14:textId="77777777" w:rsidR="00480421" w:rsidRPr="00477D8F" w:rsidRDefault="00480421" w:rsidP="00480421">
      <w:pPr>
        <w:spacing w:after="0" w:line="240" w:lineRule="auto"/>
        <w:ind w:right="403"/>
        <w:jc w:val="center"/>
        <w:rPr>
          <w:rFonts w:ascii="Sylfaen" w:hAnsi="Sylfaen" w:cs="Times New Roman"/>
        </w:rPr>
      </w:pPr>
      <w:r w:rsidRPr="00477D8F">
        <w:rPr>
          <w:rFonts w:ascii="Sylfaen" w:hAnsi="Sylfaen" w:cs="Times New Roman"/>
        </w:rPr>
        <w:t>p</w:t>
      </w:r>
      <w:r w:rsidRPr="00477D8F">
        <w:rPr>
          <w:rFonts w:ascii="Sylfaen" w:hAnsi="Sylfaen" w:cs="Times New Roman"/>
          <w:vertAlign w:val="subscript"/>
        </w:rPr>
        <w:t xml:space="preserve">1i = </w:t>
      </w:r>
      <m:oMath>
        <m:f>
          <m:fPr>
            <m:ctrlPr>
              <w:rPr>
                <w:rFonts w:ascii="Cambria Math" w:hAnsi="Cambria Math" w:cs="Times New Roman"/>
                <w:vertAlign w:val="subscript"/>
              </w:rPr>
            </m:ctrlPr>
          </m:fPr>
          <m:num>
            <m:r>
              <m:rPr>
                <m:sty m:val="p"/>
              </m:rPr>
              <w:rPr>
                <w:rFonts w:ascii="Cambria Math" w:hAnsi="Cambria Math" w:cs="Times New Roman"/>
                <w:vertAlign w:val="subscript"/>
              </w:rPr>
              <m:t>exp⁡(a1+ b1*xi)</m:t>
            </m:r>
          </m:num>
          <m:den>
            <m:r>
              <m:rPr>
                <m:sty m:val="p"/>
              </m:rPr>
              <w:rPr>
                <w:rFonts w:ascii="Cambria Math" w:hAnsi="Cambria Math" w:cs="Times New Roman"/>
                <w:vertAlign w:val="subscript"/>
              </w:rPr>
              <m:t>1+exp⁡(a1+ b1*xi)</m:t>
            </m:r>
          </m:den>
        </m:f>
      </m:oMath>
      <w:r w:rsidRPr="00477D8F">
        <w:rPr>
          <w:rFonts w:ascii="Sylfaen" w:eastAsiaTheme="minorEastAsia" w:hAnsi="Sylfaen" w:cs="Times New Roman"/>
        </w:rPr>
        <w:t>,</w:t>
      </w:r>
    </w:p>
    <w:p w14:paraId="3DCDB727" w14:textId="33F39349" w:rsidR="00480421" w:rsidRPr="00477D8F" w:rsidRDefault="00480421" w:rsidP="00480421">
      <w:pPr>
        <w:spacing w:after="0" w:line="240" w:lineRule="auto"/>
        <w:ind w:right="403"/>
        <w:jc w:val="center"/>
        <w:rPr>
          <w:rFonts w:ascii="Sylfaen" w:hAnsi="Sylfaen" w:cs="Times New Roman"/>
          <w:vertAlign w:val="subscript"/>
        </w:rPr>
      </w:pPr>
      <w:r w:rsidRPr="00477D8F">
        <w:rPr>
          <w:rFonts w:ascii="Sylfaen" w:hAnsi="Sylfaen" w:cs="Times New Roman"/>
        </w:rPr>
        <w:t>p</w:t>
      </w:r>
      <w:r w:rsidRPr="00477D8F">
        <w:rPr>
          <w:rFonts w:ascii="Sylfaen" w:hAnsi="Sylfaen" w:cs="Times New Roman"/>
          <w:vertAlign w:val="subscript"/>
        </w:rPr>
        <w:t xml:space="preserve">2i = </w:t>
      </w:r>
      <m:oMath>
        <m:f>
          <m:fPr>
            <m:ctrlPr>
              <w:rPr>
                <w:rFonts w:ascii="Cambria Math" w:hAnsi="Cambria Math" w:cs="Times New Roman"/>
                <w:vertAlign w:val="subscript"/>
              </w:rPr>
            </m:ctrlPr>
          </m:fPr>
          <m:num>
            <m:r>
              <m:rPr>
                <m:sty m:val="p"/>
              </m:rPr>
              <w:rPr>
                <w:rFonts w:ascii="Cambria Math" w:hAnsi="Cambria Math" w:cs="Times New Roman"/>
                <w:vertAlign w:val="subscript"/>
              </w:rPr>
              <m:t>exp⁡(a2+b2*xi)</m:t>
            </m:r>
          </m:num>
          <m:den>
            <m:r>
              <m:rPr>
                <m:sty m:val="p"/>
              </m:rPr>
              <w:rPr>
                <w:rFonts w:ascii="Cambria Math" w:hAnsi="Cambria Math" w:cs="Times New Roman"/>
                <w:vertAlign w:val="subscript"/>
              </w:rPr>
              <m:t>1+exp⁡(a2+b2*xi)</m:t>
            </m:r>
          </m:den>
        </m:f>
      </m:oMath>
      <w:r w:rsidR="001E47FB" w:rsidRPr="00477D8F">
        <w:rPr>
          <w:rFonts w:ascii="Sylfaen" w:eastAsiaTheme="minorEastAsia" w:hAnsi="Sylfaen" w:cs="Times New Roman"/>
          <w:vertAlign w:val="subscript"/>
        </w:rPr>
        <w:t xml:space="preserve">  </w:t>
      </w:r>
      <w:r w:rsidRPr="00477D8F">
        <w:rPr>
          <w:rFonts w:ascii="Sylfaen" w:eastAsiaTheme="minorEastAsia" w:hAnsi="Sylfaen" w:cs="Times New Roman"/>
          <w:vertAlign w:val="subscript"/>
        </w:rPr>
        <w:t xml:space="preserve"> </w:t>
      </w:r>
      <w:r w:rsidRPr="00477D8F">
        <w:rPr>
          <w:rFonts w:ascii="Sylfaen" w:eastAsiaTheme="minorEastAsia" w:hAnsi="Sylfaen" w:cs="Times New Roman"/>
        </w:rPr>
        <w:t xml:space="preserve">if </w:t>
      </w:r>
      <w:r w:rsidRPr="00477D8F">
        <w:rPr>
          <w:rFonts w:ascii="Sylfaen" w:hAnsi="Sylfaen" w:cs="Times New Roman"/>
        </w:rPr>
        <w:t>pass1 = 1,</w:t>
      </w:r>
    </w:p>
    <w:p w14:paraId="17F830D5" w14:textId="4F02AB73" w:rsidR="00480421" w:rsidRPr="00477D8F" w:rsidRDefault="00480421" w:rsidP="00480421">
      <w:pPr>
        <w:spacing w:after="0" w:line="240" w:lineRule="auto"/>
        <w:ind w:right="403"/>
        <w:jc w:val="center"/>
        <w:rPr>
          <w:rFonts w:ascii="Sylfaen" w:hAnsi="Sylfaen" w:cs="Times New Roman"/>
          <w:vertAlign w:val="subscript"/>
        </w:rPr>
      </w:pPr>
      <w:r w:rsidRPr="00477D8F">
        <w:rPr>
          <w:rFonts w:ascii="Sylfaen" w:hAnsi="Sylfaen" w:cs="Times New Roman"/>
        </w:rPr>
        <w:lastRenderedPageBreak/>
        <w:t>p</w:t>
      </w:r>
      <w:r w:rsidRPr="00477D8F">
        <w:rPr>
          <w:rFonts w:ascii="Sylfaen" w:hAnsi="Sylfaen" w:cs="Times New Roman"/>
          <w:vertAlign w:val="subscript"/>
        </w:rPr>
        <w:t xml:space="preserve">3i = </w:t>
      </w:r>
      <m:oMath>
        <m:f>
          <m:fPr>
            <m:ctrlPr>
              <w:rPr>
                <w:rFonts w:ascii="Cambria Math" w:hAnsi="Cambria Math" w:cs="Times New Roman"/>
                <w:vertAlign w:val="subscript"/>
              </w:rPr>
            </m:ctrlPr>
          </m:fPr>
          <m:num>
            <m:r>
              <m:rPr>
                <m:sty m:val="p"/>
              </m:rPr>
              <w:rPr>
                <w:rFonts w:ascii="Cambria Math" w:hAnsi="Cambria Math" w:cs="Times New Roman"/>
                <w:vertAlign w:val="subscript"/>
              </w:rPr>
              <m:t>exp⁡(a3+b3*xi)</m:t>
            </m:r>
          </m:num>
          <m:den>
            <m:r>
              <m:rPr>
                <m:sty m:val="p"/>
              </m:rPr>
              <w:rPr>
                <w:rFonts w:ascii="Cambria Math" w:hAnsi="Cambria Math" w:cs="Times New Roman"/>
                <w:vertAlign w:val="subscript"/>
              </w:rPr>
              <m:t>1+exp⁡(a3+b3*xi)</m:t>
            </m:r>
          </m:den>
        </m:f>
      </m:oMath>
      <w:r w:rsidR="001E47FB" w:rsidRPr="00477D8F">
        <w:rPr>
          <w:rFonts w:ascii="Sylfaen" w:eastAsiaTheme="minorEastAsia" w:hAnsi="Sylfaen" w:cs="Times New Roman"/>
          <w:vertAlign w:val="subscript"/>
        </w:rPr>
        <w:t xml:space="preserve"> </w:t>
      </w:r>
      <w:r w:rsidRPr="00477D8F">
        <w:rPr>
          <w:rFonts w:ascii="Sylfaen" w:eastAsiaTheme="minorEastAsia" w:hAnsi="Sylfaen" w:cs="Times New Roman"/>
          <w:vertAlign w:val="subscript"/>
        </w:rPr>
        <w:t xml:space="preserve">    </w:t>
      </w:r>
      <w:r w:rsidRPr="00477D8F">
        <w:rPr>
          <w:rFonts w:ascii="Sylfaen" w:eastAsiaTheme="minorEastAsia" w:hAnsi="Sylfaen" w:cs="Times New Roman"/>
        </w:rPr>
        <w:t xml:space="preserve">if </w:t>
      </w:r>
      <w:r w:rsidRPr="00477D8F">
        <w:rPr>
          <w:rFonts w:ascii="Sylfaen" w:hAnsi="Sylfaen" w:cs="Times New Roman"/>
        </w:rPr>
        <w:t>pass2 = 1,</w:t>
      </w:r>
    </w:p>
    <w:p w14:paraId="277610CE" w14:textId="77777777" w:rsidR="00480421" w:rsidRPr="00477D8F" w:rsidRDefault="00480421" w:rsidP="00480421">
      <w:pPr>
        <w:spacing w:after="0" w:line="240" w:lineRule="auto"/>
        <w:ind w:right="403"/>
        <w:jc w:val="center"/>
        <w:rPr>
          <w:rFonts w:ascii="Sylfaen" w:hAnsi="Sylfaen" w:cs="Times New Roman"/>
        </w:rPr>
      </w:pPr>
      <w:r w:rsidRPr="00477D8F">
        <w:rPr>
          <w:rFonts w:ascii="Sylfaen" w:hAnsi="Sylfaen" w:cs="Times New Roman"/>
        </w:rPr>
        <w:t>p</w:t>
      </w:r>
      <w:r w:rsidRPr="00477D8F">
        <w:rPr>
          <w:rFonts w:ascii="Sylfaen" w:hAnsi="Sylfaen" w:cs="Times New Roman"/>
          <w:vertAlign w:val="subscript"/>
        </w:rPr>
        <w:t xml:space="preserve">4i = </w:t>
      </w:r>
      <m:oMath>
        <m:f>
          <m:fPr>
            <m:ctrlPr>
              <w:rPr>
                <w:rFonts w:ascii="Cambria Math" w:hAnsi="Cambria Math" w:cs="Times New Roman"/>
                <w:vertAlign w:val="subscript"/>
              </w:rPr>
            </m:ctrlPr>
          </m:fPr>
          <m:num>
            <m:r>
              <m:rPr>
                <m:sty m:val="p"/>
              </m:rPr>
              <w:rPr>
                <w:rFonts w:ascii="Cambria Math" w:hAnsi="Cambria Math" w:cs="Times New Roman"/>
                <w:vertAlign w:val="subscript"/>
              </w:rPr>
              <m:t>exp⁡(a4+b4*xi)</m:t>
            </m:r>
          </m:num>
          <m:den>
            <m:r>
              <m:rPr>
                <m:sty m:val="p"/>
              </m:rPr>
              <w:rPr>
                <w:rFonts w:ascii="Cambria Math" w:hAnsi="Cambria Math" w:cs="Times New Roman"/>
                <w:vertAlign w:val="subscript"/>
              </w:rPr>
              <m:t>1+exp⁡(a4+b4*xi)</m:t>
            </m:r>
          </m:den>
        </m:f>
      </m:oMath>
      <w:r w:rsidRPr="00477D8F">
        <w:rPr>
          <w:rFonts w:ascii="Sylfaen" w:eastAsiaTheme="minorEastAsia" w:hAnsi="Sylfaen" w:cs="Times New Roman"/>
          <w:vertAlign w:val="subscript"/>
        </w:rPr>
        <w:t xml:space="preserve">     </w:t>
      </w:r>
      <w:r w:rsidRPr="00477D8F">
        <w:rPr>
          <w:rFonts w:ascii="Sylfaen" w:eastAsiaTheme="minorEastAsia" w:hAnsi="Sylfaen" w:cs="Times New Roman"/>
        </w:rPr>
        <w:t xml:space="preserve">if </w:t>
      </w:r>
      <w:r w:rsidRPr="00477D8F">
        <w:rPr>
          <w:rFonts w:ascii="Sylfaen" w:hAnsi="Sylfaen" w:cs="Times New Roman"/>
        </w:rPr>
        <w:t>pass3 = 1,</w:t>
      </w:r>
    </w:p>
    <w:p w14:paraId="776F75DD" w14:textId="77777777" w:rsidR="00480421" w:rsidRPr="00477D8F" w:rsidRDefault="00480421" w:rsidP="00480421">
      <w:pPr>
        <w:spacing w:after="0" w:line="240" w:lineRule="auto"/>
        <w:ind w:right="403"/>
        <w:jc w:val="center"/>
        <w:rPr>
          <w:rFonts w:ascii="Sylfaen" w:hAnsi="Sylfaen" w:cs="Times New Roman"/>
        </w:rPr>
      </w:pPr>
      <w:r w:rsidRPr="00477D8F">
        <w:rPr>
          <w:rFonts w:ascii="Sylfaen" w:hAnsi="Sylfaen" w:cs="Times New Roman"/>
        </w:rPr>
        <w:t>p</w:t>
      </w:r>
      <w:r w:rsidRPr="00477D8F">
        <w:rPr>
          <w:rFonts w:ascii="Sylfaen" w:hAnsi="Sylfaen" w:cs="Times New Roman"/>
          <w:vertAlign w:val="subscript"/>
        </w:rPr>
        <w:t xml:space="preserve">5i = </w:t>
      </w:r>
      <m:oMath>
        <m:f>
          <m:fPr>
            <m:ctrlPr>
              <w:rPr>
                <w:rFonts w:ascii="Cambria Math" w:hAnsi="Cambria Math" w:cs="Times New Roman"/>
                <w:vertAlign w:val="subscript"/>
              </w:rPr>
            </m:ctrlPr>
          </m:fPr>
          <m:num>
            <m:r>
              <m:rPr>
                <m:sty m:val="p"/>
              </m:rPr>
              <w:rPr>
                <w:rFonts w:ascii="Cambria Math" w:hAnsi="Cambria Math" w:cs="Times New Roman"/>
                <w:vertAlign w:val="subscript"/>
              </w:rPr>
              <m:t>exp⁡(a5+ b5*xi)</m:t>
            </m:r>
          </m:num>
          <m:den>
            <m:r>
              <m:rPr>
                <m:sty m:val="p"/>
              </m:rPr>
              <w:rPr>
                <w:rFonts w:ascii="Cambria Math" w:hAnsi="Cambria Math" w:cs="Times New Roman"/>
                <w:vertAlign w:val="subscript"/>
              </w:rPr>
              <m:t>1+exp⁡(a5+ b5*xi)</m:t>
            </m:r>
          </m:den>
        </m:f>
      </m:oMath>
      <w:r w:rsidRPr="00477D8F">
        <w:rPr>
          <w:rFonts w:ascii="Sylfaen" w:eastAsiaTheme="minorEastAsia" w:hAnsi="Sylfaen" w:cs="Times New Roman"/>
          <w:vertAlign w:val="subscript"/>
        </w:rPr>
        <w:t xml:space="preserve">     </w:t>
      </w:r>
      <w:r w:rsidRPr="00477D8F">
        <w:rPr>
          <w:rFonts w:ascii="Sylfaen" w:eastAsiaTheme="minorEastAsia" w:hAnsi="Sylfaen" w:cs="Times New Roman"/>
        </w:rPr>
        <w:t xml:space="preserve">if </w:t>
      </w:r>
      <w:r w:rsidRPr="00477D8F">
        <w:rPr>
          <w:rFonts w:ascii="Sylfaen" w:hAnsi="Sylfaen" w:cs="Times New Roman"/>
        </w:rPr>
        <w:t>pass4 = 1,</w:t>
      </w:r>
    </w:p>
    <w:p w14:paraId="0A09A6FC" w14:textId="77777777" w:rsidR="00480421" w:rsidRPr="00477D8F" w:rsidRDefault="00480421" w:rsidP="00480421">
      <w:pPr>
        <w:spacing w:after="0" w:line="240" w:lineRule="auto"/>
        <w:ind w:left="1440" w:right="403" w:firstLine="720"/>
        <w:rPr>
          <w:rFonts w:ascii="Sylfaen" w:hAnsi="Sylfaen" w:cs="Times New Roman"/>
        </w:rPr>
      </w:pPr>
    </w:p>
    <w:p w14:paraId="2F57C33A" w14:textId="070F3918" w:rsidR="00480421" w:rsidRPr="00477D8F" w:rsidRDefault="00480421" w:rsidP="00480421">
      <w:pPr>
        <w:tabs>
          <w:tab w:val="left" w:pos="540"/>
        </w:tabs>
        <w:spacing w:after="240" w:line="240" w:lineRule="auto"/>
        <w:jc w:val="both"/>
        <w:rPr>
          <w:rFonts w:ascii="Sylfaen" w:hAnsi="Sylfaen" w:cs="Times New Roman"/>
        </w:rPr>
      </w:pPr>
      <w:r w:rsidRPr="00477D8F">
        <w:rPr>
          <w:rFonts w:ascii="Sylfaen" w:hAnsi="Sylfaen" w:cs="Times New Roman"/>
          <w:bCs/>
        </w:rPr>
        <w:t>where</w:t>
      </w:r>
      <w:r w:rsidRPr="00477D8F">
        <w:rPr>
          <w:rFonts w:ascii="Sylfaen" w:hAnsi="Sylfaen" w:cs="Times New Roman"/>
        </w:rPr>
        <w:t xml:space="preserve"> the constant for transition k is a</w:t>
      </w:r>
      <w:r w:rsidRPr="00477D8F">
        <w:rPr>
          <w:rFonts w:ascii="Sylfaen" w:hAnsi="Sylfaen" w:cs="Times New Roman"/>
          <w:vertAlign w:val="subscript"/>
        </w:rPr>
        <w:t>k</w:t>
      </w:r>
      <w:r w:rsidRPr="00477D8F">
        <w:rPr>
          <w:rFonts w:ascii="Sylfaen" w:hAnsi="Sylfaen" w:cs="Times New Roman"/>
        </w:rPr>
        <w:t xml:space="preserve"> and the effect of the explanatory variable x</w:t>
      </w:r>
      <w:r w:rsidRPr="00477D8F">
        <w:rPr>
          <w:rFonts w:ascii="Sylfaen" w:hAnsi="Sylfaen" w:cs="Times New Roman"/>
          <w:vertAlign w:val="subscript"/>
        </w:rPr>
        <w:t>k</w:t>
      </w:r>
      <w:r w:rsidRPr="00477D8F">
        <w:rPr>
          <w:rFonts w:ascii="Sylfaen" w:hAnsi="Sylfaen" w:cs="Times New Roman"/>
        </w:rPr>
        <w:t xml:space="preserve"> is b</w:t>
      </w:r>
      <w:r w:rsidRPr="00477D8F">
        <w:rPr>
          <w:rFonts w:ascii="Sylfaen" w:hAnsi="Sylfaen" w:cs="Times New Roman"/>
          <w:vertAlign w:val="subscript"/>
        </w:rPr>
        <w:t>k.</w:t>
      </w:r>
      <w:r w:rsidRPr="00477D8F">
        <w:rPr>
          <w:rFonts w:ascii="Sylfaen" w:hAnsi="Sylfaen" w:cs="Times New Roman"/>
        </w:rPr>
        <w:t xml:space="preserve"> Buis (2010) shows that the effect of the explanatory variables on the highest achieved level of education is a weighted sum of the effects of passing each transition and that the contribution of each transition can be visualized by the area of a rectangle with width equal to the weight and height equal to the effect on the probability of passing the transition (the log-odds ratio or the marginal effect).</w:t>
      </w:r>
      <w:r w:rsidRPr="00477D8F">
        <w:rPr>
          <w:rStyle w:val="FootnoteReference"/>
          <w:rFonts w:ascii="Sylfaen" w:hAnsi="Sylfaen" w:cs="Times New Roman"/>
        </w:rPr>
        <w:footnoteReference w:id="31"/>
      </w:r>
      <w:r w:rsidRPr="00477D8F">
        <w:rPr>
          <w:rFonts w:ascii="Sylfaen" w:hAnsi="Sylfaen" w:cs="Times New Roman"/>
        </w:rPr>
        <w:t xml:space="preserve"> One can thus see how the effect differs by characteristic (such as gender) or cohort.</w:t>
      </w:r>
    </w:p>
    <w:p w14:paraId="54E94BF4" w14:textId="6E0DFCFF" w:rsidR="00480421" w:rsidRPr="00477D8F" w:rsidRDefault="00480421" w:rsidP="00480421">
      <w:pPr>
        <w:pStyle w:val="Heading3"/>
      </w:pPr>
      <w:bookmarkStart w:id="394" w:name="_Toc451633296"/>
      <w:bookmarkStart w:id="395" w:name="_Toc474319923"/>
      <w:r w:rsidRPr="00477D8F">
        <w:t>Note 3: DEA Methodology</w:t>
      </w:r>
      <w:bookmarkEnd w:id="394"/>
      <w:bookmarkEnd w:id="395"/>
    </w:p>
    <w:p w14:paraId="1513BF36" w14:textId="5BE7B537" w:rsidR="00480421" w:rsidRPr="00477D8F" w:rsidRDefault="00480421" w:rsidP="00480421">
      <w:pPr>
        <w:numPr>
          <w:ilvl w:val="0"/>
          <w:numId w:val="5"/>
        </w:numPr>
        <w:tabs>
          <w:tab w:val="left" w:pos="540"/>
        </w:tabs>
        <w:spacing w:after="240" w:line="240" w:lineRule="auto"/>
        <w:ind w:left="0" w:firstLine="0"/>
        <w:jc w:val="both"/>
        <w:rPr>
          <w:rFonts w:ascii="Sylfaen" w:hAnsi="Sylfaen"/>
        </w:rPr>
      </w:pPr>
      <w:r w:rsidRPr="00477D8F">
        <w:rPr>
          <w:rFonts w:ascii="Sylfaen" w:hAnsi="Sylfaen"/>
        </w:rPr>
        <w:t xml:space="preserve">A DEA is based on the construction of an empirical non-parametric production frontier and the measurement of efficiency through the distance between the observed data and the optimal value of these data given by the estimated frontier. In the current analysis, the production frontier approximates the maximum quality or access to education (the output) that could be achieved given different levels of educational resources (the inputs) as compared to the best-performing schools in the country. Figure A2 illustrates the efficiency measurement with the DEA in a hypothetical case of one input—unit cost that is used to produce one output—average grade 12 test result. </w:t>
      </w:r>
    </w:p>
    <w:p w14:paraId="319B3FDA" w14:textId="2D07523C" w:rsidR="00480421" w:rsidRPr="00477D8F" w:rsidRDefault="00480421" w:rsidP="00480421">
      <w:pPr>
        <w:numPr>
          <w:ilvl w:val="0"/>
          <w:numId w:val="5"/>
        </w:numPr>
        <w:tabs>
          <w:tab w:val="left" w:pos="540"/>
        </w:tabs>
        <w:spacing w:after="240" w:line="240" w:lineRule="auto"/>
        <w:ind w:left="0" w:firstLine="0"/>
        <w:jc w:val="both"/>
        <w:rPr>
          <w:rFonts w:ascii="Sylfaen" w:hAnsi="Sylfaen"/>
        </w:rPr>
      </w:pPr>
      <w:r w:rsidRPr="00477D8F">
        <w:rPr>
          <w:rFonts w:ascii="Sylfaen" w:hAnsi="Sylfaen"/>
        </w:rPr>
        <w:t xml:space="preserve">The frontier gives maximum levels of the output that could be achieved given the different quantities of input used. Decision-Making Units (DMUs) are schools—that is, the input and output are measured and determined at the school level. The DMUs that are on the frontier are relatively efficient—from the 12 schools taken for the purpose of demonstration, schools A to K, 6 schools are on the frontier line and they are relatively efficient compared to the other 5 schools below the frontier line. While the model considered both input- and output-oriented approaches, the demonstration is only for an output-oriented model. For an input-oriented model, the DMU needs to reduce input to be efficient while in an output-oriented model, the DMU needs to increase the output to be efficient (for further explanation about the model, please see Charles, Cooper, and Rhodes [1981]). The focus of the demonstration below is to show the potential for schools in The Gambia to improve learning outcomes given the existing resources. The key summarized points from the graph include the following: (a) all schools on the frontier line (A to F) are equally efficient in resource utilization (efficiency score 100 percent); (b) all schools below the PPF are inefficient with different levels of efficiency score; (c) schools E and F have the same output but school E uses fewer resources to produce the same output as school F; (d) school A uses fewer resources and produces less output relative to all points on the graph but is equally efficient as school E; (e) school E and F have high results (100 percent) and no room for improvement but school F can use fewer resources to achieve the same output as school E by doing the same thing that school E did; (f) for example, schools B and I have the same result (80 percent) but the unit cost in I is higher (2,400 versus 800); hence, if school I adopts similar resource utilization patterns to school C, it can produce the same output while reducing its resource use by 1,600; and (i) because the result for I is low compared to the other school (D) which has the same unit cost but produces 95 </w:t>
      </w:r>
      <w:r w:rsidRPr="00477D8F">
        <w:rPr>
          <w:rFonts w:ascii="Sylfaen" w:hAnsi="Sylfaen"/>
        </w:rPr>
        <w:lastRenderedPageBreak/>
        <w:t xml:space="preserve">percent, if school I can increase the efficiency of resource use like school D, it will produce results similar to those of school D (that is, increase in test results from 80 percent to 95 percent). </w:t>
      </w:r>
    </w:p>
    <w:p w14:paraId="2BED61BE" w14:textId="1B6378D6" w:rsidR="00480421" w:rsidRPr="00477D8F" w:rsidRDefault="00480421" w:rsidP="00480421">
      <w:pPr>
        <w:pStyle w:val="Caption1"/>
      </w:pPr>
      <w:bookmarkStart w:id="396" w:name="_Toc497170683"/>
      <w:r w:rsidRPr="00477D8F">
        <w:t>Figure A</w:t>
      </w:r>
      <w:r w:rsidR="00171C1B" w:rsidRPr="00477D8F">
        <w:fldChar w:fldCharType="begin"/>
      </w:r>
      <w:r w:rsidR="00171C1B" w:rsidRPr="00477D8F">
        <w:instrText xml:space="preserve"> SEQ Figure_A \* ARABIC </w:instrText>
      </w:r>
      <w:r w:rsidR="00171C1B" w:rsidRPr="00477D8F">
        <w:fldChar w:fldCharType="separate"/>
      </w:r>
      <w:r w:rsidRPr="00477D8F">
        <w:rPr>
          <w:noProof/>
        </w:rPr>
        <w:t>2</w:t>
      </w:r>
      <w:r w:rsidR="00171C1B" w:rsidRPr="00477D8F">
        <w:rPr>
          <w:noProof/>
        </w:rPr>
        <w:fldChar w:fldCharType="end"/>
      </w:r>
      <w:r w:rsidRPr="00477D8F">
        <w:t>: Concept behind the efficiency measurement and interpretation</w:t>
      </w:r>
      <w:r w:rsidR="001E48F9" w:rsidRPr="00477D8F">
        <w:t>, hypothetical school</w:t>
      </w:r>
      <w:bookmarkEnd w:id="396"/>
    </w:p>
    <w:p w14:paraId="4CCB7DCE" w14:textId="77777777" w:rsidR="00480421" w:rsidRPr="00477D8F" w:rsidRDefault="00480421" w:rsidP="00480421">
      <w:pPr>
        <w:pStyle w:val="Caption1"/>
      </w:pPr>
      <w:r w:rsidRPr="00477D8F">
        <w:rPr>
          <w:noProof/>
        </w:rPr>
        <w:drawing>
          <wp:inline distT="0" distB="0" distL="0" distR="0" wp14:anchorId="6DF2AB4F" wp14:editId="094C311D">
            <wp:extent cx="5780405" cy="3752698"/>
            <wp:effectExtent l="0" t="0" r="10795" b="635"/>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35A62220" w14:textId="77777777" w:rsidR="00480421" w:rsidRPr="00477D8F" w:rsidRDefault="00480421" w:rsidP="00480421">
      <w:pPr>
        <w:pStyle w:val="Heading3"/>
      </w:pPr>
      <w:r w:rsidRPr="00477D8F">
        <w:t xml:space="preserve">Note 4: Human Capital Projections: Assumptions and methodologies </w:t>
      </w:r>
    </w:p>
    <w:p w14:paraId="4177FABE" w14:textId="642A60A8" w:rsidR="00480421" w:rsidRPr="00477D8F" w:rsidRDefault="00480421" w:rsidP="00480421">
      <w:pPr>
        <w:numPr>
          <w:ilvl w:val="0"/>
          <w:numId w:val="5"/>
        </w:numPr>
        <w:tabs>
          <w:tab w:val="left" w:pos="540"/>
        </w:tabs>
        <w:spacing w:after="240" w:line="240" w:lineRule="auto"/>
        <w:ind w:left="0" w:firstLine="0"/>
        <w:jc w:val="both"/>
        <w:rPr>
          <w:rFonts w:ascii="Sylfaen" w:hAnsi="Sylfaen"/>
        </w:rPr>
      </w:pPr>
      <w:r w:rsidRPr="00477D8F">
        <w:rPr>
          <w:rFonts w:ascii="Sylfaen" w:hAnsi="Sylfaen"/>
        </w:rPr>
        <w:t>The projection closely follows the methods of the International Institute for Applied Systems Analysis (IIASA) of population projections in terms of required variables, as determined by the PDE software. This analysis was limited to two scenarios: (a) the constant scenario, in which the trend of dropout and retention rates remain the same until 2045, under the assumption that no investments or reforms have taken place to alter the trends, and (b) the MDG attainment, in which the MDG of universal primary education is met by 2025—the Government of The Gambia-targeted MDG by 2025.</w:t>
      </w:r>
    </w:p>
    <w:p w14:paraId="32DB320D" w14:textId="1080F1C2" w:rsidR="00480421" w:rsidRPr="00477D8F" w:rsidRDefault="00480421" w:rsidP="00480421">
      <w:pPr>
        <w:numPr>
          <w:ilvl w:val="0"/>
          <w:numId w:val="5"/>
        </w:numPr>
        <w:tabs>
          <w:tab w:val="left" w:pos="540"/>
        </w:tabs>
        <w:spacing w:after="240" w:line="240" w:lineRule="auto"/>
        <w:ind w:left="0" w:firstLine="0"/>
        <w:jc w:val="both"/>
        <w:rPr>
          <w:rFonts w:ascii="Sylfaen" w:hAnsi="Sylfaen"/>
        </w:rPr>
      </w:pPr>
      <w:r w:rsidRPr="00477D8F">
        <w:rPr>
          <w:rFonts w:ascii="Sylfaen" w:hAnsi="Sylfaen"/>
        </w:rPr>
        <w:t>To conduct a projection of the educational attainment, a baseline population distribution must first be generated by five-year age groups, sex, and level of educational attainment. The projection in this chapter used the IHS 2010 and 2015 as the base year. The model likewise requires that (a) for each five-year increment, cohorts move to the next highest five-year age group; (b) mortality rates specific to age, sex, and education group are applied to each period; (c) age- and sex-specific educational transition rates are applied; (d) age, sex, and education-specific net migrants are added or removed from the population; and (e) fertility rates specific to age, sex, and education groups are used to determine the size of the newest 0–5 age group. The projection in The Gambia was constructed based on the following assumptions.</w:t>
      </w:r>
    </w:p>
    <w:p w14:paraId="1E1BED33" w14:textId="0BC3A20E" w:rsidR="00480421" w:rsidRPr="00477D8F" w:rsidRDefault="00480421" w:rsidP="00480421">
      <w:pPr>
        <w:numPr>
          <w:ilvl w:val="0"/>
          <w:numId w:val="5"/>
        </w:numPr>
        <w:tabs>
          <w:tab w:val="left" w:pos="540"/>
        </w:tabs>
        <w:spacing w:after="240" w:line="240" w:lineRule="auto"/>
        <w:ind w:left="0" w:firstLine="0"/>
        <w:jc w:val="both"/>
        <w:rPr>
          <w:rFonts w:ascii="Sylfaen" w:hAnsi="Sylfaen"/>
        </w:rPr>
      </w:pPr>
      <w:r w:rsidRPr="00477D8F">
        <w:rPr>
          <w:rFonts w:ascii="Sylfaen" w:hAnsi="Sylfaen"/>
          <w:b/>
        </w:rPr>
        <w:lastRenderedPageBreak/>
        <w:t>Migration:</w:t>
      </w:r>
      <w:r w:rsidRPr="00477D8F">
        <w:rPr>
          <w:rFonts w:ascii="Sylfaen" w:hAnsi="Sylfaen"/>
        </w:rPr>
        <w:t xml:space="preserve"> The impact of migration was not considered in the projection of education of the labor force as The Gambia had a small net migration rate of −1.47 migrants per 1,000</w:t>
      </w:r>
      <w:r w:rsidRPr="00477D8F">
        <w:rPr>
          <w:rStyle w:val="FootnoteReference"/>
          <w:rFonts w:ascii="Sylfaen" w:hAnsi="Sylfaen"/>
        </w:rPr>
        <w:footnoteReference w:id="32"/>
      </w:r>
      <w:r w:rsidRPr="00477D8F">
        <w:rPr>
          <w:rFonts w:ascii="Sylfaen" w:hAnsi="Sylfaen"/>
        </w:rPr>
        <w:t xml:space="preserve"> as of 2015, and the gross migration rate is less than 2 percent.</w:t>
      </w:r>
      <w:r w:rsidRPr="00477D8F">
        <w:rPr>
          <w:rStyle w:val="FootnoteReference"/>
          <w:rFonts w:ascii="Sylfaen" w:hAnsi="Sylfaen"/>
        </w:rPr>
        <w:footnoteReference w:id="33"/>
      </w:r>
      <w:r w:rsidRPr="00477D8F">
        <w:rPr>
          <w:rFonts w:ascii="Sylfaen" w:hAnsi="Sylfaen"/>
        </w:rPr>
        <w:t xml:space="preserve"> The demographic background of emigrants and immigrants are likewise similar as they typically come from neighboring countries and do not significantly affect the education profile of the labor force. </w:t>
      </w:r>
    </w:p>
    <w:p w14:paraId="30677427" w14:textId="4AA58AF1" w:rsidR="00480421" w:rsidRPr="00477D8F" w:rsidRDefault="00480421" w:rsidP="00480421">
      <w:pPr>
        <w:numPr>
          <w:ilvl w:val="0"/>
          <w:numId w:val="5"/>
        </w:numPr>
        <w:tabs>
          <w:tab w:val="left" w:pos="540"/>
        </w:tabs>
        <w:spacing w:after="240" w:line="240" w:lineRule="auto"/>
        <w:ind w:left="0" w:firstLine="0"/>
        <w:jc w:val="both"/>
        <w:rPr>
          <w:rFonts w:ascii="Sylfaen" w:hAnsi="Sylfaen"/>
        </w:rPr>
      </w:pPr>
      <w:r w:rsidRPr="00477D8F">
        <w:rPr>
          <w:rFonts w:ascii="Sylfaen" w:hAnsi="Sylfaen"/>
          <w:b/>
        </w:rPr>
        <w:t>Mortality:</w:t>
      </w:r>
      <w:r w:rsidRPr="00477D8F">
        <w:rPr>
          <w:rFonts w:ascii="Sylfaen" w:hAnsi="Sylfaen"/>
        </w:rPr>
        <w:t xml:space="preserve"> As complete death registration data are often unavailable in developing countries, this chapter adopts the census survival approach to overcome the limitation (United Nations 2002). Data from ENEV 2008 and 2015 were used as an input into the UN’s life table model to estimate age-specific mortality rates. For life expectancy, differences estimated by </w:t>
      </w:r>
      <w:hyperlink r:id="rId138" w:history="1">
        <w:r w:rsidRPr="00477D8F">
          <w:rPr>
            <w:rFonts w:ascii="Sylfaen" w:hAnsi="Sylfaen" w:cs="Times New Roman"/>
            <w:bCs/>
          </w:rPr>
          <w:t>S</w:t>
        </w:r>
      </w:hyperlink>
      <w:r w:rsidRPr="00477D8F">
        <w:rPr>
          <w:rFonts w:ascii="Sylfaen" w:hAnsi="Sylfaen" w:cs="Times New Roman"/>
          <w:bCs/>
        </w:rPr>
        <w:t>amir et al.</w:t>
      </w:r>
      <w:r w:rsidRPr="00477D8F" w:rsidDel="006A61CE">
        <w:t xml:space="preserve"> </w:t>
      </w:r>
      <w:r w:rsidRPr="00477D8F">
        <w:rPr>
          <w:rFonts w:ascii="Sylfaen" w:hAnsi="Sylfaen"/>
        </w:rPr>
        <w:t xml:space="preserve">(2010) were adopted for each education level, and the model suggested that education was positively associated with longer life expectancy. A similar methodology applied to the education system in The Gambia led to the assumption that life expectancy increases with education by one year for each level of education, that is, none, incomplete primary, completed primary, completed lower secondary, and completed upper secondary. </w:t>
      </w:r>
    </w:p>
    <w:p w14:paraId="0BDFBF9B" w14:textId="1BAC1F6D" w:rsidR="00480421" w:rsidRPr="00477D8F" w:rsidRDefault="00480421" w:rsidP="00480421">
      <w:pPr>
        <w:numPr>
          <w:ilvl w:val="0"/>
          <w:numId w:val="5"/>
        </w:numPr>
        <w:tabs>
          <w:tab w:val="left" w:pos="540"/>
        </w:tabs>
        <w:spacing w:after="240" w:line="240" w:lineRule="auto"/>
        <w:ind w:left="0" w:firstLine="0"/>
        <w:jc w:val="both"/>
        <w:rPr>
          <w:rFonts w:ascii="Sylfaen" w:hAnsi="Sylfaen"/>
        </w:rPr>
      </w:pPr>
      <w:r w:rsidRPr="00477D8F">
        <w:rPr>
          <w:rFonts w:ascii="Sylfaen" w:hAnsi="Sylfaen"/>
          <w:b/>
        </w:rPr>
        <w:t xml:space="preserve">Fertility: </w:t>
      </w:r>
      <w:r w:rsidRPr="00477D8F">
        <w:rPr>
          <w:rFonts w:ascii="Sylfaen" w:hAnsi="Sylfaen"/>
        </w:rPr>
        <w:t xml:space="preserve">For this projection, fertility is considered as a demographic determinant of the projected educational profile. ASFRs were calculated by identifying live births that occurred in the three years preceding the survey and classifying them by the age of the mother (in five-year age groups) at the time of birth, using data from the 2012 Demographic and Health Survey (DHS 2013) in The Gambia. Total fertility rates (TFRs) refer to the number of live births a woman would have if she were subject to the current </w:t>
      </w:r>
      <w:r w:rsidR="006F00F5" w:rsidRPr="00477D8F">
        <w:rPr>
          <w:rFonts w:ascii="Sylfaen" w:hAnsi="Sylfaen"/>
        </w:rPr>
        <w:t>ASFRs</w:t>
      </w:r>
      <w:r w:rsidRPr="00477D8F">
        <w:rPr>
          <w:rFonts w:ascii="Sylfaen" w:hAnsi="Sylfaen"/>
        </w:rPr>
        <w:t xml:space="preserve"> for the duration of her reproductive years (15 to 49 years) and was likewise estimated using DHS 2013.</w:t>
      </w:r>
    </w:p>
    <w:p w14:paraId="21C66312" w14:textId="36D30EB5" w:rsidR="00480421" w:rsidRPr="00477D8F" w:rsidRDefault="00480421" w:rsidP="00480421">
      <w:pPr>
        <w:numPr>
          <w:ilvl w:val="0"/>
          <w:numId w:val="5"/>
        </w:numPr>
        <w:tabs>
          <w:tab w:val="left" w:pos="540"/>
        </w:tabs>
        <w:spacing w:after="240" w:line="240" w:lineRule="auto"/>
        <w:ind w:left="0" w:firstLine="0"/>
        <w:jc w:val="both"/>
        <w:rPr>
          <w:rFonts w:ascii="Sylfaen" w:hAnsi="Sylfaen"/>
        </w:rPr>
      </w:pPr>
      <w:r w:rsidRPr="00477D8F">
        <w:rPr>
          <w:rFonts w:ascii="Sylfaen" w:hAnsi="Sylfaen"/>
          <w:b/>
        </w:rPr>
        <w:t>Transition:</w:t>
      </w:r>
      <w:r w:rsidRPr="00477D8F">
        <w:rPr>
          <w:rFonts w:ascii="Sylfaen" w:hAnsi="Sylfaen"/>
        </w:rPr>
        <w:t xml:space="preserve"> Transition rates were calculated based on the assumption that transitions take place between educational levels with the possibility of repetition but with no reverse transition. This rate was based on UNESCO’s formula which used age-grade enrollment patterns. To account for age distortions that arose from late entry, a remedial method suggested by IIASA was adopted, which states that the transition rate from one level of education to another is distributed by the proportion of age groups relevant to that same education level. Detailed procedures can be referenced from Lutz,</w:t>
      </w:r>
      <w:r w:rsidRPr="00477D8F">
        <w:rPr>
          <w:rFonts w:ascii="Sylfaen" w:hAnsi="Sylfaen" w:cs="Times New Roman"/>
          <w:bCs/>
        </w:rPr>
        <w:t xml:space="preserve"> Cuaresma, and Abbasi-Shavazi</w:t>
      </w:r>
      <w:r w:rsidRPr="00477D8F">
        <w:rPr>
          <w:rFonts w:ascii="Sylfaen" w:hAnsi="Sylfaen"/>
        </w:rPr>
        <w:t xml:space="preserve"> (2010) and Lutz et al. (2007).</w:t>
      </w:r>
    </w:p>
    <w:p w14:paraId="52D36123" w14:textId="59E7FF8F" w:rsidR="00480421" w:rsidRPr="00477D8F" w:rsidRDefault="00480421" w:rsidP="00480421">
      <w:pPr>
        <w:numPr>
          <w:ilvl w:val="0"/>
          <w:numId w:val="5"/>
        </w:numPr>
        <w:tabs>
          <w:tab w:val="left" w:pos="540"/>
        </w:tabs>
        <w:spacing w:after="240" w:line="240" w:lineRule="auto"/>
        <w:ind w:left="0" w:firstLine="0"/>
        <w:jc w:val="both"/>
        <w:rPr>
          <w:rFonts w:ascii="Sylfaen" w:hAnsi="Sylfaen"/>
        </w:rPr>
      </w:pPr>
      <w:r w:rsidRPr="00477D8F">
        <w:rPr>
          <w:rFonts w:ascii="Sylfaen" w:hAnsi="Sylfaen"/>
          <w:b/>
        </w:rPr>
        <w:t>Age:</w:t>
      </w:r>
      <w:r w:rsidRPr="00477D8F">
        <w:rPr>
          <w:rFonts w:ascii="Sylfaen" w:hAnsi="Sylfaen"/>
        </w:rPr>
        <w:t xml:space="preserve"> Five-year age increments groups were used as an input to IIASA’s population projection model for The Gambia. Given the gap between entry in primary school and labor market entry (approximately 7–10 years), the projection in this chapter begins in 2015 so that the current stock of human capita is reflected, while the full impact of policy scenarios can be observed in 2030. </w:t>
      </w:r>
    </w:p>
    <w:p w14:paraId="12424D04" w14:textId="77777777" w:rsidR="00480421" w:rsidRPr="00477D8F" w:rsidRDefault="00480421" w:rsidP="00480421">
      <w:r w:rsidRPr="00477D8F">
        <w:br w:type="page"/>
      </w:r>
    </w:p>
    <w:p w14:paraId="14914901" w14:textId="77777777" w:rsidR="00480421" w:rsidRPr="00477D8F" w:rsidRDefault="00480421" w:rsidP="00480421">
      <w:pPr>
        <w:pStyle w:val="Heading2"/>
      </w:pPr>
      <w:bookmarkStart w:id="397" w:name="_Toc496603225"/>
      <w:bookmarkStart w:id="398" w:name="_Toc497171894"/>
      <w:r w:rsidRPr="00477D8F">
        <w:lastRenderedPageBreak/>
        <w:t>Annex B. Tables</w:t>
      </w:r>
      <w:bookmarkEnd w:id="397"/>
      <w:bookmarkEnd w:id="398"/>
    </w:p>
    <w:p w14:paraId="24AA67D5" w14:textId="77777777" w:rsidR="00480421" w:rsidRPr="00477D8F" w:rsidRDefault="00480421" w:rsidP="00AC1881">
      <w:pPr>
        <w:pStyle w:val="Caption1"/>
      </w:pPr>
      <w:bookmarkStart w:id="399" w:name="_Toc496891462"/>
      <w:r w:rsidRPr="00477D8F">
        <w:t>Table B</w:t>
      </w:r>
      <w:r w:rsidR="002E5BDF" w:rsidRPr="00477D8F">
        <w:fldChar w:fldCharType="begin"/>
      </w:r>
      <w:r w:rsidR="002E5BDF" w:rsidRPr="00477D8F">
        <w:instrText xml:space="preserve"> SEQ Table_B \* ARABIC </w:instrText>
      </w:r>
      <w:r w:rsidR="002E5BDF" w:rsidRPr="00477D8F">
        <w:fldChar w:fldCharType="separate"/>
      </w:r>
      <w:r w:rsidRPr="00477D8F">
        <w:rPr>
          <w:noProof/>
        </w:rPr>
        <w:t>1</w:t>
      </w:r>
      <w:r w:rsidR="002E5BDF" w:rsidRPr="00477D8F">
        <w:rPr>
          <w:noProof/>
        </w:rPr>
        <w:fldChar w:fldCharType="end"/>
      </w:r>
      <w:r w:rsidRPr="00477D8F">
        <w:t>: Average share of school facilities by categories, public schools only, 2015</w:t>
      </w:r>
      <w:bookmarkEnd w:id="399"/>
    </w:p>
    <w:tbl>
      <w:tblPr>
        <w:tblW w:w="5000" w:type="pct"/>
        <w:jc w:val="center"/>
        <w:tblLook w:val="04A0" w:firstRow="1" w:lastRow="0" w:firstColumn="1" w:lastColumn="0" w:noHBand="0" w:noVBand="1"/>
      </w:tblPr>
      <w:tblGrid>
        <w:gridCol w:w="1011"/>
        <w:gridCol w:w="1236"/>
        <w:gridCol w:w="1083"/>
        <w:gridCol w:w="1666"/>
        <w:gridCol w:w="1012"/>
        <w:gridCol w:w="1014"/>
        <w:gridCol w:w="1088"/>
        <w:gridCol w:w="1240"/>
      </w:tblGrid>
      <w:tr w:rsidR="00480421" w:rsidRPr="00477D8F" w14:paraId="25E8693C" w14:textId="77777777" w:rsidTr="00E9156E">
        <w:trPr>
          <w:trHeight w:val="1030"/>
          <w:jc w:val="center"/>
        </w:trPr>
        <w:tc>
          <w:tcPr>
            <w:tcW w:w="5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E2042"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 </w:t>
            </w:r>
          </w:p>
        </w:tc>
        <w:tc>
          <w:tcPr>
            <w:tcW w:w="661" w:type="pct"/>
            <w:tcBorders>
              <w:top w:val="single" w:sz="4" w:space="0" w:color="auto"/>
              <w:left w:val="nil"/>
              <w:bottom w:val="single" w:sz="4" w:space="0" w:color="auto"/>
              <w:right w:val="single" w:sz="4" w:space="0" w:color="auto"/>
            </w:tcBorders>
            <w:shd w:val="clear" w:color="auto" w:fill="auto"/>
            <w:noWrap/>
            <w:vAlign w:val="center"/>
            <w:hideMark/>
          </w:tcPr>
          <w:p w14:paraId="0E086191" w14:textId="77777777" w:rsidR="00480421" w:rsidRPr="00477D8F" w:rsidRDefault="00480421" w:rsidP="009A2538">
            <w:pPr>
              <w:spacing w:after="0" w:line="240" w:lineRule="auto"/>
              <w:contextualSpacing/>
              <w:jc w:val="center"/>
              <w:rPr>
                <w:rFonts w:ascii="Sylfaen" w:eastAsia="Times New Roman" w:hAnsi="Sylfaen" w:cs="Calibri"/>
                <w:b/>
                <w:color w:val="000000"/>
                <w:sz w:val="20"/>
                <w:szCs w:val="20"/>
                <w:lang w:eastAsia="ja-JP"/>
              </w:rPr>
            </w:pP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7293A621" w14:textId="77777777" w:rsidR="00480421" w:rsidRPr="00477D8F" w:rsidRDefault="00480421" w:rsidP="009A2538">
            <w:pPr>
              <w:spacing w:after="0" w:line="240" w:lineRule="auto"/>
              <w:contextualSpacing/>
              <w:jc w:val="center"/>
              <w:rPr>
                <w:rFonts w:ascii="Sylfaen" w:eastAsia="Times New Roman" w:hAnsi="Sylfaen" w:cs="Calibri"/>
                <w:b/>
                <w:color w:val="000000"/>
                <w:sz w:val="20"/>
                <w:szCs w:val="20"/>
                <w:lang w:eastAsia="ja-JP"/>
              </w:rPr>
            </w:pPr>
            <w:r w:rsidRPr="00477D8F">
              <w:rPr>
                <w:rFonts w:ascii="Sylfaen" w:eastAsia="Times New Roman" w:hAnsi="Sylfaen" w:cs="Calibri"/>
                <w:b/>
                <w:color w:val="000000"/>
                <w:sz w:val="20"/>
                <w:szCs w:val="20"/>
                <w:lang w:eastAsia="ja-JP"/>
              </w:rPr>
              <w:t>Library</w:t>
            </w:r>
          </w:p>
          <w:p w14:paraId="25593182" w14:textId="77777777" w:rsidR="00480421" w:rsidRPr="00477D8F" w:rsidRDefault="00480421" w:rsidP="009A2538">
            <w:pPr>
              <w:spacing w:after="0" w:line="240" w:lineRule="auto"/>
              <w:contextualSpacing/>
              <w:jc w:val="center"/>
              <w:rPr>
                <w:rFonts w:ascii="Sylfaen" w:eastAsia="Times New Roman" w:hAnsi="Sylfaen" w:cs="Calibri"/>
                <w:b/>
                <w:color w:val="000000"/>
                <w:sz w:val="20"/>
                <w:szCs w:val="20"/>
                <w:lang w:eastAsia="ja-JP"/>
              </w:rPr>
            </w:pPr>
            <w:r w:rsidRPr="00477D8F">
              <w:rPr>
                <w:rFonts w:ascii="Sylfaen" w:eastAsia="Times New Roman" w:hAnsi="Sylfaen" w:cs="Calibri"/>
                <w:b/>
                <w:color w:val="000000"/>
                <w:sz w:val="20"/>
                <w:szCs w:val="20"/>
                <w:lang w:eastAsia="ja-JP"/>
              </w:rPr>
              <w:t>(%)</w:t>
            </w:r>
          </w:p>
        </w:tc>
        <w:tc>
          <w:tcPr>
            <w:tcW w:w="891" w:type="pct"/>
            <w:tcBorders>
              <w:top w:val="single" w:sz="4" w:space="0" w:color="auto"/>
              <w:left w:val="nil"/>
              <w:bottom w:val="single" w:sz="4" w:space="0" w:color="auto"/>
              <w:right w:val="single" w:sz="4" w:space="0" w:color="auto"/>
            </w:tcBorders>
            <w:shd w:val="clear" w:color="auto" w:fill="auto"/>
            <w:vAlign w:val="center"/>
            <w:hideMark/>
          </w:tcPr>
          <w:p w14:paraId="69CD02E5" w14:textId="599B28D3" w:rsidR="00480421" w:rsidRPr="00477D8F" w:rsidRDefault="00480421" w:rsidP="009A2538">
            <w:pPr>
              <w:spacing w:after="0" w:line="240" w:lineRule="auto"/>
              <w:contextualSpacing/>
              <w:jc w:val="center"/>
              <w:rPr>
                <w:rFonts w:ascii="Sylfaen" w:eastAsia="Times New Roman" w:hAnsi="Sylfaen" w:cs="Calibri"/>
                <w:b/>
                <w:color w:val="000000"/>
                <w:sz w:val="20"/>
                <w:szCs w:val="20"/>
                <w:lang w:eastAsia="ja-JP"/>
              </w:rPr>
            </w:pPr>
            <w:r w:rsidRPr="00477D8F">
              <w:rPr>
                <w:rFonts w:ascii="Sylfaen" w:eastAsia="Times New Roman" w:hAnsi="Sylfaen" w:cs="Calibri"/>
                <w:b/>
                <w:color w:val="000000"/>
                <w:sz w:val="20"/>
                <w:szCs w:val="20"/>
                <w:lang w:eastAsia="ja-JP"/>
              </w:rPr>
              <w:t>Adequate Separate Toilets for Boys and Girls (%)</w:t>
            </w:r>
          </w:p>
        </w:tc>
        <w:tc>
          <w:tcPr>
            <w:tcW w:w="541" w:type="pct"/>
            <w:tcBorders>
              <w:top w:val="single" w:sz="4" w:space="0" w:color="auto"/>
              <w:left w:val="nil"/>
              <w:bottom w:val="single" w:sz="4" w:space="0" w:color="auto"/>
              <w:right w:val="single" w:sz="4" w:space="0" w:color="auto"/>
            </w:tcBorders>
            <w:shd w:val="clear" w:color="auto" w:fill="auto"/>
            <w:vAlign w:val="center"/>
            <w:hideMark/>
          </w:tcPr>
          <w:p w14:paraId="78F4EDA5" w14:textId="77777777" w:rsidR="00480421" w:rsidRPr="00477D8F" w:rsidRDefault="00480421" w:rsidP="009A2538">
            <w:pPr>
              <w:spacing w:after="0" w:line="240" w:lineRule="auto"/>
              <w:contextualSpacing/>
              <w:jc w:val="center"/>
              <w:rPr>
                <w:rFonts w:ascii="Sylfaen" w:eastAsia="Times New Roman" w:hAnsi="Sylfaen" w:cs="Calibri"/>
                <w:b/>
                <w:color w:val="000000"/>
                <w:sz w:val="20"/>
                <w:szCs w:val="20"/>
                <w:lang w:eastAsia="ja-JP"/>
              </w:rPr>
            </w:pPr>
            <w:r w:rsidRPr="00477D8F">
              <w:rPr>
                <w:rFonts w:ascii="Sylfaen" w:eastAsia="Times New Roman" w:hAnsi="Sylfaen" w:cs="Calibri"/>
                <w:b/>
                <w:color w:val="000000"/>
                <w:sz w:val="20"/>
                <w:szCs w:val="20"/>
                <w:lang w:eastAsia="ja-JP"/>
              </w:rPr>
              <w:t>Science Lab</w:t>
            </w:r>
          </w:p>
          <w:p w14:paraId="674DC6B4" w14:textId="77777777" w:rsidR="00480421" w:rsidRPr="00477D8F" w:rsidRDefault="00480421" w:rsidP="009A2538">
            <w:pPr>
              <w:spacing w:after="0" w:line="240" w:lineRule="auto"/>
              <w:contextualSpacing/>
              <w:jc w:val="center"/>
              <w:rPr>
                <w:rFonts w:ascii="Sylfaen" w:eastAsia="Times New Roman" w:hAnsi="Sylfaen" w:cs="Calibri"/>
                <w:b/>
                <w:color w:val="000000"/>
                <w:sz w:val="20"/>
                <w:szCs w:val="20"/>
                <w:lang w:eastAsia="ja-JP"/>
              </w:rPr>
            </w:pPr>
            <w:r w:rsidRPr="00477D8F">
              <w:rPr>
                <w:rFonts w:ascii="Sylfaen" w:eastAsia="Times New Roman" w:hAnsi="Sylfaen" w:cs="Calibri"/>
                <w:b/>
                <w:color w:val="000000"/>
                <w:sz w:val="20"/>
                <w:szCs w:val="20"/>
                <w:lang w:eastAsia="ja-JP"/>
              </w:rPr>
              <w:t>(%)</w:t>
            </w:r>
          </w:p>
        </w:tc>
        <w:tc>
          <w:tcPr>
            <w:tcW w:w="542" w:type="pct"/>
            <w:tcBorders>
              <w:top w:val="single" w:sz="4" w:space="0" w:color="auto"/>
              <w:left w:val="nil"/>
              <w:bottom w:val="single" w:sz="4" w:space="0" w:color="auto"/>
              <w:right w:val="single" w:sz="4" w:space="0" w:color="auto"/>
            </w:tcBorders>
            <w:shd w:val="clear" w:color="auto" w:fill="auto"/>
            <w:vAlign w:val="center"/>
            <w:hideMark/>
          </w:tcPr>
          <w:p w14:paraId="2DCCD9A8" w14:textId="307A16BF" w:rsidR="00480421" w:rsidRPr="00477D8F" w:rsidRDefault="00480421" w:rsidP="009A2538">
            <w:pPr>
              <w:spacing w:after="0" w:line="240" w:lineRule="auto"/>
              <w:contextualSpacing/>
              <w:jc w:val="center"/>
              <w:rPr>
                <w:rFonts w:ascii="Sylfaen" w:eastAsia="Times New Roman" w:hAnsi="Sylfaen" w:cs="Calibri"/>
                <w:b/>
                <w:color w:val="000000"/>
                <w:sz w:val="20"/>
                <w:szCs w:val="20"/>
                <w:lang w:eastAsia="ja-JP"/>
              </w:rPr>
            </w:pPr>
            <w:r w:rsidRPr="00477D8F">
              <w:rPr>
                <w:rFonts w:ascii="Sylfaen" w:eastAsia="Times New Roman" w:hAnsi="Sylfaen" w:cs="Calibri"/>
                <w:b/>
                <w:color w:val="000000"/>
                <w:sz w:val="20"/>
                <w:szCs w:val="20"/>
                <w:lang w:eastAsia="ja-JP"/>
              </w:rPr>
              <w:t>Clean Water</w:t>
            </w:r>
          </w:p>
          <w:p w14:paraId="26C6DBF2" w14:textId="77777777" w:rsidR="00480421" w:rsidRPr="00477D8F" w:rsidRDefault="00480421" w:rsidP="009A2538">
            <w:pPr>
              <w:spacing w:after="0" w:line="240" w:lineRule="auto"/>
              <w:contextualSpacing/>
              <w:jc w:val="center"/>
              <w:rPr>
                <w:rFonts w:ascii="Sylfaen" w:eastAsia="Times New Roman" w:hAnsi="Sylfaen" w:cs="Calibri"/>
                <w:b/>
                <w:color w:val="000000"/>
                <w:sz w:val="20"/>
                <w:szCs w:val="20"/>
                <w:lang w:eastAsia="ja-JP"/>
              </w:rPr>
            </w:pPr>
            <w:r w:rsidRPr="00477D8F">
              <w:rPr>
                <w:rFonts w:ascii="Sylfaen" w:eastAsia="Times New Roman" w:hAnsi="Sylfaen" w:cs="Calibri"/>
                <w:b/>
                <w:color w:val="000000"/>
                <w:sz w:val="20"/>
                <w:szCs w:val="20"/>
                <w:lang w:eastAsia="ja-JP"/>
              </w:rPr>
              <w:t>(%)</w:t>
            </w:r>
          </w:p>
        </w:tc>
        <w:tc>
          <w:tcPr>
            <w:tcW w:w="582" w:type="pct"/>
            <w:tcBorders>
              <w:top w:val="single" w:sz="4" w:space="0" w:color="auto"/>
              <w:left w:val="nil"/>
              <w:bottom w:val="single" w:sz="4" w:space="0" w:color="auto"/>
              <w:right w:val="single" w:sz="4" w:space="0" w:color="auto"/>
            </w:tcBorders>
            <w:shd w:val="clear" w:color="auto" w:fill="auto"/>
            <w:vAlign w:val="center"/>
            <w:hideMark/>
          </w:tcPr>
          <w:p w14:paraId="35F0AB8E" w14:textId="77777777" w:rsidR="00480421" w:rsidRPr="00477D8F" w:rsidRDefault="00480421" w:rsidP="009A2538">
            <w:pPr>
              <w:spacing w:after="0" w:line="240" w:lineRule="auto"/>
              <w:contextualSpacing/>
              <w:jc w:val="center"/>
              <w:rPr>
                <w:rFonts w:ascii="Sylfaen" w:eastAsia="Times New Roman" w:hAnsi="Sylfaen" w:cs="Calibri"/>
                <w:b/>
                <w:color w:val="000000"/>
                <w:sz w:val="20"/>
                <w:szCs w:val="20"/>
                <w:lang w:eastAsia="ja-JP"/>
              </w:rPr>
            </w:pPr>
            <w:r w:rsidRPr="00477D8F">
              <w:rPr>
                <w:rFonts w:ascii="Sylfaen" w:eastAsia="Times New Roman" w:hAnsi="Sylfaen" w:cs="Calibri"/>
                <w:b/>
                <w:color w:val="000000"/>
                <w:sz w:val="20"/>
                <w:szCs w:val="20"/>
                <w:lang w:eastAsia="ja-JP"/>
              </w:rPr>
              <w:t>Electricity</w:t>
            </w:r>
          </w:p>
          <w:p w14:paraId="6CF23BDA" w14:textId="77777777" w:rsidR="00480421" w:rsidRPr="00477D8F" w:rsidRDefault="00480421" w:rsidP="009A2538">
            <w:pPr>
              <w:spacing w:after="0" w:line="240" w:lineRule="auto"/>
              <w:contextualSpacing/>
              <w:jc w:val="center"/>
              <w:rPr>
                <w:rFonts w:ascii="Sylfaen" w:eastAsia="Times New Roman" w:hAnsi="Sylfaen" w:cs="Calibri"/>
                <w:b/>
                <w:color w:val="000000"/>
                <w:sz w:val="20"/>
                <w:szCs w:val="20"/>
                <w:lang w:eastAsia="ja-JP"/>
              </w:rPr>
            </w:pPr>
            <w:r w:rsidRPr="00477D8F">
              <w:rPr>
                <w:rFonts w:ascii="Sylfaen" w:eastAsia="Times New Roman" w:hAnsi="Sylfaen" w:cs="Calibri"/>
                <w:b/>
                <w:color w:val="000000"/>
                <w:sz w:val="20"/>
                <w:szCs w:val="20"/>
                <w:lang w:eastAsia="ja-JP"/>
              </w:rPr>
              <w:t>(%)</w:t>
            </w:r>
          </w:p>
        </w:tc>
        <w:tc>
          <w:tcPr>
            <w:tcW w:w="664" w:type="pct"/>
            <w:tcBorders>
              <w:top w:val="single" w:sz="4" w:space="0" w:color="auto"/>
              <w:left w:val="nil"/>
              <w:bottom w:val="single" w:sz="4" w:space="0" w:color="auto"/>
              <w:right w:val="single" w:sz="4" w:space="0" w:color="auto"/>
            </w:tcBorders>
            <w:shd w:val="clear" w:color="auto" w:fill="auto"/>
            <w:vAlign w:val="center"/>
            <w:hideMark/>
          </w:tcPr>
          <w:p w14:paraId="23EF0F29" w14:textId="56C76D09" w:rsidR="00480421" w:rsidRPr="00477D8F" w:rsidRDefault="00480421" w:rsidP="009A2538">
            <w:pPr>
              <w:spacing w:after="0" w:line="240" w:lineRule="auto"/>
              <w:contextualSpacing/>
              <w:jc w:val="center"/>
              <w:rPr>
                <w:rFonts w:ascii="Sylfaen" w:eastAsia="Times New Roman" w:hAnsi="Sylfaen" w:cs="Calibri"/>
                <w:b/>
                <w:color w:val="000000"/>
                <w:sz w:val="20"/>
                <w:szCs w:val="20"/>
                <w:lang w:eastAsia="ja-JP"/>
              </w:rPr>
            </w:pPr>
            <w:r w:rsidRPr="00477D8F">
              <w:rPr>
                <w:rFonts w:ascii="Sylfaen" w:eastAsia="Times New Roman" w:hAnsi="Sylfaen" w:cs="Calibri"/>
                <w:b/>
                <w:color w:val="000000"/>
                <w:sz w:val="20"/>
                <w:szCs w:val="20"/>
                <w:lang w:eastAsia="ja-JP"/>
              </w:rPr>
              <w:t>Permanent Classrooms</w:t>
            </w:r>
          </w:p>
          <w:p w14:paraId="25256034" w14:textId="77777777" w:rsidR="00480421" w:rsidRPr="00477D8F" w:rsidRDefault="00480421" w:rsidP="009A2538">
            <w:pPr>
              <w:spacing w:after="0" w:line="240" w:lineRule="auto"/>
              <w:contextualSpacing/>
              <w:jc w:val="center"/>
              <w:rPr>
                <w:rFonts w:ascii="Sylfaen" w:eastAsia="Times New Roman" w:hAnsi="Sylfaen" w:cs="Calibri"/>
                <w:b/>
                <w:color w:val="000000"/>
                <w:sz w:val="20"/>
                <w:szCs w:val="20"/>
                <w:lang w:eastAsia="ja-JP"/>
              </w:rPr>
            </w:pPr>
            <w:r w:rsidRPr="00477D8F">
              <w:rPr>
                <w:rFonts w:ascii="Sylfaen" w:eastAsia="Times New Roman" w:hAnsi="Sylfaen" w:cs="Calibri"/>
                <w:b/>
                <w:color w:val="000000"/>
                <w:sz w:val="20"/>
                <w:szCs w:val="20"/>
                <w:lang w:eastAsia="ja-JP"/>
              </w:rPr>
              <w:t>(%)</w:t>
            </w:r>
          </w:p>
        </w:tc>
      </w:tr>
      <w:tr w:rsidR="00480421" w:rsidRPr="00477D8F" w14:paraId="3AA50982" w14:textId="77777777" w:rsidTr="00E9156E">
        <w:trPr>
          <w:trHeight w:val="290"/>
          <w:jc w:val="center"/>
        </w:trPr>
        <w:tc>
          <w:tcPr>
            <w:tcW w:w="5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019DB11"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LBS</w:t>
            </w:r>
          </w:p>
        </w:tc>
        <w:tc>
          <w:tcPr>
            <w:tcW w:w="661" w:type="pct"/>
            <w:tcBorders>
              <w:top w:val="nil"/>
              <w:left w:val="nil"/>
              <w:bottom w:val="single" w:sz="4" w:space="0" w:color="auto"/>
              <w:right w:val="single" w:sz="4" w:space="0" w:color="auto"/>
            </w:tcBorders>
            <w:shd w:val="clear" w:color="auto" w:fill="auto"/>
            <w:noWrap/>
            <w:vAlign w:val="center"/>
            <w:hideMark/>
          </w:tcPr>
          <w:p w14:paraId="5AF604D3"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1</w:t>
            </w:r>
          </w:p>
        </w:tc>
        <w:tc>
          <w:tcPr>
            <w:tcW w:w="579" w:type="pct"/>
            <w:tcBorders>
              <w:top w:val="nil"/>
              <w:left w:val="nil"/>
              <w:bottom w:val="single" w:sz="4" w:space="0" w:color="auto"/>
              <w:right w:val="single" w:sz="4" w:space="0" w:color="auto"/>
            </w:tcBorders>
            <w:shd w:val="clear" w:color="auto" w:fill="auto"/>
            <w:noWrap/>
            <w:vAlign w:val="center"/>
            <w:hideMark/>
          </w:tcPr>
          <w:p w14:paraId="2B23F0D7" w14:textId="3BAECF55"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96</w:t>
            </w:r>
          </w:p>
        </w:tc>
        <w:tc>
          <w:tcPr>
            <w:tcW w:w="891" w:type="pct"/>
            <w:tcBorders>
              <w:top w:val="nil"/>
              <w:left w:val="nil"/>
              <w:bottom w:val="single" w:sz="4" w:space="0" w:color="auto"/>
              <w:right w:val="single" w:sz="4" w:space="0" w:color="auto"/>
            </w:tcBorders>
            <w:shd w:val="clear" w:color="auto" w:fill="auto"/>
            <w:noWrap/>
            <w:vAlign w:val="center"/>
            <w:hideMark/>
          </w:tcPr>
          <w:p w14:paraId="1CDB27F2" w14:textId="3C54BA49"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41" w:type="pct"/>
            <w:tcBorders>
              <w:top w:val="nil"/>
              <w:left w:val="nil"/>
              <w:bottom w:val="single" w:sz="4" w:space="0" w:color="auto"/>
              <w:right w:val="single" w:sz="4" w:space="0" w:color="auto"/>
            </w:tcBorders>
            <w:shd w:val="clear" w:color="auto" w:fill="auto"/>
            <w:noWrap/>
            <w:vAlign w:val="center"/>
            <w:hideMark/>
          </w:tcPr>
          <w:p w14:paraId="1E983F77" w14:textId="197B4429"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12</w:t>
            </w:r>
          </w:p>
        </w:tc>
        <w:tc>
          <w:tcPr>
            <w:tcW w:w="542" w:type="pct"/>
            <w:tcBorders>
              <w:top w:val="nil"/>
              <w:left w:val="nil"/>
              <w:bottom w:val="single" w:sz="4" w:space="0" w:color="auto"/>
              <w:right w:val="single" w:sz="4" w:space="0" w:color="auto"/>
            </w:tcBorders>
            <w:shd w:val="clear" w:color="auto" w:fill="auto"/>
            <w:noWrap/>
            <w:vAlign w:val="center"/>
            <w:hideMark/>
          </w:tcPr>
          <w:p w14:paraId="51C775D2" w14:textId="28F290D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82" w:type="pct"/>
            <w:tcBorders>
              <w:top w:val="nil"/>
              <w:left w:val="nil"/>
              <w:bottom w:val="single" w:sz="4" w:space="0" w:color="auto"/>
              <w:right w:val="single" w:sz="4" w:space="0" w:color="auto"/>
            </w:tcBorders>
            <w:shd w:val="clear" w:color="auto" w:fill="auto"/>
            <w:noWrap/>
            <w:vAlign w:val="center"/>
            <w:hideMark/>
          </w:tcPr>
          <w:p w14:paraId="6BFFDEF7" w14:textId="7CAC626C"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96</w:t>
            </w:r>
          </w:p>
        </w:tc>
        <w:tc>
          <w:tcPr>
            <w:tcW w:w="664" w:type="pct"/>
            <w:tcBorders>
              <w:top w:val="nil"/>
              <w:left w:val="nil"/>
              <w:bottom w:val="single" w:sz="4" w:space="0" w:color="auto"/>
              <w:right w:val="single" w:sz="4" w:space="0" w:color="auto"/>
            </w:tcBorders>
            <w:shd w:val="clear" w:color="auto" w:fill="auto"/>
            <w:noWrap/>
            <w:vAlign w:val="center"/>
            <w:hideMark/>
          </w:tcPr>
          <w:p w14:paraId="5219963A" w14:textId="7C48B7E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97</w:t>
            </w:r>
          </w:p>
        </w:tc>
      </w:tr>
      <w:tr w:rsidR="00480421" w:rsidRPr="00477D8F" w14:paraId="5E9F6A3F"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686AA348"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5E06DFF0"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2</w:t>
            </w:r>
          </w:p>
        </w:tc>
        <w:tc>
          <w:tcPr>
            <w:tcW w:w="579" w:type="pct"/>
            <w:tcBorders>
              <w:top w:val="nil"/>
              <w:left w:val="nil"/>
              <w:bottom w:val="single" w:sz="4" w:space="0" w:color="auto"/>
              <w:right w:val="single" w:sz="4" w:space="0" w:color="auto"/>
            </w:tcBorders>
            <w:shd w:val="clear" w:color="auto" w:fill="auto"/>
            <w:noWrap/>
            <w:vAlign w:val="center"/>
            <w:hideMark/>
          </w:tcPr>
          <w:p w14:paraId="48C9F1C6" w14:textId="0CC3FDB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69</w:t>
            </w:r>
          </w:p>
        </w:tc>
        <w:tc>
          <w:tcPr>
            <w:tcW w:w="891" w:type="pct"/>
            <w:tcBorders>
              <w:top w:val="nil"/>
              <w:left w:val="nil"/>
              <w:bottom w:val="single" w:sz="4" w:space="0" w:color="auto"/>
              <w:right w:val="single" w:sz="4" w:space="0" w:color="auto"/>
            </w:tcBorders>
            <w:shd w:val="clear" w:color="auto" w:fill="auto"/>
            <w:noWrap/>
            <w:vAlign w:val="center"/>
            <w:hideMark/>
          </w:tcPr>
          <w:p w14:paraId="064D0EE0" w14:textId="55E87B5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75</w:t>
            </w:r>
          </w:p>
        </w:tc>
        <w:tc>
          <w:tcPr>
            <w:tcW w:w="541" w:type="pct"/>
            <w:tcBorders>
              <w:top w:val="nil"/>
              <w:left w:val="nil"/>
              <w:bottom w:val="single" w:sz="4" w:space="0" w:color="auto"/>
              <w:right w:val="single" w:sz="4" w:space="0" w:color="auto"/>
            </w:tcBorders>
            <w:shd w:val="clear" w:color="auto" w:fill="auto"/>
            <w:noWrap/>
            <w:vAlign w:val="center"/>
            <w:hideMark/>
          </w:tcPr>
          <w:p w14:paraId="554067F6" w14:textId="52D0A51A"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w:t>
            </w:r>
          </w:p>
        </w:tc>
        <w:tc>
          <w:tcPr>
            <w:tcW w:w="542" w:type="pct"/>
            <w:tcBorders>
              <w:top w:val="nil"/>
              <w:left w:val="nil"/>
              <w:bottom w:val="single" w:sz="4" w:space="0" w:color="auto"/>
              <w:right w:val="single" w:sz="4" w:space="0" w:color="auto"/>
            </w:tcBorders>
            <w:shd w:val="clear" w:color="auto" w:fill="auto"/>
            <w:noWrap/>
            <w:vAlign w:val="center"/>
            <w:hideMark/>
          </w:tcPr>
          <w:p w14:paraId="22E1383D" w14:textId="295AB0E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89</w:t>
            </w:r>
          </w:p>
        </w:tc>
        <w:tc>
          <w:tcPr>
            <w:tcW w:w="582" w:type="pct"/>
            <w:tcBorders>
              <w:top w:val="nil"/>
              <w:left w:val="nil"/>
              <w:bottom w:val="single" w:sz="4" w:space="0" w:color="auto"/>
              <w:right w:val="single" w:sz="4" w:space="0" w:color="auto"/>
            </w:tcBorders>
            <w:shd w:val="clear" w:color="auto" w:fill="auto"/>
            <w:noWrap/>
            <w:vAlign w:val="center"/>
            <w:hideMark/>
          </w:tcPr>
          <w:p w14:paraId="353736E8" w14:textId="1740B129"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52</w:t>
            </w:r>
          </w:p>
        </w:tc>
        <w:tc>
          <w:tcPr>
            <w:tcW w:w="664" w:type="pct"/>
            <w:tcBorders>
              <w:top w:val="nil"/>
              <w:left w:val="nil"/>
              <w:bottom w:val="single" w:sz="4" w:space="0" w:color="auto"/>
              <w:right w:val="single" w:sz="4" w:space="0" w:color="auto"/>
            </w:tcBorders>
            <w:shd w:val="clear" w:color="auto" w:fill="auto"/>
            <w:noWrap/>
            <w:vAlign w:val="center"/>
            <w:hideMark/>
          </w:tcPr>
          <w:p w14:paraId="22422558" w14:textId="27D92A51"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82</w:t>
            </w:r>
          </w:p>
        </w:tc>
      </w:tr>
      <w:tr w:rsidR="00480421" w:rsidRPr="00477D8F" w14:paraId="1A99FEE4"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24BBE574"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575E6290"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3</w:t>
            </w:r>
          </w:p>
        </w:tc>
        <w:tc>
          <w:tcPr>
            <w:tcW w:w="579" w:type="pct"/>
            <w:tcBorders>
              <w:top w:val="nil"/>
              <w:left w:val="nil"/>
              <w:bottom w:val="single" w:sz="4" w:space="0" w:color="auto"/>
              <w:right w:val="single" w:sz="4" w:space="0" w:color="auto"/>
            </w:tcBorders>
            <w:shd w:val="clear" w:color="auto" w:fill="auto"/>
            <w:noWrap/>
            <w:vAlign w:val="center"/>
            <w:hideMark/>
          </w:tcPr>
          <w:p w14:paraId="5AF81CD5" w14:textId="513936A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59</w:t>
            </w:r>
          </w:p>
        </w:tc>
        <w:tc>
          <w:tcPr>
            <w:tcW w:w="891" w:type="pct"/>
            <w:tcBorders>
              <w:top w:val="nil"/>
              <w:left w:val="nil"/>
              <w:bottom w:val="single" w:sz="4" w:space="0" w:color="auto"/>
              <w:right w:val="single" w:sz="4" w:space="0" w:color="auto"/>
            </w:tcBorders>
            <w:shd w:val="clear" w:color="auto" w:fill="auto"/>
            <w:noWrap/>
            <w:vAlign w:val="center"/>
            <w:hideMark/>
          </w:tcPr>
          <w:p w14:paraId="7B76EE24" w14:textId="1AF25440"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76</w:t>
            </w:r>
          </w:p>
        </w:tc>
        <w:tc>
          <w:tcPr>
            <w:tcW w:w="541" w:type="pct"/>
            <w:tcBorders>
              <w:top w:val="nil"/>
              <w:left w:val="nil"/>
              <w:bottom w:val="single" w:sz="4" w:space="0" w:color="auto"/>
              <w:right w:val="single" w:sz="4" w:space="0" w:color="auto"/>
            </w:tcBorders>
            <w:shd w:val="clear" w:color="auto" w:fill="auto"/>
            <w:noWrap/>
            <w:vAlign w:val="center"/>
            <w:hideMark/>
          </w:tcPr>
          <w:p w14:paraId="1C9AE852" w14:textId="5D96DBD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w:t>
            </w:r>
          </w:p>
        </w:tc>
        <w:tc>
          <w:tcPr>
            <w:tcW w:w="542" w:type="pct"/>
            <w:tcBorders>
              <w:top w:val="nil"/>
              <w:left w:val="nil"/>
              <w:bottom w:val="single" w:sz="4" w:space="0" w:color="auto"/>
              <w:right w:val="single" w:sz="4" w:space="0" w:color="auto"/>
            </w:tcBorders>
            <w:shd w:val="clear" w:color="auto" w:fill="auto"/>
            <w:noWrap/>
            <w:vAlign w:val="center"/>
            <w:hideMark/>
          </w:tcPr>
          <w:p w14:paraId="7DCF5466" w14:textId="7F7C909B"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78</w:t>
            </w:r>
          </w:p>
        </w:tc>
        <w:tc>
          <w:tcPr>
            <w:tcW w:w="582" w:type="pct"/>
            <w:tcBorders>
              <w:top w:val="nil"/>
              <w:left w:val="nil"/>
              <w:bottom w:val="single" w:sz="4" w:space="0" w:color="auto"/>
              <w:right w:val="single" w:sz="4" w:space="0" w:color="auto"/>
            </w:tcBorders>
            <w:shd w:val="clear" w:color="auto" w:fill="auto"/>
            <w:noWrap/>
            <w:vAlign w:val="center"/>
            <w:hideMark/>
          </w:tcPr>
          <w:p w14:paraId="15E5B941" w14:textId="68C491C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11</w:t>
            </w:r>
          </w:p>
        </w:tc>
        <w:tc>
          <w:tcPr>
            <w:tcW w:w="664" w:type="pct"/>
            <w:tcBorders>
              <w:top w:val="nil"/>
              <w:left w:val="nil"/>
              <w:bottom w:val="single" w:sz="4" w:space="0" w:color="auto"/>
              <w:right w:val="single" w:sz="4" w:space="0" w:color="auto"/>
            </w:tcBorders>
            <w:shd w:val="clear" w:color="auto" w:fill="auto"/>
            <w:noWrap/>
            <w:vAlign w:val="center"/>
            <w:hideMark/>
          </w:tcPr>
          <w:p w14:paraId="2900B12E" w14:textId="581968B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88</w:t>
            </w:r>
          </w:p>
        </w:tc>
      </w:tr>
      <w:tr w:rsidR="00480421" w:rsidRPr="00477D8F" w14:paraId="03E6B42F"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20D427C1"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0605D010"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4</w:t>
            </w:r>
          </w:p>
        </w:tc>
        <w:tc>
          <w:tcPr>
            <w:tcW w:w="579" w:type="pct"/>
            <w:tcBorders>
              <w:top w:val="nil"/>
              <w:left w:val="nil"/>
              <w:bottom w:val="single" w:sz="4" w:space="0" w:color="auto"/>
              <w:right w:val="single" w:sz="4" w:space="0" w:color="auto"/>
            </w:tcBorders>
            <w:shd w:val="clear" w:color="auto" w:fill="auto"/>
            <w:noWrap/>
            <w:vAlign w:val="center"/>
            <w:hideMark/>
          </w:tcPr>
          <w:p w14:paraId="280BAB17" w14:textId="61D3241F"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65</w:t>
            </w:r>
          </w:p>
        </w:tc>
        <w:tc>
          <w:tcPr>
            <w:tcW w:w="891" w:type="pct"/>
            <w:tcBorders>
              <w:top w:val="nil"/>
              <w:left w:val="nil"/>
              <w:bottom w:val="single" w:sz="4" w:space="0" w:color="auto"/>
              <w:right w:val="single" w:sz="4" w:space="0" w:color="auto"/>
            </w:tcBorders>
            <w:shd w:val="clear" w:color="auto" w:fill="auto"/>
            <w:noWrap/>
            <w:vAlign w:val="center"/>
            <w:hideMark/>
          </w:tcPr>
          <w:p w14:paraId="62AF4A73" w14:textId="7C1DABD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73</w:t>
            </w:r>
          </w:p>
        </w:tc>
        <w:tc>
          <w:tcPr>
            <w:tcW w:w="541" w:type="pct"/>
            <w:tcBorders>
              <w:top w:val="nil"/>
              <w:left w:val="nil"/>
              <w:bottom w:val="single" w:sz="4" w:space="0" w:color="auto"/>
              <w:right w:val="single" w:sz="4" w:space="0" w:color="auto"/>
            </w:tcBorders>
            <w:shd w:val="clear" w:color="auto" w:fill="auto"/>
            <w:noWrap/>
            <w:vAlign w:val="center"/>
            <w:hideMark/>
          </w:tcPr>
          <w:p w14:paraId="79C80759" w14:textId="1955B371"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w:t>
            </w:r>
          </w:p>
        </w:tc>
        <w:tc>
          <w:tcPr>
            <w:tcW w:w="542" w:type="pct"/>
            <w:tcBorders>
              <w:top w:val="nil"/>
              <w:left w:val="nil"/>
              <w:bottom w:val="single" w:sz="4" w:space="0" w:color="auto"/>
              <w:right w:val="single" w:sz="4" w:space="0" w:color="auto"/>
            </w:tcBorders>
            <w:shd w:val="clear" w:color="auto" w:fill="auto"/>
            <w:noWrap/>
            <w:vAlign w:val="center"/>
            <w:hideMark/>
          </w:tcPr>
          <w:p w14:paraId="09CEDEEA" w14:textId="07D1BE3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78</w:t>
            </w:r>
          </w:p>
        </w:tc>
        <w:tc>
          <w:tcPr>
            <w:tcW w:w="582" w:type="pct"/>
            <w:tcBorders>
              <w:top w:val="nil"/>
              <w:left w:val="nil"/>
              <w:bottom w:val="single" w:sz="4" w:space="0" w:color="auto"/>
              <w:right w:val="single" w:sz="4" w:space="0" w:color="auto"/>
            </w:tcBorders>
            <w:shd w:val="clear" w:color="auto" w:fill="auto"/>
            <w:noWrap/>
            <w:vAlign w:val="center"/>
            <w:hideMark/>
          </w:tcPr>
          <w:p w14:paraId="604A7AF7" w14:textId="147ACE0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14</w:t>
            </w:r>
          </w:p>
        </w:tc>
        <w:tc>
          <w:tcPr>
            <w:tcW w:w="664" w:type="pct"/>
            <w:tcBorders>
              <w:top w:val="nil"/>
              <w:left w:val="nil"/>
              <w:bottom w:val="single" w:sz="4" w:space="0" w:color="auto"/>
              <w:right w:val="single" w:sz="4" w:space="0" w:color="auto"/>
            </w:tcBorders>
            <w:shd w:val="clear" w:color="auto" w:fill="auto"/>
            <w:noWrap/>
            <w:vAlign w:val="center"/>
            <w:hideMark/>
          </w:tcPr>
          <w:p w14:paraId="245C4C45" w14:textId="463E7CB1"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88</w:t>
            </w:r>
          </w:p>
        </w:tc>
      </w:tr>
      <w:tr w:rsidR="00480421" w:rsidRPr="00477D8F" w14:paraId="0A1C8D13"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449B1CA1"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0DA6371D"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5</w:t>
            </w:r>
          </w:p>
        </w:tc>
        <w:tc>
          <w:tcPr>
            <w:tcW w:w="579" w:type="pct"/>
            <w:tcBorders>
              <w:top w:val="nil"/>
              <w:left w:val="nil"/>
              <w:bottom w:val="single" w:sz="4" w:space="0" w:color="auto"/>
              <w:right w:val="single" w:sz="4" w:space="0" w:color="auto"/>
            </w:tcBorders>
            <w:shd w:val="clear" w:color="auto" w:fill="auto"/>
            <w:noWrap/>
            <w:vAlign w:val="center"/>
            <w:hideMark/>
          </w:tcPr>
          <w:p w14:paraId="3C9D1938" w14:textId="66427B3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65</w:t>
            </w:r>
          </w:p>
        </w:tc>
        <w:tc>
          <w:tcPr>
            <w:tcW w:w="891" w:type="pct"/>
            <w:tcBorders>
              <w:top w:val="nil"/>
              <w:left w:val="nil"/>
              <w:bottom w:val="single" w:sz="4" w:space="0" w:color="auto"/>
              <w:right w:val="single" w:sz="4" w:space="0" w:color="auto"/>
            </w:tcBorders>
            <w:shd w:val="clear" w:color="auto" w:fill="auto"/>
            <w:noWrap/>
            <w:vAlign w:val="center"/>
            <w:hideMark/>
          </w:tcPr>
          <w:p w14:paraId="71DD5055" w14:textId="1F7D38C2"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83</w:t>
            </w:r>
          </w:p>
        </w:tc>
        <w:tc>
          <w:tcPr>
            <w:tcW w:w="541" w:type="pct"/>
            <w:tcBorders>
              <w:top w:val="nil"/>
              <w:left w:val="nil"/>
              <w:bottom w:val="single" w:sz="4" w:space="0" w:color="auto"/>
              <w:right w:val="single" w:sz="4" w:space="0" w:color="auto"/>
            </w:tcBorders>
            <w:shd w:val="clear" w:color="auto" w:fill="auto"/>
            <w:noWrap/>
            <w:vAlign w:val="center"/>
            <w:hideMark/>
          </w:tcPr>
          <w:p w14:paraId="525FC8A9" w14:textId="21F72D2A"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w:t>
            </w:r>
          </w:p>
        </w:tc>
        <w:tc>
          <w:tcPr>
            <w:tcW w:w="542" w:type="pct"/>
            <w:tcBorders>
              <w:top w:val="nil"/>
              <w:left w:val="nil"/>
              <w:bottom w:val="single" w:sz="4" w:space="0" w:color="auto"/>
              <w:right w:val="single" w:sz="4" w:space="0" w:color="auto"/>
            </w:tcBorders>
            <w:shd w:val="clear" w:color="auto" w:fill="auto"/>
            <w:noWrap/>
            <w:vAlign w:val="center"/>
            <w:hideMark/>
          </w:tcPr>
          <w:p w14:paraId="3FA1D7EE" w14:textId="228C7110"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82</w:t>
            </w:r>
          </w:p>
        </w:tc>
        <w:tc>
          <w:tcPr>
            <w:tcW w:w="582" w:type="pct"/>
            <w:tcBorders>
              <w:top w:val="nil"/>
              <w:left w:val="nil"/>
              <w:bottom w:val="single" w:sz="4" w:space="0" w:color="auto"/>
              <w:right w:val="single" w:sz="4" w:space="0" w:color="auto"/>
            </w:tcBorders>
            <w:shd w:val="clear" w:color="auto" w:fill="auto"/>
            <w:noWrap/>
            <w:vAlign w:val="center"/>
            <w:hideMark/>
          </w:tcPr>
          <w:p w14:paraId="3EE5ABD0" w14:textId="00DA2D4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w:t>
            </w:r>
          </w:p>
        </w:tc>
        <w:tc>
          <w:tcPr>
            <w:tcW w:w="664" w:type="pct"/>
            <w:tcBorders>
              <w:top w:val="nil"/>
              <w:left w:val="nil"/>
              <w:bottom w:val="single" w:sz="4" w:space="0" w:color="auto"/>
              <w:right w:val="single" w:sz="4" w:space="0" w:color="auto"/>
            </w:tcBorders>
            <w:shd w:val="clear" w:color="auto" w:fill="auto"/>
            <w:noWrap/>
            <w:vAlign w:val="center"/>
            <w:hideMark/>
          </w:tcPr>
          <w:p w14:paraId="0BFD290D" w14:textId="4D070A8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91</w:t>
            </w:r>
          </w:p>
        </w:tc>
      </w:tr>
      <w:tr w:rsidR="00480421" w:rsidRPr="00477D8F" w14:paraId="1602CF5F"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045CD1F8"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77EFD62E"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6</w:t>
            </w:r>
          </w:p>
        </w:tc>
        <w:tc>
          <w:tcPr>
            <w:tcW w:w="579" w:type="pct"/>
            <w:tcBorders>
              <w:top w:val="nil"/>
              <w:left w:val="nil"/>
              <w:bottom w:val="single" w:sz="4" w:space="0" w:color="auto"/>
              <w:right w:val="single" w:sz="4" w:space="0" w:color="auto"/>
            </w:tcBorders>
            <w:shd w:val="clear" w:color="auto" w:fill="auto"/>
            <w:noWrap/>
            <w:vAlign w:val="center"/>
            <w:hideMark/>
          </w:tcPr>
          <w:p w14:paraId="46F8A0AA" w14:textId="222BB6CF"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58</w:t>
            </w:r>
          </w:p>
        </w:tc>
        <w:tc>
          <w:tcPr>
            <w:tcW w:w="891" w:type="pct"/>
            <w:tcBorders>
              <w:top w:val="nil"/>
              <w:left w:val="nil"/>
              <w:bottom w:val="single" w:sz="4" w:space="0" w:color="auto"/>
              <w:right w:val="single" w:sz="4" w:space="0" w:color="auto"/>
            </w:tcBorders>
            <w:shd w:val="clear" w:color="auto" w:fill="auto"/>
            <w:noWrap/>
            <w:vAlign w:val="center"/>
            <w:hideMark/>
          </w:tcPr>
          <w:p w14:paraId="4B3880A2" w14:textId="0210F95F"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95</w:t>
            </w:r>
          </w:p>
        </w:tc>
        <w:tc>
          <w:tcPr>
            <w:tcW w:w="541" w:type="pct"/>
            <w:tcBorders>
              <w:top w:val="nil"/>
              <w:left w:val="nil"/>
              <w:bottom w:val="single" w:sz="4" w:space="0" w:color="auto"/>
              <w:right w:val="single" w:sz="4" w:space="0" w:color="auto"/>
            </w:tcBorders>
            <w:shd w:val="clear" w:color="auto" w:fill="auto"/>
            <w:noWrap/>
            <w:vAlign w:val="center"/>
            <w:hideMark/>
          </w:tcPr>
          <w:p w14:paraId="51ABAFC0" w14:textId="603B60A4"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3</w:t>
            </w:r>
          </w:p>
        </w:tc>
        <w:tc>
          <w:tcPr>
            <w:tcW w:w="542" w:type="pct"/>
            <w:tcBorders>
              <w:top w:val="nil"/>
              <w:left w:val="nil"/>
              <w:bottom w:val="single" w:sz="4" w:space="0" w:color="auto"/>
              <w:right w:val="single" w:sz="4" w:space="0" w:color="auto"/>
            </w:tcBorders>
            <w:shd w:val="clear" w:color="auto" w:fill="auto"/>
            <w:noWrap/>
            <w:vAlign w:val="center"/>
            <w:hideMark/>
          </w:tcPr>
          <w:p w14:paraId="42823DFA" w14:textId="60F75715"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82</w:t>
            </w:r>
          </w:p>
        </w:tc>
        <w:tc>
          <w:tcPr>
            <w:tcW w:w="582" w:type="pct"/>
            <w:tcBorders>
              <w:top w:val="nil"/>
              <w:left w:val="nil"/>
              <w:bottom w:val="single" w:sz="4" w:space="0" w:color="auto"/>
              <w:right w:val="single" w:sz="4" w:space="0" w:color="auto"/>
            </w:tcBorders>
            <w:shd w:val="clear" w:color="auto" w:fill="auto"/>
            <w:noWrap/>
            <w:vAlign w:val="center"/>
            <w:hideMark/>
          </w:tcPr>
          <w:p w14:paraId="199088DF" w14:textId="0BD4B9D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w:t>
            </w:r>
          </w:p>
        </w:tc>
        <w:tc>
          <w:tcPr>
            <w:tcW w:w="664" w:type="pct"/>
            <w:tcBorders>
              <w:top w:val="nil"/>
              <w:left w:val="nil"/>
              <w:bottom w:val="single" w:sz="4" w:space="0" w:color="auto"/>
              <w:right w:val="single" w:sz="4" w:space="0" w:color="auto"/>
            </w:tcBorders>
            <w:shd w:val="clear" w:color="auto" w:fill="auto"/>
            <w:noWrap/>
            <w:vAlign w:val="center"/>
            <w:hideMark/>
          </w:tcPr>
          <w:p w14:paraId="58DF9FD0" w14:textId="7AEB291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87</w:t>
            </w:r>
          </w:p>
        </w:tc>
      </w:tr>
      <w:tr w:rsidR="00480421" w:rsidRPr="00477D8F" w14:paraId="508D52E8"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04DA3D11"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43656894"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Average</w:t>
            </w:r>
          </w:p>
        </w:tc>
        <w:tc>
          <w:tcPr>
            <w:tcW w:w="579" w:type="pct"/>
            <w:tcBorders>
              <w:top w:val="nil"/>
              <w:left w:val="nil"/>
              <w:bottom w:val="single" w:sz="4" w:space="0" w:color="auto"/>
              <w:right w:val="single" w:sz="4" w:space="0" w:color="auto"/>
            </w:tcBorders>
            <w:shd w:val="clear" w:color="auto" w:fill="auto"/>
            <w:noWrap/>
            <w:vAlign w:val="center"/>
            <w:hideMark/>
          </w:tcPr>
          <w:p w14:paraId="2469C079" w14:textId="2A93BD48"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65</w:t>
            </w:r>
          </w:p>
        </w:tc>
        <w:tc>
          <w:tcPr>
            <w:tcW w:w="891" w:type="pct"/>
            <w:tcBorders>
              <w:top w:val="nil"/>
              <w:left w:val="nil"/>
              <w:bottom w:val="single" w:sz="4" w:space="0" w:color="auto"/>
              <w:right w:val="single" w:sz="4" w:space="0" w:color="auto"/>
            </w:tcBorders>
            <w:shd w:val="clear" w:color="auto" w:fill="auto"/>
            <w:noWrap/>
            <w:vAlign w:val="center"/>
            <w:hideMark/>
          </w:tcPr>
          <w:p w14:paraId="0809991C" w14:textId="00D144E8"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82</w:t>
            </w:r>
          </w:p>
        </w:tc>
        <w:tc>
          <w:tcPr>
            <w:tcW w:w="541" w:type="pct"/>
            <w:tcBorders>
              <w:top w:val="nil"/>
              <w:left w:val="nil"/>
              <w:bottom w:val="single" w:sz="4" w:space="0" w:color="auto"/>
              <w:right w:val="single" w:sz="4" w:space="0" w:color="auto"/>
            </w:tcBorders>
            <w:shd w:val="clear" w:color="auto" w:fill="auto"/>
            <w:noWrap/>
            <w:vAlign w:val="center"/>
            <w:hideMark/>
          </w:tcPr>
          <w:p w14:paraId="73436EA8" w14:textId="774D324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4</w:t>
            </w:r>
          </w:p>
        </w:tc>
        <w:tc>
          <w:tcPr>
            <w:tcW w:w="542" w:type="pct"/>
            <w:tcBorders>
              <w:top w:val="nil"/>
              <w:left w:val="nil"/>
              <w:bottom w:val="single" w:sz="4" w:space="0" w:color="auto"/>
              <w:right w:val="single" w:sz="4" w:space="0" w:color="auto"/>
            </w:tcBorders>
            <w:shd w:val="clear" w:color="auto" w:fill="auto"/>
            <w:noWrap/>
            <w:vAlign w:val="center"/>
            <w:hideMark/>
          </w:tcPr>
          <w:p w14:paraId="7CF918AA" w14:textId="678E97E5"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83</w:t>
            </w:r>
          </w:p>
        </w:tc>
        <w:tc>
          <w:tcPr>
            <w:tcW w:w="582" w:type="pct"/>
            <w:tcBorders>
              <w:top w:val="nil"/>
              <w:left w:val="nil"/>
              <w:bottom w:val="single" w:sz="4" w:space="0" w:color="auto"/>
              <w:right w:val="single" w:sz="4" w:space="0" w:color="auto"/>
            </w:tcBorders>
            <w:shd w:val="clear" w:color="auto" w:fill="auto"/>
            <w:noWrap/>
            <w:vAlign w:val="center"/>
            <w:hideMark/>
          </w:tcPr>
          <w:p w14:paraId="7B3438DA" w14:textId="64662A4B"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22</w:t>
            </w:r>
          </w:p>
        </w:tc>
        <w:tc>
          <w:tcPr>
            <w:tcW w:w="664" w:type="pct"/>
            <w:tcBorders>
              <w:top w:val="nil"/>
              <w:left w:val="nil"/>
              <w:bottom w:val="single" w:sz="4" w:space="0" w:color="auto"/>
              <w:right w:val="single" w:sz="4" w:space="0" w:color="auto"/>
            </w:tcBorders>
            <w:shd w:val="clear" w:color="auto" w:fill="auto"/>
            <w:noWrap/>
            <w:vAlign w:val="center"/>
            <w:hideMark/>
          </w:tcPr>
          <w:p w14:paraId="1D75F038" w14:textId="3E7173FC"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88</w:t>
            </w:r>
          </w:p>
        </w:tc>
      </w:tr>
      <w:tr w:rsidR="00480421" w:rsidRPr="00477D8F" w14:paraId="56574CA6" w14:textId="77777777" w:rsidTr="00E9156E">
        <w:trPr>
          <w:trHeight w:val="290"/>
          <w:jc w:val="center"/>
        </w:trPr>
        <w:tc>
          <w:tcPr>
            <w:tcW w:w="5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8B281D2"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BCS</w:t>
            </w:r>
          </w:p>
        </w:tc>
        <w:tc>
          <w:tcPr>
            <w:tcW w:w="661" w:type="pct"/>
            <w:tcBorders>
              <w:top w:val="nil"/>
              <w:left w:val="nil"/>
              <w:bottom w:val="single" w:sz="4" w:space="0" w:color="auto"/>
              <w:right w:val="single" w:sz="4" w:space="0" w:color="auto"/>
            </w:tcBorders>
            <w:shd w:val="clear" w:color="auto" w:fill="auto"/>
            <w:noWrap/>
            <w:vAlign w:val="center"/>
            <w:hideMark/>
          </w:tcPr>
          <w:p w14:paraId="532B3293"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1</w:t>
            </w:r>
          </w:p>
        </w:tc>
        <w:tc>
          <w:tcPr>
            <w:tcW w:w="579" w:type="pct"/>
            <w:tcBorders>
              <w:top w:val="nil"/>
              <w:left w:val="nil"/>
              <w:bottom w:val="single" w:sz="4" w:space="0" w:color="auto"/>
              <w:right w:val="single" w:sz="4" w:space="0" w:color="auto"/>
            </w:tcBorders>
            <w:shd w:val="clear" w:color="auto" w:fill="auto"/>
            <w:noWrap/>
            <w:vAlign w:val="center"/>
            <w:hideMark/>
          </w:tcPr>
          <w:p w14:paraId="3B4010B6" w14:textId="217B643D"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891" w:type="pct"/>
            <w:tcBorders>
              <w:top w:val="nil"/>
              <w:left w:val="nil"/>
              <w:bottom w:val="single" w:sz="4" w:space="0" w:color="auto"/>
              <w:right w:val="single" w:sz="4" w:space="0" w:color="auto"/>
            </w:tcBorders>
            <w:shd w:val="clear" w:color="auto" w:fill="auto"/>
            <w:noWrap/>
            <w:vAlign w:val="center"/>
            <w:hideMark/>
          </w:tcPr>
          <w:p w14:paraId="23CDF1C2" w14:textId="15C13BE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41" w:type="pct"/>
            <w:tcBorders>
              <w:top w:val="nil"/>
              <w:left w:val="nil"/>
              <w:bottom w:val="single" w:sz="4" w:space="0" w:color="auto"/>
              <w:right w:val="single" w:sz="4" w:space="0" w:color="auto"/>
            </w:tcBorders>
            <w:shd w:val="clear" w:color="auto" w:fill="auto"/>
            <w:noWrap/>
            <w:vAlign w:val="center"/>
            <w:hideMark/>
          </w:tcPr>
          <w:p w14:paraId="2EC05893" w14:textId="3123A1D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50</w:t>
            </w:r>
          </w:p>
        </w:tc>
        <w:tc>
          <w:tcPr>
            <w:tcW w:w="542" w:type="pct"/>
            <w:tcBorders>
              <w:top w:val="nil"/>
              <w:left w:val="nil"/>
              <w:bottom w:val="single" w:sz="4" w:space="0" w:color="auto"/>
              <w:right w:val="single" w:sz="4" w:space="0" w:color="auto"/>
            </w:tcBorders>
            <w:shd w:val="clear" w:color="auto" w:fill="auto"/>
            <w:noWrap/>
            <w:vAlign w:val="center"/>
            <w:hideMark/>
          </w:tcPr>
          <w:p w14:paraId="2412C29D" w14:textId="3F03E921"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82" w:type="pct"/>
            <w:tcBorders>
              <w:top w:val="nil"/>
              <w:left w:val="nil"/>
              <w:bottom w:val="single" w:sz="4" w:space="0" w:color="auto"/>
              <w:right w:val="single" w:sz="4" w:space="0" w:color="auto"/>
            </w:tcBorders>
            <w:shd w:val="clear" w:color="auto" w:fill="auto"/>
            <w:noWrap/>
            <w:vAlign w:val="center"/>
            <w:hideMark/>
          </w:tcPr>
          <w:p w14:paraId="7EC0D840" w14:textId="141369C9"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664" w:type="pct"/>
            <w:tcBorders>
              <w:top w:val="nil"/>
              <w:left w:val="nil"/>
              <w:bottom w:val="single" w:sz="4" w:space="0" w:color="auto"/>
              <w:right w:val="single" w:sz="4" w:space="0" w:color="auto"/>
            </w:tcBorders>
            <w:shd w:val="clear" w:color="auto" w:fill="auto"/>
            <w:noWrap/>
            <w:vAlign w:val="center"/>
            <w:hideMark/>
          </w:tcPr>
          <w:p w14:paraId="4734F993" w14:textId="77777777" w:rsidR="00480421" w:rsidRPr="00477D8F" w:rsidRDefault="00480421" w:rsidP="009A2538">
            <w:pPr>
              <w:spacing w:after="0" w:line="240" w:lineRule="auto"/>
              <w:contextualSpacing/>
              <w:jc w:val="center"/>
              <w:rPr>
                <w:rFonts w:ascii="Sylfaen" w:eastAsia="Times New Roman" w:hAnsi="Sylfaen" w:cs="Calibri"/>
                <w:color w:val="000000"/>
                <w:sz w:val="16"/>
                <w:szCs w:val="16"/>
                <w:lang w:eastAsia="ja-JP"/>
              </w:rPr>
            </w:pPr>
            <w:r w:rsidRPr="00477D8F">
              <w:rPr>
                <w:rFonts w:ascii="Sylfaen" w:eastAsia="Times New Roman" w:hAnsi="Sylfaen" w:cs="Calibri"/>
                <w:color w:val="000000"/>
                <w:sz w:val="16"/>
                <w:szCs w:val="16"/>
                <w:lang w:eastAsia="ja-JP"/>
              </w:rPr>
              <w:t>—</w:t>
            </w:r>
          </w:p>
        </w:tc>
      </w:tr>
      <w:tr w:rsidR="00480421" w:rsidRPr="00477D8F" w14:paraId="7050C440"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6E246ABF"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0620178D"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2</w:t>
            </w:r>
          </w:p>
        </w:tc>
        <w:tc>
          <w:tcPr>
            <w:tcW w:w="579" w:type="pct"/>
            <w:tcBorders>
              <w:top w:val="nil"/>
              <w:left w:val="nil"/>
              <w:bottom w:val="single" w:sz="4" w:space="0" w:color="auto"/>
              <w:right w:val="single" w:sz="4" w:space="0" w:color="auto"/>
            </w:tcBorders>
            <w:shd w:val="clear" w:color="auto" w:fill="auto"/>
            <w:noWrap/>
            <w:vAlign w:val="center"/>
            <w:hideMark/>
          </w:tcPr>
          <w:p w14:paraId="183440EF" w14:textId="47CE12D8"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89</w:t>
            </w:r>
          </w:p>
        </w:tc>
        <w:tc>
          <w:tcPr>
            <w:tcW w:w="891" w:type="pct"/>
            <w:tcBorders>
              <w:top w:val="nil"/>
              <w:left w:val="nil"/>
              <w:bottom w:val="single" w:sz="4" w:space="0" w:color="auto"/>
              <w:right w:val="single" w:sz="4" w:space="0" w:color="auto"/>
            </w:tcBorders>
            <w:shd w:val="clear" w:color="auto" w:fill="auto"/>
            <w:noWrap/>
            <w:vAlign w:val="center"/>
            <w:hideMark/>
          </w:tcPr>
          <w:p w14:paraId="27ABD9F5" w14:textId="47B5C59B"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93</w:t>
            </w:r>
          </w:p>
        </w:tc>
        <w:tc>
          <w:tcPr>
            <w:tcW w:w="541" w:type="pct"/>
            <w:tcBorders>
              <w:top w:val="nil"/>
              <w:left w:val="nil"/>
              <w:bottom w:val="single" w:sz="4" w:space="0" w:color="auto"/>
              <w:right w:val="single" w:sz="4" w:space="0" w:color="auto"/>
            </w:tcBorders>
            <w:shd w:val="clear" w:color="auto" w:fill="auto"/>
            <w:noWrap/>
            <w:vAlign w:val="center"/>
            <w:hideMark/>
          </w:tcPr>
          <w:p w14:paraId="06D54A46" w14:textId="236A9CAF"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19</w:t>
            </w:r>
          </w:p>
        </w:tc>
        <w:tc>
          <w:tcPr>
            <w:tcW w:w="542" w:type="pct"/>
            <w:tcBorders>
              <w:top w:val="nil"/>
              <w:left w:val="nil"/>
              <w:bottom w:val="single" w:sz="4" w:space="0" w:color="auto"/>
              <w:right w:val="single" w:sz="4" w:space="0" w:color="auto"/>
            </w:tcBorders>
            <w:shd w:val="clear" w:color="auto" w:fill="auto"/>
            <w:noWrap/>
            <w:vAlign w:val="center"/>
            <w:hideMark/>
          </w:tcPr>
          <w:p w14:paraId="3F8F10BC" w14:textId="4C09A31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82" w:type="pct"/>
            <w:tcBorders>
              <w:top w:val="nil"/>
              <w:left w:val="nil"/>
              <w:bottom w:val="single" w:sz="4" w:space="0" w:color="auto"/>
              <w:right w:val="single" w:sz="4" w:space="0" w:color="auto"/>
            </w:tcBorders>
            <w:shd w:val="clear" w:color="auto" w:fill="auto"/>
            <w:noWrap/>
            <w:vAlign w:val="center"/>
            <w:hideMark/>
          </w:tcPr>
          <w:p w14:paraId="6E81C3B3" w14:textId="28C28811"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44</w:t>
            </w:r>
          </w:p>
        </w:tc>
        <w:tc>
          <w:tcPr>
            <w:tcW w:w="664" w:type="pct"/>
            <w:tcBorders>
              <w:top w:val="nil"/>
              <w:left w:val="nil"/>
              <w:bottom w:val="single" w:sz="4" w:space="0" w:color="auto"/>
              <w:right w:val="single" w:sz="4" w:space="0" w:color="auto"/>
            </w:tcBorders>
            <w:shd w:val="clear" w:color="auto" w:fill="auto"/>
            <w:noWrap/>
            <w:vAlign w:val="center"/>
            <w:hideMark/>
          </w:tcPr>
          <w:p w14:paraId="033DAE34" w14:textId="7777777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w:t>
            </w:r>
          </w:p>
        </w:tc>
      </w:tr>
      <w:tr w:rsidR="00480421" w:rsidRPr="00477D8F" w14:paraId="5AE8A21F"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6585B067"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54CD5893"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3</w:t>
            </w:r>
          </w:p>
        </w:tc>
        <w:tc>
          <w:tcPr>
            <w:tcW w:w="579" w:type="pct"/>
            <w:tcBorders>
              <w:top w:val="nil"/>
              <w:left w:val="nil"/>
              <w:bottom w:val="single" w:sz="4" w:space="0" w:color="auto"/>
              <w:right w:val="single" w:sz="4" w:space="0" w:color="auto"/>
            </w:tcBorders>
            <w:shd w:val="clear" w:color="auto" w:fill="auto"/>
            <w:noWrap/>
            <w:vAlign w:val="center"/>
            <w:hideMark/>
          </w:tcPr>
          <w:p w14:paraId="64CBF497" w14:textId="49EABE6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891" w:type="pct"/>
            <w:tcBorders>
              <w:top w:val="nil"/>
              <w:left w:val="nil"/>
              <w:bottom w:val="single" w:sz="4" w:space="0" w:color="auto"/>
              <w:right w:val="single" w:sz="4" w:space="0" w:color="auto"/>
            </w:tcBorders>
            <w:shd w:val="clear" w:color="auto" w:fill="auto"/>
            <w:noWrap/>
            <w:vAlign w:val="center"/>
            <w:hideMark/>
          </w:tcPr>
          <w:p w14:paraId="7F7321FD" w14:textId="4D985C0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91</w:t>
            </w:r>
          </w:p>
        </w:tc>
        <w:tc>
          <w:tcPr>
            <w:tcW w:w="541" w:type="pct"/>
            <w:tcBorders>
              <w:top w:val="nil"/>
              <w:left w:val="nil"/>
              <w:bottom w:val="single" w:sz="4" w:space="0" w:color="auto"/>
              <w:right w:val="single" w:sz="4" w:space="0" w:color="auto"/>
            </w:tcBorders>
            <w:shd w:val="clear" w:color="auto" w:fill="auto"/>
            <w:noWrap/>
            <w:vAlign w:val="center"/>
            <w:hideMark/>
          </w:tcPr>
          <w:p w14:paraId="7EEBDEA4" w14:textId="690F38C1"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w:t>
            </w:r>
          </w:p>
        </w:tc>
        <w:tc>
          <w:tcPr>
            <w:tcW w:w="542" w:type="pct"/>
            <w:tcBorders>
              <w:top w:val="nil"/>
              <w:left w:val="nil"/>
              <w:bottom w:val="single" w:sz="4" w:space="0" w:color="auto"/>
              <w:right w:val="single" w:sz="4" w:space="0" w:color="auto"/>
            </w:tcBorders>
            <w:shd w:val="clear" w:color="auto" w:fill="auto"/>
            <w:noWrap/>
            <w:vAlign w:val="center"/>
            <w:hideMark/>
          </w:tcPr>
          <w:p w14:paraId="39C943F9" w14:textId="08013782"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95</w:t>
            </w:r>
          </w:p>
        </w:tc>
        <w:tc>
          <w:tcPr>
            <w:tcW w:w="582" w:type="pct"/>
            <w:tcBorders>
              <w:top w:val="nil"/>
              <w:left w:val="nil"/>
              <w:bottom w:val="single" w:sz="4" w:space="0" w:color="auto"/>
              <w:right w:val="single" w:sz="4" w:space="0" w:color="auto"/>
            </w:tcBorders>
            <w:shd w:val="clear" w:color="auto" w:fill="auto"/>
            <w:noWrap/>
            <w:vAlign w:val="center"/>
            <w:hideMark/>
          </w:tcPr>
          <w:p w14:paraId="79416DD0" w14:textId="31BB1F3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w:t>
            </w:r>
          </w:p>
        </w:tc>
        <w:tc>
          <w:tcPr>
            <w:tcW w:w="664" w:type="pct"/>
            <w:tcBorders>
              <w:top w:val="nil"/>
              <w:left w:val="nil"/>
              <w:bottom w:val="single" w:sz="4" w:space="0" w:color="auto"/>
              <w:right w:val="single" w:sz="4" w:space="0" w:color="auto"/>
            </w:tcBorders>
            <w:shd w:val="clear" w:color="auto" w:fill="auto"/>
            <w:noWrap/>
            <w:vAlign w:val="center"/>
            <w:hideMark/>
          </w:tcPr>
          <w:p w14:paraId="5E1EB3E8" w14:textId="7777777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w:t>
            </w:r>
          </w:p>
        </w:tc>
      </w:tr>
      <w:tr w:rsidR="00480421" w:rsidRPr="00477D8F" w14:paraId="6FFE69CB"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29A06D1C"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0A868997"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4</w:t>
            </w:r>
          </w:p>
        </w:tc>
        <w:tc>
          <w:tcPr>
            <w:tcW w:w="579" w:type="pct"/>
            <w:tcBorders>
              <w:top w:val="nil"/>
              <w:left w:val="nil"/>
              <w:bottom w:val="single" w:sz="4" w:space="0" w:color="auto"/>
              <w:right w:val="single" w:sz="4" w:space="0" w:color="auto"/>
            </w:tcBorders>
            <w:shd w:val="clear" w:color="auto" w:fill="auto"/>
            <w:noWrap/>
            <w:vAlign w:val="center"/>
            <w:hideMark/>
          </w:tcPr>
          <w:p w14:paraId="66592518" w14:textId="72A9422A"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80</w:t>
            </w:r>
          </w:p>
        </w:tc>
        <w:tc>
          <w:tcPr>
            <w:tcW w:w="891" w:type="pct"/>
            <w:tcBorders>
              <w:top w:val="nil"/>
              <w:left w:val="nil"/>
              <w:bottom w:val="single" w:sz="4" w:space="0" w:color="auto"/>
              <w:right w:val="single" w:sz="4" w:space="0" w:color="auto"/>
            </w:tcBorders>
            <w:shd w:val="clear" w:color="auto" w:fill="auto"/>
            <w:noWrap/>
            <w:vAlign w:val="center"/>
            <w:hideMark/>
          </w:tcPr>
          <w:p w14:paraId="04F0EF40" w14:textId="625C4682"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90</w:t>
            </w:r>
          </w:p>
        </w:tc>
        <w:tc>
          <w:tcPr>
            <w:tcW w:w="541" w:type="pct"/>
            <w:tcBorders>
              <w:top w:val="nil"/>
              <w:left w:val="nil"/>
              <w:bottom w:val="single" w:sz="4" w:space="0" w:color="auto"/>
              <w:right w:val="single" w:sz="4" w:space="0" w:color="auto"/>
            </w:tcBorders>
            <w:shd w:val="clear" w:color="auto" w:fill="auto"/>
            <w:noWrap/>
            <w:vAlign w:val="center"/>
            <w:hideMark/>
          </w:tcPr>
          <w:p w14:paraId="2A172273" w14:textId="0909CFCF"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0</w:t>
            </w:r>
          </w:p>
        </w:tc>
        <w:tc>
          <w:tcPr>
            <w:tcW w:w="542" w:type="pct"/>
            <w:tcBorders>
              <w:top w:val="nil"/>
              <w:left w:val="nil"/>
              <w:bottom w:val="single" w:sz="4" w:space="0" w:color="auto"/>
              <w:right w:val="single" w:sz="4" w:space="0" w:color="auto"/>
            </w:tcBorders>
            <w:shd w:val="clear" w:color="auto" w:fill="auto"/>
            <w:noWrap/>
            <w:vAlign w:val="center"/>
            <w:hideMark/>
          </w:tcPr>
          <w:p w14:paraId="54915218" w14:textId="5875DEDC"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82" w:type="pct"/>
            <w:tcBorders>
              <w:top w:val="nil"/>
              <w:left w:val="nil"/>
              <w:bottom w:val="single" w:sz="4" w:space="0" w:color="auto"/>
              <w:right w:val="single" w:sz="4" w:space="0" w:color="auto"/>
            </w:tcBorders>
            <w:shd w:val="clear" w:color="auto" w:fill="auto"/>
            <w:noWrap/>
            <w:vAlign w:val="center"/>
            <w:hideMark/>
          </w:tcPr>
          <w:p w14:paraId="66074506" w14:textId="3CF393A2"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20</w:t>
            </w:r>
          </w:p>
        </w:tc>
        <w:tc>
          <w:tcPr>
            <w:tcW w:w="664" w:type="pct"/>
            <w:tcBorders>
              <w:top w:val="nil"/>
              <w:left w:val="nil"/>
              <w:bottom w:val="single" w:sz="4" w:space="0" w:color="auto"/>
              <w:right w:val="single" w:sz="4" w:space="0" w:color="auto"/>
            </w:tcBorders>
            <w:shd w:val="clear" w:color="auto" w:fill="auto"/>
            <w:noWrap/>
            <w:vAlign w:val="center"/>
            <w:hideMark/>
          </w:tcPr>
          <w:p w14:paraId="3FEFDD02" w14:textId="7777777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w:t>
            </w:r>
          </w:p>
        </w:tc>
      </w:tr>
      <w:tr w:rsidR="00480421" w:rsidRPr="00477D8F" w14:paraId="328712CB"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0E2D894F"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03F95938"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5</w:t>
            </w:r>
          </w:p>
        </w:tc>
        <w:tc>
          <w:tcPr>
            <w:tcW w:w="579" w:type="pct"/>
            <w:tcBorders>
              <w:top w:val="nil"/>
              <w:left w:val="nil"/>
              <w:bottom w:val="single" w:sz="4" w:space="0" w:color="auto"/>
              <w:right w:val="single" w:sz="4" w:space="0" w:color="auto"/>
            </w:tcBorders>
            <w:shd w:val="clear" w:color="auto" w:fill="auto"/>
            <w:noWrap/>
            <w:vAlign w:val="center"/>
            <w:hideMark/>
          </w:tcPr>
          <w:p w14:paraId="0FE071B1" w14:textId="6773956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891" w:type="pct"/>
            <w:tcBorders>
              <w:top w:val="nil"/>
              <w:left w:val="nil"/>
              <w:bottom w:val="single" w:sz="4" w:space="0" w:color="auto"/>
              <w:right w:val="single" w:sz="4" w:space="0" w:color="auto"/>
            </w:tcBorders>
            <w:shd w:val="clear" w:color="auto" w:fill="auto"/>
            <w:noWrap/>
            <w:vAlign w:val="center"/>
            <w:hideMark/>
          </w:tcPr>
          <w:p w14:paraId="30765D8E" w14:textId="58376B4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41" w:type="pct"/>
            <w:tcBorders>
              <w:top w:val="nil"/>
              <w:left w:val="nil"/>
              <w:bottom w:val="single" w:sz="4" w:space="0" w:color="auto"/>
              <w:right w:val="single" w:sz="4" w:space="0" w:color="auto"/>
            </w:tcBorders>
            <w:shd w:val="clear" w:color="auto" w:fill="auto"/>
            <w:noWrap/>
            <w:vAlign w:val="center"/>
            <w:hideMark/>
          </w:tcPr>
          <w:p w14:paraId="47EFEAA6" w14:textId="611C75D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w:t>
            </w:r>
          </w:p>
        </w:tc>
        <w:tc>
          <w:tcPr>
            <w:tcW w:w="542" w:type="pct"/>
            <w:tcBorders>
              <w:top w:val="nil"/>
              <w:left w:val="nil"/>
              <w:bottom w:val="single" w:sz="4" w:space="0" w:color="auto"/>
              <w:right w:val="single" w:sz="4" w:space="0" w:color="auto"/>
            </w:tcBorders>
            <w:shd w:val="clear" w:color="auto" w:fill="auto"/>
            <w:noWrap/>
            <w:vAlign w:val="center"/>
            <w:hideMark/>
          </w:tcPr>
          <w:p w14:paraId="5A09C8E1" w14:textId="1BE17F2A"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94</w:t>
            </w:r>
          </w:p>
        </w:tc>
        <w:tc>
          <w:tcPr>
            <w:tcW w:w="582" w:type="pct"/>
            <w:tcBorders>
              <w:top w:val="nil"/>
              <w:left w:val="nil"/>
              <w:bottom w:val="single" w:sz="4" w:space="0" w:color="auto"/>
              <w:right w:val="single" w:sz="4" w:space="0" w:color="auto"/>
            </w:tcBorders>
            <w:shd w:val="clear" w:color="auto" w:fill="auto"/>
            <w:noWrap/>
            <w:vAlign w:val="center"/>
            <w:hideMark/>
          </w:tcPr>
          <w:p w14:paraId="446C5321" w14:textId="34D841BB"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0</w:t>
            </w:r>
          </w:p>
        </w:tc>
        <w:tc>
          <w:tcPr>
            <w:tcW w:w="664" w:type="pct"/>
            <w:tcBorders>
              <w:top w:val="nil"/>
              <w:left w:val="nil"/>
              <w:bottom w:val="single" w:sz="4" w:space="0" w:color="auto"/>
              <w:right w:val="single" w:sz="4" w:space="0" w:color="auto"/>
            </w:tcBorders>
            <w:shd w:val="clear" w:color="auto" w:fill="auto"/>
            <w:noWrap/>
            <w:vAlign w:val="center"/>
            <w:hideMark/>
          </w:tcPr>
          <w:p w14:paraId="0ABDE857" w14:textId="7777777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w:t>
            </w:r>
          </w:p>
        </w:tc>
      </w:tr>
      <w:tr w:rsidR="00480421" w:rsidRPr="00477D8F" w14:paraId="2E78AF35"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02E8D0A3"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3898BD5B"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6</w:t>
            </w:r>
          </w:p>
        </w:tc>
        <w:tc>
          <w:tcPr>
            <w:tcW w:w="579" w:type="pct"/>
            <w:tcBorders>
              <w:top w:val="nil"/>
              <w:left w:val="nil"/>
              <w:bottom w:val="single" w:sz="4" w:space="0" w:color="auto"/>
              <w:right w:val="single" w:sz="4" w:space="0" w:color="auto"/>
            </w:tcBorders>
            <w:shd w:val="clear" w:color="auto" w:fill="auto"/>
            <w:noWrap/>
            <w:vAlign w:val="center"/>
            <w:hideMark/>
          </w:tcPr>
          <w:p w14:paraId="56A5121E" w14:textId="675E63BF"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73</w:t>
            </w:r>
          </w:p>
        </w:tc>
        <w:tc>
          <w:tcPr>
            <w:tcW w:w="891" w:type="pct"/>
            <w:tcBorders>
              <w:top w:val="nil"/>
              <w:left w:val="nil"/>
              <w:bottom w:val="single" w:sz="4" w:space="0" w:color="auto"/>
              <w:right w:val="single" w:sz="4" w:space="0" w:color="auto"/>
            </w:tcBorders>
            <w:shd w:val="clear" w:color="auto" w:fill="auto"/>
            <w:noWrap/>
            <w:vAlign w:val="center"/>
            <w:hideMark/>
          </w:tcPr>
          <w:p w14:paraId="15B4F360" w14:textId="2B2574CC"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93</w:t>
            </w:r>
          </w:p>
        </w:tc>
        <w:tc>
          <w:tcPr>
            <w:tcW w:w="541" w:type="pct"/>
            <w:tcBorders>
              <w:top w:val="nil"/>
              <w:left w:val="nil"/>
              <w:bottom w:val="single" w:sz="4" w:space="0" w:color="auto"/>
              <w:right w:val="single" w:sz="4" w:space="0" w:color="auto"/>
            </w:tcBorders>
            <w:shd w:val="clear" w:color="auto" w:fill="auto"/>
            <w:noWrap/>
            <w:vAlign w:val="center"/>
            <w:hideMark/>
          </w:tcPr>
          <w:p w14:paraId="59E9619F" w14:textId="56FE8ADA"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20</w:t>
            </w:r>
          </w:p>
        </w:tc>
        <w:tc>
          <w:tcPr>
            <w:tcW w:w="542" w:type="pct"/>
            <w:tcBorders>
              <w:top w:val="nil"/>
              <w:left w:val="nil"/>
              <w:bottom w:val="single" w:sz="4" w:space="0" w:color="auto"/>
              <w:right w:val="single" w:sz="4" w:space="0" w:color="auto"/>
            </w:tcBorders>
            <w:shd w:val="clear" w:color="auto" w:fill="auto"/>
            <w:noWrap/>
            <w:vAlign w:val="center"/>
            <w:hideMark/>
          </w:tcPr>
          <w:p w14:paraId="6952EFFE" w14:textId="7E21B7BD"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82" w:type="pct"/>
            <w:tcBorders>
              <w:top w:val="nil"/>
              <w:left w:val="nil"/>
              <w:bottom w:val="single" w:sz="4" w:space="0" w:color="auto"/>
              <w:right w:val="single" w:sz="4" w:space="0" w:color="auto"/>
            </w:tcBorders>
            <w:shd w:val="clear" w:color="auto" w:fill="auto"/>
            <w:noWrap/>
            <w:vAlign w:val="center"/>
            <w:hideMark/>
          </w:tcPr>
          <w:p w14:paraId="2DCDDE4F" w14:textId="6E92D919"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w:t>
            </w:r>
          </w:p>
        </w:tc>
        <w:tc>
          <w:tcPr>
            <w:tcW w:w="664" w:type="pct"/>
            <w:tcBorders>
              <w:top w:val="nil"/>
              <w:left w:val="nil"/>
              <w:bottom w:val="single" w:sz="4" w:space="0" w:color="auto"/>
              <w:right w:val="single" w:sz="4" w:space="0" w:color="auto"/>
            </w:tcBorders>
            <w:shd w:val="clear" w:color="auto" w:fill="auto"/>
            <w:noWrap/>
            <w:vAlign w:val="center"/>
            <w:hideMark/>
          </w:tcPr>
          <w:p w14:paraId="4DD639EA" w14:textId="7777777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w:t>
            </w:r>
          </w:p>
        </w:tc>
      </w:tr>
      <w:tr w:rsidR="00480421" w:rsidRPr="00477D8F" w14:paraId="4702F718"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66E65EFD"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2ED70ED7"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Average</w:t>
            </w:r>
          </w:p>
        </w:tc>
        <w:tc>
          <w:tcPr>
            <w:tcW w:w="579" w:type="pct"/>
            <w:tcBorders>
              <w:top w:val="nil"/>
              <w:left w:val="nil"/>
              <w:bottom w:val="single" w:sz="4" w:space="0" w:color="auto"/>
              <w:right w:val="single" w:sz="4" w:space="0" w:color="auto"/>
            </w:tcBorders>
            <w:shd w:val="clear" w:color="auto" w:fill="auto"/>
            <w:noWrap/>
            <w:vAlign w:val="center"/>
            <w:hideMark/>
          </w:tcPr>
          <w:p w14:paraId="0B611C69" w14:textId="129F95A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90</w:t>
            </w:r>
          </w:p>
        </w:tc>
        <w:tc>
          <w:tcPr>
            <w:tcW w:w="891" w:type="pct"/>
            <w:tcBorders>
              <w:top w:val="nil"/>
              <w:left w:val="nil"/>
              <w:bottom w:val="single" w:sz="4" w:space="0" w:color="auto"/>
              <w:right w:val="single" w:sz="4" w:space="0" w:color="auto"/>
            </w:tcBorders>
            <w:shd w:val="clear" w:color="auto" w:fill="auto"/>
            <w:noWrap/>
            <w:vAlign w:val="center"/>
            <w:hideMark/>
          </w:tcPr>
          <w:p w14:paraId="278B9481" w14:textId="0F3C43F1"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94</w:t>
            </w:r>
          </w:p>
        </w:tc>
        <w:tc>
          <w:tcPr>
            <w:tcW w:w="541" w:type="pct"/>
            <w:tcBorders>
              <w:top w:val="nil"/>
              <w:left w:val="nil"/>
              <w:bottom w:val="single" w:sz="4" w:space="0" w:color="auto"/>
              <w:right w:val="single" w:sz="4" w:space="0" w:color="auto"/>
            </w:tcBorders>
            <w:shd w:val="clear" w:color="auto" w:fill="auto"/>
            <w:noWrap/>
            <w:vAlign w:val="center"/>
            <w:hideMark/>
          </w:tcPr>
          <w:p w14:paraId="30CCE0B9" w14:textId="16073119"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13</w:t>
            </w:r>
          </w:p>
        </w:tc>
        <w:tc>
          <w:tcPr>
            <w:tcW w:w="542" w:type="pct"/>
            <w:tcBorders>
              <w:top w:val="nil"/>
              <w:left w:val="nil"/>
              <w:bottom w:val="single" w:sz="4" w:space="0" w:color="auto"/>
              <w:right w:val="single" w:sz="4" w:space="0" w:color="auto"/>
            </w:tcBorders>
            <w:shd w:val="clear" w:color="auto" w:fill="auto"/>
            <w:noWrap/>
            <w:vAlign w:val="center"/>
            <w:hideMark/>
          </w:tcPr>
          <w:p w14:paraId="3ED5D41A" w14:textId="2CF33691"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97</w:t>
            </w:r>
          </w:p>
        </w:tc>
        <w:tc>
          <w:tcPr>
            <w:tcW w:w="582" w:type="pct"/>
            <w:tcBorders>
              <w:top w:val="nil"/>
              <w:left w:val="nil"/>
              <w:bottom w:val="single" w:sz="4" w:space="0" w:color="auto"/>
              <w:right w:val="single" w:sz="4" w:space="0" w:color="auto"/>
            </w:tcBorders>
            <w:shd w:val="clear" w:color="auto" w:fill="auto"/>
            <w:noWrap/>
            <w:vAlign w:val="center"/>
            <w:hideMark/>
          </w:tcPr>
          <w:p w14:paraId="2C36BA72" w14:textId="09813225"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20</w:t>
            </w:r>
          </w:p>
        </w:tc>
        <w:tc>
          <w:tcPr>
            <w:tcW w:w="664" w:type="pct"/>
            <w:tcBorders>
              <w:top w:val="nil"/>
              <w:left w:val="nil"/>
              <w:bottom w:val="single" w:sz="4" w:space="0" w:color="auto"/>
              <w:right w:val="single" w:sz="4" w:space="0" w:color="auto"/>
            </w:tcBorders>
            <w:shd w:val="clear" w:color="auto" w:fill="auto"/>
            <w:noWrap/>
            <w:vAlign w:val="center"/>
            <w:hideMark/>
          </w:tcPr>
          <w:p w14:paraId="4A9B6874" w14:textId="7777777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w:t>
            </w:r>
          </w:p>
        </w:tc>
      </w:tr>
      <w:tr w:rsidR="00480421" w:rsidRPr="00477D8F" w14:paraId="184FEC77" w14:textId="77777777" w:rsidTr="00E9156E">
        <w:trPr>
          <w:trHeight w:val="290"/>
          <w:jc w:val="center"/>
        </w:trPr>
        <w:tc>
          <w:tcPr>
            <w:tcW w:w="5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7CE1C19"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UBS</w:t>
            </w:r>
          </w:p>
        </w:tc>
        <w:tc>
          <w:tcPr>
            <w:tcW w:w="661" w:type="pct"/>
            <w:tcBorders>
              <w:top w:val="nil"/>
              <w:left w:val="nil"/>
              <w:bottom w:val="single" w:sz="4" w:space="0" w:color="auto"/>
              <w:right w:val="single" w:sz="4" w:space="0" w:color="auto"/>
            </w:tcBorders>
            <w:shd w:val="clear" w:color="auto" w:fill="auto"/>
            <w:noWrap/>
            <w:vAlign w:val="center"/>
            <w:hideMark/>
          </w:tcPr>
          <w:p w14:paraId="1918D6C2"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1</w:t>
            </w:r>
          </w:p>
        </w:tc>
        <w:tc>
          <w:tcPr>
            <w:tcW w:w="579" w:type="pct"/>
            <w:tcBorders>
              <w:top w:val="nil"/>
              <w:left w:val="nil"/>
              <w:bottom w:val="single" w:sz="4" w:space="0" w:color="auto"/>
              <w:right w:val="single" w:sz="4" w:space="0" w:color="auto"/>
            </w:tcBorders>
            <w:shd w:val="clear" w:color="auto" w:fill="auto"/>
            <w:noWrap/>
            <w:vAlign w:val="center"/>
            <w:hideMark/>
          </w:tcPr>
          <w:p w14:paraId="68F384A0" w14:textId="3C6D644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93</w:t>
            </w:r>
          </w:p>
        </w:tc>
        <w:tc>
          <w:tcPr>
            <w:tcW w:w="891" w:type="pct"/>
            <w:tcBorders>
              <w:top w:val="nil"/>
              <w:left w:val="nil"/>
              <w:bottom w:val="single" w:sz="4" w:space="0" w:color="auto"/>
              <w:right w:val="single" w:sz="4" w:space="0" w:color="auto"/>
            </w:tcBorders>
            <w:shd w:val="clear" w:color="auto" w:fill="auto"/>
            <w:noWrap/>
            <w:vAlign w:val="center"/>
            <w:hideMark/>
          </w:tcPr>
          <w:p w14:paraId="6133D826" w14:textId="4BAC9910"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87</w:t>
            </w:r>
          </w:p>
        </w:tc>
        <w:tc>
          <w:tcPr>
            <w:tcW w:w="541" w:type="pct"/>
            <w:tcBorders>
              <w:top w:val="nil"/>
              <w:left w:val="nil"/>
              <w:bottom w:val="single" w:sz="4" w:space="0" w:color="auto"/>
              <w:right w:val="single" w:sz="4" w:space="0" w:color="auto"/>
            </w:tcBorders>
            <w:shd w:val="clear" w:color="auto" w:fill="auto"/>
            <w:noWrap/>
            <w:vAlign w:val="center"/>
            <w:hideMark/>
          </w:tcPr>
          <w:p w14:paraId="1CF80478" w14:textId="3778C72A"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60</w:t>
            </w:r>
          </w:p>
        </w:tc>
        <w:tc>
          <w:tcPr>
            <w:tcW w:w="542" w:type="pct"/>
            <w:tcBorders>
              <w:top w:val="nil"/>
              <w:left w:val="nil"/>
              <w:bottom w:val="single" w:sz="4" w:space="0" w:color="auto"/>
              <w:right w:val="single" w:sz="4" w:space="0" w:color="auto"/>
            </w:tcBorders>
            <w:shd w:val="clear" w:color="auto" w:fill="auto"/>
            <w:noWrap/>
            <w:vAlign w:val="center"/>
            <w:hideMark/>
          </w:tcPr>
          <w:p w14:paraId="71D04130" w14:textId="2F7D739F"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93</w:t>
            </w:r>
          </w:p>
        </w:tc>
        <w:tc>
          <w:tcPr>
            <w:tcW w:w="582" w:type="pct"/>
            <w:tcBorders>
              <w:top w:val="nil"/>
              <w:left w:val="nil"/>
              <w:bottom w:val="single" w:sz="4" w:space="0" w:color="auto"/>
              <w:right w:val="single" w:sz="4" w:space="0" w:color="auto"/>
            </w:tcBorders>
            <w:shd w:val="clear" w:color="auto" w:fill="auto"/>
            <w:noWrap/>
            <w:vAlign w:val="center"/>
            <w:hideMark/>
          </w:tcPr>
          <w:p w14:paraId="5D61C738" w14:textId="7AC95AAC"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93</w:t>
            </w:r>
          </w:p>
        </w:tc>
        <w:tc>
          <w:tcPr>
            <w:tcW w:w="664" w:type="pct"/>
            <w:tcBorders>
              <w:top w:val="nil"/>
              <w:left w:val="nil"/>
              <w:bottom w:val="single" w:sz="4" w:space="0" w:color="auto"/>
              <w:right w:val="single" w:sz="4" w:space="0" w:color="auto"/>
            </w:tcBorders>
            <w:shd w:val="clear" w:color="auto" w:fill="auto"/>
            <w:noWrap/>
            <w:vAlign w:val="center"/>
            <w:hideMark/>
          </w:tcPr>
          <w:p w14:paraId="0B24A80F" w14:textId="19A8765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94</w:t>
            </w:r>
          </w:p>
        </w:tc>
      </w:tr>
      <w:tr w:rsidR="00480421" w:rsidRPr="00477D8F" w14:paraId="40654A84"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4D2F60BB"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2D9EB50F"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2</w:t>
            </w:r>
          </w:p>
        </w:tc>
        <w:tc>
          <w:tcPr>
            <w:tcW w:w="579" w:type="pct"/>
            <w:tcBorders>
              <w:top w:val="nil"/>
              <w:left w:val="nil"/>
              <w:bottom w:val="single" w:sz="4" w:space="0" w:color="auto"/>
              <w:right w:val="single" w:sz="4" w:space="0" w:color="auto"/>
            </w:tcBorders>
            <w:shd w:val="clear" w:color="auto" w:fill="auto"/>
            <w:noWrap/>
            <w:vAlign w:val="center"/>
            <w:hideMark/>
          </w:tcPr>
          <w:p w14:paraId="3C94D318" w14:textId="6ED1AD9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72</w:t>
            </w:r>
          </w:p>
        </w:tc>
        <w:tc>
          <w:tcPr>
            <w:tcW w:w="891" w:type="pct"/>
            <w:tcBorders>
              <w:top w:val="nil"/>
              <w:left w:val="nil"/>
              <w:bottom w:val="single" w:sz="4" w:space="0" w:color="auto"/>
              <w:right w:val="single" w:sz="4" w:space="0" w:color="auto"/>
            </w:tcBorders>
            <w:shd w:val="clear" w:color="auto" w:fill="auto"/>
            <w:noWrap/>
            <w:vAlign w:val="center"/>
            <w:hideMark/>
          </w:tcPr>
          <w:p w14:paraId="347326F9" w14:textId="7CFE6C7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84</w:t>
            </w:r>
          </w:p>
        </w:tc>
        <w:tc>
          <w:tcPr>
            <w:tcW w:w="541" w:type="pct"/>
            <w:tcBorders>
              <w:top w:val="nil"/>
              <w:left w:val="nil"/>
              <w:bottom w:val="single" w:sz="4" w:space="0" w:color="auto"/>
              <w:right w:val="single" w:sz="4" w:space="0" w:color="auto"/>
            </w:tcBorders>
            <w:shd w:val="clear" w:color="auto" w:fill="auto"/>
            <w:noWrap/>
            <w:vAlign w:val="center"/>
            <w:hideMark/>
          </w:tcPr>
          <w:p w14:paraId="40AADD79" w14:textId="479360E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56</w:t>
            </w:r>
          </w:p>
        </w:tc>
        <w:tc>
          <w:tcPr>
            <w:tcW w:w="542" w:type="pct"/>
            <w:tcBorders>
              <w:top w:val="nil"/>
              <w:left w:val="nil"/>
              <w:bottom w:val="single" w:sz="4" w:space="0" w:color="auto"/>
              <w:right w:val="single" w:sz="4" w:space="0" w:color="auto"/>
            </w:tcBorders>
            <w:shd w:val="clear" w:color="auto" w:fill="auto"/>
            <w:noWrap/>
            <w:vAlign w:val="center"/>
            <w:hideMark/>
          </w:tcPr>
          <w:p w14:paraId="75FF3B94" w14:textId="7BF951C2"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82" w:type="pct"/>
            <w:tcBorders>
              <w:top w:val="nil"/>
              <w:left w:val="nil"/>
              <w:bottom w:val="single" w:sz="4" w:space="0" w:color="auto"/>
              <w:right w:val="single" w:sz="4" w:space="0" w:color="auto"/>
            </w:tcBorders>
            <w:shd w:val="clear" w:color="auto" w:fill="auto"/>
            <w:noWrap/>
            <w:vAlign w:val="center"/>
            <w:hideMark/>
          </w:tcPr>
          <w:p w14:paraId="5B9D87B0" w14:textId="26C2897F"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81</w:t>
            </w:r>
          </w:p>
        </w:tc>
        <w:tc>
          <w:tcPr>
            <w:tcW w:w="664" w:type="pct"/>
            <w:tcBorders>
              <w:top w:val="nil"/>
              <w:left w:val="nil"/>
              <w:bottom w:val="single" w:sz="4" w:space="0" w:color="auto"/>
              <w:right w:val="single" w:sz="4" w:space="0" w:color="auto"/>
            </w:tcBorders>
            <w:shd w:val="clear" w:color="auto" w:fill="auto"/>
            <w:noWrap/>
            <w:vAlign w:val="center"/>
            <w:hideMark/>
          </w:tcPr>
          <w:p w14:paraId="456B4C92" w14:textId="10219718"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96</w:t>
            </w:r>
          </w:p>
        </w:tc>
      </w:tr>
      <w:tr w:rsidR="00480421" w:rsidRPr="00477D8F" w14:paraId="2BEF8E19"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08E87CC1"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5A06A093"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3</w:t>
            </w:r>
          </w:p>
        </w:tc>
        <w:tc>
          <w:tcPr>
            <w:tcW w:w="579" w:type="pct"/>
            <w:tcBorders>
              <w:top w:val="nil"/>
              <w:left w:val="nil"/>
              <w:bottom w:val="single" w:sz="4" w:space="0" w:color="auto"/>
              <w:right w:val="single" w:sz="4" w:space="0" w:color="auto"/>
            </w:tcBorders>
            <w:shd w:val="clear" w:color="auto" w:fill="auto"/>
            <w:noWrap/>
            <w:vAlign w:val="center"/>
            <w:hideMark/>
          </w:tcPr>
          <w:p w14:paraId="4B4B048A" w14:textId="73AE31E8"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93</w:t>
            </w:r>
          </w:p>
        </w:tc>
        <w:tc>
          <w:tcPr>
            <w:tcW w:w="891" w:type="pct"/>
            <w:tcBorders>
              <w:top w:val="nil"/>
              <w:left w:val="nil"/>
              <w:bottom w:val="single" w:sz="4" w:space="0" w:color="auto"/>
              <w:right w:val="single" w:sz="4" w:space="0" w:color="auto"/>
            </w:tcBorders>
            <w:shd w:val="clear" w:color="auto" w:fill="auto"/>
            <w:noWrap/>
            <w:vAlign w:val="center"/>
            <w:hideMark/>
          </w:tcPr>
          <w:p w14:paraId="17F9F382" w14:textId="7CBD885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73</w:t>
            </w:r>
          </w:p>
        </w:tc>
        <w:tc>
          <w:tcPr>
            <w:tcW w:w="541" w:type="pct"/>
            <w:tcBorders>
              <w:top w:val="nil"/>
              <w:left w:val="nil"/>
              <w:bottom w:val="single" w:sz="4" w:space="0" w:color="auto"/>
              <w:right w:val="single" w:sz="4" w:space="0" w:color="auto"/>
            </w:tcBorders>
            <w:shd w:val="clear" w:color="auto" w:fill="auto"/>
            <w:noWrap/>
            <w:vAlign w:val="center"/>
            <w:hideMark/>
          </w:tcPr>
          <w:p w14:paraId="6AFF7FBE" w14:textId="0E24639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73</w:t>
            </w:r>
          </w:p>
        </w:tc>
        <w:tc>
          <w:tcPr>
            <w:tcW w:w="542" w:type="pct"/>
            <w:tcBorders>
              <w:top w:val="nil"/>
              <w:left w:val="nil"/>
              <w:bottom w:val="single" w:sz="4" w:space="0" w:color="auto"/>
              <w:right w:val="single" w:sz="4" w:space="0" w:color="auto"/>
            </w:tcBorders>
            <w:shd w:val="clear" w:color="auto" w:fill="auto"/>
            <w:noWrap/>
            <w:vAlign w:val="center"/>
            <w:hideMark/>
          </w:tcPr>
          <w:p w14:paraId="66D47ABB" w14:textId="250CBC85"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82" w:type="pct"/>
            <w:tcBorders>
              <w:top w:val="nil"/>
              <w:left w:val="nil"/>
              <w:bottom w:val="single" w:sz="4" w:space="0" w:color="auto"/>
              <w:right w:val="single" w:sz="4" w:space="0" w:color="auto"/>
            </w:tcBorders>
            <w:shd w:val="clear" w:color="auto" w:fill="auto"/>
            <w:noWrap/>
            <w:vAlign w:val="center"/>
            <w:hideMark/>
          </w:tcPr>
          <w:p w14:paraId="0075488E" w14:textId="74A9040B"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40</w:t>
            </w:r>
          </w:p>
        </w:tc>
        <w:tc>
          <w:tcPr>
            <w:tcW w:w="664" w:type="pct"/>
            <w:tcBorders>
              <w:top w:val="nil"/>
              <w:left w:val="nil"/>
              <w:bottom w:val="single" w:sz="4" w:space="0" w:color="auto"/>
              <w:right w:val="single" w:sz="4" w:space="0" w:color="auto"/>
            </w:tcBorders>
            <w:shd w:val="clear" w:color="auto" w:fill="auto"/>
            <w:noWrap/>
            <w:vAlign w:val="center"/>
            <w:hideMark/>
          </w:tcPr>
          <w:p w14:paraId="2E6D234A" w14:textId="130D100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93</w:t>
            </w:r>
          </w:p>
        </w:tc>
      </w:tr>
      <w:tr w:rsidR="00480421" w:rsidRPr="00477D8F" w14:paraId="1422D990"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202B2D9D"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338197AC"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4</w:t>
            </w:r>
          </w:p>
        </w:tc>
        <w:tc>
          <w:tcPr>
            <w:tcW w:w="579" w:type="pct"/>
            <w:tcBorders>
              <w:top w:val="nil"/>
              <w:left w:val="nil"/>
              <w:bottom w:val="single" w:sz="4" w:space="0" w:color="auto"/>
              <w:right w:val="single" w:sz="4" w:space="0" w:color="auto"/>
            </w:tcBorders>
            <w:shd w:val="clear" w:color="auto" w:fill="auto"/>
            <w:noWrap/>
            <w:vAlign w:val="center"/>
            <w:hideMark/>
          </w:tcPr>
          <w:p w14:paraId="0DA46316" w14:textId="772BF9DC"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89</w:t>
            </w:r>
          </w:p>
        </w:tc>
        <w:tc>
          <w:tcPr>
            <w:tcW w:w="891" w:type="pct"/>
            <w:tcBorders>
              <w:top w:val="nil"/>
              <w:left w:val="nil"/>
              <w:bottom w:val="single" w:sz="4" w:space="0" w:color="auto"/>
              <w:right w:val="single" w:sz="4" w:space="0" w:color="auto"/>
            </w:tcBorders>
            <w:shd w:val="clear" w:color="auto" w:fill="auto"/>
            <w:noWrap/>
            <w:vAlign w:val="center"/>
            <w:hideMark/>
          </w:tcPr>
          <w:p w14:paraId="767A0AA8" w14:textId="6D1D64A8"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41" w:type="pct"/>
            <w:tcBorders>
              <w:top w:val="nil"/>
              <w:left w:val="nil"/>
              <w:bottom w:val="single" w:sz="4" w:space="0" w:color="auto"/>
              <w:right w:val="single" w:sz="4" w:space="0" w:color="auto"/>
            </w:tcBorders>
            <w:shd w:val="clear" w:color="auto" w:fill="auto"/>
            <w:noWrap/>
            <w:vAlign w:val="center"/>
            <w:hideMark/>
          </w:tcPr>
          <w:p w14:paraId="42F7D86A" w14:textId="1BAB6510"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67</w:t>
            </w:r>
          </w:p>
        </w:tc>
        <w:tc>
          <w:tcPr>
            <w:tcW w:w="542" w:type="pct"/>
            <w:tcBorders>
              <w:top w:val="nil"/>
              <w:left w:val="nil"/>
              <w:bottom w:val="single" w:sz="4" w:space="0" w:color="auto"/>
              <w:right w:val="single" w:sz="4" w:space="0" w:color="auto"/>
            </w:tcBorders>
            <w:shd w:val="clear" w:color="auto" w:fill="auto"/>
            <w:noWrap/>
            <w:vAlign w:val="center"/>
            <w:hideMark/>
          </w:tcPr>
          <w:p w14:paraId="393622AA" w14:textId="1950DD2C"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82" w:type="pct"/>
            <w:tcBorders>
              <w:top w:val="nil"/>
              <w:left w:val="nil"/>
              <w:bottom w:val="single" w:sz="4" w:space="0" w:color="auto"/>
              <w:right w:val="single" w:sz="4" w:space="0" w:color="auto"/>
            </w:tcBorders>
            <w:shd w:val="clear" w:color="auto" w:fill="auto"/>
            <w:noWrap/>
            <w:vAlign w:val="center"/>
            <w:hideMark/>
          </w:tcPr>
          <w:p w14:paraId="6CDCAA86" w14:textId="4E41A9F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22</w:t>
            </w:r>
          </w:p>
        </w:tc>
        <w:tc>
          <w:tcPr>
            <w:tcW w:w="664" w:type="pct"/>
            <w:tcBorders>
              <w:top w:val="nil"/>
              <w:left w:val="nil"/>
              <w:bottom w:val="single" w:sz="4" w:space="0" w:color="auto"/>
              <w:right w:val="single" w:sz="4" w:space="0" w:color="auto"/>
            </w:tcBorders>
            <w:shd w:val="clear" w:color="auto" w:fill="auto"/>
            <w:noWrap/>
            <w:vAlign w:val="center"/>
            <w:hideMark/>
          </w:tcPr>
          <w:p w14:paraId="6886BD8E" w14:textId="48223F6C"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99</w:t>
            </w:r>
          </w:p>
        </w:tc>
      </w:tr>
      <w:tr w:rsidR="00480421" w:rsidRPr="00477D8F" w14:paraId="201975E9"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18012F26"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007A8360"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5</w:t>
            </w:r>
          </w:p>
        </w:tc>
        <w:tc>
          <w:tcPr>
            <w:tcW w:w="579" w:type="pct"/>
            <w:tcBorders>
              <w:top w:val="nil"/>
              <w:left w:val="nil"/>
              <w:bottom w:val="single" w:sz="4" w:space="0" w:color="auto"/>
              <w:right w:val="single" w:sz="4" w:space="0" w:color="auto"/>
            </w:tcBorders>
            <w:shd w:val="clear" w:color="auto" w:fill="auto"/>
            <w:noWrap/>
            <w:vAlign w:val="center"/>
            <w:hideMark/>
          </w:tcPr>
          <w:p w14:paraId="770EA0AF" w14:textId="64E7F224"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891" w:type="pct"/>
            <w:tcBorders>
              <w:top w:val="nil"/>
              <w:left w:val="nil"/>
              <w:bottom w:val="single" w:sz="4" w:space="0" w:color="auto"/>
              <w:right w:val="single" w:sz="4" w:space="0" w:color="auto"/>
            </w:tcBorders>
            <w:shd w:val="clear" w:color="auto" w:fill="auto"/>
            <w:noWrap/>
            <w:vAlign w:val="center"/>
            <w:hideMark/>
          </w:tcPr>
          <w:p w14:paraId="07375D3A" w14:textId="31413C1A"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93</w:t>
            </w:r>
          </w:p>
        </w:tc>
        <w:tc>
          <w:tcPr>
            <w:tcW w:w="541" w:type="pct"/>
            <w:tcBorders>
              <w:top w:val="nil"/>
              <w:left w:val="nil"/>
              <w:bottom w:val="single" w:sz="4" w:space="0" w:color="auto"/>
              <w:right w:val="single" w:sz="4" w:space="0" w:color="auto"/>
            </w:tcBorders>
            <w:shd w:val="clear" w:color="auto" w:fill="auto"/>
            <w:noWrap/>
            <w:vAlign w:val="center"/>
            <w:hideMark/>
          </w:tcPr>
          <w:p w14:paraId="72003EA1" w14:textId="2EAB6FF0"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50</w:t>
            </w:r>
          </w:p>
        </w:tc>
        <w:tc>
          <w:tcPr>
            <w:tcW w:w="542" w:type="pct"/>
            <w:tcBorders>
              <w:top w:val="nil"/>
              <w:left w:val="nil"/>
              <w:bottom w:val="single" w:sz="4" w:space="0" w:color="auto"/>
              <w:right w:val="single" w:sz="4" w:space="0" w:color="auto"/>
            </w:tcBorders>
            <w:shd w:val="clear" w:color="auto" w:fill="auto"/>
            <w:noWrap/>
            <w:vAlign w:val="center"/>
            <w:hideMark/>
          </w:tcPr>
          <w:p w14:paraId="0E6F880C" w14:textId="01F2106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79</w:t>
            </w:r>
          </w:p>
        </w:tc>
        <w:tc>
          <w:tcPr>
            <w:tcW w:w="582" w:type="pct"/>
            <w:tcBorders>
              <w:top w:val="nil"/>
              <w:left w:val="nil"/>
              <w:bottom w:val="single" w:sz="4" w:space="0" w:color="auto"/>
              <w:right w:val="single" w:sz="4" w:space="0" w:color="auto"/>
            </w:tcBorders>
            <w:shd w:val="clear" w:color="auto" w:fill="auto"/>
            <w:noWrap/>
            <w:vAlign w:val="center"/>
            <w:hideMark/>
          </w:tcPr>
          <w:p w14:paraId="67C2FB04" w14:textId="3E6BD419"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29</w:t>
            </w:r>
          </w:p>
        </w:tc>
        <w:tc>
          <w:tcPr>
            <w:tcW w:w="664" w:type="pct"/>
            <w:tcBorders>
              <w:top w:val="nil"/>
              <w:left w:val="nil"/>
              <w:bottom w:val="single" w:sz="4" w:space="0" w:color="auto"/>
              <w:right w:val="single" w:sz="4" w:space="0" w:color="auto"/>
            </w:tcBorders>
            <w:shd w:val="clear" w:color="auto" w:fill="auto"/>
            <w:noWrap/>
            <w:vAlign w:val="center"/>
            <w:hideMark/>
          </w:tcPr>
          <w:p w14:paraId="3E24AD4F" w14:textId="49B4A205"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71</w:t>
            </w:r>
          </w:p>
        </w:tc>
      </w:tr>
      <w:tr w:rsidR="00480421" w:rsidRPr="00477D8F" w14:paraId="1BBB2881"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0BCD26B1"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58520CDF"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6</w:t>
            </w:r>
          </w:p>
        </w:tc>
        <w:tc>
          <w:tcPr>
            <w:tcW w:w="579" w:type="pct"/>
            <w:tcBorders>
              <w:top w:val="nil"/>
              <w:left w:val="nil"/>
              <w:bottom w:val="single" w:sz="4" w:space="0" w:color="auto"/>
              <w:right w:val="single" w:sz="4" w:space="0" w:color="auto"/>
            </w:tcBorders>
            <w:shd w:val="clear" w:color="auto" w:fill="auto"/>
            <w:noWrap/>
            <w:vAlign w:val="center"/>
            <w:hideMark/>
          </w:tcPr>
          <w:p w14:paraId="5EC4A62B" w14:textId="31B8699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92</w:t>
            </w:r>
          </w:p>
        </w:tc>
        <w:tc>
          <w:tcPr>
            <w:tcW w:w="891" w:type="pct"/>
            <w:tcBorders>
              <w:top w:val="nil"/>
              <w:left w:val="nil"/>
              <w:bottom w:val="single" w:sz="4" w:space="0" w:color="auto"/>
              <w:right w:val="single" w:sz="4" w:space="0" w:color="auto"/>
            </w:tcBorders>
            <w:shd w:val="clear" w:color="auto" w:fill="auto"/>
            <w:noWrap/>
            <w:vAlign w:val="center"/>
            <w:hideMark/>
          </w:tcPr>
          <w:p w14:paraId="3927B3B0" w14:textId="0AB89709"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83</w:t>
            </w:r>
          </w:p>
        </w:tc>
        <w:tc>
          <w:tcPr>
            <w:tcW w:w="541" w:type="pct"/>
            <w:tcBorders>
              <w:top w:val="nil"/>
              <w:left w:val="nil"/>
              <w:bottom w:val="single" w:sz="4" w:space="0" w:color="auto"/>
              <w:right w:val="single" w:sz="4" w:space="0" w:color="auto"/>
            </w:tcBorders>
            <w:shd w:val="clear" w:color="auto" w:fill="auto"/>
            <w:noWrap/>
            <w:vAlign w:val="center"/>
            <w:hideMark/>
          </w:tcPr>
          <w:p w14:paraId="43252846" w14:textId="6686F66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42</w:t>
            </w:r>
          </w:p>
        </w:tc>
        <w:tc>
          <w:tcPr>
            <w:tcW w:w="542" w:type="pct"/>
            <w:tcBorders>
              <w:top w:val="nil"/>
              <w:left w:val="nil"/>
              <w:bottom w:val="single" w:sz="4" w:space="0" w:color="auto"/>
              <w:right w:val="single" w:sz="4" w:space="0" w:color="auto"/>
            </w:tcBorders>
            <w:shd w:val="clear" w:color="auto" w:fill="auto"/>
            <w:noWrap/>
            <w:vAlign w:val="center"/>
            <w:hideMark/>
          </w:tcPr>
          <w:p w14:paraId="0386EE42" w14:textId="62A8C2B5"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92</w:t>
            </w:r>
          </w:p>
        </w:tc>
        <w:tc>
          <w:tcPr>
            <w:tcW w:w="582" w:type="pct"/>
            <w:tcBorders>
              <w:top w:val="nil"/>
              <w:left w:val="nil"/>
              <w:bottom w:val="single" w:sz="4" w:space="0" w:color="auto"/>
              <w:right w:val="single" w:sz="4" w:space="0" w:color="auto"/>
            </w:tcBorders>
            <w:shd w:val="clear" w:color="auto" w:fill="auto"/>
            <w:noWrap/>
            <w:vAlign w:val="center"/>
            <w:hideMark/>
          </w:tcPr>
          <w:p w14:paraId="6A6F11DF" w14:textId="7F429768"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42</w:t>
            </w:r>
          </w:p>
        </w:tc>
        <w:tc>
          <w:tcPr>
            <w:tcW w:w="664" w:type="pct"/>
            <w:tcBorders>
              <w:top w:val="nil"/>
              <w:left w:val="nil"/>
              <w:bottom w:val="single" w:sz="4" w:space="0" w:color="auto"/>
              <w:right w:val="single" w:sz="4" w:space="0" w:color="auto"/>
            </w:tcBorders>
            <w:shd w:val="clear" w:color="auto" w:fill="auto"/>
            <w:noWrap/>
            <w:vAlign w:val="center"/>
            <w:hideMark/>
          </w:tcPr>
          <w:p w14:paraId="420D852F" w14:textId="38B7621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89</w:t>
            </w:r>
          </w:p>
        </w:tc>
      </w:tr>
      <w:tr w:rsidR="00480421" w:rsidRPr="00477D8F" w14:paraId="117A252C"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760D9AD3"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02F9992D"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Average</w:t>
            </w:r>
          </w:p>
        </w:tc>
        <w:tc>
          <w:tcPr>
            <w:tcW w:w="579" w:type="pct"/>
            <w:tcBorders>
              <w:top w:val="nil"/>
              <w:left w:val="nil"/>
              <w:bottom w:val="single" w:sz="4" w:space="0" w:color="auto"/>
              <w:right w:val="single" w:sz="4" w:space="0" w:color="auto"/>
            </w:tcBorders>
            <w:shd w:val="clear" w:color="auto" w:fill="auto"/>
            <w:noWrap/>
            <w:vAlign w:val="center"/>
            <w:hideMark/>
          </w:tcPr>
          <w:p w14:paraId="3C760507" w14:textId="6E3A3EF4"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87</w:t>
            </w:r>
          </w:p>
        </w:tc>
        <w:tc>
          <w:tcPr>
            <w:tcW w:w="891" w:type="pct"/>
            <w:tcBorders>
              <w:top w:val="nil"/>
              <w:left w:val="nil"/>
              <w:bottom w:val="single" w:sz="4" w:space="0" w:color="auto"/>
              <w:right w:val="single" w:sz="4" w:space="0" w:color="auto"/>
            </w:tcBorders>
            <w:shd w:val="clear" w:color="auto" w:fill="auto"/>
            <w:noWrap/>
            <w:vAlign w:val="center"/>
            <w:hideMark/>
          </w:tcPr>
          <w:p w14:paraId="16ABA16F" w14:textId="4B8DFE7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86</w:t>
            </w:r>
          </w:p>
        </w:tc>
        <w:tc>
          <w:tcPr>
            <w:tcW w:w="541" w:type="pct"/>
            <w:tcBorders>
              <w:top w:val="nil"/>
              <w:left w:val="nil"/>
              <w:bottom w:val="single" w:sz="4" w:space="0" w:color="auto"/>
              <w:right w:val="single" w:sz="4" w:space="0" w:color="auto"/>
            </w:tcBorders>
            <w:shd w:val="clear" w:color="auto" w:fill="auto"/>
            <w:noWrap/>
            <w:vAlign w:val="center"/>
            <w:hideMark/>
          </w:tcPr>
          <w:p w14:paraId="515CD92B" w14:textId="2168F85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58</w:t>
            </w:r>
          </w:p>
        </w:tc>
        <w:tc>
          <w:tcPr>
            <w:tcW w:w="542" w:type="pct"/>
            <w:tcBorders>
              <w:top w:val="nil"/>
              <w:left w:val="nil"/>
              <w:bottom w:val="single" w:sz="4" w:space="0" w:color="auto"/>
              <w:right w:val="single" w:sz="4" w:space="0" w:color="auto"/>
            </w:tcBorders>
            <w:shd w:val="clear" w:color="auto" w:fill="auto"/>
            <w:noWrap/>
            <w:vAlign w:val="center"/>
            <w:hideMark/>
          </w:tcPr>
          <w:p w14:paraId="72042926" w14:textId="530B45B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95</w:t>
            </w:r>
          </w:p>
        </w:tc>
        <w:tc>
          <w:tcPr>
            <w:tcW w:w="582" w:type="pct"/>
            <w:tcBorders>
              <w:top w:val="nil"/>
              <w:left w:val="nil"/>
              <w:bottom w:val="single" w:sz="4" w:space="0" w:color="auto"/>
              <w:right w:val="single" w:sz="4" w:space="0" w:color="auto"/>
            </w:tcBorders>
            <w:shd w:val="clear" w:color="auto" w:fill="auto"/>
            <w:noWrap/>
            <w:vAlign w:val="center"/>
            <w:hideMark/>
          </w:tcPr>
          <w:p w14:paraId="24AB918A" w14:textId="727F6FB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59</w:t>
            </w:r>
          </w:p>
        </w:tc>
        <w:tc>
          <w:tcPr>
            <w:tcW w:w="664" w:type="pct"/>
            <w:tcBorders>
              <w:top w:val="nil"/>
              <w:left w:val="nil"/>
              <w:bottom w:val="single" w:sz="4" w:space="0" w:color="auto"/>
              <w:right w:val="single" w:sz="4" w:space="0" w:color="auto"/>
            </w:tcBorders>
            <w:shd w:val="clear" w:color="auto" w:fill="auto"/>
            <w:noWrap/>
            <w:vAlign w:val="center"/>
            <w:hideMark/>
          </w:tcPr>
          <w:p w14:paraId="64FB22FD" w14:textId="1DED128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92</w:t>
            </w:r>
          </w:p>
        </w:tc>
      </w:tr>
      <w:tr w:rsidR="00480421" w:rsidRPr="00477D8F" w14:paraId="6DA8EE7D" w14:textId="77777777" w:rsidTr="00E9156E">
        <w:trPr>
          <w:trHeight w:val="290"/>
          <w:jc w:val="center"/>
        </w:trPr>
        <w:tc>
          <w:tcPr>
            <w:tcW w:w="5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5F0B39F"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SSS</w:t>
            </w:r>
          </w:p>
        </w:tc>
        <w:tc>
          <w:tcPr>
            <w:tcW w:w="661" w:type="pct"/>
            <w:tcBorders>
              <w:top w:val="nil"/>
              <w:left w:val="nil"/>
              <w:bottom w:val="single" w:sz="4" w:space="0" w:color="auto"/>
              <w:right w:val="single" w:sz="4" w:space="0" w:color="auto"/>
            </w:tcBorders>
            <w:shd w:val="clear" w:color="auto" w:fill="auto"/>
            <w:noWrap/>
            <w:vAlign w:val="center"/>
            <w:hideMark/>
          </w:tcPr>
          <w:p w14:paraId="4E279BCD"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1</w:t>
            </w:r>
          </w:p>
        </w:tc>
        <w:tc>
          <w:tcPr>
            <w:tcW w:w="579" w:type="pct"/>
            <w:tcBorders>
              <w:top w:val="nil"/>
              <w:left w:val="nil"/>
              <w:bottom w:val="single" w:sz="4" w:space="0" w:color="auto"/>
              <w:right w:val="single" w:sz="4" w:space="0" w:color="auto"/>
            </w:tcBorders>
            <w:shd w:val="clear" w:color="auto" w:fill="auto"/>
            <w:noWrap/>
            <w:vAlign w:val="center"/>
            <w:hideMark/>
          </w:tcPr>
          <w:p w14:paraId="6090D46C" w14:textId="2AEC791F"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891" w:type="pct"/>
            <w:tcBorders>
              <w:top w:val="nil"/>
              <w:left w:val="nil"/>
              <w:bottom w:val="single" w:sz="4" w:space="0" w:color="auto"/>
              <w:right w:val="single" w:sz="4" w:space="0" w:color="auto"/>
            </w:tcBorders>
            <w:shd w:val="clear" w:color="auto" w:fill="auto"/>
            <w:noWrap/>
            <w:vAlign w:val="center"/>
            <w:hideMark/>
          </w:tcPr>
          <w:p w14:paraId="2F3221FB" w14:textId="4CEF56F4"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85</w:t>
            </w:r>
          </w:p>
        </w:tc>
        <w:tc>
          <w:tcPr>
            <w:tcW w:w="541" w:type="pct"/>
            <w:tcBorders>
              <w:top w:val="nil"/>
              <w:left w:val="nil"/>
              <w:bottom w:val="single" w:sz="4" w:space="0" w:color="auto"/>
              <w:right w:val="single" w:sz="4" w:space="0" w:color="auto"/>
            </w:tcBorders>
            <w:shd w:val="clear" w:color="auto" w:fill="auto"/>
            <w:noWrap/>
            <w:vAlign w:val="center"/>
            <w:hideMark/>
          </w:tcPr>
          <w:p w14:paraId="314E5F7E" w14:textId="14E7AD6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85</w:t>
            </w:r>
          </w:p>
        </w:tc>
        <w:tc>
          <w:tcPr>
            <w:tcW w:w="542" w:type="pct"/>
            <w:tcBorders>
              <w:top w:val="nil"/>
              <w:left w:val="nil"/>
              <w:bottom w:val="single" w:sz="4" w:space="0" w:color="auto"/>
              <w:right w:val="single" w:sz="4" w:space="0" w:color="auto"/>
            </w:tcBorders>
            <w:shd w:val="clear" w:color="auto" w:fill="auto"/>
            <w:noWrap/>
            <w:vAlign w:val="center"/>
            <w:hideMark/>
          </w:tcPr>
          <w:p w14:paraId="26B23F4A" w14:textId="16F4FFD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582" w:type="pct"/>
            <w:tcBorders>
              <w:top w:val="nil"/>
              <w:left w:val="nil"/>
              <w:bottom w:val="single" w:sz="4" w:space="0" w:color="auto"/>
              <w:right w:val="single" w:sz="4" w:space="0" w:color="auto"/>
            </w:tcBorders>
            <w:shd w:val="clear" w:color="auto" w:fill="auto"/>
            <w:noWrap/>
            <w:vAlign w:val="center"/>
            <w:hideMark/>
          </w:tcPr>
          <w:p w14:paraId="1F32BD8C" w14:textId="5006F13B"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c>
          <w:tcPr>
            <w:tcW w:w="664" w:type="pct"/>
            <w:tcBorders>
              <w:top w:val="nil"/>
              <w:left w:val="nil"/>
              <w:bottom w:val="single" w:sz="4" w:space="0" w:color="auto"/>
              <w:right w:val="single" w:sz="4" w:space="0" w:color="auto"/>
            </w:tcBorders>
            <w:shd w:val="clear" w:color="auto" w:fill="auto"/>
            <w:noWrap/>
            <w:vAlign w:val="center"/>
            <w:hideMark/>
          </w:tcPr>
          <w:p w14:paraId="789E5828" w14:textId="35614B6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82</w:t>
            </w:r>
          </w:p>
        </w:tc>
      </w:tr>
      <w:tr w:rsidR="00480421" w:rsidRPr="00477D8F" w14:paraId="0A2D24FA"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04D22A46"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0DAC7276"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2</w:t>
            </w:r>
          </w:p>
        </w:tc>
        <w:tc>
          <w:tcPr>
            <w:tcW w:w="579" w:type="pct"/>
            <w:tcBorders>
              <w:top w:val="nil"/>
              <w:left w:val="nil"/>
              <w:bottom w:val="single" w:sz="4" w:space="0" w:color="auto"/>
              <w:right w:val="single" w:sz="4" w:space="0" w:color="auto"/>
            </w:tcBorders>
            <w:shd w:val="clear" w:color="auto" w:fill="auto"/>
            <w:noWrap/>
            <w:vAlign w:val="center"/>
            <w:hideMark/>
          </w:tcPr>
          <w:p w14:paraId="2BAFC0BB" w14:textId="7095DE78"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76</w:t>
            </w:r>
          </w:p>
        </w:tc>
        <w:tc>
          <w:tcPr>
            <w:tcW w:w="891" w:type="pct"/>
            <w:tcBorders>
              <w:top w:val="nil"/>
              <w:left w:val="nil"/>
              <w:bottom w:val="single" w:sz="4" w:space="0" w:color="auto"/>
              <w:right w:val="single" w:sz="4" w:space="0" w:color="auto"/>
            </w:tcBorders>
            <w:shd w:val="clear" w:color="auto" w:fill="auto"/>
            <w:noWrap/>
            <w:vAlign w:val="center"/>
            <w:hideMark/>
          </w:tcPr>
          <w:p w14:paraId="108191B0" w14:textId="408482B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68</w:t>
            </w:r>
          </w:p>
        </w:tc>
        <w:tc>
          <w:tcPr>
            <w:tcW w:w="541" w:type="pct"/>
            <w:tcBorders>
              <w:top w:val="nil"/>
              <w:left w:val="nil"/>
              <w:bottom w:val="single" w:sz="4" w:space="0" w:color="auto"/>
              <w:right w:val="single" w:sz="4" w:space="0" w:color="auto"/>
            </w:tcBorders>
            <w:shd w:val="clear" w:color="auto" w:fill="auto"/>
            <w:noWrap/>
            <w:vAlign w:val="center"/>
            <w:hideMark/>
          </w:tcPr>
          <w:p w14:paraId="55BED8EA" w14:textId="3696F674"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64</w:t>
            </w:r>
          </w:p>
        </w:tc>
        <w:tc>
          <w:tcPr>
            <w:tcW w:w="542" w:type="pct"/>
            <w:tcBorders>
              <w:top w:val="nil"/>
              <w:left w:val="nil"/>
              <w:bottom w:val="single" w:sz="4" w:space="0" w:color="auto"/>
              <w:right w:val="single" w:sz="4" w:space="0" w:color="auto"/>
            </w:tcBorders>
            <w:shd w:val="clear" w:color="auto" w:fill="auto"/>
            <w:noWrap/>
            <w:vAlign w:val="center"/>
            <w:hideMark/>
          </w:tcPr>
          <w:p w14:paraId="159469E5" w14:textId="5879896B"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88</w:t>
            </w:r>
          </w:p>
        </w:tc>
        <w:tc>
          <w:tcPr>
            <w:tcW w:w="582" w:type="pct"/>
            <w:tcBorders>
              <w:top w:val="nil"/>
              <w:left w:val="nil"/>
              <w:bottom w:val="single" w:sz="4" w:space="0" w:color="auto"/>
              <w:right w:val="single" w:sz="4" w:space="0" w:color="auto"/>
            </w:tcBorders>
            <w:shd w:val="clear" w:color="auto" w:fill="auto"/>
            <w:noWrap/>
            <w:vAlign w:val="center"/>
            <w:hideMark/>
          </w:tcPr>
          <w:p w14:paraId="79AF2458" w14:textId="4999C070"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80</w:t>
            </w:r>
          </w:p>
        </w:tc>
        <w:tc>
          <w:tcPr>
            <w:tcW w:w="664" w:type="pct"/>
            <w:tcBorders>
              <w:top w:val="nil"/>
              <w:left w:val="nil"/>
              <w:bottom w:val="single" w:sz="4" w:space="0" w:color="auto"/>
              <w:right w:val="single" w:sz="4" w:space="0" w:color="auto"/>
            </w:tcBorders>
            <w:shd w:val="clear" w:color="auto" w:fill="auto"/>
            <w:noWrap/>
            <w:vAlign w:val="center"/>
            <w:hideMark/>
          </w:tcPr>
          <w:p w14:paraId="4F123FF9" w14:textId="2A78581D"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86</w:t>
            </w:r>
          </w:p>
        </w:tc>
      </w:tr>
      <w:tr w:rsidR="00480421" w:rsidRPr="00477D8F" w14:paraId="0D38E2D8"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00F0456B"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1CA3CEFF"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3</w:t>
            </w:r>
          </w:p>
        </w:tc>
        <w:tc>
          <w:tcPr>
            <w:tcW w:w="579" w:type="pct"/>
            <w:tcBorders>
              <w:top w:val="nil"/>
              <w:left w:val="nil"/>
              <w:bottom w:val="single" w:sz="4" w:space="0" w:color="auto"/>
              <w:right w:val="single" w:sz="4" w:space="0" w:color="auto"/>
            </w:tcBorders>
            <w:shd w:val="clear" w:color="auto" w:fill="auto"/>
            <w:noWrap/>
            <w:vAlign w:val="center"/>
            <w:hideMark/>
          </w:tcPr>
          <w:p w14:paraId="5348DE29" w14:textId="65D918B0"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89</w:t>
            </w:r>
          </w:p>
        </w:tc>
        <w:tc>
          <w:tcPr>
            <w:tcW w:w="891" w:type="pct"/>
            <w:tcBorders>
              <w:top w:val="nil"/>
              <w:left w:val="nil"/>
              <w:bottom w:val="single" w:sz="4" w:space="0" w:color="auto"/>
              <w:right w:val="single" w:sz="4" w:space="0" w:color="auto"/>
            </w:tcBorders>
            <w:shd w:val="clear" w:color="auto" w:fill="auto"/>
            <w:noWrap/>
            <w:vAlign w:val="center"/>
            <w:hideMark/>
          </w:tcPr>
          <w:p w14:paraId="2D7FA1DA" w14:textId="54951511"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79</w:t>
            </w:r>
          </w:p>
        </w:tc>
        <w:tc>
          <w:tcPr>
            <w:tcW w:w="541" w:type="pct"/>
            <w:tcBorders>
              <w:top w:val="nil"/>
              <w:left w:val="nil"/>
              <w:bottom w:val="single" w:sz="4" w:space="0" w:color="auto"/>
              <w:right w:val="single" w:sz="4" w:space="0" w:color="auto"/>
            </w:tcBorders>
            <w:shd w:val="clear" w:color="auto" w:fill="auto"/>
            <w:noWrap/>
            <w:vAlign w:val="center"/>
            <w:hideMark/>
          </w:tcPr>
          <w:p w14:paraId="1470E6FD" w14:textId="7656140D"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63</w:t>
            </w:r>
          </w:p>
        </w:tc>
        <w:tc>
          <w:tcPr>
            <w:tcW w:w="542" w:type="pct"/>
            <w:tcBorders>
              <w:top w:val="nil"/>
              <w:left w:val="nil"/>
              <w:bottom w:val="single" w:sz="4" w:space="0" w:color="auto"/>
              <w:right w:val="single" w:sz="4" w:space="0" w:color="auto"/>
            </w:tcBorders>
            <w:shd w:val="clear" w:color="auto" w:fill="auto"/>
            <w:noWrap/>
            <w:vAlign w:val="center"/>
            <w:hideMark/>
          </w:tcPr>
          <w:p w14:paraId="4A5A33A1" w14:textId="5F4C1F9F"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89</w:t>
            </w:r>
          </w:p>
        </w:tc>
        <w:tc>
          <w:tcPr>
            <w:tcW w:w="582" w:type="pct"/>
            <w:tcBorders>
              <w:top w:val="nil"/>
              <w:left w:val="nil"/>
              <w:bottom w:val="single" w:sz="4" w:space="0" w:color="auto"/>
              <w:right w:val="single" w:sz="4" w:space="0" w:color="auto"/>
            </w:tcBorders>
            <w:shd w:val="clear" w:color="auto" w:fill="auto"/>
            <w:noWrap/>
            <w:vAlign w:val="center"/>
            <w:hideMark/>
          </w:tcPr>
          <w:p w14:paraId="017B786A" w14:textId="0665FBF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32</w:t>
            </w:r>
          </w:p>
        </w:tc>
        <w:tc>
          <w:tcPr>
            <w:tcW w:w="664" w:type="pct"/>
            <w:tcBorders>
              <w:top w:val="nil"/>
              <w:left w:val="nil"/>
              <w:bottom w:val="single" w:sz="4" w:space="0" w:color="auto"/>
              <w:right w:val="single" w:sz="4" w:space="0" w:color="auto"/>
            </w:tcBorders>
            <w:shd w:val="clear" w:color="auto" w:fill="auto"/>
            <w:noWrap/>
            <w:vAlign w:val="center"/>
            <w:hideMark/>
          </w:tcPr>
          <w:p w14:paraId="78C73493" w14:textId="118101F6"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95</w:t>
            </w:r>
          </w:p>
        </w:tc>
      </w:tr>
      <w:tr w:rsidR="00480421" w:rsidRPr="00477D8F" w14:paraId="0A27107A"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5A6325A6"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28A83F73"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4</w:t>
            </w:r>
          </w:p>
        </w:tc>
        <w:tc>
          <w:tcPr>
            <w:tcW w:w="579" w:type="pct"/>
            <w:tcBorders>
              <w:top w:val="nil"/>
              <w:left w:val="nil"/>
              <w:bottom w:val="single" w:sz="4" w:space="0" w:color="auto"/>
              <w:right w:val="single" w:sz="4" w:space="0" w:color="auto"/>
            </w:tcBorders>
            <w:shd w:val="clear" w:color="auto" w:fill="auto"/>
            <w:noWrap/>
            <w:vAlign w:val="center"/>
            <w:hideMark/>
          </w:tcPr>
          <w:p w14:paraId="5996F911" w14:textId="1D35072C"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75</w:t>
            </w:r>
          </w:p>
        </w:tc>
        <w:tc>
          <w:tcPr>
            <w:tcW w:w="891" w:type="pct"/>
            <w:tcBorders>
              <w:top w:val="nil"/>
              <w:left w:val="nil"/>
              <w:bottom w:val="single" w:sz="4" w:space="0" w:color="auto"/>
              <w:right w:val="single" w:sz="4" w:space="0" w:color="auto"/>
            </w:tcBorders>
            <w:shd w:val="clear" w:color="auto" w:fill="auto"/>
            <w:noWrap/>
            <w:vAlign w:val="center"/>
            <w:hideMark/>
          </w:tcPr>
          <w:p w14:paraId="0FDDD64C" w14:textId="1660DD6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75</w:t>
            </w:r>
          </w:p>
        </w:tc>
        <w:tc>
          <w:tcPr>
            <w:tcW w:w="541" w:type="pct"/>
            <w:tcBorders>
              <w:top w:val="nil"/>
              <w:left w:val="nil"/>
              <w:bottom w:val="single" w:sz="4" w:space="0" w:color="auto"/>
              <w:right w:val="single" w:sz="4" w:space="0" w:color="auto"/>
            </w:tcBorders>
            <w:shd w:val="clear" w:color="auto" w:fill="auto"/>
            <w:noWrap/>
            <w:vAlign w:val="center"/>
            <w:hideMark/>
          </w:tcPr>
          <w:p w14:paraId="4C72E246" w14:textId="1D1B9284"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63</w:t>
            </w:r>
          </w:p>
        </w:tc>
        <w:tc>
          <w:tcPr>
            <w:tcW w:w="542" w:type="pct"/>
            <w:tcBorders>
              <w:top w:val="nil"/>
              <w:left w:val="nil"/>
              <w:bottom w:val="single" w:sz="4" w:space="0" w:color="auto"/>
              <w:right w:val="single" w:sz="4" w:space="0" w:color="auto"/>
            </w:tcBorders>
            <w:shd w:val="clear" w:color="auto" w:fill="auto"/>
            <w:noWrap/>
            <w:vAlign w:val="center"/>
            <w:hideMark/>
          </w:tcPr>
          <w:p w14:paraId="6E5F67E6" w14:textId="45D0855B"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88</w:t>
            </w:r>
          </w:p>
        </w:tc>
        <w:tc>
          <w:tcPr>
            <w:tcW w:w="582" w:type="pct"/>
            <w:tcBorders>
              <w:top w:val="nil"/>
              <w:left w:val="nil"/>
              <w:bottom w:val="single" w:sz="4" w:space="0" w:color="auto"/>
              <w:right w:val="single" w:sz="4" w:space="0" w:color="auto"/>
            </w:tcBorders>
            <w:shd w:val="clear" w:color="auto" w:fill="auto"/>
            <w:noWrap/>
            <w:vAlign w:val="center"/>
            <w:hideMark/>
          </w:tcPr>
          <w:p w14:paraId="5D21E5E7" w14:textId="6B98BEC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13</w:t>
            </w:r>
          </w:p>
        </w:tc>
        <w:tc>
          <w:tcPr>
            <w:tcW w:w="664" w:type="pct"/>
            <w:tcBorders>
              <w:top w:val="nil"/>
              <w:left w:val="nil"/>
              <w:bottom w:val="single" w:sz="4" w:space="0" w:color="auto"/>
              <w:right w:val="single" w:sz="4" w:space="0" w:color="auto"/>
            </w:tcBorders>
            <w:shd w:val="clear" w:color="auto" w:fill="auto"/>
            <w:noWrap/>
            <w:vAlign w:val="center"/>
            <w:hideMark/>
          </w:tcPr>
          <w:p w14:paraId="787DB8CA" w14:textId="5DDB1C59"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100</w:t>
            </w:r>
          </w:p>
        </w:tc>
      </w:tr>
      <w:tr w:rsidR="00480421" w:rsidRPr="00477D8F" w14:paraId="357A0FB9"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17AFCBCD"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4E2A22C8"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5</w:t>
            </w:r>
          </w:p>
        </w:tc>
        <w:tc>
          <w:tcPr>
            <w:tcW w:w="579" w:type="pct"/>
            <w:tcBorders>
              <w:top w:val="nil"/>
              <w:left w:val="nil"/>
              <w:bottom w:val="single" w:sz="4" w:space="0" w:color="auto"/>
              <w:right w:val="single" w:sz="4" w:space="0" w:color="auto"/>
            </w:tcBorders>
            <w:shd w:val="clear" w:color="auto" w:fill="auto"/>
            <w:noWrap/>
            <w:vAlign w:val="center"/>
            <w:hideMark/>
          </w:tcPr>
          <w:p w14:paraId="41852C0C" w14:textId="39DB768C"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75</w:t>
            </w:r>
          </w:p>
        </w:tc>
        <w:tc>
          <w:tcPr>
            <w:tcW w:w="891" w:type="pct"/>
            <w:tcBorders>
              <w:top w:val="nil"/>
              <w:left w:val="nil"/>
              <w:bottom w:val="single" w:sz="4" w:space="0" w:color="auto"/>
              <w:right w:val="single" w:sz="4" w:space="0" w:color="auto"/>
            </w:tcBorders>
            <w:shd w:val="clear" w:color="auto" w:fill="auto"/>
            <w:noWrap/>
            <w:vAlign w:val="center"/>
            <w:hideMark/>
          </w:tcPr>
          <w:p w14:paraId="2CF79696" w14:textId="335FA822"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75</w:t>
            </w:r>
          </w:p>
        </w:tc>
        <w:tc>
          <w:tcPr>
            <w:tcW w:w="541" w:type="pct"/>
            <w:tcBorders>
              <w:top w:val="nil"/>
              <w:left w:val="nil"/>
              <w:bottom w:val="single" w:sz="4" w:space="0" w:color="auto"/>
              <w:right w:val="single" w:sz="4" w:space="0" w:color="auto"/>
            </w:tcBorders>
            <w:shd w:val="clear" w:color="auto" w:fill="auto"/>
            <w:noWrap/>
            <w:vAlign w:val="center"/>
            <w:hideMark/>
          </w:tcPr>
          <w:p w14:paraId="3158C43F" w14:textId="77C200E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42</w:t>
            </w:r>
          </w:p>
        </w:tc>
        <w:tc>
          <w:tcPr>
            <w:tcW w:w="542" w:type="pct"/>
            <w:tcBorders>
              <w:top w:val="nil"/>
              <w:left w:val="nil"/>
              <w:bottom w:val="single" w:sz="4" w:space="0" w:color="auto"/>
              <w:right w:val="single" w:sz="4" w:space="0" w:color="auto"/>
            </w:tcBorders>
            <w:shd w:val="clear" w:color="auto" w:fill="auto"/>
            <w:noWrap/>
            <w:vAlign w:val="center"/>
            <w:hideMark/>
          </w:tcPr>
          <w:p w14:paraId="356D70DD" w14:textId="68AAAFD5"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83</w:t>
            </w:r>
          </w:p>
        </w:tc>
        <w:tc>
          <w:tcPr>
            <w:tcW w:w="582" w:type="pct"/>
            <w:tcBorders>
              <w:top w:val="nil"/>
              <w:left w:val="nil"/>
              <w:bottom w:val="single" w:sz="4" w:space="0" w:color="auto"/>
              <w:right w:val="single" w:sz="4" w:space="0" w:color="auto"/>
            </w:tcBorders>
            <w:shd w:val="clear" w:color="auto" w:fill="auto"/>
            <w:noWrap/>
            <w:vAlign w:val="center"/>
            <w:hideMark/>
          </w:tcPr>
          <w:p w14:paraId="428FAF2B" w14:textId="77286481"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42</w:t>
            </w:r>
          </w:p>
        </w:tc>
        <w:tc>
          <w:tcPr>
            <w:tcW w:w="664" w:type="pct"/>
            <w:tcBorders>
              <w:top w:val="nil"/>
              <w:left w:val="nil"/>
              <w:bottom w:val="single" w:sz="4" w:space="0" w:color="auto"/>
              <w:right w:val="single" w:sz="4" w:space="0" w:color="auto"/>
            </w:tcBorders>
            <w:shd w:val="clear" w:color="auto" w:fill="auto"/>
            <w:noWrap/>
            <w:vAlign w:val="center"/>
            <w:hideMark/>
          </w:tcPr>
          <w:p w14:paraId="1D3FD925" w14:textId="63A498C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92</w:t>
            </w:r>
          </w:p>
        </w:tc>
      </w:tr>
      <w:tr w:rsidR="00480421" w:rsidRPr="00477D8F" w14:paraId="16BF0360"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26B9F749"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47508582"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Region 6</w:t>
            </w:r>
          </w:p>
        </w:tc>
        <w:tc>
          <w:tcPr>
            <w:tcW w:w="579" w:type="pct"/>
            <w:tcBorders>
              <w:top w:val="nil"/>
              <w:left w:val="nil"/>
              <w:bottom w:val="single" w:sz="4" w:space="0" w:color="auto"/>
              <w:right w:val="single" w:sz="4" w:space="0" w:color="auto"/>
            </w:tcBorders>
            <w:shd w:val="clear" w:color="auto" w:fill="auto"/>
            <w:noWrap/>
            <w:vAlign w:val="center"/>
            <w:hideMark/>
          </w:tcPr>
          <w:p w14:paraId="771EABD5" w14:textId="3C86FF10"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70</w:t>
            </w:r>
          </w:p>
        </w:tc>
        <w:tc>
          <w:tcPr>
            <w:tcW w:w="891" w:type="pct"/>
            <w:tcBorders>
              <w:top w:val="nil"/>
              <w:left w:val="nil"/>
              <w:bottom w:val="single" w:sz="4" w:space="0" w:color="auto"/>
              <w:right w:val="single" w:sz="4" w:space="0" w:color="auto"/>
            </w:tcBorders>
            <w:shd w:val="clear" w:color="auto" w:fill="auto"/>
            <w:noWrap/>
            <w:vAlign w:val="center"/>
            <w:hideMark/>
          </w:tcPr>
          <w:p w14:paraId="6EB301E3" w14:textId="21F3D5B1"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90</w:t>
            </w:r>
          </w:p>
        </w:tc>
        <w:tc>
          <w:tcPr>
            <w:tcW w:w="541" w:type="pct"/>
            <w:tcBorders>
              <w:top w:val="nil"/>
              <w:left w:val="nil"/>
              <w:bottom w:val="single" w:sz="4" w:space="0" w:color="auto"/>
              <w:right w:val="single" w:sz="4" w:space="0" w:color="auto"/>
            </w:tcBorders>
            <w:shd w:val="clear" w:color="auto" w:fill="auto"/>
            <w:noWrap/>
            <w:vAlign w:val="center"/>
            <w:hideMark/>
          </w:tcPr>
          <w:p w14:paraId="645C56E0" w14:textId="2259A8B7"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60</w:t>
            </w:r>
          </w:p>
        </w:tc>
        <w:tc>
          <w:tcPr>
            <w:tcW w:w="542" w:type="pct"/>
            <w:tcBorders>
              <w:top w:val="nil"/>
              <w:left w:val="nil"/>
              <w:bottom w:val="single" w:sz="4" w:space="0" w:color="auto"/>
              <w:right w:val="single" w:sz="4" w:space="0" w:color="auto"/>
            </w:tcBorders>
            <w:shd w:val="clear" w:color="auto" w:fill="auto"/>
            <w:noWrap/>
            <w:vAlign w:val="center"/>
            <w:hideMark/>
          </w:tcPr>
          <w:p w14:paraId="457DC17E" w14:textId="64AA3DE9"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70</w:t>
            </w:r>
          </w:p>
        </w:tc>
        <w:tc>
          <w:tcPr>
            <w:tcW w:w="582" w:type="pct"/>
            <w:tcBorders>
              <w:top w:val="nil"/>
              <w:left w:val="nil"/>
              <w:bottom w:val="single" w:sz="4" w:space="0" w:color="auto"/>
              <w:right w:val="single" w:sz="4" w:space="0" w:color="auto"/>
            </w:tcBorders>
            <w:shd w:val="clear" w:color="auto" w:fill="auto"/>
            <w:noWrap/>
            <w:vAlign w:val="center"/>
            <w:hideMark/>
          </w:tcPr>
          <w:p w14:paraId="0474CAC1" w14:textId="7215EDC8"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30</w:t>
            </w:r>
          </w:p>
        </w:tc>
        <w:tc>
          <w:tcPr>
            <w:tcW w:w="664" w:type="pct"/>
            <w:tcBorders>
              <w:top w:val="nil"/>
              <w:left w:val="nil"/>
              <w:bottom w:val="single" w:sz="4" w:space="0" w:color="auto"/>
              <w:right w:val="single" w:sz="4" w:space="0" w:color="auto"/>
            </w:tcBorders>
            <w:shd w:val="clear" w:color="auto" w:fill="auto"/>
            <w:noWrap/>
            <w:vAlign w:val="center"/>
            <w:hideMark/>
          </w:tcPr>
          <w:p w14:paraId="0F9308A3" w14:textId="4E4FFF3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59</w:t>
            </w:r>
          </w:p>
        </w:tc>
      </w:tr>
      <w:tr w:rsidR="00480421" w:rsidRPr="00477D8F" w14:paraId="6E80C920" w14:textId="77777777" w:rsidTr="00E9156E">
        <w:trPr>
          <w:trHeight w:val="290"/>
          <w:jc w:val="center"/>
        </w:trPr>
        <w:tc>
          <w:tcPr>
            <w:tcW w:w="541" w:type="pct"/>
            <w:vMerge/>
            <w:tcBorders>
              <w:top w:val="nil"/>
              <w:left w:val="single" w:sz="4" w:space="0" w:color="auto"/>
              <w:bottom w:val="single" w:sz="4" w:space="0" w:color="auto"/>
              <w:right w:val="single" w:sz="4" w:space="0" w:color="auto"/>
            </w:tcBorders>
            <w:vAlign w:val="center"/>
            <w:hideMark/>
          </w:tcPr>
          <w:p w14:paraId="38F12928"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p>
        </w:tc>
        <w:tc>
          <w:tcPr>
            <w:tcW w:w="661" w:type="pct"/>
            <w:tcBorders>
              <w:top w:val="nil"/>
              <w:left w:val="nil"/>
              <w:bottom w:val="single" w:sz="4" w:space="0" w:color="auto"/>
              <w:right w:val="single" w:sz="4" w:space="0" w:color="auto"/>
            </w:tcBorders>
            <w:shd w:val="clear" w:color="auto" w:fill="auto"/>
            <w:noWrap/>
            <w:vAlign w:val="center"/>
            <w:hideMark/>
          </w:tcPr>
          <w:p w14:paraId="16C4AE9D" w14:textId="77777777" w:rsidR="00480421" w:rsidRPr="00477D8F" w:rsidRDefault="00480421" w:rsidP="009A2538">
            <w:pPr>
              <w:spacing w:after="0" w:line="240" w:lineRule="auto"/>
              <w:contextualSpacing/>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Average</w:t>
            </w:r>
          </w:p>
        </w:tc>
        <w:tc>
          <w:tcPr>
            <w:tcW w:w="579" w:type="pct"/>
            <w:tcBorders>
              <w:top w:val="nil"/>
              <w:left w:val="nil"/>
              <w:bottom w:val="single" w:sz="4" w:space="0" w:color="auto"/>
              <w:right w:val="single" w:sz="4" w:space="0" w:color="auto"/>
            </w:tcBorders>
            <w:shd w:val="clear" w:color="auto" w:fill="auto"/>
            <w:noWrap/>
            <w:vAlign w:val="center"/>
            <w:hideMark/>
          </w:tcPr>
          <w:p w14:paraId="126B70AA" w14:textId="6DFE36F1"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82</w:t>
            </w:r>
          </w:p>
        </w:tc>
        <w:tc>
          <w:tcPr>
            <w:tcW w:w="891" w:type="pct"/>
            <w:tcBorders>
              <w:top w:val="nil"/>
              <w:left w:val="nil"/>
              <w:bottom w:val="single" w:sz="4" w:space="0" w:color="auto"/>
              <w:right w:val="single" w:sz="4" w:space="0" w:color="auto"/>
            </w:tcBorders>
            <w:shd w:val="clear" w:color="auto" w:fill="auto"/>
            <w:noWrap/>
            <w:vAlign w:val="center"/>
            <w:hideMark/>
          </w:tcPr>
          <w:p w14:paraId="3ECDE301" w14:textId="4C8EBF9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77</w:t>
            </w:r>
          </w:p>
        </w:tc>
        <w:tc>
          <w:tcPr>
            <w:tcW w:w="541" w:type="pct"/>
            <w:tcBorders>
              <w:top w:val="nil"/>
              <w:left w:val="nil"/>
              <w:bottom w:val="single" w:sz="4" w:space="0" w:color="auto"/>
              <w:right w:val="single" w:sz="4" w:space="0" w:color="auto"/>
            </w:tcBorders>
            <w:shd w:val="clear" w:color="auto" w:fill="auto"/>
            <w:noWrap/>
            <w:vAlign w:val="center"/>
            <w:hideMark/>
          </w:tcPr>
          <w:p w14:paraId="7B8A6E82" w14:textId="1B584658"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63</w:t>
            </w:r>
          </w:p>
        </w:tc>
        <w:tc>
          <w:tcPr>
            <w:tcW w:w="542" w:type="pct"/>
            <w:tcBorders>
              <w:top w:val="nil"/>
              <w:left w:val="nil"/>
              <w:bottom w:val="single" w:sz="4" w:space="0" w:color="auto"/>
              <w:right w:val="single" w:sz="4" w:space="0" w:color="auto"/>
            </w:tcBorders>
            <w:shd w:val="clear" w:color="auto" w:fill="auto"/>
            <w:noWrap/>
            <w:vAlign w:val="center"/>
            <w:hideMark/>
          </w:tcPr>
          <w:p w14:paraId="08BE6691" w14:textId="248F4C93"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87</w:t>
            </w:r>
          </w:p>
        </w:tc>
        <w:tc>
          <w:tcPr>
            <w:tcW w:w="582" w:type="pct"/>
            <w:tcBorders>
              <w:top w:val="nil"/>
              <w:left w:val="nil"/>
              <w:bottom w:val="single" w:sz="4" w:space="0" w:color="auto"/>
              <w:right w:val="single" w:sz="4" w:space="0" w:color="auto"/>
            </w:tcBorders>
            <w:shd w:val="clear" w:color="auto" w:fill="auto"/>
            <w:noWrap/>
            <w:vAlign w:val="center"/>
            <w:hideMark/>
          </w:tcPr>
          <w:p w14:paraId="0B718D8A" w14:textId="28797C7E"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55</w:t>
            </w:r>
          </w:p>
        </w:tc>
        <w:tc>
          <w:tcPr>
            <w:tcW w:w="664" w:type="pct"/>
            <w:tcBorders>
              <w:top w:val="nil"/>
              <w:left w:val="nil"/>
              <w:bottom w:val="single" w:sz="4" w:space="0" w:color="auto"/>
              <w:right w:val="single" w:sz="4" w:space="0" w:color="auto"/>
            </w:tcBorders>
            <w:shd w:val="clear" w:color="auto" w:fill="auto"/>
            <w:noWrap/>
            <w:vAlign w:val="center"/>
            <w:hideMark/>
          </w:tcPr>
          <w:p w14:paraId="1E4F97D7" w14:textId="57A9C67D" w:rsidR="00480421" w:rsidRPr="00477D8F" w:rsidRDefault="00480421" w:rsidP="009A2538">
            <w:pPr>
              <w:spacing w:after="0" w:line="240" w:lineRule="auto"/>
              <w:contextualSpacing/>
              <w:jc w:val="center"/>
              <w:rPr>
                <w:rFonts w:ascii="Sylfaen" w:eastAsia="Times New Roman" w:hAnsi="Sylfaen" w:cs="Calibri"/>
                <w:color w:val="000000"/>
                <w:sz w:val="20"/>
                <w:szCs w:val="20"/>
                <w:lang w:eastAsia="ja-JP"/>
              </w:rPr>
            </w:pPr>
            <w:r w:rsidRPr="00477D8F">
              <w:rPr>
                <w:rFonts w:ascii="Sylfaen" w:eastAsia="Times New Roman" w:hAnsi="Sylfaen" w:cs="Calibri"/>
                <w:color w:val="000000"/>
                <w:sz w:val="20"/>
                <w:szCs w:val="20"/>
                <w:lang w:eastAsia="ja-JP"/>
              </w:rPr>
              <w:t>86</w:t>
            </w:r>
          </w:p>
        </w:tc>
      </w:tr>
    </w:tbl>
    <w:p w14:paraId="5DB0CF67" w14:textId="77777777" w:rsidR="00480421" w:rsidRPr="00477D8F" w:rsidRDefault="00480421" w:rsidP="00480421">
      <w:pPr>
        <w:pStyle w:val="Source"/>
      </w:pPr>
      <w:r w:rsidRPr="00477D8F">
        <w:rPr>
          <w:i/>
        </w:rPr>
        <w:t>Source:</w:t>
      </w:r>
      <w:r w:rsidRPr="00477D8F">
        <w:t xml:space="preserve"> Authors’ estimations based on EMIS.</w:t>
      </w:r>
    </w:p>
    <w:p w14:paraId="1121C15B" w14:textId="58D7899E" w:rsidR="00CF3FFF" w:rsidRPr="00477D8F" w:rsidRDefault="00CF3FFF" w:rsidP="00480421">
      <w:pPr>
        <w:jc w:val="both"/>
        <w:rPr>
          <w:rFonts w:ascii="Sylfaen" w:eastAsiaTheme="majorEastAsia" w:hAnsi="Sylfaen" w:cstheme="majorBidi"/>
          <w:bCs/>
        </w:rPr>
      </w:pPr>
    </w:p>
    <w:p w14:paraId="5FC74EC9" w14:textId="24193C26" w:rsidR="00061A30" w:rsidRPr="00477D8F" w:rsidRDefault="00061A30" w:rsidP="00480421">
      <w:pPr>
        <w:jc w:val="both"/>
        <w:rPr>
          <w:rFonts w:ascii="Sylfaen" w:eastAsiaTheme="majorEastAsia" w:hAnsi="Sylfaen" w:cstheme="majorBidi"/>
          <w:bCs/>
        </w:rPr>
      </w:pPr>
    </w:p>
    <w:p w14:paraId="77254AFA" w14:textId="54BE32C8" w:rsidR="00061A30" w:rsidRPr="00477D8F" w:rsidRDefault="00061A30" w:rsidP="00480421">
      <w:pPr>
        <w:jc w:val="both"/>
        <w:rPr>
          <w:rFonts w:ascii="Sylfaen" w:eastAsiaTheme="majorEastAsia" w:hAnsi="Sylfaen" w:cstheme="majorBidi"/>
          <w:bCs/>
        </w:rPr>
      </w:pPr>
    </w:p>
    <w:p w14:paraId="1FAF185F" w14:textId="77777777" w:rsidR="00061A30" w:rsidRPr="00477D8F" w:rsidRDefault="00061A30" w:rsidP="00480421">
      <w:pPr>
        <w:jc w:val="both"/>
        <w:rPr>
          <w:rFonts w:ascii="Sylfaen" w:eastAsiaTheme="majorEastAsia" w:hAnsi="Sylfaen" w:cstheme="majorBidi"/>
          <w:bCs/>
        </w:rPr>
      </w:pPr>
    </w:p>
    <w:p w14:paraId="27A38666" w14:textId="0644EBC1" w:rsidR="00E7440F" w:rsidRPr="00477D8F" w:rsidRDefault="00E7440F" w:rsidP="00E7440F">
      <w:pPr>
        <w:pStyle w:val="Caption1"/>
      </w:pPr>
      <w:r w:rsidRPr="00477D8F">
        <w:lastRenderedPageBreak/>
        <w:t>Table B</w:t>
      </w:r>
      <w:r w:rsidRPr="00477D8F">
        <w:fldChar w:fldCharType="begin"/>
      </w:r>
      <w:r w:rsidRPr="00477D8F">
        <w:instrText xml:space="preserve"> SEQ Table_B \* ARABIC </w:instrText>
      </w:r>
      <w:r w:rsidRPr="00477D8F">
        <w:fldChar w:fldCharType="separate"/>
      </w:r>
      <w:r w:rsidRPr="00477D8F">
        <w:rPr>
          <w:noProof/>
        </w:rPr>
        <w:t>2</w:t>
      </w:r>
      <w:r w:rsidRPr="00477D8F">
        <w:rPr>
          <w:noProof/>
        </w:rPr>
        <w:fldChar w:fldCharType="end"/>
      </w:r>
      <w:r w:rsidRPr="00477D8F">
        <w:t xml:space="preserve">: </w:t>
      </w:r>
      <w:r w:rsidR="00061A30" w:rsidRPr="00477D8F">
        <w:t>Enrollment projection under three scenarios</w:t>
      </w:r>
      <w:r w:rsidR="007E69BB" w:rsidRPr="00477D8F">
        <w:t xml:space="preserve"> (in thousands)</w:t>
      </w:r>
      <w:r w:rsidR="00061A30" w:rsidRPr="00477D8F">
        <w:t>, 2015-2030</w:t>
      </w:r>
    </w:p>
    <w:tbl>
      <w:tblPr>
        <w:tblW w:w="9076" w:type="dxa"/>
        <w:tblLook w:val="04A0" w:firstRow="1" w:lastRow="0" w:firstColumn="1" w:lastColumn="0" w:noHBand="0" w:noVBand="1"/>
      </w:tblPr>
      <w:tblGrid>
        <w:gridCol w:w="984"/>
        <w:gridCol w:w="1820"/>
        <w:gridCol w:w="718"/>
        <w:gridCol w:w="718"/>
        <w:gridCol w:w="858"/>
        <w:gridCol w:w="858"/>
        <w:gridCol w:w="724"/>
        <w:gridCol w:w="796"/>
        <w:gridCol w:w="796"/>
        <w:gridCol w:w="804"/>
      </w:tblGrid>
      <w:tr w:rsidR="00E7440F" w:rsidRPr="00477D8F" w14:paraId="6310E46A" w14:textId="77777777" w:rsidTr="00061A30">
        <w:trPr>
          <w:trHeight w:val="290"/>
        </w:trPr>
        <w:tc>
          <w:tcPr>
            <w:tcW w:w="984" w:type="dxa"/>
            <w:tcBorders>
              <w:top w:val="nil"/>
              <w:left w:val="nil"/>
              <w:bottom w:val="nil"/>
              <w:right w:val="nil"/>
            </w:tcBorders>
            <w:shd w:val="clear" w:color="auto" w:fill="auto"/>
            <w:noWrap/>
            <w:vAlign w:val="bottom"/>
            <w:hideMark/>
          </w:tcPr>
          <w:p w14:paraId="60B90F86" w14:textId="77777777" w:rsidR="00E7440F" w:rsidRPr="00477D8F" w:rsidRDefault="00E7440F" w:rsidP="00E7440F">
            <w:pPr>
              <w:spacing w:after="0" w:line="240" w:lineRule="auto"/>
              <w:rPr>
                <w:rFonts w:ascii="Times New Roman" w:eastAsia="Times New Roman" w:hAnsi="Times New Roman" w:cs="Times New Roman"/>
                <w:sz w:val="24"/>
                <w:szCs w:val="24"/>
              </w:rPr>
            </w:pPr>
          </w:p>
        </w:tc>
        <w:tc>
          <w:tcPr>
            <w:tcW w:w="1820" w:type="dxa"/>
            <w:tcBorders>
              <w:top w:val="nil"/>
              <w:left w:val="nil"/>
              <w:bottom w:val="nil"/>
              <w:right w:val="nil"/>
            </w:tcBorders>
            <w:shd w:val="clear" w:color="auto" w:fill="auto"/>
            <w:noWrap/>
            <w:vAlign w:val="bottom"/>
            <w:hideMark/>
          </w:tcPr>
          <w:p w14:paraId="3695827D" w14:textId="77777777" w:rsidR="00E7440F" w:rsidRPr="00477D8F" w:rsidRDefault="00E7440F" w:rsidP="00E7440F">
            <w:pPr>
              <w:spacing w:after="0" w:line="240" w:lineRule="auto"/>
              <w:rPr>
                <w:rFonts w:ascii="Times New Roman" w:eastAsia="Times New Roman" w:hAnsi="Times New Roman" w:cs="Times New Roman"/>
                <w:sz w:val="20"/>
                <w:szCs w:val="20"/>
              </w:rPr>
            </w:pPr>
          </w:p>
        </w:tc>
        <w:tc>
          <w:tcPr>
            <w:tcW w:w="3152" w:type="dxa"/>
            <w:gridSpan w:val="4"/>
            <w:tcBorders>
              <w:top w:val="nil"/>
              <w:left w:val="nil"/>
              <w:bottom w:val="nil"/>
              <w:right w:val="nil"/>
            </w:tcBorders>
            <w:shd w:val="clear" w:color="auto" w:fill="auto"/>
            <w:noWrap/>
            <w:vAlign w:val="bottom"/>
            <w:hideMark/>
          </w:tcPr>
          <w:p w14:paraId="20BBC416" w14:textId="77777777" w:rsidR="00E7440F" w:rsidRPr="00477D8F" w:rsidRDefault="00E7440F" w:rsidP="00E7440F">
            <w:pPr>
              <w:spacing w:after="0" w:line="240" w:lineRule="auto"/>
              <w:jc w:val="center"/>
              <w:rPr>
                <w:rFonts w:ascii="Calibri" w:eastAsia="Times New Roman" w:hAnsi="Calibri" w:cs="Calibri"/>
                <w:color w:val="000000"/>
              </w:rPr>
            </w:pPr>
            <w:r w:rsidRPr="00477D8F">
              <w:rPr>
                <w:rFonts w:ascii="Calibri" w:eastAsia="Times New Roman" w:hAnsi="Calibri" w:cs="Calibri"/>
                <w:color w:val="000000"/>
              </w:rPr>
              <w:t xml:space="preserve">Number of children </w:t>
            </w:r>
          </w:p>
        </w:tc>
        <w:tc>
          <w:tcPr>
            <w:tcW w:w="3120" w:type="dxa"/>
            <w:gridSpan w:val="4"/>
            <w:tcBorders>
              <w:top w:val="nil"/>
              <w:left w:val="nil"/>
              <w:bottom w:val="nil"/>
              <w:right w:val="nil"/>
            </w:tcBorders>
            <w:shd w:val="clear" w:color="auto" w:fill="auto"/>
            <w:noWrap/>
            <w:vAlign w:val="bottom"/>
            <w:hideMark/>
          </w:tcPr>
          <w:p w14:paraId="5E5E4F31" w14:textId="47B81B79" w:rsidR="00E7440F" w:rsidRPr="00477D8F" w:rsidRDefault="00E7440F" w:rsidP="00E7440F">
            <w:pPr>
              <w:spacing w:after="0" w:line="240" w:lineRule="auto"/>
              <w:jc w:val="center"/>
              <w:rPr>
                <w:rFonts w:ascii="Calibri" w:eastAsia="Times New Roman" w:hAnsi="Calibri" w:cs="Calibri"/>
                <w:color w:val="000000"/>
              </w:rPr>
            </w:pPr>
            <w:r w:rsidRPr="00477D8F">
              <w:rPr>
                <w:rFonts w:ascii="Calibri" w:eastAsia="Times New Roman" w:hAnsi="Calibri" w:cs="Calibri"/>
                <w:color w:val="000000"/>
              </w:rPr>
              <w:t>Gros Enrollment</w:t>
            </w:r>
            <w:r w:rsidR="00061A30" w:rsidRPr="00477D8F">
              <w:rPr>
                <w:rFonts w:ascii="Calibri" w:eastAsia="Times New Roman" w:hAnsi="Calibri" w:cs="Calibri"/>
                <w:color w:val="000000"/>
              </w:rPr>
              <w:t xml:space="preserve"> R</w:t>
            </w:r>
            <w:r w:rsidRPr="00477D8F">
              <w:rPr>
                <w:rFonts w:ascii="Calibri" w:eastAsia="Times New Roman" w:hAnsi="Calibri" w:cs="Calibri"/>
                <w:color w:val="000000"/>
              </w:rPr>
              <w:t>at</w:t>
            </w:r>
            <w:r w:rsidR="00061A30" w:rsidRPr="00477D8F">
              <w:rPr>
                <w:rFonts w:ascii="Calibri" w:eastAsia="Times New Roman" w:hAnsi="Calibri" w:cs="Calibri"/>
                <w:color w:val="000000"/>
              </w:rPr>
              <w:t>e</w:t>
            </w:r>
            <w:r w:rsidRPr="00477D8F">
              <w:rPr>
                <w:rFonts w:ascii="Calibri" w:eastAsia="Times New Roman" w:hAnsi="Calibri" w:cs="Calibri"/>
                <w:color w:val="000000"/>
              </w:rPr>
              <w:t>s</w:t>
            </w:r>
          </w:p>
        </w:tc>
      </w:tr>
      <w:tr w:rsidR="00E7440F" w:rsidRPr="00477D8F" w14:paraId="076F5A16" w14:textId="77777777" w:rsidTr="00061A30">
        <w:trPr>
          <w:trHeight w:val="290"/>
        </w:trPr>
        <w:tc>
          <w:tcPr>
            <w:tcW w:w="984" w:type="dxa"/>
            <w:tcBorders>
              <w:top w:val="single" w:sz="4" w:space="0" w:color="auto"/>
              <w:left w:val="single" w:sz="4" w:space="0" w:color="auto"/>
              <w:bottom w:val="single" w:sz="4" w:space="0" w:color="auto"/>
              <w:right w:val="nil"/>
            </w:tcBorders>
            <w:shd w:val="clear" w:color="auto" w:fill="auto"/>
            <w:noWrap/>
            <w:vAlign w:val="bottom"/>
            <w:hideMark/>
          </w:tcPr>
          <w:p w14:paraId="1A1799A4"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Scenario</w:t>
            </w:r>
          </w:p>
        </w:tc>
        <w:tc>
          <w:tcPr>
            <w:tcW w:w="1820" w:type="dxa"/>
            <w:tcBorders>
              <w:top w:val="single" w:sz="4" w:space="0" w:color="auto"/>
              <w:left w:val="nil"/>
              <w:bottom w:val="single" w:sz="4" w:space="0" w:color="auto"/>
              <w:right w:val="nil"/>
            </w:tcBorders>
            <w:shd w:val="clear" w:color="auto" w:fill="auto"/>
            <w:noWrap/>
            <w:vAlign w:val="bottom"/>
            <w:hideMark/>
          </w:tcPr>
          <w:p w14:paraId="166DE7F8" w14:textId="60EE631A"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r w:rsidR="00510EA5" w:rsidRPr="00477D8F">
              <w:rPr>
                <w:rFonts w:ascii="Calibri" w:eastAsia="Times New Roman" w:hAnsi="Calibri" w:cs="Calibri"/>
                <w:color w:val="000000"/>
              </w:rPr>
              <w:t>Indicator</w:t>
            </w:r>
          </w:p>
        </w:tc>
        <w:tc>
          <w:tcPr>
            <w:tcW w:w="718" w:type="dxa"/>
            <w:tcBorders>
              <w:top w:val="single" w:sz="4" w:space="0" w:color="auto"/>
              <w:left w:val="nil"/>
              <w:bottom w:val="single" w:sz="4" w:space="0" w:color="auto"/>
              <w:right w:val="nil"/>
            </w:tcBorders>
            <w:shd w:val="clear" w:color="auto" w:fill="auto"/>
            <w:noWrap/>
            <w:vAlign w:val="bottom"/>
            <w:hideMark/>
          </w:tcPr>
          <w:p w14:paraId="1168E233" w14:textId="77777777" w:rsidR="00E7440F" w:rsidRPr="00477D8F" w:rsidRDefault="00E7440F"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2015</w:t>
            </w:r>
          </w:p>
        </w:tc>
        <w:tc>
          <w:tcPr>
            <w:tcW w:w="718" w:type="dxa"/>
            <w:tcBorders>
              <w:top w:val="single" w:sz="4" w:space="0" w:color="auto"/>
              <w:left w:val="nil"/>
              <w:bottom w:val="single" w:sz="4" w:space="0" w:color="auto"/>
              <w:right w:val="nil"/>
            </w:tcBorders>
            <w:shd w:val="clear" w:color="auto" w:fill="auto"/>
            <w:noWrap/>
            <w:vAlign w:val="bottom"/>
            <w:hideMark/>
          </w:tcPr>
          <w:p w14:paraId="7FBA6E7A" w14:textId="77777777" w:rsidR="00E7440F" w:rsidRPr="00477D8F" w:rsidRDefault="00E7440F"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2020</w:t>
            </w:r>
          </w:p>
        </w:tc>
        <w:tc>
          <w:tcPr>
            <w:tcW w:w="858" w:type="dxa"/>
            <w:tcBorders>
              <w:top w:val="single" w:sz="4" w:space="0" w:color="auto"/>
              <w:left w:val="nil"/>
              <w:bottom w:val="single" w:sz="4" w:space="0" w:color="auto"/>
              <w:right w:val="nil"/>
            </w:tcBorders>
            <w:shd w:val="clear" w:color="auto" w:fill="auto"/>
            <w:noWrap/>
            <w:vAlign w:val="bottom"/>
            <w:hideMark/>
          </w:tcPr>
          <w:p w14:paraId="2E2D481D" w14:textId="77777777" w:rsidR="00E7440F" w:rsidRPr="00477D8F" w:rsidRDefault="00E7440F"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2025</w:t>
            </w:r>
          </w:p>
        </w:tc>
        <w:tc>
          <w:tcPr>
            <w:tcW w:w="858" w:type="dxa"/>
            <w:tcBorders>
              <w:top w:val="single" w:sz="4" w:space="0" w:color="auto"/>
              <w:left w:val="nil"/>
              <w:bottom w:val="single" w:sz="4" w:space="0" w:color="auto"/>
              <w:right w:val="nil"/>
            </w:tcBorders>
            <w:shd w:val="clear" w:color="auto" w:fill="auto"/>
            <w:noWrap/>
            <w:vAlign w:val="bottom"/>
            <w:hideMark/>
          </w:tcPr>
          <w:p w14:paraId="1A345BE0" w14:textId="77777777" w:rsidR="00E7440F" w:rsidRPr="00477D8F" w:rsidRDefault="00E7440F"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2030</w:t>
            </w:r>
          </w:p>
        </w:tc>
        <w:tc>
          <w:tcPr>
            <w:tcW w:w="724" w:type="dxa"/>
            <w:tcBorders>
              <w:top w:val="single" w:sz="4" w:space="0" w:color="auto"/>
              <w:left w:val="nil"/>
              <w:bottom w:val="single" w:sz="4" w:space="0" w:color="auto"/>
              <w:right w:val="nil"/>
            </w:tcBorders>
            <w:shd w:val="clear" w:color="auto" w:fill="auto"/>
            <w:noWrap/>
            <w:vAlign w:val="bottom"/>
            <w:hideMark/>
          </w:tcPr>
          <w:p w14:paraId="65B563F5" w14:textId="77777777" w:rsidR="00E7440F" w:rsidRPr="00477D8F" w:rsidRDefault="00E7440F"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2015</w:t>
            </w:r>
          </w:p>
        </w:tc>
        <w:tc>
          <w:tcPr>
            <w:tcW w:w="796" w:type="dxa"/>
            <w:tcBorders>
              <w:top w:val="single" w:sz="4" w:space="0" w:color="auto"/>
              <w:left w:val="nil"/>
              <w:bottom w:val="single" w:sz="4" w:space="0" w:color="auto"/>
              <w:right w:val="nil"/>
            </w:tcBorders>
            <w:shd w:val="clear" w:color="auto" w:fill="auto"/>
            <w:noWrap/>
            <w:vAlign w:val="bottom"/>
            <w:hideMark/>
          </w:tcPr>
          <w:p w14:paraId="7AC8A80F" w14:textId="77777777" w:rsidR="00E7440F" w:rsidRPr="00477D8F" w:rsidRDefault="00E7440F"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2020</w:t>
            </w:r>
          </w:p>
        </w:tc>
        <w:tc>
          <w:tcPr>
            <w:tcW w:w="796" w:type="dxa"/>
            <w:tcBorders>
              <w:top w:val="single" w:sz="4" w:space="0" w:color="auto"/>
              <w:left w:val="nil"/>
              <w:bottom w:val="single" w:sz="4" w:space="0" w:color="auto"/>
              <w:right w:val="nil"/>
            </w:tcBorders>
            <w:shd w:val="clear" w:color="auto" w:fill="auto"/>
            <w:noWrap/>
            <w:vAlign w:val="bottom"/>
            <w:hideMark/>
          </w:tcPr>
          <w:p w14:paraId="7EE44387" w14:textId="77777777" w:rsidR="00E7440F" w:rsidRPr="00477D8F" w:rsidRDefault="00E7440F"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2025</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14:paraId="15FF8A75" w14:textId="77777777" w:rsidR="00E7440F" w:rsidRPr="00477D8F" w:rsidRDefault="00E7440F"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2030</w:t>
            </w:r>
          </w:p>
        </w:tc>
      </w:tr>
      <w:tr w:rsidR="00E7440F" w:rsidRPr="00477D8F" w14:paraId="759F324F" w14:textId="77777777" w:rsidTr="00061A30">
        <w:trPr>
          <w:trHeight w:val="290"/>
        </w:trPr>
        <w:tc>
          <w:tcPr>
            <w:tcW w:w="984" w:type="dxa"/>
            <w:tcBorders>
              <w:top w:val="nil"/>
              <w:left w:val="single" w:sz="4" w:space="0" w:color="auto"/>
              <w:bottom w:val="nil"/>
              <w:right w:val="nil"/>
            </w:tcBorders>
            <w:shd w:val="clear" w:color="auto" w:fill="auto"/>
            <w:noWrap/>
            <w:vAlign w:val="bottom"/>
            <w:hideMark/>
          </w:tcPr>
          <w:p w14:paraId="55DFBE94"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1820" w:type="dxa"/>
            <w:tcBorders>
              <w:top w:val="nil"/>
              <w:left w:val="nil"/>
              <w:bottom w:val="nil"/>
              <w:right w:val="nil"/>
            </w:tcBorders>
            <w:shd w:val="clear" w:color="auto" w:fill="auto"/>
            <w:noWrap/>
            <w:vAlign w:val="bottom"/>
            <w:hideMark/>
          </w:tcPr>
          <w:p w14:paraId="039F23A3"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18" w:type="dxa"/>
            <w:tcBorders>
              <w:top w:val="nil"/>
              <w:left w:val="nil"/>
              <w:bottom w:val="nil"/>
              <w:right w:val="nil"/>
            </w:tcBorders>
            <w:shd w:val="clear" w:color="auto" w:fill="auto"/>
            <w:noWrap/>
            <w:vAlign w:val="bottom"/>
            <w:hideMark/>
          </w:tcPr>
          <w:p w14:paraId="0B26DEF6"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18" w:type="dxa"/>
            <w:tcBorders>
              <w:top w:val="nil"/>
              <w:left w:val="nil"/>
              <w:bottom w:val="nil"/>
              <w:right w:val="nil"/>
            </w:tcBorders>
            <w:shd w:val="clear" w:color="auto" w:fill="auto"/>
            <w:noWrap/>
            <w:vAlign w:val="bottom"/>
            <w:hideMark/>
          </w:tcPr>
          <w:p w14:paraId="6D44466D"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58" w:type="dxa"/>
            <w:tcBorders>
              <w:top w:val="nil"/>
              <w:left w:val="nil"/>
              <w:bottom w:val="nil"/>
              <w:right w:val="nil"/>
            </w:tcBorders>
            <w:shd w:val="clear" w:color="auto" w:fill="auto"/>
            <w:noWrap/>
            <w:vAlign w:val="bottom"/>
            <w:hideMark/>
          </w:tcPr>
          <w:p w14:paraId="6F4EB33D"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58" w:type="dxa"/>
            <w:tcBorders>
              <w:top w:val="nil"/>
              <w:left w:val="nil"/>
              <w:bottom w:val="nil"/>
              <w:right w:val="nil"/>
            </w:tcBorders>
            <w:shd w:val="clear" w:color="auto" w:fill="auto"/>
            <w:noWrap/>
            <w:vAlign w:val="bottom"/>
            <w:hideMark/>
          </w:tcPr>
          <w:p w14:paraId="393F1DE0"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24" w:type="dxa"/>
            <w:tcBorders>
              <w:top w:val="nil"/>
              <w:left w:val="nil"/>
              <w:bottom w:val="nil"/>
              <w:right w:val="nil"/>
            </w:tcBorders>
            <w:shd w:val="clear" w:color="auto" w:fill="auto"/>
            <w:noWrap/>
            <w:vAlign w:val="bottom"/>
            <w:hideMark/>
          </w:tcPr>
          <w:p w14:paraId="4569F7D0"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nil"/>
              <w:right w:val="nil"/>
            </w:tcBorders>
            <w:shd w:val="clear" w:color="auto" w:fill="auto"/>
            <w:noWrap/>
            <w:vAlign w:val="bottom"/>
            <w:hideMark/>
          </w:tcPr>
          <w:p w14:paraId="0D54AD73"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nil"/>
              <w:right w:val="nil"/>
            </w:tcBorders>
            <w:shd w:val="clear" w:color="auto" w:fill="auto"/>
            <w:noWrap/>
            <w:vAlign w:val="bottom"/>
            <w:hideMark/>
          </w:tcPr>
          <w:p w14:paraId="048EC1D0"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04" w:type="dxa"/>
            <w:tcBorders>
              <w:top w:val="nil"/>
              <w:left w:val="nil"/>
              <w:bottom w:val="nil"/>
              <w:right w:val="single" w:sz="4" w:space="0" w:color="auto"/>
            </w:tcBorders>
            <w:shd w:val="clear" w:color="auto" w:fill="auto"/>
            <w:noWrap/>
            <w:vAlign w:val="bottom"/>
            <w:hideMark/>
          </w:tcPr>
          <w:p w14:paraId="73AE0268"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r>
      <w:tr w:rsidR="00061A30" w:rsidRPr="00477D8F" w14:paraId="1F58986A" w14:textId="77777777" w:rsidTr="00061A30">
        <w:trPr>
          <w:trHeight w:val="290"/>
        </w:trPr>
        <w:tc>
          <w:tcPr>
            <w:tcW w:w="984" w:type="dxa"/>
            <w:vMerge w:val="restart"/>
            <w:tcBorders>
              <w:top w:val="nil"/>
              <w:left w:val="single" w:sz="4" w:space="0" w:color="auto"/>
              <w:right w:val="nil"/>
            </w:tcBorders>
            <w:shd w:val="clear" w:color="auto" w:fill="auto"/>
            <w:noWrap/>
            <w:vAlign w:val="bottom"/>
            <w:hideMark/>
          </w:tcPr>
          <w:p w14:paraId="7BB38A8D"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xml:space="preserve">High </w:t>
            </w:r>
          </w:p>
          <w:p w14:paraId="31D7473F"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2AD517D3"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4BFFCE9F"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2FA682DA"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7759FB81" w14:textId="21F6BDEA"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1820" w:type="dxa"/>
            <w:tcBorders>
              <w:top w:val="nil"/>
              <w:left w:val="nil"/>
              <w:bottom w:val="nil"/>
              <w:right w:val="nil"/>
            </w:tcBorders>
            <w:shd w:val="clear" w:color="auto" w:fill="auto"/>
            <w:noWrap/>
            <w:vAlign w:val="bottom"/>
            <w:hideMark/>
          </w:tcPr>
          <w:p w14:paraId="521278FA"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ECD</w:t>
            </w:r>
          </w:p>
        </w:tc>
        <w:tc>
          <w:tcPr>
            <w:tcW w:w="718" w:type="dxa"/>
            <w:tcBorders>
              <w:top w:val="nil"/>
              <w:left w:val="nil"/>
              <w:bottom w:val="nil"/>
              <w:right w:val="nil"/>
            </w:tcBorders>
            <w:shd w:val="clear" w:color="auto" w:fill="auto"/>
            <w:noWrap/>
            <w:vAlign w:val="bottom"/>
            <w:hideMark/>
          </w:tcPr>
          <w:p w14:paraId="29B7E51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97.6</w:t>
            </w:r>
          </w:p>
        </w:tc>
        <w:tc>
          <w:tcPr>
            <w:tcW w:w="718" w:type="dxa"/>
            <w:tcBorders>
              <w:top w:val="nil"/>
              <w:left w:val="nil"/>
              <w:bottom w:val="nil"/>
              <w:right w:val="nil"/>
            </w:tcBorders>
            <w:shd w:val="clear" w:color="auto" w:fill="auto"/>
            <w:noWrap/>
            <w:vAlign w:val="bottom"/>
            <w:hideMark/>
          </w:tcPr>
          <w:p w14:paraId="0EDB7347"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142.0</w:t>
            </w:r>
          </w:p>
        </w:tc>
        <w:tc>
          <w:tcPr>
            <w:tcW w:w="858" w:type="dxa"/>
            <w:tcBorders>
              <w:top w:val="nil"/>
              <w:left w:val="nil"/>
              <w:bottom w:val="nil"/>
              <w:right w:val="nil"/>
            </w:tcBorders>
            <w:shd w:val="clear" w:color="auto" w:fill="auto"/>
            <w:noWrap/>
            <w:vAlign w:val="bottom"/>
            <w:hideMark/>
          </w:tcPr>
          <w:p w14:paraId="13E223D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206.7</w:t>
            </w:r>
          </w:p>
        </w:tc>
        <w:tc>
          <w:tcPr>
            <w:tcW w:w="858" w:type="dxa"/>
            <w:tcBorders>
              <w:top w:val="nil"/>
              <w:left w:val="nil"/>
              <w:bottom w:val="nil"/>
              <w:right w:val="nil"/>
            </w:tcBorders>
            <w:shd w:val="clear" w:color="auto" w:fill="auto"/>
            <w:noWrap/>
            <w:vAlign w:val="bottom"/>
            <w:hideMark/>
          </w:tcPr>
          <w:p w14:paraId="6584C52B"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300.9</w:t>
            </w:r>
          </w:p>
        </w:tc>
        <w:tc>
          <w:tcPr>
            <w:tcW w:w="724" w:type="dxa"/>
            <w:tcBorders>
              <w:top w:val="nil"/>
              <w:left w:val="nil"/>
              <w:bottom w:val="nil"/>
              <w:right w:val="nil"/>
            </w:tcBorders>
            <w:shd w:val="clear" w:color="auto" w:fill="auto"/>
            <w:noWrap/>
            <w:vAlign w:val="bottom"/>
            <w:hideMark/>
          </w:tcPr>
          <w:p w14:paraId="318CDDF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37%</w:t>
            </w:r>
          </w:p>
        </w:tc>
        <w:tc>
          <w:tcPr>
            <w:tcW w:w="796" w:type="dxa"/>
            <w:tcBorders>
              <w:top w:val="nil"/>
              <w:left w:val="nil"/>
              <w:bottom w:val="nil"/>
              <w:right w:val="nil"/>
            </w:tcBorders>
            <w:shd w:val="clear" w:color="auto" w:fill="auto"/>
            <w:noWrap/>
            <w:vAlign w:val="bottom"/>
            <w:hideMark/>
          </w:tcPr>
          <w:p w14:paraId="042BE9F5"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47%</w:t>
            </w:r>
          </w:p>
        </w:tc>
        <w:tc>
          <w:tcPr>
            <w:tcW w:w="796" w:type="dxa"/>
            <w:tcBorders>
              <w:top w:val="nil"/>
              <w:left w:val="nil"/>
              <w:bottom w:val="nil"/>
              <w:right w:val="nil"/>
            </w:tcBorders>
            <w:shd w:val="clear" w:color="auto" w:fill="auto"/>
            <w:noWrap/>
            <w:vAlign w:val="bottom"/>
            <w:hideMark/>
          </w:tcPr>
          <w:p w14:paraId="23BB095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61%</w:t>
            </w:r>
          </w:p>
        </w:tc>
        <w:tc>
          <w:tcPr>
            <w:tcW w:w="804" w:type="dxa"/>
            <w:tcBorders>
              <w:top w:val="nil"/>
              <w:left w:val="nil"/>
              <w:bottom w:val="nil"/>
              <w:right w:val="single" w:sz="4" w:space="0" w:color="auto"/>
            </w:tcBorders>
            <w:shd w:val="clear" w:color="auto" w:fill="auto"/>
            <w:noWrap/>
            <w:vAlign w:val="bottom"/>
            <w:hideMark/>
          </w:tcPr>
          <w:p w14:paraId="5961FDF5"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81%</w:t>
            </w:r>
          </w:p>
        </w:tc>
      </w:tr>
      <w:tr w:rsidR="00061A30" w:rsidRPr="00477D8F" w14:paraId="5A019103" w14:textId="77777777" w:rsidTr="00061A30">
        <w:trPr>
          <w:trHeight w:val="290"/>
        </w:trPr>
        <w:tc>
          <w:tcPr>
            <w:tcW w:w="984" w:type="dxa"/>
            <w:vMerge/>
            <w:tcBorders>
              <w:left w:val="single" w:sz="4" w:space="0" w:color="auto"/>
              <w:right w:val="nil"/>
            </w:tcBorders>
            <w:shd w:val="clear" w:color="auto" w:fill="auto"/>
            <w:noWrap/>
            <w:vAlign w:val="bottom"/>
            <w:hideMark/>
          </w:tcPr>
          <w:p w14:paraId="24DBF061" w14:textId="0622AF81"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nil"/>
              <w:right w:val="nil"/>
            </w:tcBorders>
            <w:shd w:val="clear" w:color="auto" w:fill="auto"/>
            <w:noWrap/>
            <w:vAlign w:val="bottom"/>
            <w:hideMark/>
          </w:tcPr>
          <w:p w14:paraId="24A172DC"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Primary</w:t>
            </w:r>
          </w:p>
        </w:tc>
        <w:tc>
          <w:tcPr>
            <w:tcW w:w="718" w:type="dxa"/>
            <w:tcBorders>
              <w:top w:val="nil"/>
              <w:left w:val="nil"/>
              <w:bottom w:val="nil"/>
              <w:right w:val="nil"/>
            </w:tcBorders>
            <w:shd w:val="clear" w:color="auto" w:fill="auto"/>
            <w:noWrap/>
            <w:vAlign w:val="bottom"/>
            <w:hideMark/>
          </w:tcPr>
          <w:p w14:paraId="60C02F8C"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308.7</w:t>
            </w:r>
          </w:p>
        </w:tc>
        <w:tc>
          <w:tcPr>
            <w:tcW w:w="718" w:type="dxa"/>
            <w:tcBorders>
              <w:top w:val="nil"/>
              <w:left w:val="nil"/>
              <w:bottom w:val="nil"/>
              <w:right w:val="nil"/>
            </w:tcBorders>
            <w:shd w:val="clear" w:color="auto" w:fill="auto"/>
            <w:noWrap/>
            <w:vAlign w:val="bottom"/>
            <w:hideMark/>
          </w:tcPr>
          <w:p w14:paraId="47ECEE97"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430.3</w:t>
            </w:r>
          </w:p>
        </w:tc>
        <w:tc>
          <w:tcPr>
            <w:tcW w:w="858" w:type="dxa"/>
            <w:tcBorders>
              <w:top w:val="nil"/>
              <w:left w:val="nil"/>
              <w:bottom w:val="nil"/>
              <w:right w:val="nil"/>
            </w:tcBorders>
            <w:shd w:val="clear" w:color="auto" w:fill="auto"/>
            <w:noWrap/>
            <w:vAlign w:val="bottom"/>
            <w:hideMark/>
          </w:tcPr>
          <w:p w14:paraId="678A03CD"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515.1</w:t>
            </w:r>
          </w:p>
        </w:tc>
        <w:tc>
          <w:tcPr>
            <w:tcW w:w="858" w:type="dxa"/>
            <w:tcBorders>
              <w:top w:val="nil"/>
              <w:left w:val="nil"/>
              <w:bottom w:val="nil"/>
              <w:right w:val="nil"/>
            </w:tcBorders>
            <w:shd w:val="clear" w:color="auto" w:fill="auto"/>
            <w:noWrap/>
            <w:vAlign w:val="bottom"/>
            <w:hideMark/>
          </w:tcPr>
          <w:p w14:paraId="34C0AD5C"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568.7</w:t>
            </w:r>
          </w:p>
        </w:tc>
        <w:tc>
          <w:tcPr>
            <w:tcW w:w="724" w:type="dxa"/>
            <w:tcBorders>
              <w:top w:val="nil"/>
              <w:left w:val="nil"/>
              <w:bottom w:val="nil"/>
              <w:right w:val="nil"/>
            </w:tcBorders>
            <w:shd w:val="clear" w:color="auto" w:fill="auto"/>
            <w:noWrap/>
            <w:vAlign w:val="bottom"/>
            <w:hideMark/>
          </w:tcPr>
          <w:p w14:paraId="5EC76CC0"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93%</w:t>
            </w:r>
          </w:p>
        </w:tc>
        <w:tc>
          <w:tcPr>
            <w:tcW w:w="796" w:type="dxa"/>
            <w:tcBorders>
              <w:top w:val="nil"/>
              <w:left w:val="nil"/>
              <w:bottom w:val="nil"/>
              <w:right w:val="nil"/>
            </w:tcBorders>
            <w:shd w:val="clear" w:color="auto" w:fill="auto"/>
            <w:noWrap/>
            <w:vAlign w:val="bottom"/>
            <w:hideMark/>
          </w:tcPr>
          <w:p w14:paraId="23A3E2C9"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111%</w:t>
            </w:r>
          </w:p>
        </w:tc>
        <w:tc>
          <w:tcPr>
            <w:tcW w:w="796" w:type="dxa"/>
            <w:tcBorders>
              <w:top w:val="nil"/>
              <w:left w:val="nil"/>
              <w:bottom w:val="nil"/>
              <w:right w:val="nil"/>
            </w:tcBorders>
            <w:shd w:val="clear" w:color="auto" w:fill="auto"/>
            <w:noWrap/>
            <w:vAlign w:val="bottom"/>
            <w:hideMark/>
          </w:tcPr>
          <w:p w14:paraId="613FF51C"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116%</w:t>
            </w:r>
          </w:p>
        </w:tc>
        <w:tc>
          <w:tcPr>
            <w:tcW w:w="804" w:type="dxa"/>
            <w:tcBorders>
              <w:top w:val="nil"/>
              <w:left w:val="nil"/>
              <w:bottom w:val="nil"/>
              <w:right w:val="single" w:sz="4" w:space="0" w:color="auto"/>
            </w:tcBorders>
            <w:shd w:val="clear" w:color="auto" w:fill="auto"/>
            <w:noWrap/>
            <w:vAlign w:val="bottom"/>
            <w:hideMark/>
          </w:tcPr>
          <w:p w14:paraId="6DAB26EF"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115%</w:t>
            </w:r>
          </w:p>
        </w:tc>
      </w:tr>
      <w:tr w:rsidR="00061A30" w:rsidRPr="00477D8F" w14:paraId="5F410B5C" w14:textId="77777777" w:rsidTr="00061A30">
        <w:trPr>
          <w:trHeight w:val="290"/>
        </w:trPr>
        <w:tc>
          <w:tcPr>
            <w:tcW w:w="984" w:type="dxa"/>
            <w:vMerge/>
            <w:tcBorders>
              <w:left w:val="single" w:sz="4" w:space="0" w:color="auto"/>
              <w:right w:val="nil"/>
            </w:tcBorders>
            <w:shd w:val="clear" w:color="auto" w:fill="auto"/>
            <w:noWrap/>
            <w:vAlign w:val="bottom"/>
            <w:hideMark/>
          </w:tcPr>
          <w:p w14:paraId="09251967" w14:textId="51F97B5A"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nil"/>
              <w:right w:val="nil"/>
            </w:tcBorders>
            <w:shd w:val="clear" w:color="auto" w:fill="auto"/>
            <w:noWrap/>
            <w:vAlign w:val="bottom"/>
            <w:hideMark/>
          </w:tcPr>
          <w:p w14:paraId="6F4C3AD0"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Lower Secondary</w:t>
            </w:r>
          </w:p>
        </w:tc>
        <w:tc>
          <w:tcPr>
            <w:tcW w:w="718" w:type="dxa"/>
            <w:tcBorders>
              <w:top w:val="nil"/>
              <w:left w:val="nil"/>
              <w:bottom w:val="nil"/>
              <w:right w:val="nil"/>
            </w:tcBorders>
            <w:shd w:val="clear" w:color="auto" w:fill="auto"/>
            <w:noWrap/>
            <w:vAlign w:val="bottom"/>
            <w:hideMark/>
          </w:tcPr>
          <w:p w14:paraId="5A7938D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90.8</w:t>
            </w:r>
          </w:p>
        </w:tc>
        <w:tc>
          <w:tcPr>
            <w:tcW w:w="718" w:type="dxa"/>
            <w:tcBorders>
              <w:top w:val="nil"/>
              <w:left w:val="nil"/>
              <w:bottom w:val="nil"/>
              <w:right w:val="nil"/>
            </w:tcBorders>
            <w:shd w:val="clear" w:color="auto" w:fill="auto"/>
            <w:noWrap/>
            <w:vAlign w:val="bottom"/>
            <w:hideMark/>
          </w:tcPr>
          <w:p w14:paraId="7785A27B"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113.4</w:t>
            </w:r>
          </w:p>
        </w:tc>
        <w:tc>
          <w:tcPr>
            <w:tcW w:w="858" w:type="dxa"/>
            <w:tcBorders>
              <w:top w:val="nil"/>
              <w:left w:val="nil"/>
              <w:bottom w:val="nil"/>
              <w:right w:val="nil"/>
            </w:tcBorders>
            <w:shd w:val="clear" w:color="auto" w:fill="auto"/>
            <w:noWrap/>
            <w:vAlign w:val="bottom"/>
            <w:hideMark/>
          </w:tcPr>
          <w:p w14:paraId="5CB752DA"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189.4</w:t>
            </w:r>
          </w:p>
        </w:tc>
        <w:tc>
          <w:tcPr>
            <w:tcW w:w="858" w:type="dxa"/>
            <w:tcBorders>
              <w:top w:val="nil"/>
              <w:left w:val="nil"/>
              <w:bottom w:val="nil"/>
              <w:right w:val="nil"/>
            </w:tcBorders>
            <w:shd w:val="clear" w:color="auto" w:fill="auto"/>
            <w:noWrap/>
            <w:vAlign w:val="bottom"/>
            <w:hideMark/>
          </w:tcPr>
          <w:p w14:paraId="7FF24CEF"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230.4</w:t>
            </w:r>
          </w:p>
        </w:tc>
        <w:tc>
          <w:tcPr>
            <w:tcW w:w="724" w:type="dxa"/>
            <w:tcBorders>
              <w:top w:val="nil"/>
              <w:left w:val="nil"/>
              <w:bottom w:val="nil"/>
              <w:right w:val="nil"/>
            </w:tcBorders>
            <w:shd w:val="clear" w:color="auto" w:fill="auto"/>
            <w:noWrap/>
            <w:vAlign w:val="bottom"/>
            <w:hideMark/>
          </w:tcPr>
          <w:p w14:paraId="0D7E619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64%</w:t>
            </w:r>
          </w:p>
        </w:tc>
        <w:tc>
          <w:tcPr>
            <w:tcW w:w="796" w:type="dxa"/>
            <w:tcBorders>
              <w:top w:val="nil"/>
              <w:left w:val="nil"/>
              <w:bottom w:val="nil"/>
              <w:right w:val="nil"/>
            </w:tcBorders>
            <w:shd w:val="clear" w:color="auto" w:fill="auto"/>
            <w:noWrap/>
            <w:vAlign w:val="bottom"/>
            <w:hideMark/>
          </w:tcPr>
          <w:p w14:paraId="4471AB27"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68%</w:t>
            </w:r>
          </w:p>
        </w:tc>
        <w:tc>
          <w:tcPr>
            <w:tcW w:w="796" w:type="dxa"/>
            <w:tcBorders>
              <w:top w:val="nil"/>
              <w:left w:val="nil"/>
              <w:bottom w:val="nil"/>
              <w:right w:val="nil"/>
            </w:tcBorders>
            <w:shd w:val="clear" w:color="auto" w:fill="auto"/>
            <w:noWrap/>
            <w:vAlign w:val="bottom"/>
            <w:hideMark/>
          </w:tcPr>
          <w:p w14:paraId="57BFC8D7"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97%</w:t>
            </w:r>
          </w:p>
        </w:tc>
        <w:tc>
          <w:tcPr>
            <w:tcW w:w="804" w:type="dxa"/>
            <w:tcBorders>
              <w:top w:val="nil"/>
              <w:left w:val="nil"/>
              <w:bottom w:val="nil"/>
              <w:right w:val="single" w:sz="4" w:space="0" w:color="auto"/>
            </w:tcBorders>
            <w:shd w:val="clear" w:color="auto" w:fill="auto"/>
            <w:noWrap/>
            <w:vAlign w:val="bottom"/>
            <w:hideMark/>
          </w:tcPr>
          <w:p w14:paraId="7388B97E"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104%</w:t>
            </w:r>
          </w:p>
        </w:tc>
      </w:tr>
      <w:tr w:rsidR="00061A30" w:rsidRPr="00477D8F" w14:paraId="347D64A3" w14:textId="77777777" w:rsidTr="00061A30">
        <w:trPr>
          <w:trHeight w:val="290"/>
        </w:trPr>
        <w:tc>
          <w:tcPr>
            <w:tcW w:w="984" w:type="dxa"/>
            <w:vMerge/>
            <w:tcBorders>
              <w:left w:val="single" w:sz="4" w:space="0" w:color="auto"/>
              <w:right w:val="nil"/>
            </w:tcBorders>
            <w:shd w:val="clear" w:color="auto" w:fill="auto"/>
            <w:noWrap/>
            <w:vAlign w:val="bottom"/>
            <w:hideMark/>
          </w:tcPr>
          <w:p w14:paraId="5D5DBA89" w14:textId="50EF96DD"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nil"/>
              <w:right w:val="nil"/>
            </w:tcBorders>
            <w:shd w:val="clear" w:color="auto" w:fill="auto"/>
            <w:noWrap/>
            <w:vAlign w:val="bottom"/>
            <w:hideMark/>
          </w:tcPr>
          <w:p w14:paraId="6FCA0C1C"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Senior secondary</w:t>
            </w:r>
          </w:p>
        </w:tc>
        <w:tc>
          <w:tcPr>
            <w:tcW w:w="718" w:type="dxa"/>
            <w:tcBorders>
              <w:top w:val="nil"/>
              <w:left w:val="nil"/>
              <w:bottom w:val="nil"/>
              <w:right w:val="nil"/>
            </w:tcBorders>
            <w:shd w:val="clear" w:color="auto" w:fill="auto"/>
            <w:noWrap/>
            <w:vAlign w:val="bottom"/>
            <w:hideMark/>
          </w:tcPr>
          <w:p w14:paraId="353F6F0E"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56.0</w:t>
            </w:r>
          </w:p>
        </w:tc>
        <w:tc>
          <w:tcPr>
            <w:tcW w:w="718" w:type="dxa"/>
            <w:tcBorders>
              <w:top w:val="nil"/>
              <w:left w:val="nil"/>
              <w:bottom w:val="nil"/>
              <w:right w:val="nil"/>
            </w:tcBorders>
            <w:shd w:val="clear" w:color="auto" w:fill="auto"/>
            <w:noWrap/>
            <w:vAlign w:val="bottom"/>
            <w:hideMark/>
          </w:tcPr>
          <w:p w14:paraId="5D9440AE"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67.1</w:t>
            </w:r>
          </w:p>
        </w:tc>
        <w:tc>
          <w:tcPr>
            <w:tcW w:w="858" w:type="dxa"/>
            <w:tcBorders>
              <w:top w:val="nil"/>
              <w:left w:val="nil"/>
              <w:bottom w:val="nil"/>
              <w:right w:val="nil"/>
            </w:tcBorders>
            <w:shd w:val="clear" w:color="auto" w:fill="auto"/>
            <w:noWrap/>
            <w:vAlign w:val="bottom"/>
            <w:hideMark/>
          </w:tcPr>
          <w:p w14:paraId="1B822FD3"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104.7</w:t>
            </w:r>
          </w:p>
        </w:tc>
        <w:tc>
          <w:tcPr>
            <w:tcW w:w="858" w:type="dxa"/>
            <w:tcBorders>
              <w:top w:val="nil"/>
              <w:left w:val="nil"/>
              <w:bottom w:val="nil"/>
              <w:right w:val="nil"/>
            </w:tcBorders>
            <w:shd w:val="clear" w:color="auto" w:fill="auto"/>
            <w:noWrap/>
            <w:vAlign w:val="bottom"/>
            <w:hideMark/>
          </w:tcPr>
          <w:p w14:paraId="6C71789B"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161.9</w:t>
            </w:r>
          </w:p>
        </w:tc>
        <w:tc>
          <w:tcPr>
            <w:tcW w:w="724" w:type="dxa"/>
            <w:tcBorders>
              <w:top w:val="nil"/>
              <w:left w:val="nil"/>
              <w:bottom w:val="nil"/>
              <w:right w:val="nil"/>
            </w:tcBorders>
            <w:shd w:val="clear" w:color="auto" w:fill="auto"/>
            <w:noWrap/>
            <w:vAlign w:val="bottom"/>
            <w:hideMark/>
          </w:tcPr>
          <w:p w14:paraId="582CD309"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44%</w:t>
            </w:r>
          </w:p>
        </w:tc>
        <w:tc>
          <w:tcPr>
            <w:tcW w:w="796" w:type="dxa"/>
            <w:tcBorders>
              <w:top w:val="nil"/>
              <w:left w:val="nil"/>
              <w:bottom w:val="nil"/>
              <w:right w:val="nil"/>
            </w:tcBorders>
            <w:shd w:val="clear" w:color="auto" w:fill="auto"/>
            <w:noWrap/>
            <w:vAlign w:val="bottom"/>
            <w:hideMark/>
          </w:tcPr>
          <w:p w14:paraId="4AA8DC82"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45%</w:t>
            </w:r>
          </w:p>
        </w:tc>
        <w:tc>
          <w:tcPr>
            <w:tcW w:w="796" w:type="dxa"/>
            <w:tcBorders>
              <w:top w:val="nil"/>
              <w:left w:val="nil"/>
              <w:bottom w:val="nil"/>
              <w:right w:val="nil"/>
            </w:tcBorders>
            <w:shd w:val="clear" w:color="auto" w:fill="auto"/>
            <w:noWrap/>
            <w:vAlign w:val="bottom"/>
            <w:hideMark/>
          </w:tcPr>
          <w:p w14:paraId="4B2031B4"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59%</w:t>
            </w:r>
          </w:p>
        </w:tc>
        <w:tc>
          <w:tcPr>
            <w:tcW w:w="804" w:type="dxa"/>
            <w:tcBorders>
              <w:top w:val="nil"/>
              <w:left w:val="nil"/>
              <w:bottom w:val="nil"/>
              <w:right w:val="single" w:sz="4" w:space="0" w:color="auto"/>
            </w:tcBorders>
            <w:shd w:val="clear" w:color="auto" w:fill="auto"/>
            <w:noWrap/>
            <w:vAlign w:val="bottom"/>
            <w:hideMark/>
          </w:tcPr>
          <w:p w14:paraId="2D1FB55C"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78%</w:t>
            </w:r>
          </w:p>
        </w:tc>
      </w:tr>
      <w:tr w:rsidR="00061A30" w:rsidRPr="00477D8F" w14:paraId="402213C3" w14:textId="77777777" w:rsidTr="00061A30">
        <w:trPr>
          <w:trHeight w:val="290"/>
        </w:trPr>
        <w:tc>
          <w:tcPr>
            <w:tcW w:w="984" w:type="dxa"/>
            <w:vMerge/>
            <w:tcBorders>
              <w:left w:val="single" w:sz="4" w:space="0" w:color="auto"/>
              <w:right w:val="nil"/>
            </w:tcBorders>
            <w:shd w:val="clear" w:color="auto" w:fill="auto"/>
            <w:noWrap/>
            <w:vAlign w:val="bottom"/>
            <w:hideMark/>
          </w:tcPr>
          <w:p w14:paraId="498A8F5D" w14:textId="703F829D"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nil"/>
              <w:right w:val="nil"/>
            </w:tcBorders>
            <w:shd w:val="clear" w:color="auto" w:fill="auto"/>
            <w:noWrap/>
            <w:vAlign w:val="bottom"/>
            <w:hideMark/>
          </w:tcPr>
          <w:p w14:paraId="63AACDEE"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Higher Education</w:t>
            </w:r>
          </w:p>
        </w:tc>
        <w:tc>
          <w:tcPr>
            <w:tcW w:w="718" w:type="dxa"/>
            <w:tcBorders>
              <w:top w:val="nil"/>
              <w:left w:val="nil"/>
              <w:bottom w:val="nil"/>
              <w:right w:val="nil"/>
            </w:tcBorders>
            <w:shd w:val="clear" w:color="auto" w:fill="auto"/>
            <w:noWrap/>
            <w:vAlign w:val="bottom"/>
            <w:hideMark/>
          </w:tcPr>
          <w:p w14:paraId="2AAB19ED"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14.8</w:t>
            </w:r>
          </w:p>
        </w:tc>
        <w:tc>
          <w:tcPr>
            <w:tcW w:w="718" w:type="dxa"/>
            <w:tcBorders>
              <w:top w:val="nil"/>
              <w:left w:val="nil"/>
              <w:bottom w:val="nil"/>
              <w:right w:val="nil"/>
            </w:tcBorders>
            <w:shd w:val="clear" w:color="auto" w:fill="auto"/>
            <w:noWrap/>
            <w:vAlign w:val="bottom"/>
            <w:hideMark/>
          </w:tcPr>
          <w:p w14:paraId="010E533F"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19.1</w:t>
            </w:r>
          </w:p>
        </w:tc>
        <w:tc>
          <w:tcPr>
            <w:tcW w:w="858" w:type="dxa"/>
            <w:tcBorders>
              <w:top w:val="nil"/>
              <w:left w:val="nil"/>
              <w:bottom w:val="nil"/>
              <w:right w:val="nil"/>
            </w:tcBorders>
            <w:shd w:val="clear" w:color="auto" w:fill="auto"/>
            <w:noWrap/>
            <w:vAlign w:val="bottom"/>
            <w:hideMark/>
          </w:tcPr>
          <w:p w14:paraId="1D9C499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24.7</w:t>
            </w:r>
          </w:p>
        </w:tc>
        <w:tc>
          <w:tcPr>
            <w:tcW w:w="858" w:type="dxa"/>
            <w:tcBorders>
              <w:top w:val="nil"/>
              <w:left w:val="nil"/>
              <w:bottom w:val="nil"/>
              <w:right w:val="nil"/>
            </w:tcBorders>
            <w:shd w:val="clear" w:color="auto" w:fill="auto"/>
            <w:noWrap/>
            <w:vAlign w:val="bottom"/>
            <w:hideMark/>
          </w:tcPr>
          <w:p w14:paraId="0FBF039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32.0</w:t>
            </w:r>
          </w:p>
        </w:tc>
        <w:tc>
          <w:tcPr>
            <w:tcW w:w="724" w:type="dxa"/>
            <w:tcBorders>
              <w:top w:val="nil"/>
              <w:left w:val="nil"/>
              <w:bottom w:val="nil"/>
              <w:right w:val="nil"/>
            </w:tcBorders>
            <w:shd w:val="clear" w:color="auto" w:fill="auto"/>
            <w:noWrap/>
            <w:vAlign w:val="bottom"/>
            <w:hideMark/>
          </w:tcPr>
          <w:p w14:paraId="2DF88005"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6.8%</w:t>
            </w:r>
          </w:p>
        </w:tc>
        <w:tc>
          <w:tcPr>
            <w:tcW w:w="796" w:type="dxa"/>
            <w:tcBorders>
              <w:top w:val="nil"/>
              <w:left w:val="nil"/>
              <w:bottom w:val="nil"/>
              <w:right w:val="nil"/>
            </w:tcBorders>
            <w:shd w:val="clear" w:color="auto" w:fill="auto"/>
            <w:noWrap/>
            <w:vAlign w:val="bottom"/>
            <w:hideMark/>
          </w:tcPr>
          <w:p w14:paraId="315413B3"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7.4%</w:t>
            </w:r>
          </w:p>
        </w:tc>
        <w:tc>
          <w:tcPr>
            <w:tcW w:w="796" w:type="dxa"/>
            <w:tcBorders>
              <w:top w:val="nil"/>
              <w:left w:val="nil"/>
              <w:bottom w:val="nil"/>
              <w:right w:val="nil"/>
            </w:tcBorders>
            <w:shd w:val="clear" w:color="auto" w:fill="auto"/>
            <w:noWrap/>
            <w:vAlign w:val="bottom"/>
            <w:hideMark/>
          </w:tcPr>
          <w:p w14:paraId="01848DFD"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8.1%</w:t>
            </w:r>
          </w:p>
        </w:tc>
        <w:tc>
          <w:tcPr>
            <w:tcW w:w="804" w:type="dxa"/>
            <w:tcBorders>
              <w:top w:val="nil"/>
              <w:left w:val="nil"/>
              <w:bottom w:val="nil"/>
              <w:right w:val="single" w:sz="4" w:space="0" w:color="auto"/>
            </w:tcBorders>
            <w:shd w:val="clear" w:color="auto" w:fill="auto"/>
            <w:noWrap/>
            <w:vAlign w:val="bottom"/>
            <w:hideMark/>
          </w:tcPr>
          <w:p w14:paraId="5547D779"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8.9%</w:t>
            </w:r>
          </w:p>
        </w:tc>
      </w:tr>
      <w:tr w:rsidR="00061A30" w:rsidRPr="00477D8F" w14:paraId="5636B484" w14:textId="77777777" w:rsidTr="00061A30">
        <w:trPr>
          <w:trHeight w:val="290"/>
        </w:trPr>
        <w:tc>
          <w:tcPr>
            <w:tcW w:w="984" w:type="dxa"/>
            <w:vMerge/>
            <w:tcBorders>
              <w:left w:val="single" w:sz="4" w:space="0" w:color="auto"/>
              <w:bottom w:val="single" w:sz="4" w:space="0" w:color="auto"/>
              <w:right w:val="nil"/>
            </w:tcBorders>
            <w:shd w:val="clear" w:color="auto" w:fill="auto"/>
            <w:noWrap/>
            <w:vAlign w:val="bottom"/>
            <w:hideMark/>
          </w:tcPr>
          <w:p w14:paraId="765D0284" w14:textId="552178F4"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single" w:sz="4" w:space="0" w:color="auto"/>
              <w:right w:val="nil"/>
            </w:tcBorders>
            <w:shd w:val="clear" w:color="auto" w:fill="auto"/>
            <w:noWrap/>
            <w:vAlign w:val="bottom"/>
            <w:hideMark/>
          </w:tcPr>
          <w:p w14:paraId="69368A9F"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Total</w:t>
            </w:r>
          </w:p>
        </w:tc>
        <w:tc>
          <w:tcPr>
            <w:tcW w:w="718" w:type="dxa"/>
            <w:tcBorders>
              <w:top w:val="nil"/>
              <w:left w:val="nil"/>
              <w:bottom w:val="single" w:sz="4" w:space="0" w:color="auto"/>
              <w:right w:val="nil"/>
            </w:tcBorders>
            <w:shd w:val="clear" w:color="auto" w:fill="auto"/>
            <w:noWrap/>
            <w:vAlign w:val="bottom"/>
            <w:hideMark/>
          </w:tcPr>
          <w:p w14:paraId="6C70DB9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567.9</w:t>
            </w:r>
          </w:p>
        </w:tc>
        <w:tc>
          <w:tcPr>
            <w:tcW w:w="718" w:type="dxa"/>
            <w:tcBorders>
              <w:top w:val="nil"/>
              <w:left w:val="nil"/>
              <w:bottom w:val="single" w:sz="4" w:space="0" w:color="auto"/>
              <w:right w:val="nil"/>
            </w:tcBorders>
            <w:shd w:val="clear" w:color="auto" w:fill="auto"/>
            <w:noWrap/>
            <w:vAlign w:val="bottom"/>
            <w:hideMark/>
          </w:tcPr>
          <w:p w14:paraId="40A503ED"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771.9</w:t>
            </w:r>
          </w:p>
        </w:tc>
        <w:tc>
          <w:tcPr>
            <w:tcW w:w="858" w:type="dxa"/>
            <w:tcBorders>
              <w:top w:val="nil"/>
              <w:left w:val="nil"/>
              <w:bottom w:val="single" w:sz="4" w:space="0" w:color="auto"/>
              <w:right w:val="nil"/>
            </w:tcBorders>
            <w:shd w:val="clear" w:color="auto" w:fill="auto"/>
            <w:noWrap/>
            <w:vAlign w:val="bottom"/>
            <w:hideMark/>
          </w:tcPr>
          <w:p w14:paraId="15946D72"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1040.6</w:t>
            </w:r>
          </w:p>
        </w:tc>
        <w:tc>
          <w:tcPr>
            <w:tcW w:w="858" w:type="dxa"/>
            <w:tcBorders>
              <w:top w:val="nil"/>
              <w:left w:val="nil"/>
              <w:bottom w:val="single" w:sz="4" w:space="0" w:color="auto"/>
              <w:right w:val="nil"/>
            </w:tcBorders>
            <w:shd w:val="clear" w:color="auto" w:fill="auto"/>
            <w:noWrap/>
            <w:vAlign w:val="bottom"/>
            <w:hideMark/>
          </w:tcPr>
          <w:p w14:paraId="7A3779CA"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1293.9</w:t>
            </w:r>
          </w:p>
        </w:tc>
        <w:tc>
          <w:tcPr>
            <w:tcW w:w="724" w:type="dxa"/>
            <w:tcBorders>
              <w:top w:val="nil"/>
              <w:left w:val="nil"/>
              <w:bottom w:val="single" w:sz="4" w:space="0" w:color="auto"/>
              <w:right w:val="nil"/>
            </w:tcBorders>
            <w:shd w:val="clear" w:color="auto" w:fill="auto"/>
            <w:noWrap/>
            <w:vAlign w:val="bottom"/>
            <w:hideMark/>
          </w:tcPr>
          <w:p w14:paraId="3D48303F"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single" w:sz="4" w:space="0" w:color="auto"/>
              <w:right w:val="nil"/>
            </w:tcBorders>
            <w:shd w:val="clear" w:color="auto" w:fill="auto"/>
            <w:noWrap/>
            <w:vAlign w:val="bottom"/>
            <w:hideMark/>
          </w:tcPr>
          <w:p w14:paraId="156FB017"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single" w:sz="4" w:space="0" w:color="auto"/>
              <w:right w:val="nil"/>
            </w:tcBorders>
            <w:shd w:val="clear" w:color="auto" w:fill="auto"/>
            <w:noWrap/>
            <w:vAlign w:val="bottom"/>
            <w:hideMark/>
          </w:tcPr>
          <w:p w14:paraId="78C3159A"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04" w:type="dxa"/>
            <w:tcBorders>
              <w:top w:val="nil"/>
              <w:left w:val="nil"/>
              <w:bottom w:val="single" w:sz="4" w:space="0" w:color="auto"/>
              <w:right w:val="single" w:sz="4" w:space="0" w:color="auto"/>
            </w:tcBorders>
            <w:shd w:val="clear" w:color="auto" w:fill="auto"/>
            <w:noWrap/>
            <w:vAlign w:val="bottom"/>
            <w:hideMark/>
          </w:tcPr>
          <w:p w14:paraId="6F20BE70"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r>
      <w:tr w:rsidR="00E7440F" w:rsidRPr="00477D8F" w14:paraId="50289E5E" w14:textId="77777777" w:rsidTr="00061A30">
        <w:trPr>
          <w:trHeight w:val="290"/>
        </w:trPr>
        <w:tc>
          <w:tcPr>
            <w:tcW w:w="984" w:type="dxa"/>
            <w:tcBorders>
              <w:top w:val="nil"/>
              <w:left w:val="single" w:sz="4" w:space="0" w:color="auto"/>
              <w:bottom w:val="nil"/>
              <w:right w:val="nil"/>
            </w:tcBorders>
            <w:shd w:val="clear" w:color="auto" w:fill="auto"/>
            <w:noWrap/>
            <w:vAlign w:val="bottom"/>
            <w:hideMark/>
          </w:tcPr>
          <w:p w14:paraId="0BB8001A"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1820" w:type="dxa"/>
            <w:tcBorders>
              <w:top w:val="nil"/>
              <w:left w:val="nil"/>
              <w:bottom w:val="nil"/>
              <w:right w:val="nil"/>
            </w:tcBorders>
            <w:shd w:val="clear" w:color="auto" w:fill="auto"/>
            <w:noWrap/>
            <w:vAlign w:val="bottom"/>
            <w:hideMark/>
          </w:tcPr>
          <w:p w14:paraId="2CE89840"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18" w:type="dxa"/>
            <w:tcBorders>
              <w:top w:val="nil"/>
              <w:left w:val="nil"/>
              <w:bottom w:val="nil"/>
              <w:right w:val="nil"/>
            </w:tcBorders>
            <w:shd w:val="clear" w:color="auto" w:fill="auto"/>
            <w:noWrap/>
            <w:vAlign w:val="bottom"/>
            <w:hideMark/>
          </w:tcPr>
          <w:p w14:paraId="72258891"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18" w:type="dxa"/>
            <w:tcBorders>
              <w:top w:val="nil"/>
              <w:left w:val="nil"/>
              <w:bottom w:val="nil"/>
              <w:right w:val="nil"/>
            </w:tcBorders>
            <w:shd w:val="clear" w:color="auto" w:fill="auto"/>
            <w:noWrap/>
            <w:vAlign w:val="bottom"/>
            <w:hideMark/>
          </w:tcPr>
          <w:p w14:paraId="24F52128"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58" w:type="dxa"/>
            <w:tcBorders>
              <w:top w:val="nil"/>
              <w:left w:val="nil"/>
              <w:bottom w:val="nil"/>
              <w:right w:val="nil"/>
            </w:tcBorders>
            <w:shd w:val="clear" w:color="auto" w:fill="auto"/>
            <w:noWrap/>
            <w:vAlign w:val="bottom"/>
            <w:hideMark/>
          </w:tcPr>
          <w:p w14:paraId="6B05C662"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58" w:type="dxa"/>
            <w:tcBorders>
              <w:top w:val="nil"/>
              <w:left w:val="nil"/>
              <w:bottom w:val="nil"/>
              <w:right w:val="nil"/>
            </w:tcBorders>
            <w:shd w:val="clear" w:color="auto" w:fill="auto"/>
            <w:noWrap/>
            <w:vAlign w:val="bottom"/>
            <w:hideMark/>
          </w:tcPr>
          <w:p w14:paraId="5798890C"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24" w:type="dxa"/>
            <w:tcBorders>
              <w:top w:val="nil"/>
              <w:left w:val="nil"/>
              <w:bottom w:val="nil"/>
              <w:right w:val="nil"/>
            </w:tcBorders>
            <w:shd w:val="clear" w:color="auto" w:fill="auto"/>
            <w:noWrap/>
            <w:vAlign w:val="bottom"/>
            <w:hideMark/>
          </w:tcPr>
          <w:p w14:paraId="11CE7D7C"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nil"/>
              <w:right w:val="nil"/>
            </w:tcBorders>
            <w:shd w:val="clear" w:color="auto" w:fill="auto"/>
            <w:noWrap/>
            <w:vAlign w:val="bottom"/>
            <w:hideMark/>
          </w:tcPr>
          <w:p w14:paraId="39B0B5A5"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nil"/>
              <w:right w:val="nil"/>
            </w:tcBorders>
            <w:shd w:val="clear" w:color="auto" w:fill="auto"/>
            <w:noWrap/>
            <w:vAlign w:val="bottom"/>
            <w:hideMark/>
          </w:tcPr>
          <w:p w14:paraId="4B354C3D"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04" w:type="dxa"/>
            <w:tcBorders>
              <w:top w:val="nil"/>
              <w:left w:val="nil"/>
              <w:bottom w:val="nil"/>
              <w:right w:val="single" w:sz="4" w:space="0" w:color="auto"/>
            </w:tcBorders>
            <w:shd w:val="clear" w:color="auto" w:fill="auto"/>
            <w:noWrap/>
            <w:vAlign w:val="bottom"/>
            <w:hideMark/>
          </w:tcPr>
          <w:p w14:paraId="56BA9D12"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r>
      <w:tr w:rsidR="00061A30" w:rsidRPr="00477D8F" w14:paraId="31D408A0" w14:textId="77777777" w:rsidTr="00E830DE">
        <w:trPr>
          <w:trHeight w:val="290"/>
        </w:trPr>
        <w:tc>
          <w:tcPr>
            <w:tcW w:w="984" w:type="dxa"/>
            <w:vMerge w:val="restart"/>
            <w:tcBorders>
              <w:top w:val="nil"/>
              <w:left w:val="single" w:sz="4" w:space="0" w:color="auto"/>
              <w:right w:val="nil"/>
            </w:tcBorders>
            <w:shd w:val="clear" w:color="auto" w:fill="auto"/>
            <w:noWrap/>
            <w:vAlign w:val="bottom"/>
            <w:hideMark/>
          </w:tcPr>
          <w:p w14:paraId="615DA12F"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Medium</w:t>
            </w:r>
          </w:p>
          <w:p w14:paraId="5FFD7432"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195F8020"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7FC31CEB"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7B3966A4"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41506C64" w14:textId="6423AAC5"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1820" w:type="dxa"/>
            <w:tcBorders>
              <w:top w:val="nil"/>
              <w:left w:val="nil"/>
              <w:bottom w:val="nil"/>
              <w:right w:val="nil"/>
            </w:tcBorders>
            <w:shd w:val="clear" w:color="auto" w:fill="auto"/>
            <w:noWrap/>
            <w:vAlign w:val="bottom"/>
            <w:hideMark/>
          </w:tcPr>
          <w:p w14:paraId="455B15EA"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ECD</w:t>
            </w:r>
          </w:p>
        </w:tc>
        <w:tc>
          <w:tcPr>
            <w:tcW w:w="718" w:type="dxa"/>
            <w:tcBorders>
              <w:top w:val="nil"/>
              <w:left w:val="nil"/>
              <w:bottom w:val="nil"/>
              <w:right w:val="nil"/>
            </w:tcBorders>
            <w:shd w:val="clear" w:color="auto" w:fill="auto"/>
            <w:noWrap/>
            <w:vAlign w:val="bottom"/>
            <w:hideMark/>
          </w:tcPr>
          <w:p w14:paraId="526486D3"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97.6</w:t>
            </w:r>
          </w:p>
        </w:tc>
        <w:tc>
          <w:tcPr>
            <w:tcW w:w="718" w:type="dxa"/>
            <w:tcBorders>
              <w:top w:val="nil"/>
              <w:left w:val="nil"/>
              <w:bottom w:val="nil"/>
              <w:right w:val="nil"/>
            </w:tcBorders>
            <w:shd w:val="clear" w:color="auto" w:fill="auto"/>
            <w:noWrap/>
            <w:vAlign w:val="bottom"/>
            <w:hideMark/>
          </w:tcPr>
          <w:p w14:paraId="75953E2A"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118.1</w:t>
            </w:r>
          </w:p>
        </w:tc>
        <w:tc>
          <w:tcPr>
            <w:tcW w:w="858" w:type="dxa"/>
            <w:tcBorders>
              <w:top w:val="nil"/>
              <w:left w:val="nil"/>
              <w:bottom w:val="nil"/>
              <w:right w:val="nil"/>
            </w:tcBorders>
            <w:shd w:val="clear" w:color="auto" w:fill="auto"/>
            <w:noWrap/>
            <w:vAlign w:val="bottom"/>
            <w:hideMark/>
          </w:tcPr>
          <w:p w14:paraId="797ED893"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143.0</w:t>
            </w:r>
          </w:p>
        </w:tc>
        <w:tc>
          <w:tcPr>
            <w:tcW w:w="858" w:type="dxa"/>
            <w:tcBorders>
              <w:top w:val="nil"/>
              <w:left w:val="nil"/>
              <w:bottom w:val="nil"/>
              <w:right w:val="nil"/>
            </w:tcBorders>
            <w:shd w:val="clear" w:color="auto" w:fill="auto"/>
            <w:noWrap/>
            <w:vAlign w:val="bottom"/>
            <w:hideMark/>
          </w:tcPr>
          <w:p w14:paraId="12478168"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173.1</w:t>
            </w:r>
          </w:p>
        </w:tc>
        <w:tc>
          <w:tcPr>
            <w:tcW w:w="724" w:type="dxa"/>
            <w:tcBorders>
              <w:top w:val="nil"/>
              <w:left w:val="nil"/>
              <w:bottom w:val="nil"/>
              <w:right w:val="nil"/>
            </w:tcBorders>
            <w:shd w:val="clear" w:color="auto" w:fill="auto"/>
            <w:noWrap/>
            <w:vAlign w:val="bottom"/>
            <w:hideMark/>
          </w:tcPr>
          <w:p w14:paraId="5C3C2BF3"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37%</w:t>
            </w:r>
          </w:p>
        </w:tc>
        <w:tc>
          <w:tcPr>
            <w:tcW w:w="796" w:type="dxa"/>
            <w:tcBorders>
              <w:top w:val="nil"/>
              <w:left w:val="nil"/>
              <w:bottom w:val="nil"/>
              <w:right w:val="nil"/>
            </w:tcBorders>
            <w:shd w:val="clear" w:color="auto" w:fill="auto"/>
            <w:noWrap/>
            <w:vAlign w:val="bottom"/>
            <w:hideMark/>
          </w:tcPr>
          <w:p w14:paraId="0B6EF9D3"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39%</w:t>
            </w:r>
          </w:p>
        </w:tc>
        <w:tc>
          <w:tcPr>
            <w:tcW w:w="796" w:type="dxa"/>
            <w:tcBorders>
              <w:top w:val="nil"/>
              <w:left w:val="nil"/>
              <w:bottom w:val="nil"/>
              <w:right w:val="nil"/>
            </w:tcBorders>
            <w:shd w:val="clear" w:color="auto" w:fill="auto"/>
            <w:noWrap/>
            <w:vAlign w:val="bottom"/>
            <w:hideMark/>
          </w:tcPr>
          <w:p w14:paraId="3B72C063"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43%</w:t>
            </w:r>
          </w:p>
        </w:tc>
        <w:tc>
          <w:tcPr>
            <w:tcW w:w="804" w:type="dxa"/>
            <w:tcBorders>
              <w:top w:val="nil"/>
              <w:left w:val="nil"/>
              <w:bottom w:val="nil"/>
              <w:right w:val="single" w:sz="4" w:space="0" w:color="auto"/>
            </w:tcBorders>
            <w:shd w:val="clear" w:color="auto" w:fill="auto"/>
            <w:noWrap/>
            <w:vAlign w:val="bottom"/>
            <w:hideMark/>
          </w:tcPr>
          <w:p w14:paraId="3C4B5A4D"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46%</w:t>
            </w:r>
          </w:p>
        </w:tc>
      </w:tr>
      <w:tr w:rsidR="00061A30" w:rsidRPr="00477D8F" w14:paraId="5CC442E0" w14:textId="77777777" w:rsidTr="00E830DE">
        <w:trPr>
          <w:trHeight w:val="290"/>
        </w:trPr>
        <w:tc>
          <w:tcPr>
            <w:tcW w:w="984" w:type="dxa"/>
            <w:vMerge/>
            <w:tcBorders>
              <w:left w:val="single" w:sz="4" w:space="0" w:color="auto"/>
              <w:right w:val="nil"/>
            </w:tcBorders>
            <w:shd w:val="clear" w:color="auto" w:fill="auto"/>
            <w:noWrap/>
            <w:vAlign w:val="bottom"/>
            <w:hideMark/>
          </w:tcPr>
          <w:p w14:paraId="2E5BB4FF" w14:textId="4092F8BF"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nil"/>
              <w:right w:val="nil"/>
            </w:tcBorders>
            <w:shd w:val="clear" w:color="auto" w:fill="auto"/>
            <w:noWrap/>
            <w:vAlign w:val="bottom"/>
            <w:hideMark/>
          </w:tcPr>
          <w:p w14:paraId="0F3B706F"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Primary</w:t>
            </w:r>
          </w:p>
        </w:tc>
        <w:tc>
          <w:tcPr>
            <w:tcW w:w="718" w:type="dxa"/>
            <w:tcBorders>
              <w:top w:val="nil"/>
              <w:left w:val="nil"/>
              <w:bottom w:val="nil"/>
              <w:right w:val="nil"/>
            </w:tcBorders>
            <w:shd w:val="clear" w:color="auto" w:fill="auto"/>
            <w:noWrap/>
            <w:vAlign w:val="bottom"/>
            <w:hideMark/>
          </w:tcPr>
          <w:p w14:paraId="765504F9"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308.7</w:t>
            </w:r>
          </w:p>
        </w:tc>
        <w:tc>
          <w:tcPr>
            <w:tcW w:w="718" w:type="dxa"/>
            <w:tcBorders>
              <w:top w:val="nil"/>
              <w:left w:val="nil"/>
              <w:bottom w:val="nil"/>
              <w:right w:val="nil"/>
            </w:tcBorders>
            <w:shd w:val="clear" w:color="auto" w:fill="auto"/>
            <w:noWrap/>
            <w:vAlign w:val="bottom"/>
            <w:hideMark/>
          </w:tcPr>
          <w:p w14:paraId="36ACBC9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410.9</w:t>
            </w:r>
          </w:p>
        </w:tc>
        <w:tc>
          <w:tcPr>
            <w:tcW w:w="858" w:type="dxa"/>
            <w:tcBorders>
              <w:top w:val="nil"/>
              <w:left w:val="nil"/>
              <w:bottom w:val="nil"/>
              <w:right w:val="nil"/>
            </w:tcBorders>
            <w:shd w:val="clear" w:color="auto" w:fill="auto"/>
            <w:noWrap/>
            <w:vAlign w:val="bottom"/>
            <w:hideMark/>
          </w:tcPr>
          <w:p w14:paraId="1BCAE71C"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484.8</w:t>
            </w:r>
          </w:p>
        </w:tc>
        <w:tc>
          <w:tcPr>
            <w:tcW w:w="858" w:type="dxa"/>
            <w:tcBorders>
              <w:top w:val="nil"/>
              <w:left w:val="nil"/>
              <w:bottom w:val="nil"/>
              <w:right w:val="nil"/>
            </w:tcBorders>
            <w:shd w:val="clear" w:color="auto" w:fill="auto"/>
            <w:noWrap/>
            <w:vAlign w:val="bottom"/>
            <w:hideMark/>
          </w:tcPr>
          <w:p w14:paraId="5210EE3E"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536.1</w:t>
            </w:r>
          </w:p>
        </w:tc>
        <w:tc>
          <w:tcPr>
            <w:tcW w:w="724" w:type="dxa"/>
            <w:tcBorders>
              <w:top w:val="nil"/>
              <w:left w:val="nil"/>
              <w:bottom w:val="nil"/>
              <w:right w:val="nil"/>
            </w:tcBorders>
            <w:shd w:val="clear" w:color="auto" w:fill="auto"/>
            <w:noWrap/>
            <w:vAlign w:val="bottom"/>
            <w:hideMark/>
          </w:tcPr>
          <w:p w14:paraId="6E90AEE4"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93%</w:t>
            </w:r>
          </w:p>
        </w:tc>
        <w:tc>
          <w:tcPr>
            <w:tcW w:w="796" w:type="dxa"/>
            <w:tcBorders>
              <w:top w:val="nil"/>
              <w:left w:val="nil"/>
              <w:bottom w:val="nil"/>
              <w:right w:val="nil"/>
            </w:tcBorders>
            <w:shd w:val="clear" w:color="auto" w:fill="auto"/>
            <w:noWrap/>
            <w:vAlign w:val="bottom"/>
            <w:hideMark/>
          </w:tcPr>
          <w:p w14:paraId="3F92500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106%</w:t>
            </w:r>
          </w:p>
        </w:tc>
        <w:tc>
          <w:tcPr>
            <w:tcW w:w="796" w:type="dxa"/>
            <w:tcBorders>
              <w:top w:val="nil"/>
              <w:left w:val="nil"/>
              <w:bottom w:val="nil"/>
              <w:right w:val="nil"/>
            </w:tcBorders>
            <w:shd w:val="clear" w:color="auto" w:fill="auto"/>
            <w:noWrap/>
            <w:vAlign w:val="bottom"/>
            <w:hideMark/>
          </w:tcPr>
          <w:p w14:paraId="6B14BEEF"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109%</w:t>
            </w:r>
          </w:p>
        </w:tc>
        <w:tc>
          <w:tcPr>
            <w:tcW w:w="804" w:type="dxa"/>
            <w:tcBorders>
              <w:top w:val="nil"/>
              <w:left w:val="nil"/>
              <w:bottom w:val="nil"/>
              <w:right w:val="single" w:sz="4" w:space="0" w:color="auto"/>
            </w:tcBorders>
            <w:shd w:val="clear" w:color="auto" w:fill="auto"/>
            <w:noWrap/>
            <w:vAlign w:val="bottom"/>
            <w:hideMark/>
          </w:tcPr>
          <w:p w14:paraId="15EDBEFA"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108%</w:t>
            </w:r>
          </w:p>
        </w:tc>
      </w:tr>
      <w:tr w:rsidR="00061A30" w:rsidRPr="00477D8F" w14:paraId="20405ED1" w14:textId="77777777" w:rsidTr="00E830DE">
        <w:trPr>
          <w:trHeight w:val="290"/>
        </w:trPr>
        <w:tc>
          <w:tcPr>
            <w:tcW w:w="984" w:type="dxa"/>
            <w:vMerge/>
            <w:tcBorders>
              <w:left w:val="single" w:sz="4" w:space="0" w:color="auto"/>
              <w:right w:val="nil"/>
            </w:tcBorders>
            <w:shd w:val="clear" w:color="auto" w:fill="auto"/>
            <w:noWrap/>
            <w:vAlign w:val="bottom"/>
            <w:hideMark/>
          </w:tcPr>
          <w:p w14:paraId="70468535" w14:textId="2624C855"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nil"/>
              <w:right w:val="nil"/>
            </w:tcBorders>
            <w:shd w:val="clear" w:color="auto" w:fill="auto"/>
            <w:noWrap/>
            <w:vAlign w:val="bottom"/>
            <w:hideMark/>
          </w:tcPr>
          <w:p w14:paraId="5C71296E"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Lower Secondary</w:t>
            </w:r>
          </w:p>
        </w:tc>
        <w:tc>
          <w:tcPr>
            <w:tcW w:w="718" w:type="dxa"/>
            <w:tcBorders>
              <w:top w:val="nil"/>
              <w:left w:val="nil"/>
              <w:bottom w:val="nil"/>
              <w:right w:val="nil"/>
            </w:tcBorders>
            <w:shd w:val="clear" w:color="auto" w:fill="auto"/>
            <w:noWrap/>
            <w:vAlign w:val="bottom"/>
            <w:hideMark/>
          </w:tcPr>
          <w:p w14:paraId="7C4F3F7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90.8</w:t>
            </w:r>
          </w:p>
        </w:tc>
        <w:tc>
          <w:tcPr>
            <w:tcW w:w="718" w:type="dxa"/>
            <w:tcBorders>
              <w:top w:val="nil"/>
              <w:left w:val="nil"/>
              <w:bottom w:val="nil"/>
              <w:right w:val="nil"/>
            </w:tcBorders>
            <w:shd w:val="clear" w:color="auto" w:fill="auto"/>
            <w:noWrap/>
            <w:vAlign w:val="bottom"/>
            <w:hideMark/>
          </w:tcPr>
          <w:p w14:paraId="0741D42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101.1</w:t>
            </w:r>
          </w:p>
        </w:tc>
        <w:tc>
          <w:tcPr>
            <w:tcW w:w="858" w:type="dxa"/>
            <w:tcBorders>
              <w:top w:val="nil"/>
              <w:left w:val="nil"/>
              <w:bottom w:val="nil"/>
              <w:right w:val="nil"/>
            </w:tcBorders>
            <w:shd w:val="clear" w:color="auto" w:fill="auto"/>
            <w:noWrap/>
            <w:vAlign w:val="bottom"/>
            <w:hideMark/>
          </w:tcPr>
          <w:p w14:paraId="0373B60E"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148.3</w:t>
            </w:r>
          </w:p>
        </w:tc>
        <w:tc>
          <w:tcPr>
            <w:tcW w:w="858" w:type="dxa"/>
            <w:tcBorders>
              <w:top w:val="nil"/>
              <w:left w:val="nil"/>
              <w:bottom w:val="nil"/>
              <w:right w:val="nil"/>
            </w:tcBorders>
            <w:shd w:val="clear" w:color="auto" w:fill="auto"/>
            <w:noWrap/>
            <w:vAlign w:val="bottom"/>
            <w:hideMark/>
          </w:tcPr>
          <w:p w14:paraId="091BF62E"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174.8</w:t>
            </w:r>
          </w:p>
        </w:tc>
        <w:tc>
          <w:tcPr>
            <w:tcW w:w="724" w:type="dxa"/>
            <w:tcBorders>
              <w:top w:val="nil"/>
              <w:left w:val="nil"/>
              <w:bottom w:val="nil"/>
              <w:right w:val="nil"/>
            </w:tcBorders>
            <w:shd w:val="clear" w:color="auto" w:fill="auto"/>
            <w:noWrap/>
            <w:vAlign w:val="bottom"/>
            <w:hideMark/>
          </w:tcPr>
          <w:p w14:paraId="10BFF3F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64%</w:t>
            </w:r>
          </w:p>
        </w:tc>
        <w:tc>
          <w:tcPr>
            <w:tcW w:w="796" w:type="dxa"/>
            <w:tcBorders>
              <w:top w:val="nil"/>
              <w:left w:val="nil"/>
              <w:bottom w:val="nil"/>
              <w:right w:val="nil"/>
            </w:tcBorders>
            <w:shd w:val="clear" w:color="auto" w:fill="auto"/>
            <w:noWrap/>
            <w:vAlign w:val="bottom"/>
            <w:hideMark/>
          </w:tcPr>
          <w:p w14:paraId="2EFE24FE"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61%</w:t>
            </w:r>
          </w:p>
        </w:tc>
        <w:tc>
          <w:tcPr>
            <w:tcW w:w="796" w:type="dxa"/>
            <w:tcBorders>
              <w:top w:val="nil"/>
              <w:left w:val="nil"/>
              <w:bottom w:val="nil"/>
              <w:right w:val="nil"/>
            </w:tcBorders>
            <w:shd w:val="clear" w:color="auto" w:fill="auto"/>
            <w:noWrap/>
            <w:vAlign w:val="bottom"/>
            <w:hideMark/>
          </w:tcPr>
          <w:p w14:paraId="66DDDFD7"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76%</w:t>
            </w:r>
          </w:p>
        </w:tc>
        <w:tc>
          <w:tcPr>
            <w:tcW w:w="804" w:type="dxa"/>
            <w:tcBorders>
              <w:top w:val="nil"/>
              <w:left w:val="nil"/>
              <w:bottom w:val="nil"/>
              <w:right w:val="single" w:sz="4" w:space="0" w:color="auto"/>
            </w:tcBorders>
            <w:shd w:val="clear" w:color="auto" w:fill="auto"/>
            <w:noWrap/>
            <w:vAlign w:val="bottom"/>
            <w:hideMark/>
          </w:tcPr>
          <w:p w14:paraId="68E12474"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79%</w:t>
            </w:r>
          </w:p>
        </w:tc>
      </w:tr>
      <w:tr w:rsidR="00061A30" w:rsidRPr="00477D8F" w14:paraId="2991534C" w14:textId="77777777" w:rsidTr="00E830DE">
        <w:trPr>
          <w:trHeight w:val="290"/>
        </w:trPr>
        <w:tc>
          <w:tcPr>
            <w:tcW w:w="984" w:type="dxa"/>
            <w:vMerge/>
            <w:tcBorders>
              <w:left w:val="single" w:sz="4" w:space="0" w:color="auto"/>
              <w:right w:val="nil"/>
            </w:tcBorders>
            <w:shd w:val="clear" w:color="auto" w:fill="auto"/>
            <w:noWrap/>
            <w:vAlign w:val="bottom"/>
            <w:hideMark/>
          </w:tcPr>
          <w:p w14:paraId="6082483F" w14:textId="0E9DC53E"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nil"/>
              <w:right w:val="nil"/>
            </w:tcBorders>
            <w:shd w:val="clear" w:color="auto" w:fill="auto"/>
            <w:noWrap/>
            <w:vAlign w:val="bottom"/>
            <w:hideMark/>
          </w:tcPr>
          <w:p w14:paraId="011A8E4E"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Senior secondary</w:t>
            </w:r>
          </w:p>
        </w:tc>
        <w:tc>
          <w:tcPr>
            <w:tcW w:w="718" w:type="dxa"/>
            <w:tcBorders>
              <w:top w:val="nil"/>
              <w:left w:val="nil"/>
              <w:bottom w:val="nil"/>
              <w:right w:val="nil"/>
            </w:tcBorders>
            <w:shd w:val="clear" w:color="auto" w:fill="auto"/>
            <w:noWrap/>
            <w:vAlign w:val="bottom"/>
            <w:hideMark/>
          </w:tcPr>
          <w:p w14:paraId="72D1EBA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56.0</w:t>
            </w:r>
          </w:p>
        </w:tc>
        <w:tc>
          <w:tcPr>
            <w:tcW w:w="718" w:type="dxa"/>
            <w:tcBorders>
              <w:top w:val="nil"/>
              <w:left w:val="nil"/>
              <w:bottom w:val="nil"/>
              <w:right w:val="nil"/>
            </w:tcBorders>
            <w:shd w:val="clear" w:color="auto" w:fill="auto"/>
            <w:noWrap/>
            <w:vAlign w:val="bottom"/>
            <w:hideMark/>
          </w:tcPr>
          <w:p w14:paraId="7A4A2AAD"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58.0</w:t>
            </w:r>
          </w:p>
        </w:tc>
        <w:tc>
          <w:tcPr>
            <w:tcW w:w="858" w:type="dxa"/>
            <w:tcBorders>
              <w:top w:val="nil"/>
              <w:left w:val="nil"/>
              <w:bottom w:val="nil"/>
              <w:right w:val="nil"/>
            </w:tcBorders>
            <w:shd w:val="clear" w:color="auto" w:fill="auto"/>
            <w:noWrap/>
            <w:vAlign w:val="bottom"/>
            <w:hideMark/>
          </w:tcPr>
          <w:p w14:paraId="0A541F78"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74.0</w:t>
            </w:r>
          </w:p>
        </w:tc>
        <w:tc>
          <w:tcPr>
            <w:tcW w:w="858" w:type="dxa"/>
            <w:tcBorders>
              <w:top w:val="nil"/>
              <w:left w:val="nil"/>
              <w:bottom w:val="nil"/>
              <w:right w:val="nil"/>
            </w:tcBorders>
            <w:shd w:val="clear" w:color="auto" w:fill="auto"/>
            <w:noWrap/>
            <w:vAlign w:val="bottom"/>
            <w:hideMark/>
          </w:tcPr>
          <w:p w14:paraId="5847F25E"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103.4</w:t>
            </w:r>
          </w:p>
        </w:tc>
        <w:tc>
          <w:tcPr>
            <w:tcW w:w="724" w:type="dxa"/>
            <w:tcBorders>
              <w:top w:val="nil"/>
              <w:left w:val="nil"/>
              <w:bottom w:val="nil"/>
              <w:right w:val="nil"/>
            </w:tcBorders>
            <w:shd w:val="clear" w:color="auto" w:fill="auto"/>
            <w:noWrap/>
            <w:vAlign w:val="bottom"/>
            <w:hideMark/>
          </w:tcPr>
          <w:p w14:paraId="5B29EDB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44%</w:t>
            </w:r>
          </w:p>
        </w:tc>
        <w:tc>
          <w:tcPr>
            <w:tcW w:w="796" w:type="dxa"/>
            <w:tcBorders>
              <w:top w:val="nil"/>
              <w:left w:val="nil"/>
              <w:bottom w:val="nil"/>
              <w:right w:val="nil"/>
            </w:tcBorders>
            <w:shd w:val="clear" w:color="auto" w:fill="auto"/>
            <w:noWrap/>
            <w:vAlign w:val="bottom"/>
            <w:hideMark/>
          </w:tcPr>
          <w:p w14:paraId="72908E9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38%</w:t>
            </w:r>
          </w:p>
        </w:tc>
        <w:tc>
          <w:tcPr>
            <w:tcW w:w="796" w:type="dxa"/>
            <w:tcBorders>
              <w:top w:val="nil"/>
              <w:left w:val="nil"/>
              <w:bottom w:val="nil"/>
              <w:right w:val="nil"/>
            </w:tcBorders>
            <w:shd w:val="clear" w:color="auto" w:fill="auto"/>
            <w:noWrap/>
            <w:vAlign w:val="bottom"/>
            <w:hideMark/>
          </w:tcPr>
          <w:p w14:paraId="2EBA46C4"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42%</w:t>
            </w:r>
          </w:p>
        </w:tc>
        <w:tc>
          <w:tcPr>
            <w:tcW w:w="804" w:type="dxa"/>
            <w:tcBorders>
              <w:top w:val="nil"/>
              <w:left w:val="nil"/>
              <w:bottom w:val="nil"/>
              <w:right w:val="single" w:sz="4" w:space="0" w:color="auto"/>
            </w:tcBorders>
            <w:shd w:val="clear" w:color="auto" w:fill="auto"/>
            <w:noWrap/>
            <w:vAlign w:val="bottom"/>
            <w:hideMark/>
          </w:tcPr>
          <w:p w14:paraId="3B398ADF"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50%</w:t>
            </w:r>
          </w:p>
        </w:tc>
      </w:tr>
      <w:tr w:rsidR="00061A30" w:rsidRPr="00477D8F" w14:paraId="43EEEAD5" w14:textId="77777777" w:rsidTr="00E830DE">
        <w:trPr>
          <w:trHeight w:val="290"/>
        </w:trPr>
        <w:tc>
          <w:tcPr>
            <w:tcW w:w="984" w:type="dxa"/>
            <w:vMerge/>
            <w:tcBorders>
              <w:left w:val="single" w:sz="4" w:space="0" w:color="auto"/>
              <w:right w:val="nil"/>
            </w:tcBorders>
            <w:shd w:val="clear" w:color="auto" w:fill="auto"/>
            <w:noWrap/>
            <w:vAlign w:val="bottom"/>
            <w:hideMark/>
          </w:tcPr>
          <w:p w14:paraId="47354C9F" w14:textId="650B4FC0"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nil"/>
              <w:right w:val="nil"/>
            </w:tcBorders>
            <w:shd w:val="clear" w:color="auto" w:fill="auto"/>
            <w:noWrap/>
            <w:vAlign w:val="bottom"/>
            <w:hideMark/>
          </w:tcPr>
          <w:p w14:paraId="62C94A93"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Higher Education</w:t>
            </w:r>
          </w:p>
        </w:tc>
        <w:tc>
          <w:tcPr>
            <w:tcW w:w="718" w:type="dxa"/>
            <w:tcBorders>
              <w:top w:val="nil"/>
              <w:left w:val="nil"/>
              <w:bottom w:val="nil"/>
              <w:right w:val="nil"/>
            </w:tcBorders>
            <w:shd w:val="clear" w:color="auto" w:fill="auto"/>
            <w:noWrap/>
            <w:vAlign w:val="bottom"/>
            <w:hideMark/>
          </w:tcPr>
          <w:p w14:paraId="5F3EC8EF"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14.8</w:t>
            </w:r>
          </w:p>
        </w:tc>
        <w:tc>
          <w:tcPr>
            <w:tcW w:w="718" w:type="dxa"/>
            <w:tcBorders>
              <w:top w:val="nil"/>
              <w:left w:val="nil"/>
              <w:bottom w:val="nil"/>
              <w:right w:val="nil"/>
            </w:tcBorders>
            <w:shd w:val="clear" w:color="auto" w:fill="auto"/>
            <w:noWrap/>
            <w:vAlign w:val="bottom"/>
            <w:hideMark/>
          </w:tcPr>
          <w:p w14:paraId="06AF695F"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17.6</w:t>
            </w:r>
          </w:p>
        </w:tc>
        <w:tc>
          <w:tcPr>
            <w:tcW w:w="858" w:type="dxa"/>
            <w:tcBorders>
              <w:top w:val="nil"/>
              <w:left w:val="nil"/>
              <w:bottom w:val="nil"/>
              <w:right w:val="nil"/>
            </w:tcBorders>
            <w:shd w:val="clear" w:color="auto" w:fill="auto"/>
            <w:noWrap/>
            <w:vAlign w:val="bottom"/>
            <w:hideMark/>
          </w:tcPr>
          <w:p w14:paraId="126A0E3F"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20.9</w:t>
            </w:r>
          </w:p>
        </w:tc>
        <w:tc>
          <w:tcPr>
            <w:tcW w:w="858" w:type="dxa"/>
            <w:tcBorders>
              <w:top w:val="nil"/>
              <w:left w:val="nil"/>
              <w:bottom w:val="nil"/>
              <w:right w:val="nil"/>
            </w:tcBorders>
            <w:shd w:val="clear" w:color="auto" w:fill="auto"/>
            <w:noWrap/>
            <w:vAlign w:val="bottom"/>
            <w:hideMark/>
          </w:tcPr>
          <w:p w14:paraId="09B14B3A"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24.8</w:t>
            </w:r>
          </w:p>
        </w:tc>
        <w:tc>
          <w:tcPr>
            <w:tcW w:w="724" w:type="dxa"/>
            <w:tcBorders>
              <w:top w:val="nil"/>
              <w:left w:val="nil"/>
              <w:bottom w:val="nil"/>
              <w:right w:val="nil"/>
            </w:tcBorders>
            <w:shd w:val="clear" w:color="auto" w:fill="auto"/>
            <w:noWrap/>
            <w:vAlign w:val="bottom"/>
            <w:hideMark/>
          </w:tcPr>
          <w:p w14:paraId="719F965B"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6.8%</w:t>
            </w:r>
          </w:p>
        </w:tc>
        <w:tc>
          <w:tcPr>
            <w:tcW w:w="796" w:type="dxa"/>
            <w:tcBorders>
              <w:top w:val="nil"/>
              <w:left w:val="nil"/>
              <w:bottom w:val="nil"/>
              <w:right w:val="nil"/>
            </w:tcBorders>
            <w:shd w:val="clear" w:color="auto" w:fill="auto"/>
            <w:noWrap/>
            <w:vAlign w:val="bottom"/>
            <w:hideMark/>
          </w:tcPr>
          <w:p w14:paraId="12581A4C"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6.8%</w:t>
            </w:r>
          </w:p>
        </w:tc>
        <w:tc>
          <w:tcPr>
            <w:tcW w:w="796" w:type="dxa"/>
            <w:tcBorders>
              <w:top w:val="nil"/>
              <w:left w:val="nil"/>
              <w:bottom w:val="nil"/>
              <w:right w:val="nil"/>
            </w:tcBorders>
            <w:shd w:val="clear" w:color="auto" w:fill="auto"/>
            <w:noWrap/>
            <w:vAlign w:val="bottom"/>
            <w:hideMark/>
          </w:tcPr>
          <w:p w14:paraId="58F58530"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6.8%</w:t>
            </w:r>
          </w:p>
        </w:tc>
        <w:tc>
          <w:tcPr>
            <w:tcW w:w="804" w:type="dxa"/>
            <w:tcBorders>
              <w:top w:val="nil"/>
              <w:left w:val="nil"/>
              <w:bottom w:val="nil"/>
              <w:right w:val="single" w:sz="4" w:space="0" w:color="auto"/>
            </w:tcBorders>
            <w:shd w:val="clear" w:color="auto" w:fill="auto"/>
            <w:noWrap/>
            <w:vAlign w:val="bottom"/>
            <w:hideMark/>
          </w:tcPr>
          <w:p w14:paraId="5E036963"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6.9%</w:t>
            </w:r>
          </w:p>
        </w:tc>
      </w:tr>
      <w:tr w:rsidR="00061A30" w:rsidRPr="00477D8F" w14:paraId="654E3C3F" w14:textId="77777777" w:rsidTr="00E830DE">
        <w:trPr>
          <w:trHeight w:val="290"/>
        </w:trPr>
        <w:tc>
          <w:tcPr>
            <w:tcW w:w="984" w:type="dxa"/>
            <w:vMerge/>
            <w:tcBorders>
              <w:left w:val="single" w:sz="4" w:space="0" w:color="auto"/>
              <w:bottom w:val="single" w:sz="4" w:space="0" w:color="auto"/>
              <w:right w:val="nil"/>
            </w:tcBorders>
            <w:shd w:val="clear" w:color="auto" w:fill="auto"/>
            <w:noWrap/>
            <w:vAlign w:val="bottom"/>
            <w:hideMark/>
          </w:tcPr>
          <w:p w14:paraId="3FB3CE7C" w14:textId="05C7663B"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single" w:sz="4" w:space="0" w:color="auto"/>
              <w:right w:val="nil"/>
            </w:tcBorders>
            <w:shd w:val="clear" w:color="auto" w:fill="auto"/>
            <w:noWrap/>
            <w:vAlign w:val="bottom"/>
            <w:hideMark/>
          </w:tcPr>
          <w:p w14:paraId="70055478"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Total</w:t>
            </w:r>
          </w:p>
        </w:tc>
        <w:tc>
          <w:tcPr>
            <w:tcW w:w="718" w:type="dxa"/>
            <w:tcBorders>
              <w:top w:val="nil"/>
              <w:left w:val="nil"/>
              <w:bottom w:val="single" w:sz="4" w:space="0" w:color="auto"/>
              <w:right w:val="nil"/>
            </w:tcBorders>
            <w:shd w:val="clear" w:color="auto" w:fill="auto"/>
            <w:noWrap/>
            <w:vAlign w:val="bottom"/>
            <w:hideMark/>
          </w:tcPr>
          <w:p w14:paraId="17866F3D"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567.9</w:t>
            </w:r>
          </w:p>
        </w:tc>
        <w:tc>
          <w:tcPr>
            <w:tcW w:w="718" w:type="dxa"/>
            <w:tcBorders>
              <w:top w:val="nil"/>
              <w:left w:val="nil"/>
              <w:bottom w:val="single" w:sz="4" w:space="0" w:color="auto"/>
              <w:right w:val="nil"/>
            </w:tcBorders>
            <w:shd w:val="clear" w:color="auto" w:fill="auto"/>
            <w:noWrap/>
            <w:vAlign w:val="bottom"/>
            <w:hideMark/>
          </w:tcPr>
          <w:p w14:paraId="1B664384"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705.7</w:t>
            </w:r>
          </w:p>
        </w:tc>
        <w:tc>
          <w:tcPr>
            <w:tcW w:w="858" w:type="dxa"/>
            <w:tcBorders>
              <w:top w:val="nil"/>
              <w:left w:val="nil"/>
              <w:bottom w:val="single" w:sz="4" w:space="0" w:color="auto"/>
              <w:right w:val="nil"/>
            </w:tcBorders>
            <w:shd w:val="clear" w:color="auto" w:fill="auto"/>
            <w:noWrap/>
            <w:vAlign w:val="bottom"/>
            <w:hideMark/>
          </w:tcPr>
          <w:p w14:paraId="3D38D5F3"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871.0</w:t>
            </w:r>
          </w:p>
        </w:tc>
        <w:tc>
          <w:tcPr>
            <w:tcW w:w="858" w:type="dxa"/>
            <w:tcBorders>
              <w:top w:val="nil"/>
              <w:left w:val="nil"/>
              <w:bottom w:val="single" w:sz="4" w:space="0" w:color="auto"/>
              <w:right w:val="nil"/>
            </w:tcBorders>
            <w:shd w:val="clear" w:color="auto" w:fill="auto"/>
            <w:noWrap/>
            <w:vAlign w:val="bottom"/>
            <w:hideMark/>
          </w:tcPr>
          <w:p w14:paraId="4874B18E"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1012.2</w:t>
            </w:r>
          </w:p>
        </w:tc>
        <w:tc>
          <w:tcPr>
            <w:tcW w:w="724" w:type="dxa"/>
            <w:tcBorders>
              <w:top w:val="nil"/>
              <w:left w:val="nil"/>
              <w:bottom w:val="single" w:sz="4" w:space="0" w:color="auto"/>
              <w:right w:val="nil"/>
            </w:tcBorders>
            <w:shd w:val="clear" w:color="auto" w:fill="auto"/>
            <w:noWrap/>
            <w:vAlign w:val="bottom"/>
            <w:hideMark/>
          </w:tcPr>
          <w:p w14:paraId="3FCC6C1A"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single" w:sz="4" w:space="0" w:color="auto"/>
              <w:right w:val="nil"/>
            </w:tcBorders>
            <w:shd w:val="clear" w:color="auto" w:fill="auto"/>
            <w:noWrap/>
            <w:vAlign w:val="bottom"/>
            <w:hideMark/>
          </w:tcPr>
          <w:p w14:paraId="205C0148"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single" w:sz="4" w:space="0" w:color="auto"/>
              <w:right w:val="nil"/>
            </w:tcBorders>
            <w:shd w:val="clear" w:color="auto" w:fill="auto"/>
            <w:noWrap/>
            <w:vAlign w:val="bottom"/>
            <w:hideMark/>
          </w:tcPr>
          <w:p w14:paraId="04A9E6D9"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04" w:type="dxa"/>
            <w:tcBorders>
              <w:top w:val="nil"/>
              <w:left w:val="nil"/>
              <w:bottom w:val="single" w:sz="4" w:space="0" w:color="auto"/>
              <w:right w:val="single" w:sz="4" w:space="0" w:color="auto"/>
            </w:tcBorders>
            <w:shd w:val="clear" w:color="auto" w:fill="auto"/>
            <w:noWrap/>
            <w:vAlign w:val="bottom"/>
            <w:hideMark/>
          </w:tcPr>
          <w:p w14:paraId="0509D572"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r>
      <w:tr w:rsidR="00E7440F" w:rsidRPr="00477D8F" w14:paraId="66D8A008" w14:textId="77777777" w:rsidTr="00061A30">
        <w:trPr>
          <w:trHeight w:val="290"/>
        </w:trPr>
        <w:tc>
          <w:tcPr>
            <w:tcW w:w="984" w:type="dxa"/>
            <w:tcBorders>
              <w:top w:val="nil"/>
              <w:left w:val="single" w:sz="4" w:space="0" w:color="auto"/>
              <w:bottom w:val="nil"/>
              <w:right w:val="nil"/>
            </w:tcBorders>
            <w:shd w:val="clear" w:color="auto" w:fill="auto"/>
            <w:noWrap/>
            <w:vAlign w:val="bottom"/>
            <w:hideMark/>
          </w:tcPr>
          <w:p w14:paraId="056A21D2"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1820" w:type="dxa"/>
            <w:tcBorders>
              <w:top w:val="nil"/>
              <w:left w:val="nil"/>
              <w:bottom w:val="nil"/>
              <w:right w:val="nil"/>
            </w:tcBorders>
            <w:shd w:val="clear" w:color="auto" w:fill="auto"/>
            <w:noWrap/>
            <w:vAlign w:val="bottom"/>
            <w:hideMark/>
          </w:tcPr>
          <w:p w14:paraId="53A01C1A"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18" w:type="dxa"/>
            <w:tcBorders>
              <w:top w:val="nil"/>
              <w:left w:val="nil"/>
              <w:bottom w:val="nil"/>
              <w:right w:val="nil"/>
            </w:tcBorders>
            <w:shd w:val="clear" w:color="auto" w:fill="auto"/>
            <w:noWrap/>
            <w:vAlign w:val="bottom"/>
            <w:hideMark/>
          </w:tcPr>
          <w:p w14:paraId="4062EEBB"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18" w:type="dxa"/>
            <w:tcBorders>
              <w:top w:val="nil"/>
              <w:left w:val="nil"/>
              <w:bottom w:val="nil"/>
              <w:right w:val="nil"/>
            </w:tcBorders>
            <w:shd w:val="clear" w:color="auto" w:fill="auto"/>
            <w:noWrap/>
            <w:vAlign w:val="bottom"/>
            <w:hideMark/>
          </w:tcPr>
          <w:p w14:paraId="2E6D5B3E"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58" w:type="dxa"/>
            <w:tcBorders>
              <w:top w:val="nil"/>
              <w:left w:val="nil"/>
              <w:bottom w:val="nil"/>
              <w:right w:val="nil"/>
            </w:tcBorders>
            <w:shd w:val="clear" w:color="auto" w:fill="auto"/>
            <w:noWrap/>
            <w:vAlign w:val="bottom"/>
            <w:hideMark/>
          </w:tcPr>
          <w:p w14:paraId="34523529"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58" w:type="dxa"/>
            <w:tcBorders>
              <w:top w:val="nil"/>
              <w:left w:val="nil"/>
              <w:bottom w:val="nil"/>
              <w:right w:val="nil"/>
            </w:tcBorders>
            <w:shd w:val="clear" w:color="auto" w:fill="auto"/>
            <w:noWrap/>
            <w:vAlign w:val="bottom"/>
            <w:hideMark/>
          </w:tcPr>
          <w:p w14:paraId="50CE455A"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24" w:type="dxa"/>
            <w:tcBorders>
              <w:top w:val="nil"/>
              <w:left w:val="nil"/>
              <w:bottom w:val="nil"/>
              <w:right w:val="nil"/>
            </w:tcBorders>
            <w:shd w:val="clear" w:color="auto" w:fill="auto"/>
            <w:noWrap/>
            <w:vAlign w:val="bottom"/>
            <w:hideMark/>
          </w:tcPr>
          <w:p w14:paraId="14477746"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nil"/>
              <w:right w:val="nil"/>
            </w:tcBorders>
            <w:shd w:val="clear" w:color="auto" w:fill="auto"/>
            <w:noWrap/>
            <w:vAlign w:val="bottom"/>
            <w:hideMark/>
          </w:tcPr>
          <w:p w14:paraId="14B76949"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nil"/>
              <w:right w:val="nil"/>
            </w:tcBorders>
            <w:shd w:val="clear" w:color="auto" w:fill="auto"/>
            <w:noWrap/>
            <w:vAlign w:val="bottom"/>
            <w:hideMark/>
          </w:tcPr>
          <w:p w14:paraId="5B4ED97A"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04" w:type="dxa"/>
            <w:tcBorders>
              <w:top w:val="nil"/>
              <w:left w:val="nil"/>
              <w:bottom w:val="nil"/>
              <w:right w:val="single" w:sz="4" w:space="0" w:color="auto"/>
            </w:tcBorders>
            <w:shd w:val="clear" w:color="auto" w:fill="auto"/>
            <w:noWrap/>
            <w:vAlign w:val="bottom"/>
            <w:hideMark/>
          </w:tcPr>
          <w:p w14:paraId="7AFA13DB" w14:textId="77777777" w:rsidR="00E7440F" w:rsidRPr="00477D8F" w:rsidRDefault="00E7440F"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r>
      <w:tr w:rsidR="00061A30" w:rsidRPr="00477D8F" w14:paraId="044BBE04" w14:textId="77777777" w:rsidTr="00E830DE">
        <w:trPr>
          <w:trHeight w:val="290"/>
        </w:trPr>
        <w:tc>
          <w:tcPr>
            <w:tcW w:w="984" w:type="dxa"/>
            <w:vMerge w:val="restart"/>
            <w:tcBorders>
              <w:top w:val="nil"/>
              <w:left w:val="single" w:sz="4" w:space="0" w:color="auto"/>
              <w:right w:val="nil"/>
            </w:tcBorders>
            <w:shd w:val="clear" w:color="auto" w:fill="auto"/>
            <w:noWrap/>
            <w:vAlign w:val="bottom"/>
            <w:hideMark/>
          </w:tcPr>
          <w:p w14:paraId="0CE9D045"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Low</w:t>
            </w:r>
          </w:p>
          <w:p w14:paraId="00E797C6"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4FB63CF4"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1D4D350F"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35F94C47"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1F804D44" w14:textId="37F012BD"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1820" w:type="dxa"/>
            <w:tcBorders>
              <w:top w:val="nil"/>
              <w:left w:val="nil"/>
              <w:bottom w:val="nil"/>
              <w:right w:val="nil"/>
            </w:tcBorders>
            <w:shd w:val="clear" w:color="auto" w:fill="auto"/>
            <w:noWrap/>
            <w:vAlign w:val="bottom"/>
            <w:hideMark/>
          </w:tcPr>
          <w:p w14:paraId="1820F4EF"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ECD</w:t>
            </w:r>
          </w:p>
        </w:tc>
        <w:tc>
          <w:tcPr>
            <w:tcW w:w="718" w:type="dxa"/>
            <w:tcBorders>
              <w:top w:val="nil"/>
              <w:left w:val="nil"/>
              <w:bottom w:val="nil"/>
              <w:right w:val="nil"/>
            </w:tcBorders>
            <w:shd w:val="clear" w:color="auto" w:fill="auto"/>
            <w:noWrap/>
            <w:vAlign w:val="bottom"/>
            <w:hideMark/>
          </w:tcPr>
          <w:p w14:paraId="43613663"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97.6</w:t>
            </w:r>
          </w:p>
        </w:tc>
        <w:tc>
          <w:tcPr>
            <w:tcW w:w="718" w:type="dxa"/>
            <w:tcBorders>
              <w:top w:val="nil"/>
              <w:left w:val="nil"/>
              <w:bottom w:val="nil"/>
              <w:right w:val="nil"/>
            </w:tcBorders>
            <w:shd w:val="clear" w:color="auto" w:fill="auto"/>
            <w:noWrap/>
            <w:vAlign w:val="bottom"/>
            <w:hideMark/>
          </w:tcPr>
          <w:p w14:paraId="03704B5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110.9</w:t>
            </w:r>
          </w:p>
        </w:tc>
        <w:tc>
          <w:tcPr>
            <w:tcW w:w="858" w:type="dxa"/>
            <w:tcBorders>
              <w:top w:val="nil"/>
              <w:left w:val="nil"/>
              <w:bottom w:val="nil"/>
              <w:right w:val="nil"/>
            </w:tcBorders>
            <w:shd w:val="clear" w:color="auto" w:fill="auto"/>
            <w:noWrap/>
            <w:vAlign w:val="bottom"/>
            <w:hideMark/>
          </w:tcPr>
          <w:p w14:paraId="0606CDC8"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126.1</w:t>
            </w:r>
          </w:p>
        </w:tc>
        <w:tc>
          <w:tcPr>
            <w:tcW w:w="858" w:type="dxa"/>
            <w:tcBorders>
              <w:top w:val="nil"/>
              <w:left w:val="nil"/>
              <w:bottom w:val="nil"/>
              <w:right w:val="nil"/>
            </w:tcBorders>
            <w:shd w:val="clear" w:color="auto" w:fill="auto"/>
            <w:noWrap/>
            <w:vAlign w:val="bottom"/>
            <w:hideMark/>
          </w:tcPr>
          <w:p w14:paraId="4E111339"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143.3</w:t>
            </w:r>
          </w:p>
        </w:tc>
        <w:tc>
          <w:tcPr>
            <w:tcW w:w="724" w:type="dxa"/>
            <w:tcBorders>
              <w:top w:val="nil"/>
              <w:left w:val="nil"/>
              <w:bottom w:val="nil"/>
              <w:right w:val="nil"/>
            </w:tcBorders>
            <w:shd w:val="clear" w:color="auto" w:fill="auto"/>
            <w:noWrap/>
            <w:vAlign w:val="bottom"/>
            <w:hideMark/>
          </w:tcPr>
          <w:p w14:paraId="001B59F0"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37%</w:t>
            </w:r>
          </w:p>
        </w:tc>
        <w:tc>
          <w:tcPr>
            <w:tcW w:w="796" w:type="dxa"/>
            <w:tcBorders>
              <w:top w:val="nil"/>
              <w:left w:val="nil"/>
              <w:bottom w:val="nil"/>
              <w:right w:val="nil"/>
            </w:tcBorders>
            <w:shd w:val="clear" w:color="auto" w:fill="auto"/>
            <w:noWrap/>
            <w:vAlign w:val="bottom"/>
            <w:hideMark/>
          </w:tcPr>
          <w:p w14:paraId="3455F2B4"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36%</w:t>
            </w:r>
          </w:p>
        </w:tc>
        <w:tc>
          <w:tcPr>
            <w:tcW w:w="796" w:type="dxa"/>
            <w:tcBorders>
              <w:top w:val="nil"/>
              <w:left w:val="nil"/>
              <w:bottom w:val="nil"/>
              <w:right w:val="nil"/>
            </w:tcBorders>
            <w:shd w:val="clear" w:color="auto" w:fill="auto"/>
            <w:noWrap/>
            <w:vAlign w:val="bottom"/>
            <w:hideMark/>
          </w:tcPr>
          <w:p w14:paraId="604CA4CE"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37%</w:t>
            </w:r>
          </w:p>
        </w:tc>
        <w:tc>
          <w:tcPr>
            <w:tcW w:w="804" w:type="dxa"/>
            <w:tcBorders>
              <w:top w:val="nil"/>
              <w:left w:val="nil"/>
              <w:bottom w:val="nil"/>
              <w:right w:val="single" w:sz="4" w:space="0" w:color="auto"/>
            </w:tcBorders>
            <w:shd w:val="clear" w:color="auto" w:fill="auto"/>
            <w:noWrap/>
            <w:vAlign w:val="bottom"/>
            <w:hideMark/>
          </w:tcPr>
          <w:p w14:paraId="775B4AA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38%</w:t>
            </w:r>
          </w:p>
        </w:tc>
      </w:tr>
      <w:tr w:rsidR="00061A30" w:rsidRPr="00477D8F" w14:paraId="3A6E6D1C" w14:textId="77777777" w:rsidTr="00E830DE">
        <w:trPr>
          <w:trHeight w:val="290"/>
        </w:trPr>
        <w:tc>
          <w:tcPr>
            <w:tcW w:w="984" w:type="dxa"/>
            <w:vMerge/>
            <w:tcBorders>
              <w:left w:val="single" w:sz="4" w:space="0" w:color="auto"/>
              <w:right w:val="nil"/>
            </w:tcBorders>
            <w:shd w:val="clear" w:color="auto" w:fill="auto"/>
            <w:noWrap/>
            <w:vAlign w:val="bottom"/>
            <w:hideMark/>
          </w:tcPr>
          <w:p w14:paraId="68C54EBB" w14:textId="09CCB288"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nil"/>
              <w:right w:val="nil"/>
            </w:tcBorders>
            <w:shd w:val="clear" w:color="auto" w:fill="auto"/>
            <w:noWrap/>
            <w:vAlign w:val="bottom"/>
            <w:hideMark/>
          </w:tcPr>
          <w:p w14:paraId="746A4D5F"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Primary</w:t>
            </w:r>
          </w:p>
        </w:tc>
        <w:tc>
          <w:tcPr>
            <w:tcW w:w="718" w:type="dxa"/>
            <w:tcBorders>
              <w:top w:val="nil"/>
              <w:left w:val="nil"/>
              <w:bottom w:val="nil"/>
              <w:right w:val="nil"/>
            </w:tcBorders>
            <w:shd w:val="clear" w:color="auto" w:fill="auto"/>
            <w:noWrap/>
            <w:vAlign w:val="bottom"/>
            <w:hideMark/>
          </w:tcPr>
          <w:p w14:paraId="2D2735DE"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308.7</w:t>
            </w:r>
          </w:p>
        </w:tc>
        <w:tc>
          <w:tcPr>
            <w:tcW w:w="718" w:type="dxa"/>
            <w:tcBorders>
              <w:top w:val="nil"/>
              <w:left w:val="nil"/>
              <w:bottom w:val="nil"/>
              <w:right w:val="nil"/>
            </w:tcBorders>
            <w:shd w:val="clear" w:color="auto" w:fill="auto"/>
            <w:noWrap/>
            <w:vAlign w:val="bottom"/>
            <w:hideMark/>
          </w:tcPr>
          <w:p w14:paraId="544A3EF8"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401.7</w:t>
            </w:r>
          </w:p>
        </w:tc>
        <w:tc>
          <w:tcPr>
            <w:tcW w:w="858" w:type="dxa"/>
            <w:tcBorders>
              <w:top w:val="nil"/>
              <w:left w:val="nil"/>
              <w:bottom w:val="nil"/>
              <w:right w:val="nil"/>
            </w:tcBorders>
            <w:shd w:val="clear" w:color="auto" w:fill="auto"/>
            <w:noWrap/>
            <w:vAlign w:val="bottom"/>
            <w:hideMark/>
          </w:tcPr>
          <w:p w14:paraId="3F5E883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471.2</w:t>
            </w:r>
          </w:p>
        </w:tc>
        <w:tc>
          <w:tcPr>
            <w:tcW w:w="858" w:type="dxa"/>
            <w:tcBorders>
              <w:top w:val="nil"/>
              <w:left w:val="nil"/>
              <w:bottom w:val="nil"/>
              <w:right w:val="nil"/>
            </w:tcBorders>
            <w:shd w:val="clear" w:color="auto" w:fill="auto"/>
            <w:noWrap/>
            <w:vAlign w:val="bottom"/>
            <w:hideMark/>
          </w:tcPr>
          <w:p w14:paraId="289C4A79"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522.1</w:t>
            </w:r>
          </w:p>
        </w:tc>
        <w:tc>
          <w:tcPr>
            <w:tcW w:w="724" w:type="dxa"/>
            <w:tcBorders>
              <w:top w:val="nil"/>
              <w:left w:val="nil"/>
              <w:bottom w:val="nil"/>
              <w:right w:val="nil"/>
            </w:tcBorders>
            <w:shd w:val="clear" w:color="auto" w:fill="auto"/>
            <w:noWrap/>
            <w:vAlign w:val="bottom"/>
            <w:hideMark/>
          </w:tcPr>
          <w:p w14:paraId="0EE1C90B"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93%</w:t>
            </w:r>
          </w:p>
        </w:tc>
        <w:tc>
          <w:tcPr>
            <w:tcW w:w="796" w:type="dxa"/>
            <w:tcBorders>
              <w:top w:val="nil"/>
              <w:left w:val="nil"/>
              <w:bottom w:val="nil"/>
              <w:right w:val="nil"/>
            </w:tcBorders>
            <w:shd w:val="clear" w:color="auto" w:fill="auto"/>
            <w:noWrap/>
            <w:vAlign w:val="bottom"/>
            <w:hideMark/>
          </w:tcPr>
          <w:p w14:paraId="06EA709C"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104%</w:t>
            </w:r>
          </w:p>
        </w:tc>
        <w:tc>
          <w:tcPr>
            <w:tcW w:w="796" w:type="dxa"/>
            <w:tcBorders>
              <w:top w:val="nil"/>
              <w:left w:val="nil"/>
              <w:bottom w:val="nil"/>
              <w:right w:val="nil"/>
            </w:tcBorders>
            <w:shd w:val="clear" w:color="auto" w:fill="auto"/>
            <w:noWrap/>
            <w:vAlign w:val="bottom"/>
            <w:hideMark/>
          </w:tcPr>
          <w:p w14:paraId="6AEEBA54"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106%</w:t>
            </w:r>
          </w:p>
        </w:tc>
        <w:tc>
          <w:tcPr>
            <w:tcW w:w="804" w:type="dxa"/>
            <w:tcBorders>
              <w:top w:val="nil"/>
              <w:left w:val="nil"/>
              <w:bottom w:val="nil"/>
              <w:right w:val="single" w:sz="4" w:space="0" w:color="auto"/>
            </w:tcBorders>
            <w:shd w:val="clear" w:color="auto" w:fill="auto"/>
            <w:noWrap/>
            <w:vAlign w:val="bottom"/>
            <w:hideMark/>
          </w:tcPr>
          <w:p w14:paraId="636F286B"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106%</w:t>
            </w:r>
          </w:p>
        </w:tc>
      </w:tr>
      <w:tr w:rsidR="00061A30" w:rsidRPr="00477D8F" w14:paraId="0EEE8BD0" w14:textId="77777777" w:rsidTr="00E830DE">
        <w:trPr>
          <w:trHeight w:val="290"/>
        </w:trPr>
        <w:tc>
          <w:tcPr>
            <w:tcW w:w="984" w:type="dxa"/>
            <w:vMerge/>
            <w:tcBorders>
              <w:left w:val="single" w:sz="4" w:space="0" w:color="auto"/>
              <w:right w:val="nil"/>
            </w:tcBorders>
            <w:shd w:val="clear" w:color="auto" w:fill="auto"/>
            <w:noWrap/>
            <w:vAlign w:val="bottom"/>
            <w:hideMark/>
          </w:tcPr>
          <w:p w14:paraId="395C95A7" w14:textId="498D8575"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nil"/>
              <w:right w:val="nil"/>
            </w:tcBorders>
            <w:shd w:val="clear" w:color="auto" w:fill="auto"/>
            <w:noWrap/>
            <w:vAlign w:val="bottom"/>
            <w:hideMark/>
          </w:tcPr>
          <w:p w14:paraId="2FE5F046"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Lower Secondary</w:t>
            </w:r>
          </w:p>
        </w:tc>
        <w:tc>
          <w:tcPr>
            <w:tcW w:w="718" w:type="dxa"/>
            <w:tcBorders>
              <w:top w:val="nil"/>
              <w:left w:val="nil"/>
              <w:bottom w:val="nil"/>
              <w:right w:val="nil"/>
            </w:tcBorders>
            <w:shd w:val="clear" w:color="auto" w:fill="auto"/>
            <w:noWrap/>
            <w:vAlign w:val="bottom"/>
            <w:hideMark/>
          </w:tcPr>
          <w:p w14:paraId="233F87A5"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90.8</w:t>
            </w:r>
          </w:p>
        </w:tc>
        <w:tc>
          <w:tcPr>
            <w:tcW w:w="718" w:type="dxa"/>
            <w:tcBorders>
              <w:top w:val="nil"/>
              <w:left w:val="nil"/>
              <w:bottom w:val="nil"/>
              <w:right w:val="nil"/>
            </w:tcBorders>
            <w:shd w:val="clear" w:color="auto" w:fill="auto"/>
            <w:noWrap/>
            <w:vAlign w:val="bottom"/>
            <w:hideMark/>
          </w:tcPr>
          <w:p w14:paraId="57439317"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96.8</w:t>
            </w:r>
          </w:p>
        </w:tc>
        <w:tc>
          <w:tcPr>
            <w:tcW w:w="858" w:type="dxa"/>
            <w:tcBorders>
              <w:top w:val="nil"/>
              <w:left w:val="nil"/>
              <w:bottom w:val="nil"/>
              <w:right w:val="nil"/>
            </w:tcBorders>
            <w:shd w:val="clear" w:color="auto" w:fill="auto"/>
            <w:noWrap/>
            <w:vAlign w:val="bottom"/>
            <w:hideMark/>
          </w:tcPr>
          <w:p w14:paraId="566EC480"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133.6</w:t>
            </w:r>
          </w:p>
        </w:tc>
        <w:tc>
          <w:tcPr>
            <w:tcW w:w="858" w:type="dxa"/>
            <w:tcBorders>
              <w:top w:val="nil"/>
              <w:left w:val="nil"/>
              <w:bottom w:val="nil"/>
              <w:right w:val="nil"/>
            </w:tcBorders>
            <w:shd w:val="clear" w:color="auto" w:fill="auto"/>
            <w:noWrap/>
            <w:vAlign w:val="bottom"/>
            <w:hideMark/>
          </w:tcPr>
          <w:p w14:paraId="727558F5"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155.5</w:t>
            </w:r>
          </w:p>
        </w:tc>
        <w:tc>
          <w:tcPr>
            <w:tcW w:w="724" w:type="dxa"/>
            <w:tcBorders>
              <w:top w:val="nil"/>
              <w:left w:val="nil"/>
              <w:bottom w:val="nil"/>
              <w:right w:val="nil"/>
            </w:tcBorders>
            <w:shd w:val="clear" w:color="auto" w:fill="auto"/>
            <w:noWrap/>
            <w:vAlign w:val="bottom"/>
            <w:hideMark/>
          </w:tcPr>
          <w:p w14:paraId="1AE2B5E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64%</w:t>
            </w:r>
          </w:p>
        </w:tc>
        <w:tc>
          <w:tcPr>
            <w:tcW w:w="796" w:type="dxa"/>
            <w:tcBorders>
              <w:top w:val="nil"/>
              <w:left w:val="nil"/>
              <w:bottom w:val="nil"/>
              <w:right w:val="nil"/>
            </w:tcBorders>
            <w:shd w:val="clear" w:color="auto" w:fill="auto"/>
            <w:noWrap/>
            <w:vAlign w:val="bottom"/>
            <w:hideMark/>
          </w:tcPr>
          <w:p w14:paraId="06682A6B"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58%</w:t>
            </w:r>
          </w:p>
        </w:tc>
        <w:tc>
          <w:tcPr>
            <w:tcW w:w="796" w:type="dxa"/>
            <w:tcBorders>
              <w:top w:val="nil"/>
              <w:left w:val="nil"/>
              <w:bottom w:val="nil"/>
              <w:right w:val="nil"/>
            </w:tcBorders>
            <w:shd w:val="clear" w:color="auto" w:fill="auto"/>
            <w:noWrap/>
            <w:vAlign w:val="bottom"/>
            <w:hideMark/>
          </w:tcPr>
          <w:p w14:paraId="65300EC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68%</w:t>
            </w:r>
          </w:p>
        </w:tc>
        <w:tc>
          <w:tcPr>
            <w:tcW w:w="804" w:type="dxa"/>
            <w:tcBorders>
              <w:top w:val="nil"/>
              <w:left w:val="nil"/>
              <w:bottom w:val="nil"/>
              <w:right w:val="single" w:sz="4" w:space="0" w:color="auto"/>
            </w:tcBorders>
            <w:shd w:val="clear" w:color="auto" w:fill="auto"/>
            <w:noWrap/>
            <w:vAlign w:val="bottom"/>
            <w:hideMark/>
          </w:tcPr>
          <w:p w14:paraId="7FB2F1AE"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70%</w:t>
            </w:r>
          </w:p>
        </w:tc>
      </w:tr>
      <w:tr w:rsidR="00061A30" w:rsidRPr="00477D8F" w14:paraId="2843F205" w14:textId="77777777" w:rsidTr="00E830DE">
        <w:trPr>
          <w:trHeight w:val="290"/>
        </w:trPr>
        <w:tc>
          <w:tcPr>
            <w:tcW w:w="984" w:type="dxa"/>
            <w:vMerge/>
            <w:tcBorders>
              <w:left w:val="single" w:sz="4" w:space="0" w:color="auto"/>
              <w:right w:val="nil"/>
            </w:tcBorders>
            <w:shd w:val="clear" w:color="auto" w:fill="auto"/>
            <w:noWrap/>
            <w:vAlign w:val="bottom"/>
            <w:hideMark/>
          </w:tcPr>
          <w:p w14:paraId="707657BE" w14:textId="115688D0"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nil"/>
              <w:right w:val="nil"/>
            </w:tcBorders>
            <w:shd w:val="clear" w:color="auto" w:fill="auto"/>
            <w:noWrap/>
            <w:vAlign w:val="bottom"/>
            <w:hideMark/>
          </w:tcPr>
          <w:p w14:paraId="0711022C"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Senior secondary</w:t>
            </w:r>
          </w:p>
        </w:tc>
        <w:tc>
          <w:tcPr>
            <w:tcW w:w="718" w:type="dxa"/>
            <w:tcBorders>
              <w:top w:val="nil"/>
              <w:left w:val="nil"/>
              <w:bottom w:val="nil"/>
              <w:right w:val="nil"/>
            </w:tcBorders>
            <w:shd w:val="clear" w:color="auto" w:fill="auto"/>
            <w:noWrap/>
            <w:vAlign w:val="bottom"/>
            <w:hideMark/>
          </w:tcPr>
          <w:p w14:paraId="328D0610"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56.0</w:t>
            </w:r>
          </w:p>
        </w:tc>
        <w:tc>
          <w:tcPr>
            <w:tcW w:w="718" w:type="dxa"/>
            <w:tcBorders>
              <w:top w:val="nil"/>
              <w:left w:val="nil"/>
              <w:bottom w:val="nil"/>
              <w:right w:val="nil"/>
            </w:tcBorders>
            <w:shd w:val="clear" w:color="auto" w:fill="auto"/>
            <w:noWrap/>
            <w:vAlign w:val="bottom"/>
            <w:hideMark/>
          </w:tcPr>
          <w:p w14:paraId="672E508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56.5</w:t>
            </w:r>
          </w:p>
        </w:tc>
        <w:tc>
          <w:tcPr>
            <w:tcW w:w="858" w:type="dxa"/>
            <w:tcBorders>
              <w:top w:val="nil"/>
              <w:left w:val="nil"/>
              <w:bottom w:val="nil"/>
              <w:right w:val="nil"/>
            </w:tcBorders>
            <w:shd w:val="clear" w:color="auto" w:fill="auto"/>
            <w:noWrap/>
            <w:vAlign w:val="bottom"/>
            <w:hideMark/>
          </w:tcPr>
          <w:p w14:paraId="76D343A5"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66.9</w:t>
            </w:r>
          </w:p>
        </w:tc>
        <w:tc>
          <w:tcPr>
            <w:tcW w:w="858" w:type="dxa"/>
            <w:tcBorders>
              <w:top w:val="nil"/>
              <w:left w:val="nil"/>
              <w:bottom w:val="nil"/>
              <w:right w:val="nil"/>
            </w:tcBorders>
            <w:shd w:val="clear" w:color="auto" w:fill="auto"/>
            <w:noWrap/>
            <w:vAlign w:val="bottom"/>
            <w:hideMark/>
          </w:tcPr>
          <w:p w14:paraId="21D70887"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89.7</w:t>
            </w:r>
          </w:p>
        </w:tc>
        <w:tc>
          <w:tcPr>
            <w:tcW w:w="724" w:type="dxa"/>
            <w:tcBorders>
              <w:top w:val="nil"/>
              <w:left w:val="nil"/>
              <w:bottom w:val="nil"/>
              <w:right w:val="nil"/>
            </w:tcBorders>
            <w:shd w:val="clear" w:color="auto" w:fill="auto"/>
            <w:noWrap/>
            <w:vAlign w:val="bottom"/>
            <w:hideMark/>
          </w:tcPr>
          <w:p w14:paraId="516EF8FC"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44%</w:t>
            </w:r>
          </w:p>
        </w:tc>
        <w:tc>
          <w:tcPr>
            <w:tcW w:w="796" w:type="dxa"/>
            <w:tcBorders>
              <w:top w:val="nil"/>
              <w:left w:val="nil"/>
              <w:bottom w:val="nil"/>
              <w:right w:val="nil"/>
            </w:tcBorders>
            <w:shd w:val="clear" w:color="auto" w:fill="auto"/>
            <w:noWrap/>
            <w:vAlign w:val="bottom"/>
            <w:hideMark/>
          </w:tcPr>
          <w:p w14:paraId="2952C280"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37%</w:t>
            </w:r>
          </w:p>
        </w:tc>
        <w:tc>
          <w:tcPr>
            <w:tcW w:w="796" w:type="dxa"/>
            <w:tcBorders>
              <w:top w:val="nil"/>
              <w:left w:val="nil"/>
              <w:bottom w:val="nil"/>
              <w:right w:val="nil"/>
            </w:tcBorders>
            <w:shd w:val="clear" w:color="auto" w:fill="auto"/>
            <w:noWrap/>
            <w:vAlign w:val="bottom"/>
            <w:hideMark/>
          </w:tcPr>
          <w:p w14:paraId="66FC7201"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38%</w:t>
            </w:r>
          </w:p>
        </w:tc>
        <w:tc>
          <w:tcPr>
            <w:tcW w:w="804" w:type="dxa"/>
            <w:tcBorders>
              <w:top w:val="nil"/>
              <w:left w:val="nil"/>
              <w:bottom w:val="nil"/>
              <w:right w:val="single" w:sz="4" w:space="0" w:color="auto"/>
            </w:tcBorders>
            <w:shd w:val="clear" w:color="auto" w:fill="auto"/>
            <w:noWrap/>
            <w:vAlign w:val="bottom"/>
            <w:hideMark/>
          </w:tcPr>
          <w:p w14:paraId="7DAE7178"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43%</w:t>
            </w:r>
          </w:p>
        </w:tc>
      </w:tr>
      <w:tr w:rsidR="00061A30" w:rsidRPr="00477D8F" w14:paraId="709AF421" w14:textId="77777777" w:rsidTr="00E830DE">
        <w:trPr>
          <w:trHeight w:val="290"/>
        </w:trPr>
        <w:tc>
          <w:tcPr>
            <w:tcW w:w="984" w:type="dxa"/>
            <w:vMerge/>
            <w:tcBorders>
              <w:left w:val="single" w:sz="4" w:space="0" w:color="auto"/>
              <w:right w:val="nil"/>
            </w:tcBorders>
            <w:shd w:val="clear" w:color="auto" w:fill="auto"/>
            <w:noWrap/>
            <w:vAlign w:val="bottom"/>
            <w:hideMark/>
          </w:tcPr>
          <w:p w14:paraId="51A8732C" w14:textId="3031382F"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nil"/>
              <w:right w:val="nil"/>
            </w:tcBorders>
            <w:shd w:val="clear" w:color="auto" w:fill="auto"/>
            <w:noWrap/>
            <w:vAlign w:val="bottom"/>
            <w:hideMark/>
          </w:tcPr>
          <w:p w14:paraId="46573228"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Higher Education</w:t>
            </w:r>
          </w:p>
        </w:tc>
        <w:tc>
          <w:tcPr>
            <w:tcW w:w="718" w:type="dxa"/>
            <w:tcBorders>
              <w:top w:val="nil"/>
              <w:left w:val="nil"/>
              <w:bottom w:val="nil"/>
              <w:right w:val="nil"/>
            </w:tcBorders>
            <w:shd w:val="clear" w:color="auto" w:fill="auto"/>
            <w:noWrap/>
            <w:vAlign w:val="bottom"/>
            <w:hideMark/>
          </w:tcPr>
          <w:p w14:paraId="1A2BF3D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14.8</w:t>
            </w:r>
          </w:p>
        </w:tc>
        <w:tc>
          <w:tcPr>
            <w:tcW w:w="718" w:type="dxa"/>
            <w:tcBorders>
              <w:top w:val="nil"/>
              <w:left w:val="nil"/>
              <w:bottom w:val="nil"/>
              <w:right w:val="nil"/>
            </w:tcBorders>
            <w:shd w:val="clear" w:color="auto" w:fill="auto"/>
            <w:noWrap/>
            <w:vAlign w:val="bottom"/>
            <w:hideMark/>
          </w:tcPr>
          <w:p w14:paraId="2336214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17.6</w:t>
            </w:r>
          </w:p>
        </w:tc>
        <w:tc>
          <w:tcPr>
            <w:tcW w:w="858" w:type="dxa"/>
            <w:tcBorders>
              <w:top w:val="nil"/>
              <w:left w:val="nil"/>
              <w:bottom w:val="nil"/>
              <w:right w:val="nil"/>
            </w:tcBorders>
            <w:shd w:val="clear" w:color="auto" w:fill="auto"/>
            <w:noWrap/>
            <w:vAlign w:val="bottom"/>
            <w:hideMark/>
          </w:tcPr>
          <w:p w14:paraId="6EA74DAC"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20.9</w:t>
            </w:r>
          </w:p>
        </w:tc>
        <w:tc>
          <w:tcPr>
            <w:tcW w:w="858" w:type="dxa"/>
            <w:tcBorders>
              <w:top w:val="nil"/>
              <w:left w:val="nil"/>
              <w:bottom w:val="nil"/>
              <w:right w:val="nil"/>
            </w:tcBorders>
            <w:shd w:val="clear" w:color="auto" w:fill="auto"/>
            <w:noWrap/>
            <w:vAlign w:val="bottom"/>
            <w:hideMark/>
          </w:tcPr>
          <w:p w14:paraId="235BB81F"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24.8</w:t>
            </w:r>
          </w:p>
        </w:tc>
        <w:tc>
          <w:tcPr>
            <w:tcW w:w="724" w:type="dxa"/>
            <w:tcBorders>
              <w:top w:val="nil"/>
              <w:left w:val="nil"/>
              <w:bottom w:val="nil"/>
              <w:right w:val="nil"/>
            </w:tcBorders>
            <w:shd w:val="clear" w:color="auto" w:fill="auto"/>
            <w:noWrap/>
            <w:vAlign w:val="bottom"/>
            <w:hideMark/>
          </w:tcPr>
          <w:p w14:paraId="10B341D3"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6.8%</w:t>
            </w:r>
          </w:p>
        </w:tc>
        <w:tc>
          <w:tcPr>
            <w:tcW w:w="796" w:type="dxa"/>
            <w:tcBorders>
              <w:top w:val="nil"/>
              <w:left w:val="nil"/>
              <w:bottom w:val="nil"/>
              <w:right w:val="nil"/>
            </w:tcBorders>
            <w:shd w:val="clear" w:color="auto" w:fill="auto"/>
            <w:noWrap/>
            <w:vAlign w:val="bottom"/>
            <w:hideMark/>
          </w:tcPr>
          <w:p w14:paraId="47F0F6D8"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6.8%</w:t>
            </w:r>
          </w:p>
        </w:tc>
        <w:tc>
          <w:tcPr>
            <w:tcW w:w="796" w:type="dxa"/>
            <w:tcBorders>
              <w:top w:val="nil"/>
              <w:left w:val="nil"/>
              <w:bottom w:val="nil"/>
              <w:right w:val="nil"/>
            </w:tcBorders>
            <w:shd w:val="clear" w:color="auto" w:fill="auto"/>
            <w:noWrap/>
            <w:vAlign w:val="bottom"/>
            <w:hideMark/>
          </w:tcPr>
          <w:p w14:paraId="023AA958"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6.8%</w:t>
            </w:r>
          </w:p>
        </w:tc>
        <w:tc>
          <w:tcPr>
            <w:tcW w:w="804" w:type="dxa"/>
            <w:tcBorders>
              <w:top w:val="nil"/>
              <w:left w:val="nil"/>
              <w:bottom w:val="nil"/>
              <w:right w:val="single" w:sz="4" w:space="0" w:color="auto"/>
            </w:tcBorders>
            <w:shd w:val="clear" w:color="auto" w:fill="auto"/>
            <w:noWrap/>
            <w:vAlign w:val="bottom"/>
            <w:hideMark/>
          </w:tcPr>
          <w:p w14:paraId="1F7F458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6.9%</w:t>
            </w:r>
          </w:p>
        </w:tc>
      </w:tr>
      <w:tr w:rsidR="00061A30" w:rsidRPr="00477D8F" w14:paraId="42415173" w14:textId="77777777" w:rsidTr="00E830DE">
        <w:trPr>
          <w:trHeight w:val="290"/>
        </w:trPr>
        <w:tc>
          <w:tcPr>
            <w:tcW w:w="984" w:type="dxa"/>
            <w:vMerge/>
            <w:tcBorders>
              <w:left w:val="single" w:sz="4" w:space="0" w:color="auto"/>
              <w:bottom w:val="single" w:sz="4" w:space="0" w:color="auto"/>
              <w:right w:val="nil"/>
            </w:tcBorders>
            <w:shd w:val="clear" w:color="auto" w:fill="auto"/>
            <w:noWrap/>
            <w:vAlign w:val="bottom"/>
            <w:hideMark/>
          </w:tcPr>
          <w:p w14:paraId="03948DA7" w14:textId="744E3DA9" w:rsidR="00061A30" w:rsidRPr="00477D8F" w:rsidRDefault="00061A30" w:rsidP="00E7440F">
            <w:pPr>
              <w:spacing w:after="0" w:line="240" w:lineRule="auto"/>
              <w:rPr>
                <w:rFonts w:ascii="Calibri" w:eastAsia="Times New Roman" w:hAnsi="Calibri" w:cs="Calibri"/>
                <w:color w:val="000000"/>
              </w:rPr>
            </w:pPr>
          </w:p>
        </w:tc>
        <w:tc>
          <w:tcPr>
            <w:tcW w:w="1820" w:type="dxa"/>
            <w:tcBorders>
              <w:top w:val="nil"/>
              <w:left w:val="nil"/>
              <w:bottom w:val="single" w:sz="4" w:space="0" w:color="auto"/>
              <w:right w:val="nil"/>
            </w:tcBorders>
            <w:shd w:val="clear" w:color="auto" w:fill="auto"/>
            <w:noWrap/>
            <w:vAlign w:val="bottom"/>
            <w:hideMark/>
          </w:tcPr>
          <w:p w14:paraId="750AF64A"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Total</w:t>
            </w:r>
          </w:p>
        </w:tc>
        <w:tc>
          <w:tcPr>
            <w:tcW w:w="718" w:type="dxa"/>
            <w:tcBorders>
              <w:top w:val="nil"/>
              <w:left w:val="nil"/>
              <w:bottom w:val="single" w:sz="4" w:space="0" w:color="auto"/>
              <w:right w:val="nil"/>
            </w:tcBorders>
            <w:shd w:val="clear" w:color="auto" w:fill="auto"/>
            <w:noWrap/>
            <w:vAlign w:val="bottom"/>
            <w:hideMark/>
          </w:tcPr>
          <w:p w14:paraId="40975EAF"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567.9</w:t>
            </w:r>
          </w:p>
        </w:tc>
        <w:tc>
          <w:tcPr>
            <w:tcW w:w="718" w:type="dxa"/>
            <w:tcBorders>
              <w:top w:val="nil"/>
              <w:left w:val="nil"/>
              <w:bottom w:val="single" w:sz="4" w:space="0" w:color="auto"/>
              <w:right w:val="nil"/>
            </w:tcBorders>
            <w:shd w:val="clear" w:color="auto" w:fill="auto"/>
            <w:noWrap/>
            <w:vAlign w:val="bottom"/>
            <w:hideMark/>
          </w:tcPr>
          <w:p w14:paraId="0A18255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683.5</w:t>
            </w:r>
          </w:p>
        </w:tc>
        <w:tc>
          <w:tcPr>
            <w:tcW w:w="858" w:type="dxa"/>
            <w:tcBorders>
              <w:top w:val="nil"/>
              <w:left w:val="nil"/>
              <w:bottom w:val="single" w:sz="4" w:space="0" w:color="auto"/>
              <w:right w:val="nil"/>
            </w:tcBorders>
            <w:shd w:val="clear" w:color="auto" w:fill="auto"/>
            <w:noWrap/>
            <w:vAlign w:val="bottom"/>
            <w:hideMark/>
          </w:tcPr>
          <w:p w14:paraId="5B5D0BD6"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818.6</w:t>
            </w:r>
          </w:p>
        </w:tc>
        <w:tc>
          <w:tcPr>
            <w:tcW w:w="858" w:type="dxa"/>
            <w:tcBorders>
              <w:top w:val="nil"/>
              <w:left w:val="nil"/>
              <w:bottom w:val="single" w:sz="4" w:space="0" w:color="auto"/>
              <w:right w:val="nil"/>
            </w:tcBorders>
            <w:shd w:val="clear" w:color="auto" w:fill="auto"/>
            <w:noWrap/>
            <w:vAlign w:val="bottom"/>
            <w:hideMark/>
          </w:tcPr>
          <w:p w14:paraId="1B9C0868" w14:textId="77777777" w:rsidR="00061A30" w:rsidRPr="00477D8F" w:rsidRDefault="00061A30" w:rsidP="00E7440F">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935.5</w:t>
            </w:r>
          </w:p>
        </w:tc>
        <w:tc>
          <w:tcPr>
            <w:tcW w:w="724" w:type="dxa"/>
            <w:tcBorders>
              <w:top w:val="nil"/>
              <w:left w:val="nil"/>
              <w:bottom w:val="single" w:sz="4" w:space="0" w:color="auto"/>
              <w:right w:val="nil"/>
            </w:tcBorders>
            <w:shd w:val="clear" w:color="auto" w:fill="auto"/>
            <w:noWrap/>
            <w:vAlign w:val="bottom"/>
            <w:hideMark/>
          </w:tcPr>
          <w:p w14:paraId="4BFB3454"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single" w:sz="4" w:space="0" w:color="auto"/>
              <w:right w:val="nil"/>
            </w:tcBorders>
            <w:shd w:val="clear" w:color="auto" w:fill="auto"/>
            <w:noWrap/>
            <w:vAlign w:val="bottom"/>
            <w:hideMark/>
          </w:tcPr>
          <w:p w14:paraId="7F135D58"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single" w:sz="4" w:space="0" w:color="auto"/>
              <w:right w:val="nil"/>
            </w:tcBorders>
            <w:shd w:val="clear" w:color="auto" w:fill="auto"/>
            <w:noWrap/>
            <w:vAlign w:val="bottom"/>
            <w:hideMark/>
          </w:tcPr>
          <w:p w14:paraId="24F0E937"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04" w:type="dxa"/>
            <w:tcBorders>
              <w:top w:val="nil"/>
              <w:left w:val="nil"/>
              <w:bottom w:val="single" w:sz="4" w:space="0" w:color="auto"/>
              <w:right w:val="single" w:sz="4" w:space="0" w:color="auto"/>
            </w:tcBorders>
            <w:shd w:val="clear" w:color="auto" w:fill="auto"/>
            <w:noWrap/>
            <w:vAlign w:val="bottom"/>
            <w:hideMark/>
          </w:tcPr>
          <w:p w14:paraId="492F9A5A" w14:textId="77777777" w:rsidR="00061A30" w:rsidRPr="00477D8F" w:rsidRDefault="00061A30" w:rsidP="00E7440F">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r>
    </w:tbl>
    <w:p w14:paraId="3E11E18F" w14:textId="77777777" w:rsidR="00061A30" w:rsidRPr="00477D8F" w:rsidRDefault="00061A30" w:rsidP="00480421">
      <w:pPr>
        <w:jc w:val="both"/>
        <w:rPr>
          <w:rFonts w:ascii="Sylfaen" w:eastAsiaTheme="majorEastAsia" w:hAnsi="Sylfaen" w:cstheme="majorBidi"/>
          <w:bCs/>
        </w:rPr>
      </w:pPr>
    </w:p>
    <w:p w14:paraId="1F52997F" w14:textId="1BE6A675" w:rsidR="00061A30" w:rsidRPr="00477D8F" w:rsidRDefault="00061A30" w:rsidP="00061A30">
      <w:pPr>
        <w:pStyle w:val="Caption1"/>
      </w:pPr>
      <w:r w:rsidRPr="00477D8F">
        <w:t>Table B</w:t>
      </w:r>
      <w:r w:rsidRPr="00477D8F">
        <w:fldChar w:fldCharType="begin"/>
      </w:r>
      <w:r w:rsidRPr="00477D8F">
        <w:instrText xml:space="preserve"> SEQ Table_B \* ARABIC </w:instrText>
      </w:r>
      <w:r w:rsidRPr="00477D8F">
        <w:fldChar w:fldCharType="separate"/>
      </w:r>
      <w:r w:rsidR="00510EA5" w:rsidRPr="00477D8F">
        <w:rPr>
          <w:noProof/>
        </w:rPr>
        <w:t>3</w:t>
      </w:r>
      <w:r w:rsidRPr="00477D8F">
        <w:rPr>
          <w:noProof/>
        </w:rPr>
        <w:fldChar w:fldCharType="end"/>
      </w:r>
      <w:r w:rsidRPr="00477D8F">
        <w:t>: Projection of key achievement indicators under three scenarios, 2015-2030</w:t>
      </w:r>
    </w:p>
    <w:tbl>
      <w:tblPr>
        <w:tblW w:w="8651" w:type="dxa"/>
        <w:tblLook w:val="04A0" w:firstRow="1" w:lastRow="0" w:firstColumn="1" w:lastColumn="0" w:noHBand="0" w:noVBand="1"/>
      </w:tblPr>
      <w:tblGrid>
        <w:gridCol w:w="1034"/>
        <w:gridCol w:w="4874"/>
        <w:gridCol w:w="718"/>
        <w:gridCol w:w="796"/>
        <w:gridCol w:w="796"/>
        <w:gridCol w:w="830"/>
      </w:tblGrid>
      <w:tr w:rsidR="00061A30" w:rsidRPr="00477D8F" w14:paraId="3770736B" w14:textId="77777777" w:rsidTr="00061A30">
        <w:trPr>
          <w:trHeight w:val="290"/>
        </w:trPr>
        <w:tc>
          <w:tcPr>
            <w:tcW w:w="971" w:type="dxa"/>
            <w:tcBorders>
              <w:top w:val="single" w:sz="4" w:space="0" w:color="auto"/>
              <w:left w:val="single" w:sz="4" w:space="0" w:color="auto"/>
              <w:bottom w:val="nil"/>
              <w:right w:val="nil"/>
            </w:tcBorders>
            <w:shd w:val="clear" w:color="auto" w:fill="auto"/>
            <w:noWrap/>
            <w:vAlign w:val="bottom"/>
            <w:hideMark/>
          </w:tcPr>
          <w:p w14:paraId="013D41EC" w14:textId="695396A3"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r w:rsidR="00510EA5" w:rsidRPr="00477D8F">
              <w:rPr>
                <w:rFonts w:ascii="Calibri" w:eastAsia="Times New Roman" w:hAnsi="Calibri" w:cs="Calibri"/>
                <w:color w:val="000000"/>
              </w:rPr>
              <w:t>Scenario</w:t>
            </w:r>
          </w:p>
        </w:tc>
        <w:tc>
          <w:tcPr>
            <w:tcW w:w="4874" w:type="dxa"/>
            <w:tcBorders>
              <w:top w:val="single" w:sz="4" w:space="0" w:color="auto"/>
              <w:left w:val="nil"/>
              <w:bottom w:val="nil"/>
              <w:right w:val="nil"/>
            </w:tcBorders>
            <w:shd w:val="clear" w:color="auto" w:fill="auto"/>
            <w:noWrap/>
            <w:vAlign w:val="bottom"/>
            <w:hideMark/>
          </w:tcPr>
          <w:p w14:paraId="26169D34" w14:textId="69AB7DAE"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r w:rsidR="00510EA5" w:rsidRPr="00477D8F">
              <w:rPr>
                <w:rFonts w:ascii="Calibri" w:eastAsia="Times New Roman" w:hAnsi="Calibri" w:cs="Calibri"/>
                <w:color w:val="000000"/>
              </w:rPr>
              <w:t>Indicator</w:t>
            </w:r>
          </w:p>
        </w:tc>
        <w:tc>
          <w:tcPr>
            <w:tcW w:w="384" w:type="dxa"/>
            <w:tcBorders>
              <w:top w:val="single" w:sz="4" w:space="0" w:color="auto"/>
              <w:left w:val="nil"/>
              <w:bottom w:val="nil"/>
              <w:right w:val="nil"/>
            </w:tcBorders>
            <w:shd w:val="clear" w:color="auto" w:fill="auto"/>
            <w:noWrap/>
            <w:vAlign w:val="bottom"/>
            <w:hideMark/>
          </w:tcPr>
          <w:p w14:paraId="4C999CA6"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2015</w:t>
            </w:r>
          </w:p>
        </w:tc>
        <w:tc>
          <w:tcPr>
            <w:tcW w:w="796" w:type="dxa"/>
            <w:tcBorders>
              <w:top w:val="single" w:sz="4" w:space="0" w:color="auto"/>
              <w:left w:val="nil"/>
              <w:bottom w:val="nil"/>
              <w:right w:val="nil"/>
            </w:tcBorders>
            <w:shd w:val="clear" w:color="auto" w:fill="auto"/>
            <w:noWrap/>
            <w:vAlign w:val="bottom"/>
            <w:hideMark/>
          </w:tcPr>
          <w:p w14:paraId="3C1B5998"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2020</w:t>
            </w:r>
          </w:p>
        </w:tc>
        <w:tc>
          <w:tcPr>
            <w:tcW w:w="796" w:type="dxa"/>
            <w:tcBorders>
              <w:top w:val="single" w:sz="4" w:space="0" w:color="auto"/>
              <w:left w:val="nil"/>
              <w:bottom w:val="nil"/>
              <w:right w:val="nil"/>
            </w:tcBorders>
            <w:shd w:val="clear" w:color="auto" w:fill="auto"/>
            <w:noWrap/>
            <w:vAlign w:val="bottom"/>
            <w:hideMark/>
          </w:tcPr>
          <w:p w14:paraId="0048F0BE"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2025</w:t>
            </w:r>
          </w:p>
        </w:tc>
        <w:tc>
          <w:tcPr>
            <w:tcW w:w="830" w:type="dxa"/>
            <w:tcBorders>
              <w:top w:val="single" w:sz="4" w:space="0" w:color="auto"/>
              <w:left w:val="nil"/>
              <w:bottom w:val="nil"/>
              <w:right w:val="single" w:sz="4" w:space="0" w:color="auto"/>
            </w:tcBorders>
            <w:shd w:val="clear" w:color="auto" w:fill="auto"/>
            <w:noWrap/>
            <w:vAlign w:val="bottom"/>
            <w:hideMark/>
          </w:tcPr>
          <w:p w14:paraId="0948584F"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2030</w:t>
            </w:r>
          </w:p>
        </w:tc>
      </w:tr>
      <w:tr w:rsidR="00061A30" w:rsidRPr="00477D8F" w14:paraId="2BCDD8CB" w14:textId="77777777" w:rsidTr="00061A30">
        <w:trPr>
          <w:trHeight w:val="290"/>
        </w:trPr>
        <w:tc>
          <w:tcPr>
            <w:tcW w:w="971" w:type="dxa"/>
            <w:vMerge w:val="restart"/>
            <w:tcBorders>
              <w:top w:val="single" w:sz="4" w:space="0" w:color="auto"/>
              <w:left w:val="single" w:sz="4" w:space="0" w:color="auto"/>
              <w:bottom w:val="single" w:sz="4" w:space="0" w:color="000000"/>
              <w:right w:val="nil"/>
            </w:tcBorders>
            <w:shd w:val="clear" w:color="auto" w:fill="auto"/>
            <w:noWrap/>
            <w:vAlign w:val="bottom"/>
            <w:hideMark/>
          </w:tcPr>
          <w:p w14:paraId="700891DF" w14:textId="77777777" w:rsidR="00061A30" w:rsidRPr="00477D8F" w:rsidRDefault="00061A30" w:rsidP="00061A30">
            <w:pPr>
              <w:spacing w:after="0" w:line="240" w:lineRule="auto"/>
              <w:jc w:val="center"/>
              <w:rPr>
                <w:rFonts w:ascii="Calibri" w:eastAsia="Times New Roman" w:hAnsi="Calibri" w:cs="Calibri"/>
                <w:color w:val="000000"/>
              </w:rPr>
            </w:pPr>
            <w:r w:rsidRPr="00477D8F">
              <w:rPr>
                <w:rFonts w:ascii="Calibri" w:eastAsia="Times New Roman" w:hAnsi="Calibri" w:cs="Calibri"/>
                <w:color w:val="000000"/>
              </w:rPr>
              <w:t>High</w:t>
            </w:r>
          </w:p>
        </w:tc>
        <w:tc>
          <w:tcPr>
            <w:tcW w:w="4874" w:type="dxa"/>
            <w:tcBorders>
              <w:top w:val="single" w:sz="4" w:space="0" w:color="auto"/>
              <w:left w:val="nil"/>
              <w:bottom w:val="nil"/>
              <w:right w:val="nil"/>
            </w:tcBorders>
            <w:shd w:val="clear" w:color="auto" w:fill="auto"/>
            <w:noWrap/>
            <w:vAlign w:val="bottom"/>
            <w:hideMark/>
          </w:tcPr>
          <w:p w14:paraId="13D109E8"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Gross intake rate</w:t>
            </w:r>
          </w:p>
        </w:tc>
        <w:tc>
          <w:tcPr>
            <w:tcW w:w="384" w:type="dxa"/>
            <w:tcBorders>
              <w:top w:val="single" w:sz="4" w:space="0" w:color="auto"/>
              <w:left w:val="nil"/>
              <w:bottom w:val="nil"/>
              <w:right w:val="nil"/>
            </w:tcBorders>
            <w:shd w:val="clear" w:color="auto" w:fill="auto"/>
            <w:noWrap/>
            <w:vAlign w:val="bottom"/>
            <w:hideMark/>
          </w:tcPr>
          <w:p w14:paraId="5575C05A"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122%</w:t>
            </w:r>
          </w:p>
        </w:tc>
        <w:tc>
          <w:tcPr>
            <w:tcW w:w="796" w:type="dxa"/>
            <w:tcBorders>
              <w:top w:val="single" w:sz="4" w:space="0" w:color="auto"/>
              <w:left w:val="nil"/>
              <w:bottom w:val="nil"/>
              <w:right w:val="nil"/>
            </w:tcBorders>
            <w:shd w:val="clear" w:color="auto" w:fill="auto"/>
            <w:noWrap/>
            <w:vAlign w:val="bottom"/>
            <w:hideMark/>
          </w:tcPr>
          <w:p w14:paraId="216129F1"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120%</w:t>
            </w:r>
          </w:p>
        </w:tc>
        <w:tc>
          <w:tcPr>
            <w:tcW w:w="796" w:type="dxa"/>
            <w:tcBorders>
              <w:top w:val="single" w:sz="4" w:space="0" w:color="auto"/>
              <w:left w:val="nil"/>
              <w:bottom w:val="nil"/>
              <w:right w:val="nil"/>
            </w:tcBorders>
            <w:shd w:val="clear" w:color="auto" w:fill="auto"/>
            <w:noWrap/>
            <w:vAlign w:val="bottom"/>
            <w:hideMark/>
          </w:tcPr>
          <w:p w14:paraId="2792D5F3"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119%</w:t>
            </w:r>
          </w:p>
        </w:tc>
        <w:tc>
          <w:tcPr>
            <w:tcW w:w="830" w:type="dxa"/>
            <w:tcBorders>
              <w:top w:val="single" w:sz="4" w:space="0" w:color="auto"/>
              <w:left w:val="nil"/>
              <w:bottom w:val="nil"/>
              <w:right w:val="single" w:sz="4" w:space="0" w:color="auto"/>
            </w:tcBorders>
            <w:shd w:val="clear" w:color="auto" w:fill="auto"/>
            <w:noWrap/>
            <w:vAlign w:val="bottom"/>
            <w:hideMark/>
          </w:tcPr>
          <w:p w14:paraId="4726851F"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118%</w:t>
            </w:r>
          </w:p>
        </w:tc>
      </w:tr>
      <w:tr w:rsidR="00061A30" w:rsidRPr="00477D8F" w14:paraId="2F24A09F" w14:textId="77777777" w:rsidTr="00061A30">
        <w:trPr>
          <w:trHeight w:val="290"/>
        </w:trPr>
        <w:tc>
          <w:tcPr>
            <w:tcW w:w="971" w:type="dxa"/>
            <w:vMerge/>
            <w:tcBorders>
              <w:top w:val="single" w:sz="4" w:space="0" w:color="auto"/>
              <w:left w:val="single" w:sz="4" w:space="0" w:color="auto"/>
              <w:bottom w:val="single" w:sz="4" w:space="0" w:color="000000"/>
              <w:right w:val="nil"/>
            </w:tcBorders>
            <w:vAlign w:val="center"/>
            <w:hideMark/>
          </w:tcPr>
          <w:p w14:paraId="1302B81E" w14:textId="77777777" w:rsidR="00061A30" w:rsidRPr="00477D8F" w:rsidRDefault="00061A30" w:rsidP="00061A30">
            <w:pPr>
              <w:spacing w:after="0" w:line="240" w:lineRule="auto"/>
              <w:rPr>
                <w:rFonts w:ascii="Calibri" w:eastAsia="Times New Roman" w:hAnsi="Calibri" w:cs="Calibri"/>
                <w:color w:val="000000"/>
              </w:rPr>
            </w:pPr>
          </w:p>
        </w:tc>
        <w:tc>
          <w:tcPr>
            <w:tcW w:w="4874" w:type="dxa"/>
            <w:tcBorders>
              <w:top w:val="nil"/>
              <w:left w:val="nil"/>
              <w:bottom w:val="nil"/>
              <w:right w:val="nil"/>
            </w:tcBorders>
            <w:shd w:val="clear" w:color="auto" w:fill="auto"/>
            <w:noWrap/>
            <w:vAlign w:val="bottom"/>
            <w:hideMark/>
          </w:tcPr>
          <w:p w14:paraId="6A5E1E9A"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Primary 6 completion rate</w:t>
            </w:r>
          </w:p>
        </w:tc>
        <w:tc>
          <w:tcPr>
            <w:tcW w:w="384" w:type="dxa"/>
            <w:tcBorders>
              <w:top w:val="nil"/>
              <w:left w:val="nil"/>
              <w:bottom w:val="nil"/>
              <w:right w:val="nil"/>
            </w:tcBorders>
            <w:shd w:val="clear" w:color="auto" w:fill="auto"/>
            <w:noWrap/>
            <w:vAlign w:val="bottom"/>
            <w:hideMark/>
          </w:tcPr>
          <w:p w14:paraId="37C8F3A1"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71%</w:t>
            </w:r>
          </w:p>
        </w:tc>
        <w:tc>
          <w:tcPr>
            <w:tcW w:w="796" w:type="dxa"/>
            <w:tcBorders>
              <w:top w:val="nil"/>
              <w:left w:val="nil"/>
              <w:bottom w:val="nil"/>
              <w:right w:val="nil"/>
            </w:tcBorders>
            <w:shd w:val="clear" w:color="auto" w:fill="auto"/>
            <w:noWrap/>
            <w:vAlign w:val="bottom"/>
            <w:hideMark/>
          </w:tcPr>
          <w:p w14:paraId="333740BB"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77%</w:t>
            </w:r>
          </w:p>
        </w:tc>
        <w:tc>
          <w:tcPr>
            <w:tcW w:w="796" w:type="dxa"/>
            <w:tcBorders>
              <w:top w:val="nil"/>
              <w:left w:val="nil"/>
              <w:bottom w:val="nil"/>
              <w:right w:val="nil"/>
            </w:tcBorders>
            <w:shd w:val="clear" w:color="auto" w:fill="auto"/>
            <w:noWrap/>
            <w:vAlign w:val="bottom"/>
            <w:hideMark/>
          </w:tcPr>
          <w:p w14:paraId="69BB0638"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101%</w:t>
            </w:r>
          </w:p>
        </w:tc>
        <w:tc>
          <w:tcPr>
            <w:tcW w:w="830" w:type="dxa"/>
            <w:tcBorders>
              <w:top w:val="nil"/>
              <w:left w:val="nil"/>
              <w:bottom w:val="nil"/>
              <w:right w:val="single" w:sz="4" w:space="0" w:color="auto"/>
            </w:tcBorders>
            <w:shd w:val="clear" w:color="auto" w:fill="auto"/>
            <w:noWrap/>
            <w:vAlign w:val="bottom"/>
            <w:hideMark/>
          </w:tcPr>
          <w:p w14:paraId="46EA8CB4"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103%</w:t>
            </w:r>
          </w:p>
        </w:tc>
      </w:tr>
      <w:tr w:rsidR="00061A30" w:rsidRPr="00477D8F" w14:paraId="6D950A3D" w14:textId="77777777" w:rsidTr="00061A30">
        <w:trPr>
          <w:trHeight w:val="290"/>
        </w:trPr>
        <w:tc>
          <w:tcPr>
            <w:tcW w:w="971" w:type="dxa"/>
            <w:vMerge/>
            <w:tcBorders>
              <w:top w:val="single" w:sz="4" w:space="0" w:color="auto"/>
              <w:left w:val="single" w:sz="4" w:space="0" w:color="auto"/>
              <w:bottom w:val="single" w:sz="4" w:space="0" w:color="000000"/>
              <w:right w:val="nil"/>
            </w:tcBorders>
            <w:vAlign w:val="center"/>
            <w:hideMark/>
          </w:tcPr>
          <w:p w14:paraId="2B32B553" w14:textId="77777777" w:rsidR="00061A30" w:rsidRPr="00477D8F" w:rsidRDefault="00061A30" w:rsidP="00061A30">
            <w:pPr>
              <w:spacing w:after="0" w:line="240" w:lineRule="auto"/>
              <w:rPr>
                <w:rFonts w:ascii="Calibri" w:eastAsia="Times New Roman" w:hAnsi="Calibri" w:cs="Calibri"/>
                <w:color w:val="000000"/>
              </w:rPr>
            </w:pPr>
          </w:p>
        </w:tc>
        <w:tc>
          <w:tcPr>
            <w:tcW w:w="4874" w:type="dxa"/>
            <w:tcBorders>
              <w:top w:val="nil"/>
              <w:left w:val="nil"/>
              <w:bottom w:val="nil"/>
              <w:right w:val="nil"/>
            </w:tcBorders>
            <w:shd w:val="clear" w:color="auto" w:fill="auto"/>
            <w:noWrap/>
            <w:vAlign w:val="bottom"/>
            <w:hideMark/>
          </w:tcPr>
          <w:p w14:paraId="53630885"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Grade 9 completion rate</w:t>
            </w:r>
          </w:p>
        </w:tc>
        <w:tc>
          <w:tcPr>
            <w:tcW w:w="384" w:type="dxa"/>
            <w:tcBorders>
              <w:top w:val="nil"/>
              <w:left w:val="nil"/>
              <w:bottom w:val="nil"/>
              <w:right w:val="nil"/>
            </w:tcBorders>
            <w:shd w:val="clear" w:color="auto" w:fill="auto"/>
            <w:noWrap/>
            <w:vAlign w:val="bottom"/>
            <w:hideMark/>
          </w:tcPr>
          <w:p w14:paraId="194AA837"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60%</w:t>
            </w:r>
          </w:p>
        </w:tc>
        <w:tc>
          <w:tcPr>
            <w:tcW w:w="796" w:type="dxa"/>
            <w:tcBorders>
              <w:top w:val="nil"/>
              <w:left w:val="nil"/>
              <w:bottom w:val="nil"/>
              <w:right w:val="nil"/>
            </w:tcBorders>
            <w:shd w:val="clear" w:color="auto" w:fill="auto"/>
            <w:noWrap/>
            <w:vAlign w:val="bottom"/>
            <w:hideMark/>
          </w:tcPr>
          <w:p w14:paraId="60240DE9"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63%</w:t>
            </w:r>
          </w:p>
        </w:tc>
        <w:tc>
          <w:tcPr>
            <w:tcW w:w="796" w:type="dxa"/>
            <w:tcBorders>
              <w:top w:val="nil"/>
              <w:left w:val="nil"/>
              <w:bottom w:val="nil"/>
              <w:right w:val="nil"/>
            </w:tcBorders>
            <w:shd w:val="clear" w:color="auto" w:fill="auto"/>
            <w:noWrap/>
            <w:vAlign w:val="bottom"/>
            <w:hideMark/>
          </w:tcPr>
          <w:p w14:paraId="62368BDE"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92%</w:t>
            </w:r>
          </w:p>
        </w:tc>
        <w:tc>
          <w:tcPr>
            <w:tcW w:w="830" w:type="dxa"/>
            <w:tcBorders>
              <w:top w:val="nil"/>
              <w:left w:val="nil"/>
              <w:bottom w:val="nil"/>
              <w:right w:val="single" w:sz="4" w:space="0" w:color="auto"/>
            </w:tcBorders>
            <w:shd w:val="clear" w:color="auto" w:fill="auto"/>
            <w:noWrap/>
            <w:vAlign w:val="bottom"/>
            <w:hideMark/>
          </w:tcPr>
          <w:p w14:paraId="61A0B6E3"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101%</w:t>
            </w:r>
          </w:p>
        </w:tc>
      </w:tr>
      <w:tr w:rsidR="00061A30" w:rsidRPr="00477D8F" w14:paraId="7F68957F" w14:textId="77777777" w:rsidTr="00061A30">
        <w:trPr>
          <w:trHeight w:val="290"/>
        </w:trPr>
        <w:tc>
          <w:tcPr>
            <w:tcW w:w="971" w:type="dxa"/>
            <w:vMerge/>
            <w:tcBorders>
              <w:top w:val="single" w:sz="4" w:space="0" w:color="auto"/>
              <w:left w:val="single" w:sz="4" w:space="0" w:color="auto"/>
              <w:bottom w:val="single" w:sz="4" w:space="0" w:color="000000"/>
              <w:right w:val="nil"/>
            </w:tcBorders>
            <w:vAlign w:val="center"/>
            <w:hideMark/>
          </w:tcPr>
          <w:p w14:paraId="09B6B5F5" w14:textId="77777777" w:rsidR="00061A30" w:rsidRPr="00477D8F" w:rsidRDefault="00061A30" w:rsidP="00061A30">
            <w:pPr>
              <w:spacing w:after="0" w:line="240" w:lineRule="auto"/>
              <w:rPr>
                <w:rFonts w:ascii="Calibri" w:eastAsia="Times New Roman" w:hAnsi="Calibri" w:cs="Calibri"/>
                <w:color w:val="000000"/>
              </w:rPr>
            </w:pPr>
          </w:p>
        </w:tc>
        <w:tc>
          <w:tcPr>
            <w:tcW w:w="4874" w:type="dxa"/>
            <w:tcBorders>
              <w:top w:val="nil"/>
              <w:left w:val="nil"/>
              <w:bottom w:val="single" w:sz="4" w:space="0" w:color="auto"/>
              <w:right w:val="nil"/>
            </w:tcBorders>
            <w:shd w:val="clear" w:color="auto" w:fill="auto"/>
            <w:noWrap/>
            <w:vAlign w:val="bottom"/>
            <w:hideMark/>
          </w:tcPr>
          <w:p w14:paraId="416F2BC8"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Higher education enrollment in 100,000 habitants</w:t>
            </w:r>
          </w:p>
        </w:tc>
        <w:tc>
          <w:tcPr>
            <w:tcW w:w="384" w:type="dxa"/>
            <w:tcBorders>
              <w:top w:val="nil"/>
              <w:left w:val="nil"/>
              <w:bottom w:val="single" w:sz="4" w:space="0" w:color="auto"/>
              <w:right w:val="nil"/>
            </w:tcBorders>
            <w:shd w:val="clear" w:color="auto" w:fill="auto"/>
            <w:noWrap/>
            <w:vAlign w:val="bottom"/>
            <w:hideMark/>
          </w:tcPr>
          <w:p w14:paraId="60EF5ED6"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742.2</w:t>
            </w:r>
          </w:p>
        </w:tc>
        <w:tc>
          <w:tcPr>
            <w:tcW w:w="796" w:type="dxa"/>
            <w:tcBorders>
              <w:top w:val="nil"/>
              <w:left w:val="nil"/>
              <w:bottom w:val="single" w:sz="4" w:space="0" w:color="auto"/>
              <w:right w:val="nil"/>
            </w:tcBorders>
            <w:shd w:val="clear" w:color="auto" w:fill="auto"/>
            <w:noWrap/>
            <w:vAlign w:val="bottom"/>
            <w:hideMark/>
          </w:tcPr>
          <w:p w14:paraId="5A162702"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822.0</w:t>
            </w:r>
          </w:p>
        </w:tc>
        <w:tc>
          <w:tcPr>
            <w:tcW w:w="796" w:type="dxa"/>
            <w:tcBorders>
              <w:top w:val="nil"/>
              <w:left w:val="nil"/>
              <w:bottom w:val="single" w:sz="4" w:space="0" w:color="auto"/>
              <w:right w:val="nil"/>
            </w:tcBorders>
            <w:shd w:val="clear" w:color="auto" w:fill="auto"/>
            <w:noWrap/>
            <w:vAlign w:val="bottom"/>
            <w:hideMark/>
          </w:tcPr>
          <w:p w14:paraId="1EE36DD1"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916.7</w:t>
            </w:r>
          </w:p>
        </w:tc>
        <w:tc>
          <w:tcPr>
            <w:tcW w:w="830" w:type="dxa"/>
            <w:tcBorders>
              <w:top w:val="nil"/>
              <w:left w:val="nil"/>
              <w:bottom w:val="single" w:sz="4" w:space="0" w:color="auto"/>
              <w:right w:val="single" w:sz="4" w:space="0" w:color="auto"/>
            </w:tcBorders>
            <w:shd w:val="clear" w:color="auto" w:fill="auto"/>
            <w:noWrap/>
            <w:vAlign w:val="bottom"/>
            <w:hideMark/>
          </w:tcPr>
          <w:p w14:paraId="15F8A898"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1030.2</w:t>
            </w:r>
          </w:p>
        </w:tc>
      </w:tr>
      <w:tr w:rsidR="00061A30" w:rsidRPr="00477D8F" w14:paraId="49A2625B" w14:textId="77777777" w:rsidTr="00061A30">
        <w:trPr>
          <w:trHeight w:val="290"/>
        </w:trPr>
        <w:tc>
          <w:tcPr>
            <w:tcW w:w="971" w:type="dxa"/>
            <w:tcBorders>
              <w:top w:val="nil"/>
              <w:left w:val="single" w:sz="4" w:space="0" w:color="auto"/>
              <w:bottom w:val="nil"/>
              <w:right w:val="nil"/>
            </w:tcBorders>
            <w:shd w:val="clear" w:color="auto" w:fill="auto"/>
            <w:noWrap/>
            <w:vAlign w:val="bottom"/>
            <w:hideMark/>
          </w:tcPr>
          <w:p w14:paraId="6A3C37DF"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4874" w:type="dxa"/>
            <w:tcBorders>
              <w:top w:val="nil"/>
              <w:left w:val="nil"/>
              <w:bottom w:val="nil"/>
              <w:right w:val="nil"/>
            </w:tcBorders>
            <w:shd w:val="clear" w:color="auto" w:fill="auto"/>
            <w:noWrap/>
            <w:vAlign w:val="bottom"/>
            <w:hideMark/>
          </w:tcPr>
          <w:p w14:paraId="23386744"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384" w:type="dxa"/>
            <w:tcBorders>
              <w:top w:val="nil"/>
              <w:left w:val="nil"/>
              <w:bottom w:val="nil"/>
              <w:right w:val="nil"/>
            </w:tcBorders>
            <w:shd w:val="clear" w:color="auto" w:fill="auto"/>
            <w:noWrap/>
            <w:vAlign w:val="bottom"/>
            <w:hideMark/>
          </w:tcPr>
          <w:p w14:paraId="45DE5BD7"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nil"/>
              <w:right w:val="nil"/>
            </w:tcBorders>
            <w:shd w:val="clear" w:color="auto" w:fill="auto"/>
            <w:noWrap/>
            <w:vAlign w:val="bottom"/>
            <w:hideMark/>
          </w:tcPr>
          <w:p w14:paraId="7E763386"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96" w:type="dxa"/>
            <w:tcBorders>
              <w:top w:val="nil"/>
              <w:left w:val="nil"/>
              <w:bottom w:val="nil"/>
              <w:right w:val="nil"/>
            </w:tcBorders>
            <w:shd w:val="clear" w:color="auto" w:fill="auto"/>
            <w:noWrap/>
            <w:vAlign w:val="bottom"/>
            <w:hideMark/>
          </w:tcPr>
          <w:p w14:paraId="17A39584"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830" w:type="dxa"/>
            <w:tcBorders>
              <w:top w:val="nil"/>
              <w:left w:val="nil"/>
              <w:bottom w:val="nil"/>
              <w:right w:val="single" w:sz="4" w:space="0" w:color="auto"/>
            </w:tcBorders>
            <w:shd w:val="clear" w:color="auto" w:fill="auto"/>
            <w:noWrap/>
            <w:vAlign w:val="bottom"/>
            <w:hideMark/>
          </w:tcPr>
          <w:p w14:paraId="79ABA9EA"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r>
      <w:tr w:rsidR="00061A30" w:rsidRPr="00477D8F" w14:paraId="17EFB843" w14:textId="77777777" w:rsidTr="00061A30">
        <w:trPr>
          <w:trHeight w:val="290"/>
        </w:trPr>
        <w:tc>
          <w:tcPr>
            <w:tcW w:w="971" w:type="dxa"/>
            <w:vMerge w:val="restart"/>
            <w:tcBorders>
              <w:top w:val="nil"/>
              <w:left w:val="single" w:sz="4" w:space="0" w:color="auto"/>
              <w:bottom w:val="single" w:sz="4" w:space="0" w:color="000000"/>
              <w:right w:val="nil"/>
            </w:tcBorders>
            <w:shd w:val="clear" w:color="auto" w:fill="auto"/>
            <w:noWrap/>
            <w:vAlign w:val="bottom"/>
            <w:hideMark/>
          </w:tcPr>
          <w:p w14:paraId="75A409B5" w14:textId="77777777" w:rsidR="00061A30" w:rsidRPr="00477D8F" w:rsidRDefault="00061A30" w:rsidP="00061A30">
            <w:pPr>
              <w:spacing w:after="0" w:line="240" w:lineRule="auto"/>
              <w:jc w:val="center"/>
              <w:rPr>
                <w:rFonts w:ascii="Calibri" w:eastAsia="Times New Roman" w:hAnsi="Calibri" w:cs="Calibri"/>
                <w:color w:val="000000"/>
              </w:rPr>
            </w:pPr>
            <w:r w:rsidRPr="00477D8F">
              <w:rPr>
                <w:rFonts w:ascii="Calibri" w:eastAsia="Times New Roman" w:hAnsi="Calibri" w:cs="Calibri"/>
                <w:color w:val="000000"/>
              </w:rPr>
              <w:t>Medium</w:t>
            </w:r>
          </w:p>
        </w:tc>
        <w:tc>
          <w:tcPr>
            <w:tcW w:w="4874" w:type="dxa"/>
            <w:tcBorders>
              <w:top w:val="nil"/>
              <w:left w:val="nil"/>
              <w:bottom w:val="nil"/>
              <w:right w:val="nil"/>
            </w:tcBorders>
            <w:shd w:val="clear" w:color="auto" w:fill="auto"/>
            <w:noWrap/>
            <w:vAlign w:val="bottom"/>
            <w:hideMark/>
          </w:tcPr>
          <w:p w14:paraId="31155DFD"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Gross intake rate</w:t>
            </w:r>
          </w:p>
        </w:tc>
        <w:tc>
          <w:tcPr>
            <w:tcW w:w="384" w:type="dxa"/>
            <w:tcBorders>
              <w:top w:val="nil"/>
              <w:left w:val="nil"/>
              <w:bottom w:val="nil"/>
              <w:right w:val="nil"/>
            </w:tcBorders>
            <w:shd w:val="clear" w:color="auto" w:fill="auto"/>
            <w:noWrap/>
            <w:vAlign w:val="bottom"/>
            <w:hideMark/>
          </w:tcPr>
          <w:p w14:paraId="1BC388DB"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122%</w:t>
            </w:r>
          </w:p>
        </w:tc>
        <w:tc>
          <w:tcPr>
            <w:tcW w:w="796" w:type="dxa"/>
            <w:tcBorders>
              <w:top w:val="nil"/>
              <w:left w:val="nil"/>
              <w:bottom w:val="nil"/>
              <w:right w:val="nil"/>
            </w:tcBorders>
            <w:shd w:val="clear" w:color="auto" w:fill="auto"/>
            <w:noWrap/>
            <w:vAlign w:val="bottom"/>
            <w:hideMark/>
          </w:tcPr>
          <w:p w14:paraId="3765FA26"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121%</w:t>
            </w:r>
          </w:p>
        </w:tc>
        <w:tc>
          <w:tcPr>
            <w:tcW w:w="796" w:type="dxa"/>
            <w:tcBorders>
              <w:top w:val="nil"/>
              <w:left w:val="nil"/>
              <w:bottom w:val="nil"/>
              <w:right w:val="nil"/>
            </w:tcBorders>
            <w:shd w:val="clear" w:color="auto" w:fill="auto"/>
            <w:noWrap/>
            <w:vAlign w:val="bottom"/>
            <w:hideMark/>
          </w:tcPr>
          <w:p w14:paraId="5E3A4D4F"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120%</w:t>
            </w:r>
          </w:p>
        </w:tc>
        <w:tc>
          <w:tcPr>
            <w:tcW w:w="830" w:type="dxa"/>
            <w:tcBorders>
              <w:top w:val="nil"/>
              <w:left w:val="nil"/>
              <w:bottom w:val="nil"/>
              <w:right w:val="single" w:sz="4" w:space="0" w:color="auto"/>
            </w:tcBorders>
            <w:shd w:val="clear" w:color="auto" w:fill="auto"/>
            <w:noWrap/>
            <w:vAlign w:val="bottom"/>
            <w:hideMark/>
          </w:tcPr>
          <w:p w14:paraId="7DB4B0CE"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120%</w:t>
            </w:r>
          </w:p>
        </w:tc>
      </w:tr>
      <w:tr w:rsidR="00061A30" w:rsidRPr="00477D8F" w14:paraId="48F7A6E8" w14:textId="77777777" w:rsidTr="00061A30">
        <w:trPr>
          <w:trHeight w:val="290"/>
        </w:trPr>
        <w:tc>
          <w:tcPr>
            <w:tcW w:w="971" w:type="dxa"/>
            <w:vMerge/>
            <w:tcBorders>
              <w:top w:val="nil"/>
              <w:left w:val="single" w:sz="4" w:space="0" w:color="auto"/>
              <w:bottom w:val="single" w:sz="4" w:space="0" w:color="000000"/>
              <w:right w:val="nil"/>
            </w:tcBorders>
            <w:vAlign w:val="center"/>
            <w:hideMark/>
          </w:tcPr>
          <w:p w14:paraId="627CABB1" w14:textId="77777777" w:rsidR="00061A30" w:rsidRPr="00477D8F" w:rsidRDefault="00061A30" w:rsidP="00061A30">
            <w:pPr>
              <w:spacing w:after="0" w:line="240" w:lineRule="auto"/>
              <w:rPr>
                <w:rFonts w:ascii="Calibri" w:eastAsia="Times New Roman" w:hAnsi="Calibri" w:cs="Calibri"/>
                <w:color w:val="000000"/>
              </w:rPr>
            </w:pPr>
          </w:p>
        </w:tc>
        <w:tc>
          <w:tcPr>
            <w:tcW w:w="4874" w:type="dxa"/>
            <w:tcBorders>
              <w:top w:val="nil"/>
              <w:left w:val="nil"/>
              <w:bottom w:val="nil"/>
              <w:right w:val="nil"/>
            </w:tcBorders>
            <w:shd w:val="clear" w:color="auto" w:fill="auto"/>
            <w:noWrap/>
            <w:vAlign w:val="bottom"/>
            <w:hideMark/>
          </w:tcPr>
          <w:p w14:paraId="63D39ED5"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Primary 6 completion rate</w:t>
            </w:r>
          </w:p>
        </w:tc>
        <w:tc>
          <w:tcPr>
            <w:tcW w:w="384" w:type="dxa"/>
            <w:tcBorders>
              <w:top w:val="nil"/>
              <w:left w:val="nil"/>
              <w:bottom w:val="nil"/>
              <w:right w:val="nil"/>
            </w:tcBorders>
            <w:shd w:val="clear" w:color="auto" w:fill="auto"/>
            <w:noWrap/>
            <w:vAlign w:val="bottom"/>
            <w:hideMark/>
          </w:tcPr>
          <w:p w14:paraId="4881430C"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71%</w:t>
            </w:r>
          </w:p>
        </w:tc>
        <w:tc>
          <w:tcPr>
            <w:tcW w:w="796" w:type="dxa"/>
            <w:tcBorders>
              <w:top w:val="nil"/>
              <w:left w:val="nil"/>
              <w:bottom w:val="nil"/>
              <w:right w:val="nil"/>
            </w:tcBorders>
            <w:shd w:val="clear" w:color="auto" w:fill="auto"/>
            <w:noWrap/>
            <w:vAlign w:val="bottom"/>
            <w:hideMark/>
          </w:tcPr>
          <w:p w14:paraId="21F5EBE4"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70%</w:t>
            </w:r>
          </w:p>
        </w:tc>
        <w:tc>
          <w:tcPr>
            <w:tcW w:w="796" w:type="dxa"/>
            <w:tcBorders>
              <w:top w:val="nil"/>
              <w:left w:val="nil"/>
              <w:bottom w:val="nil"/>
              <w:right w:val="nil"/>
            </w:tcBorders>
            <w:shd w:val="clear" w:color="auto" w:fill="auto"/>
            <w:noWrap/>
            <w:vAlign w:val="bottom"/>
            <w:hideMark/>
          </w:tcPr>
          <w:p w14:paraId="72675D12"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85%</w:t>
            </w:r>
          </w:p>
        </w:tc>
        <w:tc>
          <w:tcPr>
            <w:tcW w:w="830" w:type="dxa"/>
            <w:tcBorders>
              <w:top w:val="nil"/>
              <w:left w:val="nil"/>
              <w:bottom w:val="nil"/>
              <w:right w:val="single" w:sz="4" w:space="0" w:color="auto"/>
            </w:tcBorders>
            <w:shd w:val="clear" w:color="auto" w:fill="auto"/>
            <w:noWrap/>
            <w:vAlign w:val="bottom"/>
            <w:hideMark/>
          </w:tcPr>
          <w:p w14:paraId="026A742D"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87%</w:t>
            </w:r>
          </w:p>
        </w:tc>
      </w:tr>
      <w:tr w:rsidR="00061A30" w:rsidRPr="00477D8F" w14:paraId="1E93D376" w14:textId="77777777" w:rsidTr="00061A30">
        <w:trPr>
          <w:trHeight w:val="290"/>
        </w:trPr>
        <w:tc>
          <w:tcPr>
            <w:tcW w:w="971" w:type="dxa"/>
            <w:vMerge/>
            <w:tcBorders>
              <w:top w:val="nil"/>
              <w:left w:val="single" w:sz="4" w:space="0" w:color="auto"/>
              <w:bottom w:val="single" w:sz="4" w:space="0" w:color="000000"/>
              <w:right w:val="nil"/>
            </w:tcBorders>
            <w:vAlign w:val="center"/>
            <w:hideMark/>
          </w:tcPr>
          <w:p w14:paraId="5FCAF3D7" w14:textId="77777777" w:rsidR="00061A30" w:rsidRPr="00477D8F" w:rsidRDefault="00061A30" w:rsidP="00061A30">
            <w:pPr>
              <w:spacing w:after="0" w:line="240" w:lineRule="auto"/>
              <w:rPr>
                <w:rFonts w:ascii="Calibri" w:eastAsia="Times New Roman" w:hAnsi="Calibri" w:cs="Calibri"/>
                <w:color w:val="000000"/>
              </w:rPr>
            </w:pPr>
          </w:p>
        </w:tc>
        <w:tc>
          <w:tcPr>
            <w:tcW w:w="4874" w:type="dxa"/>
            <w:tcBorders>
              <w:top w:val="nil"/>
              <w:left w:val="nil"/>
              <w:bottom w:val="nil"/>
              <w:right w:val="nil"/>
            </w:tcBorders>
            <w:shd w:val="clear" w:color="auto" w:fill="auto"/>
            <w:noWrap/>
            <w:vAlign w:val="bottom"/>
            <w:hideMark/>
          </w:tcPr>
          <w:p w14:paraId="07F95C9F"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Grade 9 completion rate</w:t>
            </w:r>
          </w:p>
        </w:tc>
        <w:tc>
          <w:tcPr>
            <w:tcW w:w="384" w:type="dxa"/>
            <w:tcBorders>
              <w:top w:val="nil"/>
              <w:left w:val="nil"/>
              <w:bottom w:val="nil"/>
              <w:right w:val="nil"/>
            </w:tcBorders>
            <w:shd w:val="clear" w:color="auto" w:fill="auto"/>
            <w:noWrap/>
            <w:vAlign w:val="bottom"/>
            <w:hideMark/>
          </w:tcPr>
          <w:p w14:paraId="0462E741"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60%</w:t>
            </w:r>
          </w:p>
        </w:tc>
        <w:tc>
          <w:tcPr>
            <w:tcW w:w="796" w:type="dxa"/>
            <w:tcBorders>
              <w:top w:val="nil"/>
              <w:left w:val="nil"/>
              <w:bottom w:val="nil"/>
              <w:right w:val="nil"/>
            </w:tcBorders>
            <w:shd w:val="clear" w:color="auto" w:fill="auto"/>
            <w:noWrap/>
            <w:vAlign w:val="bottom"/>
            <w:hideMark/>
          </w:tcPr>
          <w:p w14:paraId="614E5186"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55%</w:t>
            </w:r>
          </w:p>
        </w:tc>
        <w:tc>
          <w:tcPr>
            <w:tcW w:w="796" w:type="dxa"/>
            <w:tcBorders>
              <w:top w:val="nil"/>
              <w:left w:val="nil"/>
              <w:bottom w:val="nil"/>
              <w:right w:val="nil"/>
            </w:tcBorders>
            <w:shd w:val="clear" w:color="auto" w:fill="auto"/>
            <w:noWrap/>
            <w:vAlign w:val="bottom"/>
            <w:hideMark/>
          </w:tcPr>
          <w:p w14:paraId="149A6244"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68%</w:t>
            </w:r>
          </w:p>
        </w:tc>
        <w:tc>
          <w:tcPr>
            <w:tcW w:w="830" w:type="dxa"/>
            <w:tcBorders>
              <w:top w:val="nil"/>
              <w:left w:val="nil"/>
              <w:bottom w:val="nil"/>
              <w:right w:val="single" w:sz="4" w:space="0" w:color="auto"/>
            </w:tcBorders>
            <w:shd w:val="clear" w:color="auto" w:fill="auto"/>
            <w:noWrap/>
            <w:vAlign w:val="bottom"/>
            <w:hideMark/>
          </w:tcPr>
          <w:p w14:paraId="01B8835A"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72%</w:t>
            </w:r>
          </w:p>
        </w:tc>
      </w:tr>
      <w:tr w:rsidR="00061A30" w:rsidRPr="00477D8F" w14:paraId="01331BB0" w14:textId="77777777" w:rsidTr="00061A30">
        <w:trPr>
          <w:trHeight w:val="290"/>
        </w:trPr>
        <w:tc>
          <w:tcPr>
            <w:tcW w:w="971" w:type="dxa"/>
            <w:vMerge/>
            <w:tcBorders>
              <w:top w:val="nil"/>
              <w:left w:val="single" w:sz="4" w:space="0" w:color="auto"/>
              <w:bottom w:val="single" w:sz="4" w:space="0" w:color="000000"/>
              <w:right w:val="nil"/>
            </w:tcBorders>
            <w:vAlign w:val="center"/>
            <w:hideMark/>
          </w:tcPr>
          <w:p w14:paraId="28241F73" w14:textId="77777777" w:rsidR="00061A30" w:rsidRPr="00477D8F" w:rsidRDefault="00061A30" w:rsidP="00061A30">
            <w:pPr>
              <w:spacing w:after="0" w:line="240" w:lineRule="auto"/>
              <w:rPr>
                <w:rFonts w:ascii="Calibri" w:eastAsia="Times New Roman" w:hAnsi="Calibri" w:cs="Calibri"/>
                <w:color w:val="000000"/>
              </w:rPr>
            </w:pPr>
          </w:p>
        </w:tc>
        <w:tc>
          <w:tcPr>
            <w:tcW w:w="4874" w:type="dxa"/>
            <w:tcBorders>
              <w:top w:val="nil"/>
              <w:left w:val="nil"/>
              <w:bottom w:val="single" w:sz="4" w:space="0" w:color="auto"/>
              <w:right w:val="nil"/>
            </w:tcBorders>
            <w:shd w:val="clear" w:color="auto" w:fill="auto"/>
            <w:noWrap/>
            <w:vAlign w:val="bottom"/>
            <w:hideMark/>
          </w:tcPr>
          <w:p w14:paraId="0CD7577F"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Higher education enrollment in 100,000 habitants</w:t>
            </w:r>
          </w:p>
        </w:tc>
        <w:tc>
          <w:tcPr>
            <w:tcW w:w="384" w:type="dxa"/>
            <w:tcBorders>
              <w:top w:val="nil"/>
              <w:left w:val="nil"/>
              <w:bottom w:val="single" w:sz="4" w:space="0" w:color="auto"/>
              <w:right w:val="nil"/>
            </w:tcBorders>
            <w:shd w:val="clear" w:color="auto" w:fill="auto"/>
            <w:noWrap/>
            <w:vAlign w:val="bottom"/>
            <w:hideMark/>
          </w:tcPr>
          <w:p w14:paraId="3C445903"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742.2</w:t>
            </w:r>
          </w:p>
        </w:tc>
        <w:tc>
          <w:tcPr>
            <w:tcW w:w="796" w:type="dxa"/>
            <w:tcBorders>
              <w:top w:val="nil"/>
              <w:left w:val="nil"/>
              <w:bottom w:val="single" w:sz="4" w:space="0" w:color="auto"/>
              <w:right w:val="nil"/>
            </w:tcBorders>
            <w:shd w:val="clear" w:color="auto" w:fill="auto"/>
            <w:noWrap/>
            <w:vAlign w:val="bottom"/>
            <w:hideMark/>
          </w:tcPr>
          <w:p w14:paraId="25179292"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755.5</w:t>
            </w:r>
          </w:p>
        </w:tc>
        <w:tc>
          <w:tcPr>
            <w:tcW w:w="796" w:type="dxa"/>
            <w:tcBorders>
              <w:top w:val="nil"/>
              <w:left w:val="nil"/>
              <w:bottom w:val="single" w:sz="4" w:space="0" w:color="auto"/>
              <w:right w:val="nil"/>
            </w:tcBorders>
            <w:shd w:val="clear" w:color="auto" w:fill="auto"/>
            <w:noWrap/>
            <w:vAlign w:val="bottom"/>
            <w:hideMark/>
          </w:tcPr>
          <w:p w14:paraId="145EB3A6"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774.4</w:t>
            </w:r>
          </w:p>
        </w:tc>
        <w:tc>
          <w:tcPr>
            <w:tcW w:w="830" w:type="dxa"/>
            <w:tcBorders>
              <w:top w:val="nil"/>
              <w:left w:val="nil"/>
              <w:bottom w:val="single" w:sz="4" w:space="0" w:color="auto"/>
              <w:right w:val="single" w:sz="4" w:space="0" w:color="auto"/>
            </w:tcBorders>
            <w:shd w:val="clear" w:color="auto" w:fill="auto"/>
            <w:noWrap/>
            <w:vAlign w:val="bottom"/>
            <w:hideMark/>
          </w:tcPr>
          <w:p w14:paraId="101E9B29"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799.9</w:t>
            </w:r>
          </w:p>
        </w:tc>
      </w:tr>
      <w:tr w:rsidR="00061A30" w:rsidRPr="00477D8F" w14:paraId="15CFB15C" w14:textId="77777777" w:rsidTr="00061A30">
        <w:trPr>
          <w:trHeight w:val="290"/>
        </w:trPr>
        <w:tc>
          <w:tcPr>
            <w:tcW w:w="971" w:type="dxa"/>
            <w:tcBorders>
              <w:top w:val="nil"/>
              <w:left w:val="single" w:sz="4" w:space="0" w:color="auto"/>
              <w:bottom w:val="nil"/>
              <w:right w:val="nil"/>
            </w:tcBorders>
            <w:shd w:val="clear" w:color="auto" w:fill="auto"/>
            <w:noWrap/>
            <w:vAlign w:val="bottom"/>
            <w:hideMark/>
          </w:tcPr>
          <w:p w14:paraId="20B9CD5C"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4874" w:type="dxa"/>
            <w:tcBorders>
              <w:top w:val="nil"/>
              <w:left w:val="nil"/>
              <w:bottom w:val="nil"/>
              <w:right w:val="nil"/>
            </w:tcBorders>
            <w:shd w:val="clear" w:color="auto" w:fill="auto"/>
            <w:noWrap/>
            <w:vAlign w:val="bottom"/>
            <w:hideMark/>
          </w:tcPr>
          <w:p w14:paraId="13081286" w14:textId="77777777" w:rsidR="00061A30" w:rsidRPr="00477D8F" w:rsidRDefault="00061A30" w:rsidP="00061A30">
            <w:pPr>
              <w:spacing w:after="0" w:line="240" w:lineRule="auto"/>
              <w:rPr>
                <w:rFonts w:ascii="Calibri" w:eastAsia="Times New Roman" w:hAnsi="Calibri" w:cs="Calibri"/>
                <w:color w:val="000000"/>
              </w:rPr>
            </w:pPr>
          </w:p>
        </w:tc>
        <w:tc>
          <w:tcPr>
            <w:tcW w:w="384" w:type="dxa"/>
            <w:tcBorders>
              <w:top w:val="nil"/>
              <w:left w:val="nil"/>
              <w:bottom w:val="nil"/>
              <w:right w:val="nil"/>
            </w:tcBorders>
            <w:shd w:val="clear" w:color="auto" w:fill="auto"/>
            <w:noWrap/>
            <w:vAlign w:val="bottom"/>
            <w:hideMark/>
          </w:tcPr>
          <w:p w14:paraId="37BB6454" w14:textId="77777777" w:rsidR="00061A30" w:rsidRPr="00477D8F" w:rsidRDefault="00061A30" w:rsidP="00061A30">
            <w:pPr>
              <w:spacing w:after="0" w:line="240" w:lineRule="auto"/>
              <w:rPr>
                <w:rFonts w:ascii="Times New Roman" w:eastAsia="Times New Roman" w:hAnsi="Times New Roman" w:cs="Times New Roman"/>
                <w:sz w:val="20"/>
                <w:szCs w:val="20"/>
              </w:rPr>
            </w:pPr>
          </w:p>
        </w:tc>
        <w:tc>
          <w:tcPr>
            <w:tcW w:w="796" w:type="dxa"/>
            <w:tcBorders>
              <w:top w:val="nil"/>
              <w:left w:val="nil"/>
              <w:bottom w:val="nil"/>
              <w:right w:val="nil"/>
            </w:tcBorders>
            <w:shd w:val="clear" w:color="auto" w:fill="auto"/>
            <w:noWrap/>
            <w:vAlign w:val="bottom"/>
            <w:hideMark/>
          </w:tcPr>
          <w:p w14:paraId="2B04AAD8" w14:textId="77777777" w:rsidR="00061A30" w:rsidRPr="00477D8F" w:rsidRDefault="00061A30" w:rsidP="00061A30">
            <w:pPr>
              <w:spacing w:after="0" w:line="240" w:lineRule="auto"/>
              <w:rPr>
                <w:rFonts w:ascii="Times New Roman" w:eastAsia="Times New Roman" w:hAnsi="Times New Roman" w:cs="Times New Roman"/>
                <w:sz w:val="20"/>
                <w:szCs w:val="20"/>
              </w:rPr>
            </w:pPr>
          </w:p>
        </w:tc>
        <w:tc>
          <w:tcPr>
            <w:tcW w:w="796" w:type="dxa"/>
            <w:tcBorders>
              <w:top w:val="nil"/>
              <w:left w:val="nil"/>
              <w:bottom w:val="nil"/>
              <w:right w:val="nil"/>
            </w:tcBorders>
            <w:shd w:val="clear" w:color="auto" w:fill="auto"/>
            <w:noWrap/>
            <w:vAlign w:val="bottom"/>
            <w:hideMark/>
          </w:tcPr>
          <w:p w14:paraId="6D1AE4CD" w14:textId="77777777" w:rsidR="00061A30" w:rsidRPr="00477D8F" w:rsidRDefault="00061A30" w:rsidP="00061A30">
            <w:pPr>
              <w:spacing w:after="0" w:line="240" w:lineRule="auto"/>
              <w:rPr>
                <w:rFonts w:ascii="Times New Roman" w:eastAsia="Times New Roman" w:hAnsi="Times New Roman" w:cs="Times New Roman"/>
                <w:sz w:val="20"/>
                <w:szCs w:val="20"/>
              </w:rPr>
            </w:pPr>
          </w:p>
        </w:tc>
        <w:tc>
          <w:tcPr>
            <w:tcW w:w="830" w:type="dxa"/>
            <w:tcBorders>
              <w:top w:val="nil"/>
              <w:left w:val="nil"/>
              <w:bottom w:val="nil"/>
              <w:right w:val="single" w:sz="4" w:space="0" w:color="auto"/>
            </w:tcBorders>
            <w:shd w:val="clear" w:color="auto" w:fill="auto"/>
            <w:noWrap/>
            <w:vAlign w:val="bottom"/>
            <w:hideMark/>
          </w:tcPr>
          <w:p w14:paraId="3BC87F7D"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r>
      <w:tr w:rsidR="00061A30" w:rsidRPr="00477D8F" w14:paraId="2433E5BB" w14:textId="77777777" w:rsidTr="00061A30">
        <w:trPr>
          <w:trHeight w:val="290"/>
        </w:trPr>
        <w:tc>
          <w:tcPr>
            <w:tcW w:w="971" w:type="dxa"/>
            <w:vMerge w:val="restart"/>
            <w:tcBorders>
              <w:top w:val="nil"/>
              <w:left w:val="single" w:sz="4" w:space="0" w:color="auto"/>
              <w:bottom w:val="single" w:sz="4" w:space="0" w:color="000000"/>
              <w:right w:val="nil"/>
            </w:tcBorders>
            <w:shd w:val="clear" w:color="auto" w:fill="auto"/>
            <w:noWrap/>
            <w:vAlign w:val="bottom"/>
            <w:hideMark/>
          </w:tcPr>
          <w:p w14:paraId="5BD3CCD2" w14:textId="77777777" w:rsidR="00061A30" w:rsidRPr="00477D8F" w:rsidRDefault="00061A30" w:rsidP="00061A30">
            <w:pPr>
              <w:spacing w:after="0" w:line="240" w:lineRule="auto"/>
              <w:jc w:val="center"/>
              <w:rPr>
                <w:rFonts w:ascii="Calibri" w:eastAsia="Times New Roman" w:hAnsi="Calibri" w:cs="Calibri"/>
                <w:color w:val="000000"/>
              </w:rPr>
            </w:pPr>
            <w:r w:rsidRPr="00477D8F">
              <w:rPr>
                <w:rFonts w:ascii="Calibri" w:eastAsia="Times New Roman" w:hAnsi="Calibri" w:cs="Calibri"/>
                <w:color w:val="000000"/>
              </w:rPr>
              <w:t>Low</w:t>
            </w:r>
          </w:p>
        </w:tc>
        <w:tc>
          <w:tcPr>
            <w:tcW w:w="4874" w:type="dxa"/>
            <w:tcBorders>
              <w:top w:val="nil"/>
              <w:left w:val="nil"/>
              <w:bottom w:val="nil"/>
              <w:right w:val="nil"/>
            </w:tcBorders>
            <w:shd w:val="clear" w:color="auto" w:fill="auto"/>
            <w:noWrap/>
            <w:vAlign w:val="bottom"/>
            <w:hideMark/>
          </w:tcPr>
          <w:p w14:paraId="6765692E"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Gross intake rate</w:t>
            </w:r>
          </w:p>
        </w:tc>
        <w:tc>
          <w:tcPr>
            <w:tcW w:w="384" w:type="dxa"/>
            <w:tcBorders>
              <w:top w:val="nil"/>
              <w:left w:val="nil"/>
              <w:bottom w:val="nil"/>
              <w:right w:val="nil"/>
            </w:tcBorders>
            <w:shd w:val="clear" w:color="auto" w:fill="auto"/>
            <w:noWrap/>
            <w:vAlign w:val="bottom"/>
            <w:hideMark/>
          </w:tcPr>
          <w:p w14:paraId="38810232"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122%</w:t>
            </w:r>
          </w:p>
        </w:tc>
        <w:tc>
          <w:tcPr>
            <w:tcW w:w="796" w:type="dxa"/>
            <w:tcBorders>
              <w:top w:val="nil"/>
              <w:left w:val="nil"/>
              <w:bottom w:val="nil"/>
              <w:right w:val="nil"/>
            </w:tcBorders>
            <w:shd w:val="clear" w:color="auto" w:fill="auto"/>
            <w:noWrap/>
            <w:vAlign w:val="bottom"/>
            <w:hideMark/>
          </w:tcPr>
          <w:p w14:paraId="483E1500"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121%</w:t>
            </w:r>
          </w:p>
        </w:tc>
        <w:tc>
          <w:tcPr>
            <w:tcW w:w="796" w:type="dxa"/>
            <w:tcBorders>
              <w:top w:val="nil"/>
              <w:left w:val="nil"/>
              <w:bottom w:val="nil"/>
              <w:right w:val="nil"/>
            </w:tcBorders>
            <w:shd w:val="clear" w:color="auto" w:fill="auto"/>
            <w:noWrap/>
            <w:vAlign w:val="bottom"/>
            <w:hideMark/>
          </w:tcPr>
          <w:p w14:paraId="10B87CDE"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121%</w:t>
            </w:r>
          </w:p>
        </w:tc>
        <w:tc>
          <w:tcPr>
            <w:tcW w:w="830" w:type="dxa"/>
            <w:tcBorders>
              <w:top w:val="nil"/>
              <w:left w:val="nil"/>
              <w:bottom w:val="nil"/>
              <w:right w:val="single" w:sz="4" w:space="0" w:color="auto"/>
            </w:tcBorders>
            <w:shd w:val="clear" w:color="auto" w:fill="auto"/>
            <w:noWrap/>
            <w:vAlign w:val="bottom"/>
            <w:hideMark/>
          </w:tcPr>
          <w:p w14:paraId="109AF84A"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121%</w:t>
            </w:r>
          </w:p>
        </w:tc>
      </w:tr>
      <w:tr w:rsidR="00061A30" w:rsidRPr="00477D8F" w14:paraId="7E0F373A" w14:textId="77777777" w:rsidTr="00061A30">
        <w:trPr>
          <w:trHeight w:val="290"/>
        </w:trPr>
        <w:tc>
          <w:tcPr>
            <w:tcW w:w="971" w:type="dxa"/>
            <w:vMerge/>
            <w:tcBorders>
              <w:top w:val="nil"/>
              <w:left w:val="single" w:sz="4" w:space="0" w:color="auto"/>
              <w:bottom w:val="single" w:sz="4" w:space="0" w:color="000000"/>
              <w:right w:val="nil"/>
            </w:tcBorders>
            <w:vAlign w:val="center"/>
            <w:hideMark/>
          </w:tcPr>
          <w:p w14:paraId="76010F45" w14:textId="77777777" w:rsidR="00061A30" w:rsidRPr="00477D8F" w:rsidRDefault="00061A30" w:rsidP="00061A30">
            <w:pPr>
              <w:spacing w:after="0" w:line="240" w:lineRule="auto"/>
              <w:rPr>
                <w:rFonts w:ascii="Calibri" w:eastAsia="Times New Roman" w:hAnsi="Calibri" w:cs="Calibri"/>
                <w:color w:val="000000"/>
              </w:rPr>
            </w:pPr>
          </w:p>
        </w:tc>
        <w:tc>
          <w:tcPr>
            <w:tcW w:w="4874" w:type="dxa"/>
            <w:tcBorders>
              <w:top w:val="nil"/>
              <w:left w:val="nil"/>
              <w:bottom w:val="nil"/>
              <w:right w:val="nil"/>
            </w:tcBorders>
            <w:shd w:val="clear" w:color="auto" w:fill="auto"/>
            <w:noWrap/>
            <w:vAlign w:val="bottom"/>
            <w:hideMark/>
          </w:tcPr>
          <w:p w14:paraId="21B3D031"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Primary 6 completion rate</w:t>
            </w:r>
          </w:p>
        </w:tc>
        <w:tc>
          <w:tcPr>
            <w:tcW w:w="384" w:type="dxa"/>
            <w:tcBorders>
              <w:top w:val="nil"/>
              <w:left w:val="nil"/>
              <w:bottom w:val="nil"/>
              <w:right w:val="nil"/>
            </w:tcBorders>
            <w:shd w:val="clear" w:color="auto" w:fill="auto"/>
            <w:noWrap/>
            <w:vAlign w:val="bottom"/>
            <w:hideMark/>
          </w:tcPr>
          <w:p w14:paraId="0A46A0AD"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71%</w:t>
            </w:r>
          </w:p>
        </w:tc>
        <w:tc>
          <w:tcPr>
            <w:tcW w:w="796" w:type="dxa"/>
            <w:tcBorders>
              <w:top w:val="nil"/>
              <w:left w:val="nil"/>
              <w:bottom w:val="nil"/>
              <w:right w:val="nil"/>
            </w:tcBorders>
            <w:shd w:val="clear" w:color="auto" w:fill="auto"/>
            <w:noWrap/>
            <w:vAlign w:val="bottom"/>
            <w:hideMark/>
          </w:tcPr>
          <w:p w14:paraId="528EBB27"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66%</w:t>
            </w:r>
          </w:p>
        </w:tc>
        <w:tc>
          <w:tcPr>
            <w:tcW w:w="796" w:type="dxa"/>
            <w:tcBorders>
              <w:top w:val="nil"/>
              <w:left w:val="nil"/>
              <w:bottom w:val="nil"/>
              <w:right w:val="nil"/>
            </w:tcBorders>
            <w:shd w:val="clear" w:color="auto" w:fill="auto"/>
            <w:noWrap/>
            <w:vAlign w:val="bottom"/>
            <w:hideMark/>
          </w:tcPr>
          <w:p w14:paraId="48AEAABF"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79%</w:t>
            </w:r>
          </w:p>
        </w:tc>
        <w:tc>
          <w:tcPr>
            <w:tcW w:w="830" w:type="dxa"/>
            <w:tcBorders>
              <w:top w:val="nil"/>
              <w:left w:val="nil"/>
              <w:bottom w:val="nil"/>
              <w:right w:val="single" w:sz="4" w:space="0" w:color="auto"/>
            </w:tcBorders>
            <w:shd w:val="clear" w:color="auto" w:fill="auto"/>
            <w:noWrap/>
            <w:vAlign w:val="bottom"/>
            <w:hideMark/>
          </w:tcPr>
          <w:p w14:paraId="6FD94A95"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79%</w:t>
            </w:r>
          </w:p>
        </w:tc>
      </w:tr>
      <w:tr w:rsidR="00061A30" w:rsidRPr="00477D8F" w14:paraId="72AAFB84" w14:textId="77777777" w:rsidTr="00061A30">
        <w:trPr>
          <w:trHeight w:val="290"/>
        </w:trPr>
        <w:tc>
          <w:tcPr>
            <w:tcW w:w="971" w:type="dxa"/>
            <w:vMerge/>
            <w:tcBorders>
              <w:top w:val="nil"/>
              <w:left w:val="single" w:sz="4" w:space="0" w:color="auto"/>
              <w:bottom w:val="single" w:sz="4" w:space="0" w:color="000000"/>
              <w:right w:val="nil"/>
            </w:tcBorders>
            <w:vAlign w:val="center"/>
            <w:hideMark/>
          </w:tcPr>
          <w:p w14:paraId="28C6AB13" w14:textId="77777777" w:rsidR="00061A30" w:rsidRPr="00477D8F" w:rsidRDefault="00061A30" w:rsidP="00061A30">
            <w:pPr>
              <w:spacing w:after="0" w:line="240" w:lineRule="auto"/>
              <w:rPr>
                <w:rFonts w:ascii="Calibri" w:eastAsia="Times New Roman" w:hAnsi="Calibri" w:cs="Calibri"/>
                <w:color w:val="000000"/>
              </w:rPr>
            </w:pPr>
          </w:p>
        </w:tc>
        <w:tc>
          <w:tcPr>
            <w:tcW w:w="4874" w:type="dxa"/>
            <w:tcBorders>
              <w:top w:val="nil"/>
              <w:left w:val="nil"/>
              <w:bottom w:val="nil"/>
              <w:right w:val="nil"/>
            </w:tcBorders>
            <w:shd w:val="clear" w:color="auto" w:fill="auto"/>
            <w:noWrap/>
            <w:vAlign w:val="bottom"/>
            <w:hideMark/>
          </w:tcPr>
          <w:p w14:paraId="689DCD3E"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Grade 9 completion rate</w:t>
            </w:r>
          </w:p>
        </w:tc>
        <w:tc>
          <w:tcPr>
            <w:tcW w:w="384" w:type="dxa"/>
            <w:tcBorders>
              <w:top w:val="nil"/>
              <w:left w:val="nil"/>
              <w:bottom w:val="nil"/>
              <w:right w:val="nil"/>
            </w:tcBorders>
            <w:shd w:val="clear" w:color="auto" w:fill="auto"/>
            <w:noWrap/>
            <w:vAlign w:val="bottom"/>
            <w:hideMark/>
          </w:tcPr>
          <w:p w14:paraId="08D7BF75"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60%</w:t>
            </w:r>
          </w:p>
        </w:tc>
        <w:tc>
          <w:tcPr>
            <w:tcW w:w="796" w:type="dxa"/>
            <w:tcBorders>
              <w:top w:val="nil"/>
              <w:left w:val="nil"/>
              <w:bottom w:val="nil"/>
              <w:right w:val="nil"/>
            </w:tcBorders>
            <w:shd w:val="clear" w:color="auto" w:fill="auto"/>
            <w:noWrap/>
            <w:vAlign w:val="bottom"/>
            <w:hideMark/>
          </w:tcPr>
          <w:p w14:paraId="57D8AF9D"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53%</w:t>
            </w:r>
          </w:p>
        </w:tc>
        <w:tc>
          <w:tcPr>
            <w:tcW w:w="796" w:type="dxa"/>
            <w:tcBorders>
              <w:top w:val="nil"/>
              <w:left w:val="nil"/>
              <w:bottom w:val="nil"/>
              <w:right w:val="nil"/>
            </w:tcBorders>
            <w:shd w:val="clear" w:color="auto" w:fill="auto"/>
            <w:noWrap/>
            <w:vAlign w:val="bottom"/>
            <w:hideMark/>
          </w:tcPr>
          <w:p w14:paraId="2ED5F825"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61%</w:t>
            </w:r>
          </w:p>
        </w:tc>
        <w:tc>
          <w:tcPr>
            <w:tcW w:w="830" w:type="dxa"/>
            <w:tcBorders>
              <w:top w:val="nil"/>
              <w:left w:val="nil"/>
              <w:bottom w:val="nil"/>
              <w:right w:val="single" w:sz="4" w:space="0" w:color="auto"/>
            </w:tcBorders>
            <w:shd w:val="clear" w:color="auto" w:fill="auto"/>
            <w:noWrap/>
            <w:vAlign w:val="bottom"/>
            <w:hideMark/>
          </w:tcPr>
          <w:p w14:paraId="619D82AC"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63%</w:t>
            </w:r>
          </w:p>
        </w:tc>
      </w:tr>
      <w:tr w:rsidR="00061A30" w:rsidRPr="00477D8F" w14:paraId="1C5A330F" w14:textId="77777777" w:rsidTr="00061A30">
        <w:trPr>
          <w:trHeight w:val="290"/>
        </w:trPr>
        <w:tc>
          <w:tcPr>
            <w:tcW w:w="971" w:type="dxa"/>
            <w:vMerge/>
            <w:tcBorders>
              <w:top w:val="nil"/>
              <w:left w:val="single" w:sz="4" w:space="0" w:color="auto"/>
              <w:bottom w:val="single" w:sz="4" w:space="0" w:color="000000"/>
              <w:right w:val="nil"/>
            </w:tcBorders>
            <w:vAlign w:val="center"/>
            <w:hideMark/>
          </w:tcPr>
          <w:p w14:paraId="247FDA89" w14:textId="77777777" w:rsidR="00061A30" w:rsidRPr="00477D8F" w:rsidRDefault="00061A30" w:rsidP="00061A30">
            <w:pPr>
              <w:spacing w:after="0" w:line="240" w:lineRule="auto"/>
              <w:rPr>
                <w:rFonts w:ascii="Calibri" w:eastAsia="Times New Roman" w:hAnsi="Calibri" w:cs="Calibri"/>
                <w:color w:val="000000"/>
              </w:rPr>
            </w:pPr>
          </w:p>
        </w:tc>
        <w:tc>
          <w:tcPr>
            <w:tcW w:w="4874" w:type="dxa"/>
            <w:tcBorders>
              <w:top w:val="nil"/>
              <w:left w:val="nil"/>
              <w:bottom w:val="single" w:sz="4" w:space="0" w:color="auto"/>
              <w:right w:val="nil"/>
            </w:tcBorders>
            <w:shd w:val="clear" w:color="auto" w:fill="auto"/>
            <w:noWrap/>
            <w:vAlign w:val="bottom"/>
            <w:hideMark/>
          </w:tcPr>
          <w:p w14:paraId="57EF7CAE" w14:textId="77777777" w:rsidR="00061A30" w:rsidRPr="00477D8F" w:rsidRDefault="00061A30" w:rsidP="00061A30">
            <w:pPr>
              <w:spacing w:after="0" w:line="240" w:lineRule="auto"/>
              <w:rPr>
                <w:rFonts w:ascii="Calibri" w:eastAsia="Times New Roman" w:hAnsi="Calibri" w:cs="Calibri"/>
                <w:color w:val="000000"/>
              </w:rPr>
            </w:pPr>
            <w:r w:rsidRPr="00477D8F">
              <w:rPr>
                <w:rFonts w:ascii="Calibri" w:eastAsia="Times New Roman" w:hAnsi="Calibri" w:cs="Calibri"/>
                <w:color w:val="000000"/>
              </w:rPr>
              <w:t>Higher education enrollment in 100,000 habitants</w:t>
            </w:r>
          </w:p>
        </w:tc>
        <w:tc>
          <w:tcPr>
            <w:tcW w:w="384" w:type="dxa"/>
            <w:tcBorders>
              <w:top w:val="nil"/>
              <w:left w:val="nil"/>
              <w:bottom w:val="single" w:sz="4" w:space="0" w:color="auto"/>
              <w:right w:val="nil"/>
            </w:tcBorders>
            <w:shd w:val="clear" w:color="auto" w:fill="auto"/>
            <w:noWrap/>
            <w:vAlign w:val="bottom"/>
            <w:hideMark/>
          </w:tcPr>
          <w:p w14:paraId="198F00EC"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742.2</w:t>
            </w:r>
          </w:p>
        </w:tc>
        <w:tc>
          <w:tcPr>
            <w:tcW w:w="796" w:type="dxa"/>
            <w:tcBorders>
              <w:top w:val="nil"/>
              <w:left w:val="nil"/>
              <w:bottom w:val="single" w:sz="4" w:space="0" w:color="auto"/>
              <w:right w:val="nil"/>
            </w:tcBorders>
            <w:shd w:val="clear" w:color="auto" w:fill="auto"/>
            <w:noWrap/>
            <w:vAlign w:val="bottom"/>
            <w:hideMark/>
          </w:tcPr>
          <w:p w14:paraId="1E230BD1"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755.5</w:t>
            </w:r>
          </w:p>
        </w:tc>
        <w:tc>
          <w:tcPr>
            <w:tcW w:w="796" w:type="dxa"/>
            <w:tcBorders>
              <w:top w:val="nil"/>
              <w:left w:val="nil"/>
              <w:bottom w:val="single" w:sz="4" w:space="0" w:color="auto"/>
              <w:right w:val="nil"/>
            </w:tcBorders>
            <w:shd w:val="clear" w:color="auto" w:fill="auto"/>
            <w:noWrap/>
            <w:vAlign w:val="bottom"/>
            <w:hideMark/>
          </w:tcPr>
          <w:p w14:paraId="41891F9A"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774.4</w:t>
            </w:r>
          </w:p>
        </w:tc>
        <w:tc>
          <w:tcPr>
            <w:tcW w:w="830" w:type="dxa"/>
            <w:tcBorders>
              <w:top w:val="nil"/>
              <w:left w:val="nil"/>
              <w:bottom w:val="single" w:sz="4" w:space="0" w:color="auto"/>
              <w:right w:val="single" w:sz="4" w:space="0" w:color="auto"/>
            </w:tcBorders>
            <w:shd w:val="clear" w:color="auto" w:fill="auto"/>
            <w:noWrap/>
            <w:vAlign w:val="bottom"/>
            <w:hideMark/>
          </w:tcPr>
          <w:p w14:paraId="448E2625" w14:textId="77777777" w:rsidR="00061A30" w:rsidRPr="00477D8F" w:rsidRDefault="00061A30" w:rsidP="00061A30">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799.9</w:t>
            </w:r>
          </w:p>
        </w:tc>
      </w:tr>
    </w:tbl>
    <w:p w14:paraId="59FA3892" w14:textId="77777777" w:rsidR="00061A30" w:rsidRPr="00477D8F" w:rsidRDefault="00061A30" w:rsidP="00480421">
      <w:pPr>
        <w:jc w:val="both"/>
        <w:rPr>
          <w:rFonts w:ascii="Sylfaen" w:eastAsiaTheme="majorEastAsia" w:hAnsi="Sylfaen" w:cstheme="majorBidi"/>
          <w:bCs/>
        </w:rPr>
      </w:pPr>
    </w:p>
    <w:p w14:paraId="1909131E" w14:textId="2BF57756" w:rsidR="00061A30" w:rsidRPr="00477D8F" w:rsidRDefault="00510EA5" w:rsidP="00510EA5">
      <w:pPr>
        <w:pStyle w:val="Caption1"/>
      </w:pPr>
      <w:r w:rsidRPr="00477D8F">
        <w:lastRenderedPageBreak/>
        <w:t>Table B</w:t>
      </w:r>
      <w:r w:rsidRPr="00477D8F">
        <w:fldChar w:fldCharType="begin"/>
      </w:r>
      <w:r w:rsidRPr="00477D8F">
        <w:instrText xml:space="preserve"> SEQ Table_B \* ARABIC </w:instrText>
      </w:r>
      <w:r w:rsidRPr="00477D8F">
        <w:fldChar w:fldCharType="separate"/>
      </w:r>
      <w:r w:rsidRPr="00477D8F">
        <w:rPr>
          <w:noProof/>
        </w:rPr>
        <w:t>4</w:t>
      </w:r>
      <w:r w:rsidRPr="00477D8F">
        <w:rPr>
          <w:noProof/>
        </w:rPr>
        <w:fldChar w:fldCharType="end"/>
      </w:r>
      <w:r w:rsidRPr="00477D8F">
        <w:t xml:space="preserve">: Projection of </w:t>
      </w:r>
      <w:r w:rsidR="007E69BB" w:rsidRPr="00477D8F">
        <w:t xml:space="preserve">education budget needed and </w:t>
      </w:r>
      <w:r w:rsidR="006365B5" w:rsidRPr="00477D8F">
        <w:t>expected</w:t>
      </w:r>
      <w:r w:rsidR="007E69BB" w:rsidRPr="00477D8F">
        <w:t xml:space="preserve"> from the Gov’t (US$, thousands)</w:t>
      </w:r>
      <w:r w:rsidRPr="00477D8F">
        <w:t>, 2015-2030</w:t>
      </w:r>
    </w:p>
    <w:tbl>
      <w:tblPr>
        <w:tblW w:w="9044" w:type="dxa"/>
        <w:tblLook w:val="04A0" w:firstRow="1" w:lastRow="0" w:firstColumn="1" w:lastColumn="0" w:noHBand="0" w:noVBand="1"/>
      </w:tblPr>
      <w:tblGrid>
        <w:gridCol w:w="936"/>
        <w:gridCol w:w="1836"/>
        <w:gridCol w:w="787"/>
        <w:gridCol w:w="781"/>
        <w:gridCol w:w="781"/>
        <w:gridCol w:w="787"/>
        <w:gridCol w:w="787"/>
        <w:gridCol w:w="781"/>
        <w:gridCol w:w="781"/>
        <w:gridCol w:w="787"/>
      </w:tblGrid>
      <w:tr w:rsidR="00510EA5" w:rsidRPr="00477D8F" w14:paraId="7402F7CA" w14:textId="77777777" w:rsidTr="00510EA5">
        <w:trPr>
          <w:trHeight w:val="290"/>
        </w:trPr>
        <w:tc>
          <w:tcPr>
            <w:tcW w:w="936" w:type="dxa"/>
            <w:tcBorders>
              <w:top w:val="single" w:sz="4" w:space="0" w:color="auto"/>
              <w:left w:val="single" w:sz="4" w:space="0" w:color="auto"/>
              <w:bottom w:val="single" w:sz="4" w:space="0" w:color="auto"/>
              <w:right w:val="nil"/>
            </w:tcBorders>
            <w:shd w:val="clear" w:color="auto" w:fill="auto"/>
            <w:noWrap/>
            <w:vAlign w:val="bottom"/>
            <w:hideMark/>
          </w:tcPr>
          <w:p w14:paraId="24A96C6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Scenario</w:t>
            </w:r>
          </w:p>
        </w:tc>
        <w:tc>
          <w:tcPr>
            <w:tcW w:w="1836" w:type="dxa"/>
            <w:tcBorders>
              <w:top w:val="single" w:sz="4" w:space="0" w:color="auto"/>
              <w:left w:val="nil"/>
              <w:bottom w:val="single" w:sz="4" w:space="0" w:color="auto"/>
              <w:right w:val="nil"/>
            </w:tcBorders>
            <w:shd w:val="clear" w:color="auto" w:fill="auto"/>
            <w:noWrap/>
            <w:vAlign w:val="bottom"/>
            <w:hideMark/>
          </w:tcPr>
          <w:p w14:paraId="12B1A1C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Indicator</w:t>
            </w:r>
          </w:p>
        </w:tc>
        <w:tc>
          <w:tcPr>
            <w:tcW w:w="3136" w:type="dxa"/>
            <w:gridSpan w:val="4"/>
            <w:tcBorders>
              <w:top w:val="single" w:sz="4" w:space="0" w:color="auto"/>
              <w:left w:val="single" w:sz="4" w:space="0" w:color="auto"/>
              <w:bottom w:val="nil"/>
              <w:right w:val="single" w:sz="4" w:space="0" w:color="000000"/>
            </w:tcBorders>
            <w:shd w:val="clear" w:color="auto" w:fill="auto"/>
            <w:noWrap/>
            <w:vAlign w:val="bottom"/>
            <w:hideMark/>
          </w:tcPr>
          <w:p w14:paraId="43977B99" w14:textId="77777777" w:rsidR="00510EA5" w:rsidRPr="00477D8F" w:rsidRDefault="00510EA5" w:rsidP="00510EA5">
            <w:pPr>
              <w:spacing w:after="0" w:line="240" w:lineRule="auto"/>
              <w:jc w:val="center"/>
              <w:rPr>
                <w:rFonts w:ascii="Calibri" w:eastAsia="Times New Roman" w:hAnsi="Calibri" w:cs="Calibri"/>
                <w:color w:val="000000"/>
                <w:sz w:val="18"/>
                <w:szCs w:val="18"/>
              </w:rPr>
            </w:pPr>
            <w:r w:rsidRPr="00477D8F">
              <w:rPr>
                <w:rFonts w:ascii="Calibri" w:eastAsia="Times New Roman" w:hAnsi="Calibri" w:cs="Calibri"/>
                <w:color w:val="000000"/>
                <w:sz w:val="18"/>
                <w:szCs w:val="18"/>
              </w:rPr>
              <w:t>Education budget needed</w:t>
            </w:r>
          </w:p>
        </w:tc>
        <w:tc>
          <w:tcPr>
            <w:tcW w:w="3136" w:type="dxa"/>
            <w:gridSpan w:val="4"/>
            <w:tcBorders>
              <w:top w:val="single" w:sz="4" w:space="0" w:color="auto"/>
              <w:left w:val="nil"/>
              <w:bottom w:val="nil"/>
              <w:right w:val="single" w:sz="4" w:space="0" w:color="000000"/>
            </w:tcBorders>
            <w:shd w:val="clear" w:color="auto" w:fill="auto"/>
            <w:noWrap/>
            <w:vAlign w:val="bottom"/>
            <w:hideMark/>
          </w:tcPr>
          <w:p w14:paraId="256D7A8B" w14:textId="77777777" w:rsidR="00510EA5" w:rsidRPr="00477D8F" w:rsidRDefault="00510EA5" w:rsidP="00510EA5">
            <w:pPr>
              <w:spacing w:after="0" w:line="240" w:lineRule="auto"/>
              <w:jc w:val="center"/>
              <w:rPr>
                <w:rFonts w:ascii="Calibri" w:eastAsia="Times New Roman" w:hAnsi="Calibri" w:cs="Calibri"/>
                <w:color w:val="000000"/>
                <w:sz w:val="18"/>
                <w:szCs w:val="18"/>
              </w:rPr>
            </w:pPr>
            <w:r w:rsidRPr="00477D8F">
              <w:rPr>
                <w:rFonts w:ascii="Calibri" w:eastAsia="Times New Roman" w:hAnsi="Calibri" w:cs="Calibri"/>
                <w:color w:val="000000"/>
                <w:sz w:val="18"/>
                <w:szCs w:val="18"/>
              </w:rPr>
              <w:t>Funds expected from the Gov't</w:t>
            </w:r>
          </w:p>
        </w:tc>
      </w:tr>
      <w:tr w:rsidR="00510EA5" w:rsidRPr="00477D8F" w14:paraId="082B8576" w14:textId="77777777" w:rsidTr="00510EA5">
        <w:trPr>
          <w:trHeight w:val="290"/>
        </w:trPr>
        <w:tc>
          <w:tcPr>
            <w:tcW w:w="936" w:type="dxa"/>
            <w:tcBorders>
              <w:top w:val="nil"/>
              <w:left w:val="single" w:sz="4" w:space="0" w:color="auto"/>
              <w:bottom w:val="single" w:sz="4" w:space="0" w:color="auto"/>
              <w:right w:val="nil"/>
            </w:tcBorders>
            <w:shd w:val="clear" w:color="auto" w:fill="auto"/>
            <w:noWrap/>
            <w:vAlign w:val="bottom"/>
            <w:hideMark/>
          </w:tcPr>
          <w:p w14:paraId="30E903A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1836" w:type="dxa"/>
            <w:tcBorders>
              <w:top w:val="nil"/>
              <w:left w:val="nil"/>
              <w:bottom w:val="single" w:sz="4" w:space="0" w:color="auto"/>
              <w:right w:val="nil"/>
            </w:tcBorders>
            <w:shd w:val="clear" w:color="auto" w:fill="auto"/>
            <w:noWrap/>
            <w:vAlign w:val="bottom"/>
            <w:hideMark/>
          </w:tcPr>
          <w:p w14:paraId="763E26D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7" w:type="dxa"/>
            <w:tcBorders>
              <w:top w:val="nil"/>
              <w:left w:val="single" w:sz="4" w:space="0" w:color="auto"/>
              <w:bottom w:val="single" w:sz="4" w:space="0" w:color="auto"/>
              <w:right w:val="nil"/>
            </w:tcBorders>
            <w:shd w:val="clear" w:color="auto" w:fill="auto"/>
            <w:noWrap/>
            <w:vAlign w:val="bottom"/>
            <w:hideMark/>
          </w:tcPr>
          <w:p w14:paraId="4965B62A"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2015</w:t>
            </w:r>
          </w:p>
        </w:tc>
        <w:tc>
          <w:tcPr>
            <w:tcW w:w="781" w:type="dxa"/>
            <w:tcBorders>
              <w:top w:val="nil"/>
              <w:left w:val="nil"/>
              <w:bottom w:val="single" w:sz="4" w:space="0" w:color="auto"/>
              <w:right w:val="nil"/>
            </w:tcBorders>
            <w:shd w:val="clear" w:color="auto" w:fill="auto"/>
            <w:noWrap/>
            <w:vAlign w:val="bottom"/>
            <w:hideMark/>
          </w:tcPr>
          <w:p w14:paraId="5E0A46FE"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2020</w:t>
            </w:r>
          </w:p>
        </w:tc>
        <w:tc>
          <w:tcPr>
            <w:tcW w:w="781" w:type="dxa"/>
            <w:tcBorders>
              <w:top w:val="nil"/>
              <w:left w:val="nil"/>
              <w:bottom w:val="single" w:sz="4" w:space="0" w:color="auto"/>
              <w:right w:val="nil"/>
            </w:tcBorders>
            <w:shd w:val="clear" w:color="auto" w:fill="auto"/>
            <w:noWrap/>
            <w:vAlign w:val="bottom"/>
            <w:hideMark/>
          </w:tcPr>
          <w:p w14:paraId="4B526107"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2025</w:t>
            </w:r>
          </w:p>
        </w:tc>
        <w:tc>
          <w:tcPr>
            <w:tcW w:w="787" w:type="dxa"/>
            <w:tcBorders>
              <w:top w:val="nil"/>
              <w:left w:val="nil"/>
              <w:bottom w:val="single" w:sz="4" w:space="0" w:color="auto"/>
              <w:right w:val="single" w:sz="4" w:space="0" w:color="auto"/>
            </w:tcBorders>
            <w:shd w:val="clear" w:color="auto" w:fill="auto"/>
            <w:noWrap/>
            <w:vAlign w:val="bottom"/>
            <w:hideMark/>
          </w:tcPr>
          <w:p w14:paraId="326132D2"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2030</w:t>
            </w:r>
          </w:p>
        </w:tc>
        <w:tc>
          <w:tcPr>
            <w:tcW w:w="787" w:type="dxa"/>
            <w:tcBorders>
              <w:top w:val="nil"/>
              <w:left w:val="nil"/>
              <w:bottom w:val="single" w:sz="4" w:space="0" w:color="auto"/>
              <w:right w:val="nil"/>
            </w:tcBorders>
            <w:shd w:val="clear" w:color="auto" w:fill="auto"/>
            <w:noWrap/>
            <w:vAlign w:val="bottom"/>
            <w:hideMark/>
          </w:tcPr>
          <w:p w14:paraId="55E75DA2"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2015</w:t>
            </w:r>
          </w:p>
        </w:tc>
        <w:tc>
          <w:tcPr>
            <w:tcW w:w="781" w:type="dxa"/>
            <w:tcBorders>
              <w:top w:val="nil"/>
              <w:left w:val="nil"/>
              <w:bottom w:val="single" w:sz="4" w:space="0" w:color="auto"/>
              <w:right w:val="nil"/>
            </w:tcBorders>
            <w:shd w:val="clear" w:color="auto" w:fill="auto"/>
            <w:noWrap/>
            <w:vAlign w:val="bottom"/>
            <w:hideMark/>
          </w:tcPr>
          <w:p w14:paraId="27FFE44C"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2020</w:t>
            </w:r>
          </w:p>
        </w:tc>
        <w:tc>
          <w:tcPr>
            <w:tcW w:w="781" w:type="dxa"/>
            <w:tcBorders>
              <w:top w:val="nil"/>
              <w:left w:val="nil"/>
              <w:bottom w:val="single" w:sz="4" w:space="0" w:color="auto"/>
              <w:right w:val="nil"/>
            </w:tcBorders>
            <w:shd w:val="clear" w:color="auto" w:fill="auto"/>
            <w:noWrap/>
            <w:vAlign w:val="bottom"/>
            <w:hideMark/>
          </w:tcPr>
          <w:p w14:paraId="1EE60649"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2025</w:t>
            </w:r>
          </w:p>
        </w:tc>
        <w:tc>
          <w:tcPr>
            <w:tcW w:w="787" w:type="dxa"/>
            <w:tcBorders>
              <w:top w:val="nil"/>
              <w:left w:val="nil"/>
              <w:bottom w:val="single" w:sz="4" w:space="0" w:color="auto"/>
              <w:right w:val="single" w:sz="4" w:space="0" w:color="auto"/>
            </w:tcBorders>
            <w:shd w:val="clear" w:color="auto" w:fill="auto"/>
            <w:noWrap/>
            <w:vAlign w:val="bottom"/>
            <w:hideMark/>
          </w:tcPr>
          <w:p w14:paraId="798BEDB7"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2030</w:t>
            </w:r>
          </w:p>
        </w:tc>
      </w:tr>
      <w:tr w:rsidR="00510EA5" w:rsidRPr="00477D8F" w14:paraId="476B7EB1" w14:textId="77777777" w:rsidTr="00510EA5">
        <w:trPr>
          <w:trHeight w:val="290"/>
        </w:trPr>
        <w:tc>
          <w:tcPr>
            <w:tcW w:w="936" w:type="dxa"/>
            <w:vMerge w:val="restart"/>
            <w:tcBorders>
              <w:top w:val="nil"/>
              <w:left w:val="single" w:sz="4" w:space="0" w:color="auto"/>
              <w:bottom w:val="single" w:sz="4" w:space="0" w:color="000000"/>
              <w:right w:val="nil"/>
            </w:tcBorders>
            <w:shd w:val="clear" w:color="auto" w:fill="auto"/>
            <w:noWrap/>
            <w:hideMark/>
          </w:tcPr>
          <w:p w14:paraId="08ABBCA3" w14:textId="77777777" w:rsidR="00510EA5" w:rsidRPr="00477D8F" w:rsidRDefault="00510EA5" w:rsidP="00510EA5">
            <w:pPr>
              <w:spacing w:after="0" w:line="240" w:lineRule="auto"/>
              <w:jc w:val="center"/>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High </w:t>
            </w:r>
          </w:p>
        </w:tc>
        <w:tc>
          <w:tcPr>
            <w:tcW w:w="1836" w:type="dxa"/>
            <w:tcBorders>
              <w:top w:val="nil"/>
              <w:left w:val="nil"/>
              <w:bottom w:val="nil"/>
              <w:right w:val="nil"/>
            </w:tcBorders>
            <w:shd w:val="clear" w:color="auto" w:fill="auto"/>
            <w:noWrap/>
            <w:vAlign w:val="bottom"/>
            <w:hideMark/>
          </w:tcPr>
          <w:p w14:paraId="3F70789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ECD</w:t>
            </w:r>
          </w:p>
        </w:tc>
        <w:tc>
          <w:tcPr>
            <w:tcW w:w="787" w:type="dxa"/>
            <w:tcBorders>
              <w:top w:val="nil"/>
              <w:left w:val="single" w:sz="4" w:space="0" w:color="auto"/>
              <w:bottom w:val="nil"/>
              <w:right w:val="nil"/>
            </w:tcBorders>
            <w:shd w:val="clear" w:color="auto" w:fill="auto"/>
            <w:noWrap/>
            <w:vAlign w:val="bottom"/>
            <w:hideMark/>
          </w:tcPr>
          <w:p w14:paraId="58CF9F6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1,725 </w:t>
            </w:r>
          </w:p>
        </w:tc>
        <w:tc>
          <w:tcPr>
            <w:tcW w:w="781" w:type="dxa"/>
            <w:tcBorders>
              <w:top w:val="nil"/>
              <w:left w:val="nil"/>
              <w:bottom w:val="nil"/>
              <w:right w:val="nil"/>
            </w:tcBorders>
            <w:shd w:val="clear" w:color="auto" w:fill="auto"/>
            <w:noWrap/>
            <w:vAlign w:val="bottom"/>
            <w:hideMark/>
          </w:tcPr>
          <w:p w14:paraId="3023557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2,511 </w:t>
            </w:r>
          </w:p>
        </w:tc>
        <w:tc>
          <w:tcPr>
            <w:tcW w:w="781" w:type="dxa"/>
            <w:tcBorders>
              <w:top w:val="nil"/>
              <w:left w:val="nil"/>
              <w:bottom w:val="nil"/>
              <w:right w:val="nil"/>
            </w:tcBorders>
            <w:shd w:val="clear" w:color="auto" w:fill="auto"/>
            <w:noWrap/>
            <w:vAlign w:val="bottom"/>
            <w:hideMark/>
          </w:tcPr>
          <w:p w14:paraId="5692734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3,655 </w:t>
            </w:r>
          </w:p>
        </w:tc>
        <w:tc>
          <w:tcPr>
            <w:tcW w:w="787" w:type="dxa"/>
            <w:tcBorders>
              <w:top w:val="nil"/>
              <w:left w:val="nil"/>
              <w:bottom w:val="nil"/>
              <w:right w:val="single" w:sz="4" w:space="0" w:color="auto"/>
            </w:tcBorders>
            <w:shd w:val="clear" w:color="auto" w:fill="auto"/>
            <w:noWrap/>
            <w:vAlign w:val="bottom"/>
            <w:hideMark/>
          </w:tcPr>
          <w:p w14:paraId="4B5E05D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5,320 </w:t>
            </w:r>
          </w:p>
        </w:tc>
        <w:tc>
          <w:tcPr>
            <w:tcW w:w="787" w:type="dxa"/>
            <w:tcBorders>
              <w:top w:val="nil"/>
              <w:left w:val="nil"/>
              <w:bottom w:val="nil"/>
              <w:right w:val="nil"/>
            </w:tcBorders>
            <w:shd w:val="clear" w:color="auto" w:fill="auto"/>
            <w:noWrap/>
            <w:vAlign w:val="bottom"/>
            <w:hideMark/>
          </w:tcPr>
          <w:p w14:paraId="71141EF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1,259 </w:t>
            </w:r>
          </w:p>
        </w:tc>
        <w:tc>
          <w:tcPr>
            <w:tcW w:w="781" w:type="dxa"/>
            <w:tcBorders>
              <w:top w:val="nil"/>
              <w:left w:val="nil"/>
              <w:bottom w:val="nil"/>
              <w:right w:val="nil"/>
            </w:tcBorders>
            <w:shd w:val="clear" w:color="auto" w:fill="auto"/>
            <w:noWrap/>
            <w:vAlign w:val="bottom"/>
            <w:hideMark/>
          </w:tcPr>
          <w:p w14:paraId="2BF5CE1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1,637 </w:t>
            </w:r>
          </w:p>
        </w:tc>
        <w:tc>
          <w:tcPr>
            <w:tcW w:w="781" w:type="dxa"/>
            <w:tcBorders>
              <w:top w:val="nil"/>
              <w:left w:val="nil"/>
              <w:bottom w:val="nil"/>
              <w:right w:val="nil"/>
            </w:tcBorders>
            <w:shd w:val="clear" w:color="auto" w:fill="auto"/>
            <w:noWrap/>
            <w:vAlign w:val="bottom"/>
            <w:hideMark/>
          </w:tcPr>
          <w:p w14:paraId="0FF01DB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2,060 </w:t>
            </w:r>
          </w:p>
        </w:tc>
        <w:tc>
          <w:tcPr>
            <w:tcW w:w="787" w:type="dxa"/>
            <w:tcBorders>
              <w:top w:val="nil"/>
              <w:left w:val="nil"/>
              <w:bottom w:val="nil"/>
              <w:right w:val="single" w:sz="4" w:space="0" w:color="auto"/>
            </w:tcBorders>
            <w:shd w:val="clear" w:color="auto" w:fill="auto"/>
            <w:noWrap/>
            <w:vAlign w:val="bottom"/>
            <w:hideMark/>
          </w:tcPr>
          <w:p w14:paraId="09B0319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2,889 </w:t>
            </w:r>
          </w:p>
        </w:tc>
      </w:tr>
      <w:tr w:rsidR="00510EA5" w:rsidRPr="00477D8F" w14:paraId="20AA4C59" w14:textId="77777777" w:rsidTr="00510EA5">
        <w:trPr>
          <w:trHeight w:val="290"/>
        </w:trPr>
        <w:tc>
          <w:tcPr>
            <w:tcW w:w="936" w:type="dxa"/>
            <w:vMerge/>
            <w:tcBorders>
              <w:top w:val="nil"/>
              <w:left w:val="single" w:sz="4" w:space="0" w:color="auto"/>
              <w:bottom w:val="single" w:sz="4" w:space="0" w:color="000000"/>
              <w:right w:val="nil"/>
            </w:tcBorders>
            <w:vAlign w:val="center"/>
            <w:hideMark/>
          </w:tcPr>
          <w:p w14:paraId="01E82A6A"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42AFDD6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Primary</w:t>
            </w:r>
          </w:p>
        </w:tc>
        <w:tc>
          <w:tcPr>
            <w:tcW w:w="787" w:type="dxa"/>
            <w:tcBorders>
              <w:top w:val="nil"/>
              <w:left w:val="single" w:sz="4" w:space="0" w:color="auto"/>
              <w:bottom w:val="nil"/>
              <w:right w:val="nil"/>
            </w:tcBorders>
            <w:shd w:val="clear" w:color="auto" w:fill="auto"/>
            <w:noWrap/>
            <w:vAlign w:val="bottom"/>
            <w:hideMark/>
          </w:tcPr>
          <w:p w14:paraId="6FCCA6E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18,099 </w:t>
            </w:r>
          </w:p>
        </w:tc>
        <w:tc>
          <w:tcPr>
            <w:tcW w:w="781" w:type="dxa"/>
            <w:tcBorders>
              <w:top w:val="nil"/>
              <w:left w:val="nil"/>
              <w:bottom w:val="nil"/>
              <w:right w:val="nil"/>
            </w:tcBorders>
            <w:shd w:val="clear" w:color="auto" w:fill="auto"/>
            <w:noWrap/>
            <w:vAlign w:val="bottom"/>
            <w:hideMark/>
          </w:tcPr>
          <w:p w14:paraId="192C0CD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25,224 </w:t>
            </w:r>
          </w:p>
        </w:tc>
        <w:tc>
          <w:tcPr>
            <w:tcW w:w="781" w:type="dxa"/>
            <w:tcBorders>
              <w:top w:val="nil"/>
              <w:left w:val="nil"/>
              <w:bottom w:val="nil"/>
              <w:right w:val="nil"/>
            </w:tcBorders>
            <w:shd w:val="clear" w:color="auto" w:fill="auto"/>
            <w:noWrap/>
            <w:vAlign w:val="bottom"/>
            <w:hideMark/>
          </w:tcPr>
          <w:p w14:paraId="49F65A6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30,196 </w:t>
            </w:r>
          </w:p>
        </w:tc>
        <w:tc>
          <w:tcPr>
            <w:tcW w:w="787" w:type="dxa"/>
            <w:tcBorders>
              <w:top w:val="nil"/>
              <w:left w:val="nil"/>
              <w:bottom w:val="nil"/>
              <w:right w:val="single" w:sz="4" w:space="0" w:color="auto"/>
            </w:tcBorders>
            <w:shd w:val="clear" w:color="auto" w:fill="auto"/>
            <w:noWrap/>
            <w:vAlign w:val="bottom"/>
            <w:hideMark/>
          </w:tcPr>
          <w:p w14:paraId="0AF7967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33,340 </w:t>
            </w:r>
          </w:p>
        </w:tc>
        <w:tc>
          <w:tcPr>
            <w:tcW w:w="787" w:type="dxa"/>
            <w:tcBorders>
              <w:top w:val="nil"/>
              <w:left w:val="nil"/>
              <w:bottom w:val="nil"/>
              <w:right w:val="nil"/>
            </w:tcBorders>
            <w:shd w:val="clear" w:color="auto" w:fill="auto"/>
            <w:noWrap/>
            <w:vAlign w:val="bottom"/>
            <w:hideMark/>
          </w:tcPr>
          <w:p w14:paraId="5752F8D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13,207 </w:t>
            </w:r>
          </w:p>
        </w:tc>
        <w:tc>
          <w:tcPr>
            <w:tcW w:w="781" w:type="dxa"/>
            <w:tcBorders>
              <w:top w:val="nil"/>
              <w:left w:val="nil"/>
              <w:bottom w:val="nil"/>
              <w:right w:val="nil"/>
            </w:tcBorders>
            <w:shd w:val="clear" w:color="auto" w:fill="auto"/>
            <w:noWrap/>
            <w:vAlign w:val="bottom"/>
            <w:hideMark/>
          </w:tcPr>
          <w:p w14:paraId="2520314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16,448 </w:t>
            </w:r>
          </w:p>
        </w:tc>
        <w:tc>
          <w:tcPr>
            <w:tcW w:w="781" w:type="dxa"/>
            <w:tcBorders>
              <w:top w:val="nil"/>
              <w:left w:val="nil"/>
              <w:bottom w:val="nil"/>
              <w:right w:val="nil"/>
            </w:tcBorders>
            <w:shd w:val="clear" w:color="auto" w:fill="auto"/>
            <w:noWrap/>
            <w:vAlign w:val="bottom"/>
            <w:hideMark/>
          </w:tcPr>
          <w:p w14:paraId="5F0E87D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17,021 </w:t>
            </w:r>
          </w:p>
        </w:tc>
        <w:tc>
          <w:tcPr>
            <w:tcW w:w="787" w:type="dxa"/>
            <w:tcBorders>
              <w:top w:val="nil"/>
              <w:left w:val="nil"/>
              <w:bottom w:val="nil"/>
              <w:right w:val="single" w:sz="4" w:space="0" w:color="auto"/>
            </w:tcBorders>
            <w:shd w:val="clear" w:color="auto" w:fill="auto"/>
            <w:noWrap/>
            <w:vAlign w:val="bottom"/>
            <w:hideMark/>
          </w:tcPr>
          <w:p w14:paraId="4B7D4AC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18,104 </w:t>
            </w:r>
          </w:p>
        </w:tc>
      </w:tr>
      <w:tr w:rsidR="00510EA5" w:rsidRPr="00477D8F" w14:paraId="17875FB5" w14:textId="77777777" w:rsidTr="00510EA5">
        <w:trPr>
          <w:trHeight w:val="290"/>
        </w:trPr>
        <w:tc>
          <w:tcPr>
            <w:tcW w:w="936" w:type="dxa"/>
            <w:vMerge/>
            <w:tcBorders>
              <w:top w:val="nil"/>
              <w:left w:val="single" w:sz="4" w:space="0" w:color="auto"/>
              <w:bottom w:val="single" w:sz="4" w:space="0" w:color="000000"/>
              <w:right w:val="nil"/>
            </w:tcBorders>
            <w:vAlign w:val="center"/>
            <w:hideMark/>
          </w:tcPr>
          <w:p w14:paraId="403FB192"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668C139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Lower Secondary</w:t>
            </w:r>
          </w:p>
        </w:tc>
        <w:tc>
          <w:tcPr>
            <w:tcW w:w="787" w:type="dxa"/>
            <w:tcBorders>
              <w:top w:val="nil"/>
              <w:left w:val="single" w:sz="4" w:space="0" w:color="auto"/>
              <w:bottom w:val="nil"/>
              <w:right w:val="nil"/>
            </w:tcBorders>
            <w:shd w:val="clear" w:color="auto" w:fill="auto"/>
            <w:noWrap/>
            <w:vAlign w:val="bottom"/>
            <w:hideMark/>
          </w:tcPr>
          <w:p w14:paraId="26D7803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9,566 </w:t>
            </w:r>
          </w:p>
        </w:tc>
        <w:tc>
          <w:tcPr>
            <w:tcW w:w="781" w:type="dxa"/>
            <w:tcBorders>
              <w:top w:val="nil"/>
              <w:left w:val="nil"/>
              <w:bottom w:val="nil"/>
              <w:right w:val="nil"/>
            </w:tcBorders>
            <w:shd w:val="clear" w:color="auto" w:fill="auto"/>
            <w:noWrap/>
            <w:vAlign w:val="bottom"/>
            <w:hideMark/>
          </w:tcPr>
          <w:p w14:paraId="345F607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11,941 </w:t>
            </w:r>
          </w:p>
        </w:tc>
        <w:tc>
          <w:tcPr>
            <w:tcW w:w="781" w:type="dxa"/>
            <w:tcBorders>
              <w:top w:val="nil"/>
              <w:left w:val="nil"/>
              <w:bottom w:val="nil"/>
              <w:right w:val="nil"/>
            </w:tcBorders>
            <w:shd w:val="clear" w:color="auto" w:fill="auto"/>
            <w:noWrap/>
            <w:vAlign w:val="bottom"/>
            <w:hideMark/>
          </w:tcPr>
          <w:p w14:paraId="4A050AA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19,949 </w:t>
            </w:r>
          </w:p>
        </w:tc>
        <w:tc>
          <w:tcPr>
            <w:tcW w:w="787" w:type="dxa"/>
            <w:tcBorders>
              <w:top w:val="nil"/>
              <w:left w:val="nil"/>
              <w:bottom w:val="nil"/>
              <w:right w:val="single" w:sz="4" w:space="0" w:color="auto"/>
            </w:tcBorders>
            <w:shd w:val="clear" w:color="auto" w:fill="auto"/>
            <w:noWrap/>
            <w:vAlign w:val="bottom"/>
            <w:hideMark/>
          </w:tcPr>
          <w:p w14:paraId="3E7581F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24,265 </w:t>
            </w:r>
          </w:p>
        </w:tc>
        <w:tc>
          <w:tcPr>
            <w:tcW w:w="787" w:type="dxa"/>
            <w:tcBorders>
              <w:top w:val="nil"/>
              <w:left w:val="nil"/>
              <w:bottom w:val="nil"/>
              <w:right w:val="nil"/>
            </w:tcBorders>
            <w:shd w:val="clear" w:color="auto" w:fill="auto"/>
            <w:noWrap/>
            <w:vAlign w:val="bottom"/>
            <w:hideMark/>
          </w:tcPr>
          <w:p w14:paraId="3D0741B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6,981 </w:t>
            </w:r>
          </w:p>
        </w:tc>
        <w:tc>
          <w:tcPr>
            <w:tcW w:w="781" w:type="dxa"/>
            <w:tcBorders>
              <w:top w:val="nil"/>
              <w:left w:val="nil"/>
              <w:bottom w:val="nil"/>
              <w:right w:val="nil"/>
            </w:tcBorders>
            <w:shd w:val="clear" w:color="auto" w:fill="auto"/>
            <w:noWrap/>
            <w:vAlign w:val="bottom"/>
            <w:hideMark/>
          </w:tcPr>
          <w:p w14:paraId="5A70B55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7,787 </w:t>
            </w:r>
          </w:p>
        </w:tc>
        <w:tc>
          <w:tcPr>
            <w:tcW w:w="781" w:type="dxa"/>
            <w:tcBorders>
              <w:top w:val="nil"/>
              <w:left w:val="nil"/>
              <w:bottom w:val="nil"/>
              <w:right w:val="nil"/>
            </w:tcBorders>
            <w:shd w:val="clear" w:color="auto" w:fill="auto"/>
            <w:noWrap/>
            <w:vAlign w:val="bottom"/>
            <w:hideMark/>
          </w:tcPr>
          <w:p w14:paraId="30E8A1D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11,245 </w:t>
            </w:r>
          </w:p>
        </w:tc>
        <w:tc>
          <w:tcPr>
            <w:tcW w:w="787" w:type="dxa"/>
            <w:tcBorders>
              <w:top w:val="nil"/>
              <w:left w:val="nil"/>
              <w:bottom w:val="nil"/>
              <w:right w:val="single" w:sz="4" w:space="0" w:color="auto"/>
            </w:tcBorders>
            <w:shd w:val="clear" w:color="auto" w:fill="auto"/>
            <w:noWrap/>
            <w:vAlign w:val="bottom"/>
            <w:hideMark/>
          </w:tcPr>
          <w:p w14:paraId="6796996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13,176 </w:t>
            </w:r>
          </w:p>
        </w:tc>
      </w:tr>
      <w:tr w:rsidR="00510EA5" w:rsidRPr="00477D8F" w14:paraId="17F27856" w14:textId="77777777" w:rsidTr="00510EA5">
        <w:trPr>
          <w:trHeight w:val="290"/>
        </w:trPr>
        <w:tc>
          <w:tcPr>
            <w:tcW w:w="936" w:type="dxa"/>
            <w:vMerge/>
            <w:tcBorders>
              <w:top w:val="nil"/>
              <w:left w:val="single" w:sz="4" w:space="0" w:color="auto"/>
              <w:bottom w:val="single" w:sz="4" w:space="0" w:color="000000"/>
              <w:right w:val="nil"/>
            </w:tcBorders>
            <w:vAlign w:val="center"/>
            <w:hideMark/>
          </w:tcPr>
          <w:p w14:paraId="3F6F5615"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2D46275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Senior secondary</w:t>
            </w:r>
          </w:p>
        </w:tc>
        <w:tc>
          <w:tcPr>
            <w:tcW w:w="787" w:type="dxa"/>
            <w:tcBorders>
              <w:top w:val="nil"/>
              <w:left w:val="single" w:sz="4" w:space="0" w:color="auto"/>
              <w:bottom w:val="nil"/>
              <w:right w:val="nil"/>
            </w:tcBorders>
            <w:shd w:val="clear" w:color="auto" w:fill="auto"/>
            <w:noWrap/>
            <w:vAlign w:val="bottom"/>
            <w:hideMark/>
          </w:tcPr>
          <w:p w14:paraId="7760FC6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4,547 </w:t>
            </w:r>
          </w:p>
        </w:tc>
        <w:tc>
          <w:tcPr>
            <w:tcW w:w="781" w:type="dxa"/>
            <w:tcBorders>
              <w:top w:val="nil"/>
              <w:left w:val="nil"/>
              <w:bottom w:val="nil"/>
              <w:right w:val="nil"/>
            </w:tcBorders>
            <w:shd w:val="clear" w:color="auto" w:fill="auto"/>
            <w:noWrap/>
            <w:vAlign w:val="bottom"/>
            <w:hideMark/>
          </w:tcPr>
          <w:p w14:paraId="5EC0625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5,452 </w:t>
            </w:r>
          </w:p>
        </w:tc>
        <w:tc>
          <w:tcPr>
            <w:tcW w:w="781" w:type="dxa"/>
            <w:tcBorders>
              <w:top w:val="nil"/>
              <w:left w:val="nil"/>
              <w:bottom w:val="nil"/>
              <w:right w:val="nil"/>
            </w:tcBorders>
            <w:shd w:val="clear" w:color="auto" w:fill="auto"/>
            <w:noWrap/>
            <w:vAlign w:val="bottom"/>
            <w:hideMark/>
          </w:tcPr>
          <w:p w14:paraId="1589C34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8,499 </w:t>
            </w:r>
          </w:p>
        </w:tc>
        <w:tc>
          <w:tcPr>
            <w:tcW w:w="787" w:type="dxa"/>
            <w:tcBorders>
              <w:top w:val="nil"/>
              <w:left w:val="nil"/>
              <w:bottom w:val="nil"/>
              <w:right w:val="single" w:sz="4" w:space="0" w:color="auto"/>
            </w:tcBorders>
            <w:shd w:val="clear" w:color="auto" w:fill="auto"/>
            <w:noWrap/>
            <w:vAlign w:val="bottom"/>
            <w:hideMark/>
          </w:tcPr>
          <w:p w14:paraId="6115578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13,146 </w:t>
            </w:r>
          </w:p>
        </w:tc>
        <w:tc>
          <w:tcPr>
            <w:tcW w:w="787" w:type="dxa"/>
            <w:tcBorders>
              <w:top w:val="nil"/>
              <w:left w:val="nil"/>
              <w:bottom w:val="nil"/>
              <w:right w:val="nil"/>
            </w:tcBorders>
            <w:shd w:val="clear" w:color="auto" w:fill="auto"/>
            <w:noWrap/>
            <w:vAlign w:val="bottom"/>
            <w:hideMark/>
          </w:tcPr>
          <w:p w14:paraId="0ACCB77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3,318 </w:t>
            </w:r>
          </w:p>
        </w:tc>
        <w:tc>
          <w:tcPr>
            <w:tcW w:w="781" w:type="dxa"/>
            <w:tcBorders>
              <w:top w:val="nil"/>
              <w:left w:val="nil"/>
              <w:bottom w:val="nil"/>
              <w:right w:val="nil"/>
            </w:tcBorders>
            <w:shd w:val="clear" w:color="auto" w:fill="auto"/>
            <w:noWrap/>
            <w:vAlign w:val="bottom"/>
            <w:hideMark/>
          </w:tcPr>
          <w:p w14:paraId="6AA7BBC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3,555 </w:t>
            </w:r>
          </w:p>
        </w:tc>
        <w:tc>
          <w:tcPr>
            <w:tcW w:w="781" w:type="dxa"/>
            <w:tcBorders>
              <w:top w:val="nil"/>
              <w:left w:val="nil"/>
              <w:bottom w:val="nil"/>
              <w:right w:val="nil"/>
            </w:tcBorders>
            <w:shd w:val="clear" w:color="auto" w:fill="auto"/>
            <w:noWrap/>
            <w:vAlign w:val="bottom"/>
            <w:hideMark/>
          </w:tcPr>
          <w:p w14:paraId="3FDCAAA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4,790 </w:t>
            </w:r>
          </w:p>
        </w:tc>
        <w:tc>
          <w:tcPr>
            <w:tcW w:w="787" w:type="dxa"/>
            <w:tcBorders>
              <w:top w:val="nil"/>
              <w:left w:val="nil"/>
              <w:bottom w:val="nil"/>
              <w:right w:val="single" w:sz="4" w:space="0" w:color="auto"/>
            </w:tcBorders>
            <w:shd w:val="clear" w:color="auto" w:fill="auto"/>
            <w:noWrap/>
            <w:vAlign w:val="bottom"/>
            <w:hideMark/>
          </w:tcPr>
          <w:p w14:paraId="0F8C645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7,138 </w:t>
            </w:r>
          </w:p>
        </w:tc>
      </w:tr>
      <w:tr w:rsidR="00510EA5" w:rsidRPr="00477D8F" w14:paraId="4E1A6CBB" w14:textId="77777777" w:rsidTr="00510EA5">
        <w:trPr>
          <w:trHeight w:val="290"/>
        </w:trPr>
        <w:tc>
          <w:tcPr>
            <w:tcW w:w="936" w:type="dxa"/>
            <w:vMerge/>
            <w:tcBorders>
              <w:top w:val="nil"/>
              <w:left w:val="single" w:sz="4" w:space="0" w:color="auto"/>
              <w:bottom w:val="single" w:sz="4" w:space="0" w:color="000000"/>
              <w:right w:val="nil"/>
            </w:tcBorders>
            <w:vAlign w:val="center"/>
            <w:hideMark/>
          </w:tcPr>
          <w:p w14:paraId="4BFF3217"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183174B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Higher Education</w:t>
            </w:r>
          </w:p>
        </w:tc>
        <w:tc>
          <w:tcPr>
            <w:tcW w:w="787" w:type="dxa"/>
            <w:tcBorders>
              <w:top w:val="nil"/>
              <w:left w:val="single" w:sz="4" w:space="0" w:color="auto"/>
              <w:bottom w:val="nil"/>
              <w:right w:val="nil"/>
            </w:tcBorders>
            <w:shd w:val="clear" w:color="auto" w:fill="auto"/>
            <w:noWrap/>
            <w:vAlign w:val="bottom"/>
            <w:hideMark/>
          </w:tcPr>
          <w:p w14:paraId="3C56B06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4,779 </w:t>
            </w:r>
          </w:p>
        </w:tc>
        <w:tc>
          <w:tcPr>
            <w:tcW w:w="781" w:type="dxa"/>
            <w:tcBorders>
              <w:top w:val="nil"/>
              <w:left w:val="nil"/>
              <w:bottom w:val="nil"/>
              <w:right w:val="nil"/>
            </w:tcBorders>
            <w:shd w:val="clear" w:color="auto" w:fill="auto"/>
            <w:noWrap/>
            <w:vAlign w:val="bottom"/>
            <w:hideMark/>
          </w:tcPr>
          <w:p w14:paraId="64BAFE5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6,183 </w:t>
            </w:r>
          </w:p>
        </w:tc>
        <w:tc>
          <w:tcPr>
            <w:tcW w:w="781" w:type="dxa"/>
            <w:tcBorders>
              <w:top w:val="nil"/>
              <w:left w:val="nil"/>
              <w:bottom w:val="nil"/>
              <w:right w:val="nil"/>
            </w:tcBorders>
            <w:shd w:val="clear" w:color="auto" w:fill="auto"/>
            <w:noWrap/>
            <w:vAlign w:val="bottom"/>
            <w:hideMark/>
          </w:tcPr>
          <w:p w14:paraId="74BB568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7,997 </w:t>
            </w:r>
          </w:p>
        </w:tc>
        <w:tc>
          <w:tcPr>
            <w:tcW w:w="787" w:type="dxa"/>
            <w:tcBorders>
              <w:top w:val="nil"/>
              <w:left w:val="nil"/>
              <w:bottom w:val="nil"/>
              <w:right w:val="single" w:sz="4" w:space="0" w:color="auto"/>
            </w:tcBorders>
            <w:shd w:val="clear" w:color="auto" w:fill="auto"/>
            <w:noWrap/>
            <w:vAlign w:val="bottom"/>
            <w:hideMark/>
          </w:tcPr>
          <w:p w14:paraId="51F3182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10,345 </w:t>
            </w:r>
          </w:p>
        </w:tc>
        <w:tc>
          <w:tcPr>
            <w:tcW w:w="787" w:type="dxa"/>
            <w:tcBorders>
              <w:top w:val="nil"/>
              <w:left w:val="nil"/>
              <w:bottom w:val="nil"/>
              <w:right w:val="nil"/>
            </w:tcBorders>
            <w:shd w:val="clear" w:color="auto" w:fill="auto"/>
            <w:noWrap/>
            <w:vAlign w:val="bottom"/>
            <w:hideMark/>
          </w:tcPr>
          <w:p w14:paraId="75F1DF3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3,488 </w:t>
            </w:r>
          </w:p>
        </w:tc>
        <w:tc>
          <w:tcPr>
            <w:tcW w:w="781" w:type="dxa"/>
            <w:tcBorders>
              <w:top w:val="nil"/>
              <w:left w:val="nil"/>
              <w:bottom w:val="nil"/>
              <w:right w:val="nil"/>
            </w:tcBorders>
            <w:shd w:val="clear" w:color="auto" w:fill="auto"/>
            <w:noWrap/>
            <w:vAlign w:val="bottom"/>
            <w:hideMark/>
          </w:tcPr>
          <w:p w14:paraId="5B0E0FE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4,032 </w:t>
            </w:r>
          </w:p>
        </w:tc>
        <w:tc>
          <w:tcPr>
            <w:tcW w:w="781" w:type="dxa"/>
            <w:tcBorders>
              <w:top w:val="nil"/>
              <w:left w:val="nil"/>
              <w:bottom w:val="nil"/>
              <w:right w:val="nil"/>
            </w:tcBorders>
            <w:shd w:val="clear" w:color="auto" w:fill="auto"/>
            <w:noWrap/>
            <w:vAlign w:val="bottom"/>
            <w:hideMark/>
          </w:tcPr>
          <w:p w14:paraId="4585351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4,508 </w:t>
            </w:r>
          </w:p>
        </w:tc>
        <w:tc>
          <w:tcPr>
            <w:tcW w:w="787" w:type="dxa"/>
            <w:tcBorders>
              <w:top w:val="nil"/>
              <w:left w:val="nil"/>
              <w:bottom w:val="nil"/>
              <w:right w:val="single" w:sz="4" w:space="0" w:color="auto"/>
            </w:tcBorders>
            <w:shd w:val="clear" w:color="auto" w:fill="auto"/>
            <w:noWrap/>
            <w:vAlign w:val="bottom"/>
            <w:hideMark/>
          </w:tcPr>
          <w:p w14:paraId="225265D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5,618 </w:t>
            </w:r>
          </w:p>
        </w:tc>
      </w:tr>
      <w:tr w:rsidR="00510EA5" w:rsidRPr="00477D8F" w14:paraId="36E4FEEB" w14:textId="77777777" w:rsidTr="00510EA5">
        <w:trPr>
          <w:trHeight w:val="290"/>
        </w:trPr>
        <w:tc>
          <w:tcPr>
            <w:tcW w:w="936" w:type="dxa"/>
            <w:vMerge/>
            <w:tcBorders>
              <w:top w:val="nil"/>
              <w:left w:val="single" w:sz="4" w:space="0" w:color="auto"/>
              <w:bottom w:val="single" w:sz="4" w:space="0" w:color="000000"/>
              <w:right w:val="nil"/>
            </w:tcBorders>
            <w:vAlign w:val="center"/>
            <w:hideMark/>
          </w:tcPr>
          <w:p w14:paraId="66CA2A88"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single" w:sz="4" w:space="0" w:color="auto"/>
              <w:right w:val="nil"/>
            </w:tcBorders>
            <w:shd w:val="clear" w:color="auto" w:fill="auto"/>
            <w:noWrap/>
            <w:vAlign w:val="bottom"/>
            <w:hideMark/>
          </w:tcPr>
          <w:p w14:paraId="74CE931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Total</w:t>
            </w:r>
          </w:p>
        </w:tc>
        <w:tc>
          <w:tcPr>
            <w:tcW w:w="787" w:type="dxa"/>
            <w:tcBorders>
              <w:top w:val="nil"/>
              <w:left w:val="single" w:sz="4" w:space="0" w:color="auto"/>
              <w:bottom w:val="single" w:sz="4" w:space="0" w:color="auto"/>
              <w:right w:val="nil"/>
            </w:tcBorders>
            <w:shd w:val="clear" w:color="auto" w:fill="auto"/>
            <w:noWrap/>
            <w:vAlign w:val="bottom"/>
            <w:hideMark/>
          </w:tcPr>
          <w:p w14:paraId="33EF05C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38,716 </w:t>
            </w:r>
          </w:p>
        </w:tc>
        <w:tc>
          <w:tcPr>
            <w:tcW w:w="781" w:type="dxa"/>
            <w:tcBorders>
              <w:top w:val="nil"/>
              <w:left w:val="nil"/>
              <w:bottom w:val="single" w:sz="4" w:space="0" w:color="auto"/>
              <w:right w:val="nil"/>
            </w:tcBorders>
            <w:shd w:val="clear" w:color="auto" w:fill="auto"/>
            <w:noWrap/>
            <w:vAlign w:val="bottom"/>
            <w:hideMark/>
          </w:tcPr>
          <w:p w14:paraId="73BE2E8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51,310 </w:t>
            </w:r>
          </w:p>
        </w:tc>
        <w:tc>
          <w:tcPr>
            <w:tcW w:w="781" w:type="dxa"/>
            <w:tcBorders>
              <w:top w:val="nil"/>
              <w:left w:val="nil"/>
              <w:bottom w:val="single" w:sz="4" w:space="0" w:color="auto"/>
              <w:right w:val="nil"/>
            </w:tcBorders>
            <w:shd w:val="clear" w:color="auto" w:fill="auto"/>
            <w:noWrap/>
            <w:vAlign w:val="bottom"/>
            <w:hideMark/>
          </w:tcPr>
          <w:p w14:paraId="620D20C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70,296 </w:t>
            </w:r>
          </w:p>
        </w:tc>
        <w:tc>
          <w:tcPr>
            <w:tcW w:w="787" w:type="dxa"/>
            <w:tcBorders>
              <w:top w:val="nil"/>
              <w:left w:val="nil"/>
              <w:bottom w:val="single" w:sz="4" w:space="0" w:color="auto"/>
              <w:right w:val="single" w:sz="4" w:space="0" w:color="auto"/>
            </w:tcBorders>
            <w:shd w:val="clear" w:color="auto" w:fill="auto"/>
            <w:noWrap/>
            <w:vAlign w:val="bottom"/>
            <w:hideMark/>
          </w:tcPr>
          <w:p w14:paraId="2CAF63D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86,416 </w:t>
            </w:r>
          </w:p>
        </w:tc>
        <w:tc>
          <w:tcPr>
            <w:tcW w:w="787" w:type="dxa"/>
            <w:tcBorders>
              <w:top w:val="nil"/>
              <w:left w:val="nil"/>
              <w:bottom w:val="single" w:sz="4" w:space="0" w:color="auto"/>
              <w:right w:val="nil"/>
            </w:tcBorders>
            <w:shd w:val="clear" w:color="auto" w:fill="auto"/>
            <w:noWrap/>
            <w:vAlign w:val="bottom"/>
            <w:hideMark/>
          </w:tcPr>
          <w:p w14:paraId="5F94DD2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28,253 </w:t>
            </w:r>
          </w:p>
        </w:tc>
        <w:tc>
          <w:tcPr>
            <w:tcW w:w="781" w:type="dxa"/>
            <w:tcBorders>
              <w:top w:val="nil"/>
              <w:left w:val="nil"/>
              <w:bottom w:val="single" w:sz="4" w:space="0" w:color="auto"/>
              <w:right w:val="nil"/>
            </w:tcBorders>
            <w:shd w:val="clear" w:color="auto" w:fill="auto"/>
            <w:noWrap/>
            <w:vAlign w:val="bottom"/>
            <w:hideMark/>
          </w:tcPr>
          <w:p w14:paraId="6CF5230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33,459 </w:t>
            </w:r>
          </w:p>
        </w:tc>
        <w:tc>
          <w:tcPr>
            <w:tcW w:w="781" w:type="dxa"/>
            <w:tcBorders>
              <w:top w:val="nil"/>
              <w:left w:val="nil"/>
              <w:bottom w:val="single" w:sz="4" w:space="0" w:color="auto"/>
              <w:right w:val="nil"/>
            </w:tcBorders>
            <w:shd w:val="clear" w:color="auto" w:fill="auto"/>
            <w:noWrap/>
            <w:vAlign w:val="bottom"/>
            <w:hideMark/>
          </w:tcPr>
          <w:p w14:paraId="134D485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39,624 </w:t>
            </w:r>
          </w:p>
        </w:tc>
        <w:tc>
          <w:tcPr>
            <w:tcW w:w="787" w:type="dxa"/>
            <w:tcBorders>
              <w:top w:val="nil"/>
              <w:left w:val="nil"/>
              <w:bottom w:val="single" w:sz="4" w:space="0" w:color="auto"/>
              <w:right w:val="single" w:sz="4" w:space="0" w:color="auto"/>
            </w:tcBorders>
            <w:shd w:val="clear" w:color="auto" w:fill="auto"/>
            <w:noWrap/>
            <w:vAlign w:val="bottom"/>
            <w:hideMark/>
          </w:tcPr>
          <w:p w14:paraId="16DCFD1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46,924 </w:t>
            </w:r>
          </w:p>
        </w:tc>
      </w:tr>
      <w:tr w:rsidR="00510EA5" w:rsidRPr="00477D8F" w14:paraId="5E1C7AC4" w14:textId="77777777" w:rsidTr="00510EA5">
        <w:trPr>
          <w:trHeight w:val="290"/>
        </w:trPr>
        <w:tc>
          <w:tcPr>
            <w:tcW w:w="936" w:type="dxa"/>
            <w:tcBorders>
              <w:top w:val="nil"/>
              <w:left w:val="single" w:sz="4" w:space="0" w:color="auto"/>
              <w:bottom w:val="nil"/>
              <w:right w:val="nil"/>
            </w:tcBorders>
            <w:shd w:val="clear" w:color="auto" w:fill="auto"/>
            <w:noWrap/>
            <w:vAlign w:val="bottom"/>
            <w:hideMark/>
          </w:tcPr>
          <w:p w14:paraId="0A14486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1836" w:type="dxa"/>
            <w:tcBorders>
              <w:top w:val="nil"/>
              <w:left w:val="nil"/>
              <w:bottom w:val="nil"/>
              <w:right w:val="nil"/>
            </w:tcBorders>
            <w:shd w:val="clear" w:color="auto" w:fill="auto"/>
            <w:noWrap/>
            <w:vAlign w:val="bottom"/>
            <w:hideMark/>
          </w:tcPr>
          <w:p w14:paraId="47295DE5"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787" w:type="dxa"/>
            <w:tcBorders>
              <w:top w:val="nil"/>
              <w:left w:val="single" w:sz="4" w:space="0" w:color="auto"/>
              <w:bottom w:val="nil"/>
              <w:right w:val="nil"/>
            </w:tcBorders>
            <w:shd w:val="clear" w:color="auto" w:fill="auto"/>
            <w:noWrap/>
            <w:vAlign w:val="bottom"/>
            <w:hideMark/>
          </w:tcPr>
          <w:p w14:paraId="1903FDE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1" w:type="dxa"/>
            <w:tcBorders>
              <w:top w:val="nil"/>
              <w:left w:val="nil"/>
              <w:bottom w:val="nil"/>
              <w:right w:val="nil"/>
            </w:tcBorders>
            <w:shd w:val="clear" w:color="auto" w:fill="auto"/>
            <w:noWrap/>
            <w:vAlign w:val="bottom"/>
            <w:hideMark/>
          </w:tcPr>
          <w:p w14:paraId="49311782"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781" w:type="dxa"/>
            <w:tcBorders>
              <w:top w:val="nil"/>
              <w:left w:val="nil"/>
              <w:bottom w:val="nil"/>
              <w:right w:val="nil"/>
            </w:tcBorders>
            <w:shd w:val="clear" w:color="auto" w:fill="auto"/>
            <w:noWrap/>
            <w:vAlign w:val="bottom"/>
            <w:hideMark/>
          </w:tcPr>
          <w:p w14:paraId="7B5FA8B8" w14:textId="77777777" w:rsidR="00510EA5" w:rsidRPr="00477D8F" w:rsidRDefault="00510EA5" w:rsidP="00510EA5">
            <w:pPr>
              <w:spacing w:after="0" w:line="240" w:lineRule="auto"/>
              <w:rPr>
                <w:rFonts w:ascii="Times New Roman" w:eastAsia="Times New Roman" w:hAnsi="Times New Roman" w:cs="Times New Roman"/>
                <w:sz w:val="18"/>
                <w:szCs w:val="18"/>
              </w:rPr>
            </w:pPr>
          </w:p>
        </w:tc>
        <w:tc>
          <w:tcPr>
            <w:tcW w:w="787" w:type="dxa"/>
            <w:tcBorders>
              <w:top w:val="nil"/>
              <w:left w:val="nil"/>
              <w:bottom w:val="nil"/>
              <w:right w:val="single" w:sz="4" w:space="0" w:color="auto"/>
            </w:tcBorders>
            <w:shd w:val="clear" w:color="auto" w:fill="auto"/>
            <w:noWrap/>
            <w:vAlign w:val="bottom"/>
            <w:hideMark/>
          </w:tcPr>
          <w:p w14:paraId="1FD89A8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7" w:type="dxa"/>
            <w:tcBorders>
              <w:top w:val="nil"/>
              <w:left w:val="nil"/>
              <w:bottom w:val="nil"/>
              <w:right w:val="nil"/>
            </w:tcBorders>
            <w:shd w:val="clear" w:color="auto" w:fill="auto"/>
            <w:noWrap/>
            <w:vAlign w:val="bottom"/>
            <w:hideMark/>
          </w:tcPr>
          <w:p w14:paraId="53ACCDF0"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781" w:type="dxa"/>
            <w:tcBorders>
              <w:top w:val="nil"/>
              <w:left w:val="nil"/>
              <w:bottom w:val="nil"/>
              <w:right w:val="nil"/>
            </w:tcBorders>
            <w:shd w:val="clear" w:color="auto" w:fill="auto"/>
            <w:noWrap/>
            <w:vAlign w:val="bottom"/>
            <w:hideMark/>
          </w:tcPr>
          <w:p w14:paraId="27654010" w14:textId="77777777" w:rsidR="00510EA5" w:rsidRPr="00477D8F" w:rsidRDefault="00510EA5" w:rsidP="00510EA5">
            <w:pPr>
              <w:spacing w:after="0" w:line="240" w:lineRule="auto"/>
              <w:rPr>
                <w:rFonts w:ascii="Times New Roman" w:eastAsia="Times New Roman" w:hAnsi="Times New Roman" w:cs="Times New Roman"/>
                <w:sz w:val="18"/>
                <w:szCs w:val="18"/>
              </w:rPr>
            </w:pPr>
          </w:p>
        </w:tc>
        <w:tc>
          <w:tcPr>
            <w:tcW w:w="781" w:type="dxa"/>
            <w:tcBorders>
              <w:top w:val="nil"/>
              <w:left w:val="nil"/>
              <w:bottom w:val="nil"/>
              <w:right w:val="nil"/>
            </w:tcBorders>
            <w:shd w:val="clear" w:color="auto" w:fill="auto"/>
            <w:noWrap/>
            <w:vAlign w:val="bottom"/>
            <w:hideMark/>
          </w:tcPr>
          <w:p w14:paraId="7257716A" w14:textId="77777777" w:rsidR="00510EA5" w:rsidRPr="00477D8F" w:rsidRDefault="00510EA5" w:rsidP="00510EA5">
            <w:pPr>
              <w:spacing w:after="0" w:line="240" w:lineRule="auto"/>
              <w:rPr>
                <w:rFonts w:ascii="Times New Roman" w:eastAsia="Times New Roman" w:hAnsi="Times New Roman" w:cs="Times New Roman"/>
                <w:sz w:val="18"/>
                <w:szCs w:val="18"/>
              </w:rPr>
            </w:pPr>
          </w:p>
        </w:tc>
        <w:tc>
          <w:tcPr>
            <w:tcW w:w="787" w:type="dxa"/>
            <w:tcBorders>
              <w:top w:val="nil"/>
              <w:left w:val="nil"/>
              <w:bottom w:val="nil"/>
              <w:right w:val="single" w:sz="4" w:space="0" w:color="auto"/>
            </w:tcBorders>
            <w:shd w:val="clear" w:color="auto" w:fill="auto"/>
            <w:noWrap/>
            <w:vAlign w:val="bottom"/>
            <w:hideMark/>
          </w:tcPr>
          <w:p w14:paraId="1FA6D3E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r>
      <w:tr w:rsidR="00510EA5" w:rsidRPr="00477D8F" w14:paraId="246D22E3" w14:textId="77777777" w:rsidTr="00510EA5">
        <w:trPr>
          <w:trHeight w:val="290"/>
        </w:trPr>
        <w:tc>
          <w:tcPr>
            <w:tcW w:w="936" w:type="dxa"/>
            <w:vMerge w:val="restart"/>
            <w:tcBorders>
              <w:top w:val="nil"/>
              <w:left w:val="single" w:sz="4" w:space="0" w:color="auto"/>
              <w:bottom w:val="nil"/>
              <w:right w:val="nil"/>
            </w:tcBorders>
            <w:shd w:val="clear" w:color="auto" w:fill="auto"/>
            <w:noWrap/>
            <w:hideMark/>
          </w:tcPr>
          <w:p w14:paraId="059EAB57" w14:textId="77777777" w:rsidR="00510EA5" w:rsidRPr="00477D8F" w:rsidRDefault="00510EA5" w:rsidP="00510EA5">
            <w:pPr>
              <w:spacing w:after="0" w:line="240" w:lineRule="auto"/>
              <w:jc w:val="center"/>
              <w:rPr>
                <w:rFonts w:ascii="Calibri" w:eastAsia="Times New Roman" w:hAnsi="Calibri" w:cs="Calibri"/>
                <w:color w:val="000000"/>
                <w:sz w:val="18"/>
                <w:szCs w:val="18"/>
              </w:rPr>
            </w:pPr>
            <w:r w:rsidRPr="00477D8F">
              <w:rPr>
                <w:rFonts w:ascii="Calibri" w:eastAsia="Times New Roman" w:hAnsi="Calibri" w:cs="Calibri"/>
                <w:color w:val="000000"/>
                <w:sz w:val="18"/>
                <w:szCs w:val="18"/>
              </w:rPr>
              <w:t>Medium</w:t>
            </w:r>
          </w:p>
        </w:tc>
        <w:tc>
          <w:tcPr>
            <w:tcW w:w="1836" w:type="dxa"/>
            <w:tcBorders>
              <w:top w:val="nil"/>
              <w:left w:val="nil"/>
              <w:bottom w:val="nil"/>
              <w:right w:val="nil"/>
            </w:tcBorders>
            <w:shd w:val="clear" w:color="auto" w:fill="auto"/>
            <w:noWrap/>
            <w:vAlign w:val="bottom"/>
            <w:hideMark/>
          </w:tcPr>
          <w:p w14:paraId="331FDEE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ECD</w:t>
            </w:r>
          </w:p>
        </w:tc>
        <w:tc>
          <w:tcPr>
            <w:tcW w:w="787" w:type="dxa"/>
            <w:tcBorders>
              <w:top w:val="nil"/>
              <w:left w:val="single" w:sz="4" w:space="0" w:color="auto"/>
              <w:bottom w:val="nil"/>
              <w:right w:val="nil"/>
            </w:tcBorders>
            <w:shd w:val="clear" w:color="auto" w:fill="auto"/>
            <w:noWrap/>
            <w:vAlign w:val="bottom"/>
            <w:hideMark/>
          </w:tcPr>
          <w:p w14:paraId="68B81E6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1,725 </w:t>
            </w:r>
          </w:p>
        </w:tc>
        <w:tc>
          <w:tcPr>
            <w:tcW w:w="781" w:type="dxa"/>
            <w:tcBorders>
              <w:top w:val="nil"/>
              <w:left w:val="nil"/>
              <w:bottom w:val="nil"/>
              <w:right w:val="nil"/>
            </w:tcBorders>
            <w:shd w:val="clear" w:color="auto" w:fill="auto"/>
            <w:noWrap/>
            <w:vAlign w:val="bottom"/>
            <w:hideMark/>
          </w:tcPr>
          <w:p w14:paraId="7A72923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2,088 </w:t>
            </w:r>
          </w:p>
        </w:tc>
        <w:tc>
          <w:tcPr>
            <w:tcW w:w="781" w:type="dxa"/>
            <w:tcBorders>
              <w:top w:val="nil"/>
              <w:left w:val="nil"/>
              <w:bottom w:val="nil"/>
              <w:right w:val="nil"/>
            </w:tcBorders>
            <w:shd w:val="clear" w:color="auto" w:fill="auto"/>
            <w:noWrap/>
            <w:vAlign w:val="bottom"/>
            <w:hideMark/>
          </w:tcPr>
          <w:p w14:paraId="185FD7B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2,529 </w:t>
            </w:r>
          </w:p>
        </w:tc>
        <w:tc>
          <w:tcPr>
            <w:tcW w:w="787" w:type="dxa"/>
            <w:tcBorders>
              <w:top w:val="nil"/>
              <w:left w:val="nil"/>
              <w:bottom w:val="nil"/>
              <w:right w:val="single" w:sz="4" w:space="0" w:color="auto"/>
            </w:tcBorders>
            <w:shd w:val="clear" w:color="auto" w:fill="auto"/>
            <w:noWrap/>
            <w:vAlign w:val="bottom"/>
            <w:hideMark/>
          </w:tcPr>
          <w:p w14:paraId="2FE3670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3,061 </w:t>
            </w:r>
          </w:p>
        </w:tc>
        <w:tc>
          <w:tcPr>
            <w:tcW w:w="787" w:type="dxa"/>
            <w:tcBorders>
              <w:top w:val="nil"/>
              <w:left w:val="nil"/>
              <w:bottom w:val="nil"/>
              <w:right w:val="nil"/>
            </w:tcBorders>
            <w:shd w:val="clear" w:color="auto" w:fill="auto"/>
            <w:noWrap/>
            <w:vAlign w:val="bottom"/>
            <w:hideMark/>
          </w:tcPr>
          <w:p w14:paraId="41F3CEA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1,259 </w:t>
            </w:r>
          </w:p>
        </w:tc>
        <w:tc>
          <w:tcPr>
            <w:tcW w:w="781" w:type="dxa"/>
            <w:tcBorders>
              <w:top w:val="nil"/>
              <w:left w:val="nil"/>
              <w:bottom w:val="nil"/>
              <w:right w:val="nil"/>
            </w:tcBorders>
            <w:shd w:val="clear" w:color="auto" w:fill="auto"/>
            <w:noWrap/>
            <w:vAlign w:val="bottom"/>
            <w:hideMark/>
          </w:tcPr>
          <w:p w14:paraId="414AEFF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1,480 </w:t>
            </w:r>
          </w:p>
        </w:tc>
        <w:tc>
          <w:tcPr>
            <w:tcW w:w="781" w:type="dxa"/>
            <w:tcBorders>
              <w:top w:val="nil"/>
              <w:left w:val="nil"/>
              <w:bottom w:val="nil"/>
              <w:right w:val="nil"/>
            </w:tcBorders>
            <w:shd w:val="clear" w:color="auto" w:fill="auto"/>
            <w:noWrap/>
            <w:vAlign w:val="bottom"/>
            <w:hideMark/>
          </w:tcPr>
          <w:p w14:paraId="72E4019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1,689 </w:t>
            </w:r>
          </w:p>
        </w:tc>
        <w:tc>
          <w:tcPr>
            <w:tcW w:w="787" w:type="dxa"/>
            <w:tcBorders>
              <w:top w:val="nil"/>
              <w:left w:val="nil"/>
              <w:bottom w:val="nil"/>
              <w:right w:val="single" w:sz="4" w:space="0" w:color="auto"/>
            </w:tcBorders>
            <w:shd w:val="clear" w:color="auto" w:fill="auto"/>
            <w:noWrap/>
            <w:vAlign w:val="bottom"/>
            <w:hideMark/>
          </w:tcPr>
          <w:p w14:paraId="301EB0B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2,072 </w:t>
            </w:r>
          </w:p>
        </w:tc>
      </w:tr>
      <w:tr w:rsidR="00510EA5" w:rsidRPr="00477D8F" w14:paraId="017CF8EE" w14:textId="77777777" w:rsidTr="00510EA5">
        <w:trPr>
          <w:trHeight w:val="290"/>
        </w:trPr>
        <w:tc>
          <w:tcPr>
            <w:tcW w:w="936" w:type="dxa"/>
            <w:vMerge/>
            <w:tcBorders>
              <w:top w:val="nil"/>
              <w:left w:val="single" w:sz="4" w:space="0" w:color="auto"/>
              <w:bottom w:val="nil"/>
              <w:right w:val="nil"/>
            </w:tcBorders>
            <w:vAlign w:val="center"/>
            <w:hideMark/>
          </w:tcPr>
          <w:p w14:paraId="09E014DE"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748D372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Primary</w:t>
            </w:r>
          </w:p>
        </w:tc>
        <w:tc>
          <w:tcPr>
            <w:tcW w:w="787" w:type="dxa"/>
            <w:tcBorders>
              <w:top w:val="nil"/>
              <w:left w:val="single" w:sz="4" w:space="0" w:color="auto"/>
              <w:bottom w:val="nil"/>
              <w:right w:val="nil"/>
            </w:tcBorders>
            <w:shd w:val="clear" w:color="auto" w:fill="auto"/>
            <w:noWrap/>
            <w:vAlign w:val="bottom"/>
            <w:hideMark/>
          </w:tcPr>
          <w:p w14:paraId="688AB1D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18,099 </w:t>
            </w:r>
          </w:p>
        </w:tc>
        <w:tc>
          <w:tcPr>
            <w:tcW w:w="781" w:type="dxa"/>
            <w:tcBorders>
              <w:top w:val="nil"/>
              <w:left w:val="nil"/>
              <w:bottom w:val="nil"/>
              <w:right w:val="nil"/>
            </w:tcBorders>
            <w:shd w:val="clear" w:color="auto" w:fill="auto"/>
            <w:noWrap/>
            <w:vAlign w:val="bottom"/>
            <w:hideMark/>
          </w:tcPr>
          <w:p w14:paraId="2BD5153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24,089 </w:t>
            </w:r>
          </w:p>
        </w:tc>
        <w:tc>
          <w:tcPr>
            <w:tcW w:w="781" w:type="dxa"/>
            <w:tcBorders>
              <w:top w:val="nil"/>
              <w:left w:val="nil"/>
              <w:bottom w:val="nil"/>
              <w:right w:val="nil"/>
            </w:tcBorders>
            <w:shd w:val="clear" w:color="auto" w:fill="auto"/>
            <w:noWrap/>
            <w:vAlign w:val="bottom"/>
            <w:hideMark/>
          </w:tcPr>
          <w:p w14:paraId="289BBAD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28,420 </w:t>
            </w:r>
          </w:p>
        </w:tc>
        <w:tc>
          <w:tcPr>
            <w:tcW w:w="787" w:type="dxa"/>
            <w:tcBorders>
              <w:top w:val="nil"/>
              <w:left w:val="nil"/>
              <w:bottom w:val="nil"/>
              <w:right w:val="single" w:sz="4" w:space="0" w:color="auto"/>
            </w:tcBorders>
            <w:shd w:val="clear" w:color="auto" w:fill="auto"/>
            <w:noWrap/>
            <w:vAlign w:val="bottom"/>
            <w:hideMark/>
          </w:tcPr>
          <w:p w14:paraId="795BBE7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31,425 </w:t>
            </w:r>
          </w:p>
        </w:tc>
        <w:tc>
          <w:tcPr>
            <w:tcW w:w="787" w:type="dxa"/>
            <w:tcBorders>
              <w:top w:val="nil"/>
              <w:left w:val="nil"/>
              <w:bottom w:val="nil"/>
              <w:right w:val="nil"/>
            </w:tcBorders>
            <w:shd w:val="clear" w:color="auto" w:fill="auto"/>
            <w:noWrap/>
            <w:vAlign w:val="bottom"/>
            <w:hideMark/>
          </w:tcPr>
          <w:p w14:paraId="4FA6DEC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13,207 </w:t>
            </w:r>
          </w:p>
        </w:tc>
        <w:tc>
          <w:tcPr>
            <w:tcW w:w="781" w:type="dxa"/>
            <w:tcBorders>
              <w:top w:val="nil"/>
              <w:left w:val="nil"/>
              <w:bottom w:val="nil"/>
              <w:right w:val="nil"/>
            </w:tcBorders>
            <w:shd w:val="clear" w:color="auto" w:fill="auto"/>
            <w:noWrap/>
            <w:vAlign w:val="bottom"/>
            <w:hideMark/>
          </w:tcPr>
          <w:p w14:paraId="4FBE5D2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17,070 </w:t>
            </w:r>
          </w:p>
        </w:tc>
        <w:tc>
          <w:tcPr>
            <w:tcW w:w="781" w:type="dxa"/>
            <w:tcBorders>
              <w:top w:val="nil"/>
              <w:left w:val="nil"/>
              <w:bottom w:val="nil"/>
              <w:right w:val="nil"/>
            </w:tcBorders>
            <w:shd w:val="clear" w:color="auto" w:fill="auto"/>
            <w:noWrap/>
            <w:vAlign w:val="bottom"/>
            <w:hideMark/>
          </w:tcPr>
          <w:p w14:paraId="5509671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18,979 </w:t>
            </w:r>
          </w:p>
        </w:tc>
        <w:tc>
          <w:tcPr>
            <w:tcW w:w="787" w:type="dxa"/>
            <w:tcBorders>
              <w:top w:val="nil"/>
              <w:left w:val="nil"/>
              <w:bottom w:val="nil"/>
              <w:right w:val="single" w:sz="4" w:space="0" w:color="auto"/>
            </w:tcBorders>
            <w:shd w:val="clear" w:color="auto" w:fill="auto"/>
            <w:noWrap/>
            <w:vAlign w:val="bottom"/>
            <w:hideMark/>
          </w:tcPr>
          <w:p w14:paraId="64C555E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21,271 </w:t>
            </w:r>
          </w:p>
        </w:tc>
      </w:tr>
      <w:tr w:rsidR="00510EA5" w:rsidRPr="00477D8F" w14:paraId="7A74D405" w14:textId="77777777" w:rsidTr="00510EA5">
        <w:trPr>
          <w:trHeight w:val="290"/>
        </w:trPr>
        <w:tc>
          <w:tcPr>
            <w:tcW w:w="936" w:type="dxa"/>
            <w:vMerge/>
            <w:tcBorders>
              <w:top w:val="nil"/>
              <w:left w:val="single" w:sz="4" w:space="0" w:color="auto"/>
              <w:bottom w:val="nil"/>
              <w:right w:val="nil"/>
            </w:tcBorders>
            <w:vAlign w:val="center"/>
            <w:hideMark/>
          </w:tcPr>
          <w:p w14:paraId="3266618F"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1CB96D0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Lower Secondary</w:t>
            </w:r>
          </w:p>
        </w:tc>
        <w:tc>
          <w:tcPr>
            <w:tcW w:w="787" w:type="dxa"/>
            <w:tcBorders>
              <w:top w:val="nil"/>
              <w:left w:val="single" w:sz="4" w:space="0" w:color="auto"/>
              <w:bottom w:val="nil"/>
              <w:right w:val="nil"/>
            </w:tcBorders>
            <w:shd w:val="clear" w:color="auto" w:fill="auto"/>
            <w:noWrap/>
            <w:vAlign w:val="bottom"/>
            <w:hideMark/>
          </w:tcPr>
          <w:p w14:paraId="1098DF8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9,566 </w:t>
            </w:r>
          </w:p>
        </w:tc>
        <w:tc>
          <w:tcPr>
            <w:tcW w:w="781" w:type="dxa"/>
            <w:tcBorders>
              <w:top w:val="nil"/>
              <w:left w:val="nil"/>
              <w:bottom w:val="nil"/>
              <w:right w:val="nil"/>
            </w:tcBorders>
            <w:shd w:val="clear" w:color="auto" w:fill="auto"/>
            <w:noWrap/>
            <w:vAlign w:val="bottom"/>
            <w:hideMark/>
          </w:tcPr>
          <w:p w14:paraId="53C50E4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10,649 </w:t>
            </w:r>
          </w:p>
        </w:tc>
        <w:tc>
          <w:tcPr>
            <w:tcW w:w="781" w:type="dxa"/>
            <w:tcBorders>
              <w:top w:val="nil"/>
              <w:left w:val="nil"/>
              <w:bottom w:val="nil"/>
              <w:right w:val="nil"/>
            </w:tcBorders>
            <w:shd w:val="clear" w:color="auto" w:fill="auto"/>
            <w:noWrap/>
            <w:vAlign w:val="bottom"/>
            <w:hideMark/>
          </w:tcPr>
          <w:p w14:paraId="49C1D17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15,619 </w:t>
            </w:r>
          </w:p>
        </w:tc>
        <w:tc>
          <w:tcPr>
            <w:tcW w:w="787" w:type="dxa"/>
            <w:tcBorders>
              <w:top w:val="nil"/>
              <w:left w:val="nil"/>
              <w:bottom w:val="nil"/>
              <w:right w:val="single" w:sz="4" w:space="0" w:color="auto"/>
            </w:tcBorders>
            <w:shd w:val="clear" w:color="auto" w:fill="auto"/>
            <w:noWrap/>
            <w:vAlign w:val="bottom"/>
            <w:hideMark/>
          </w:tcPr>
          <w:p w14:paraId="2B8E64C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18,409 </w:t>
            </w:r>
          </w:p>
        </w:tc>
        <w:tc>
          <w:tcPr>
            <w:tcW w:w="787" w:type="dxa"/>
            <w:tcBorders>
              <w:top w:val="nil"/>
              <w:left w:val="nil"/>
              <w:bottom w:val="nil"/>
              <w:right w:val="nil"/>
            </w:tcBorders>
            <w:shd w:val="clear" w:color="auto" w:fill="auto"/>
            <w:noWrap/>
            <w:vAlign w:val="bottom"/>
            <w:hideMark/>
          </w:tcPr>
          <w:p w14:paraId="10BDF5C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6,981 </w:t>
            </w:r>
          </w:p>
        </w:tc>
        <w:tc>
          <w:tcPr>
            <w:tcW w:w="781" w:type="dxa"/>
            <w:tcBorders>
              <w:top w:val="nil"/>
              <w:left w:val="nil"/>
              <w:bottom w:val="nil"/>
              <w:right w:val="nil"/>
            </w:tcBorders>
            <w:shd w:val="clear" w:color="auto" w:fill="auto"/>
            <w:noWrap/>
            <w:vAlign w:val="bottom"/>
            <w:hideMark/>
          </w:tcPr>
          <w:p w14:paraId="6289821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7,546 </w:t>
            </w:r>
          </w:p>
        </w:tc>
        <w:tc>
          <w:tcPr>
            <w:tcW w:w="781" w:type="dxa"/>
            <w:tcBorders>
              <w:top w:val="nil"/>
              <w:left w:val="nil"/>
              <w:bottom w:val="nil"/>
              <w:right w:val="nil"/>
            </w:tcBorders>
            <w:shd w:val="clear" w:color="auto" w:fill="auto"/>
            <w:noWrap/>
            <w:vAlign w:val="bottom"/>
            <w:hideMark/>
          </w:tcPr>
          <w:p w14:paraId="5050A72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10,430 </w:t>
            </w:r>
          </w:p>
        </w:tc>
        <w:tc>
          <w:tcPr>
            <w:tcW w:w="787" w:type="dxa"/>
            <w:tcBorders>
              <w:top w:val="nil"/>
              <w:left w:val="nil"/>
              <w:bottom w:val="nil"/>
              <w:right w:val="single" w:sz="4" w:space="0" w:color="auto"/>
            </w:tcBorders>
            <w:shd w:val="clear" w:color="auto" w:fill="auto"/>
            <w:noWrap/>
            <w:vAlign w:val="bottom"/>
            <w:hideMark/>
          </w:tcPr>
          <w:p w14:paraId="4129C4E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12,461 </w:t>
            </w:r>
          </w:p>
        </w:tc>
      </w:tr>
      <w:tr w:rsidR="00510EA5" w:rsidRPr="00477D8F" w14:paraId="37F19ADF" w14:textId="77777777" w:rsidTr="00510EA5">
        <w:trPr>
          <w:trHeight w:val="290"/>
        </w:trPr>
        <w:tc>
          <w:tcPr>
            <w:tcW w:w="936" w:type="dxa"/>
            <w:vMerge/>
            <w:tcBorders>
              <w:top w:val="nil"/>
              <w:left w:val="single" w:sz="4" w:space="0" w:color="auto"/>
              <w:bottom w:val="nil"/>
              <w:right w:val="nil"/>
            </w:tcBorders>
            <w:vAlign w:val="center"/>
            <w:hideMark/>
          </w:tcPr>
          <w:p w14:paraId="6EF6C3CB"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0BC225E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Senior secondary</w:t>
            </w:r>
          </w:p>
        </w:tc>
        <w:tc>
          <w:tcPr>
            <w:tcW w:w="787" w:type="dxa"/>
            <w:tcBorders>
              <w:top w:val="nil"/>
              <w:left w:val="single" w:sz="4" w:space="0" w:color="auto"/>
              <w:bottom w:val="nil"/>
              <w:right w:val="nil"/>
            </w:tcBorders>
            <w:shd w:val="clear" w:color="auto" w:fill="auto"/>
            <w:noWrap/>
            <w:vAlign w:val="bottom"/>
            <w:hideMark/>
          </w:tcPr>
          <w:p w14:paraId="3233E83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4,547 </w:t>
            </w:r>
          </w:p>
        </w:tc>
        <w:tc>
          <w:tcPr>
            <w:tcW w:w="781" w:type="dxa"/>
            <w:tcBorders>
              <w:top w:val="nil"/>
              <w:left w:val="nil"/>
              <w:bottom w:val="nil"/>
              <w:right w:val="nil"/>
            </w:tcBorders>
            <w:shd w:val="clear" w:color="auto" w:fill="auto"/>
            <w:noWrap/>
            <w:vAlign w:val="bottom"/>
            <w:hideMark/>
          </w:tcPr>
          <w:p w14:paraId="0C5FE6F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4,708 </w:t>
            </w:r>
          </w:p>
        </w:tc>
        <w:tc>
          <w:tcPr>
            <w:tcW w:w="781" w:type="dxa"/>
            <w:tcBorders>
              <w:top w:val="nil"/>
              <w:left w:val="nil"/>
              <w:bottom w:val="nil"/>
              <w:right w:val="nil"/>
            </w:tcBorders>
            <w:shd w:val="clear" w:color="auto" w:fill="auto"/>
            <w:noWrap/>
            <w:vAlign w:val="bottom"/>
            <w:hideMark/>
          </w:tcPr>
          <w:p w14:paraId="562C3D9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6,012 </w:t>
            </w:r>
          </w:p>
        </w:tc>
        <w:tc>
          <w:tcPr>
            <w:tcW w:w="787" w:type="dxa"/>
            <w:tcBorders>
              <w:top w:val="nil"/>
              <w:left w:val="nil"/>
              <w:bottom w:val="nil"/>
              <w:right w:val="single" w:sz="4" w:space="0" w:color="auto"/>
            </w:tcBorders>
            <w:shd w:val="clear" w:color="auto" w:fill="auto"/>
            <w:noWrap/>
            <w:vAlign w:val="bottom"/>
            <w:hideMark/>
          </w:tcPr>
          <w:p w14:paraId="7A42A11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8,396 </w:t>
            </w:r>
          </w:p>
        </w:tc>
        <w:tc>
          <w:tcPr>
            <w:tcW w:w="787" w:type="dxa"/>
            <w:tcBorders>
              <w:top w:val="nil"/>
              <w:left w:val="nil"/>
              <w:bottom w:val="nil"/>
              <w:right w:val="nil"/>
            </w:tcBorders>
            <w:shd w:val="clear" w:color="auto" w:fill="auto"/>
            <w:noWrap/>
            <w:vAlign w:val="bottom"/>
            <w:hideMark/>
          </w:tcPr>
          <w:p w14:paraId="692BD3A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3,318 </w:t>
            </w:r>
          </w:p>
        </w:tc>
        <w:tc>
          <w:tcPr>
            <w:tcW w:w="781" w:type="dxa"/>
            <w:tcBorders>
              <w:top w:val="nil"/>
              <w:left w:val="nil"/>
              <w:bottom w:val="nil"/>
              <w:right w:val="nil"/>
            </w:tcBorders>
            <w:shd w:val="clear" w:color="auto" w:fill="auto"/>
            <w:noWrap/>
            <w:vAlign w:val="bottom"/>
            <w:hideMark/>
          </w:tcPr>
          <w:p w14:paraId="5163090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3,336 </w:t>
            </w:r>
          </w:p>
        </w:tc>
        <w:tc>
          <w:tcPr>
            <w:tcW w:w="781" w:type="dxa"/>
            <w:tcBorders>
              <w:top w:val="nil"/>
              <w:left w:val="nil"/>
              <w:bottom w:val="nil"/>
              <w:right w:val="nil"/>
            </w:tcBorders>
            <w:shd w:val="clear" w:color="auto" w:fill="auto"/>
            <w:noWrap/>
            <w:vAlign w:val="bottom"/>
            <w:hideMark/>
          </w:tcPr>
          <w:p w14:paraId="5F5E323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4,015 </w:t>
            </w:r>
          </w:p>
        </w:tc>
        <w:tc>
          <w:tcPr>
            <w:tcW w:w="787" w:type="dxa"/>
            <w:tcBorders>
              <w:top w:val="nil"/>
              <w:left w:val="nil"/>
              <w:bottom w:val="nil"/>
              <w:right w:val="single" w:sz="4" w:space="0" w:color="auto"/>
            </w:tcBorders>
            <w:shd w:val="clear" w:color="auto" w:fill="auto"/>
            <w:noWrap/>
            <w:vAlign w:val="bottom"/>
            <w:hideMark/>
          </w:tcPr>
          <w:p w14:paraId="3BB8B48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5,683 </w:t>
            </w:r>
          </w:p>
        </w:tc>
      </w:tr>
      <w:tr w:rsidR="00510EA5" w:rsidRPr="00477D8F" w14:paraId="30E85327" w14:textId="77777777" w:rsidTr="00510EA5">
        <w:trPr>
          <w:trHeight w:val="290"/>
        </w:trPr>
        <w:tc>
          <w:tcPr>
            <w:tcW w:w="936" w:type="dxa"/>
            <w:vMerge/>
            <w:tcBorders>
              <w:top w:val="nil"/>
              <w:left w:val="single" w:sz="4" w:space="0" w:color="auto"/>
              <w:bottom w:val="nil"/>
              <w:right w:val="nil"/>
            </w:tcBorders>
            <w:vAlign w:val="center"/>
            <w:hideMark/>
          </w:tcPr>
          <w:p w14:paraId="4ACF26F7"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0816B64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Higher Education</w:t>
            </w:r>
          </w:p>
        </w:tc>
        <w:tc>
          <w:tcPr>
            <w:tcW w:w="787" w:type="dxa"/>
            <w:tcBorders>
              <w:top w:val="nil"/>
              <w:left w:val="single" w:sz="4" w:space="0" w:color="auto"/>
              <w:bottom w:val="nil"/>
              <w:right w:val="nil"/>
            </w:tcBorders>
            <w:shd w:val="clear" w:color="auto" w:fill="auto"/>
            <w:noWrap/>
            <w:vAlign w:val="bottom"/>
            <w:hideMark/>
          </w:tcPr>
          <w:p w14:paraId="6A5BDF3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4,779 </w:t>
            </w:r>
          </w:p>
        </w:tc>
        <w:tc>
          <w:tcPr>
            <w:tcW w:w="781" w:type="dxa"/>
            <w:tcBorders>
              <w:top w:val="nil"/>
              <w:left w:val="nil"/>
              <w:bottom w:val="nil"/>
              <w:right w:val="nil"/>
            </w:tcBorders>
            <w:shd w:val="clear" w:color="auto" w:fill="auto"/>
            <w:noWrap/>
            <w:vAlign w:val="bottom"/>
            <w:hideMark/>
          </w:tcPr>
          <w:p w14:paraId="618F32D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5,682 </w:t>
            </w:r>
          </w:p>
        </w:tc>
        <w:tc>
          <w:tcPr>
            <w:tcW w:w="781" w:type="dxa"/>
            <w:tcBorders>
              <w:top w:val="nil"/>
              <w:left w:val="nil"/>
              <w:bottom w:val="nil"/>
              <w:right w:val="nil"/>
            </w:tcBorders>
            <w:shd w:val="clear" w:color="auto" w:fill="auto"/>
            <w:noWrap/>
            <w:vAlign w:val="bottom"/>
            <w:hideMark/>
          </w:tcPr>
          <w:p w14:paraId="4D9F727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6,756 </w:t>
            </w:r>
          </w:p>
        </w:tc>
        <w:tc>
          <w:tcPr>
            <w:tcW w:w="787" w:type="dxa"/>
            <w:tcBorders>
              <w:top w:val="nil"/>
              <w:left w:val="nil"/>
              <w:bottom w:val="nil"/>
              <w:right w:val="single" w:sz="4" w:space="0" w:color="auto"/>
            </w:tcBorders>
            <w:shd w:val="clear" w:color="auto" w:fill="auto"/>
            <w:noWrap/>
            <w:vAlign w:val="bottom"/>
            <w:hideMark/>
          </w:tcPr>
          <w:p w14:paraId="78F66CA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8,033 </w:t>
            </w:r>
          </w:p>
        </w:tc>
        <w:tc>
          <w:tcPr>
            <w:tcW w:w="787" w:type="dxa"/>
            <w:tcBorders>
              <w:top w:val="nil"/>
              <w:left w:val="nil"/>
              <w:bottom w:val="nil"/>
              <w:right w:val="nil"/>
            </w:tcBorders>
            <w:shd w:val="clear" w:color="auto" w:fill="auto"/>
            <w:noWrap/>
            <w:vAlign w:val="bottom"/>
            <w:hideMark/>
          </w:tcPr>
          <w:p w14:paraId="20B362C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3,488 </w:t>
            </w:r>
          </w:p>
        </w:tc>
        <w:tc>
          <w:tcPr>
            <w:tcW w:w="781" w:type="dxa"/>
            <w:tcBorders>
              <w:top w:val="nil"/>
              <w:left w:val="nil"/>
              <w:bottom w:val="nil"/>
              <w:right w:val="nil"/>
            </w:tcBorders>
            <w:shd w:val="clear" w:color="auto" w:fill="auto"/>
            <w:noWrap/>
            <w:vAlign w:val="bottom"/>
            <w:hideMark/>
          </w:tcPr>
          <w:p w14:paraId="1CE1BFA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4,027 </w:t>
            </w:r>
          </w:p>
        </w:tc>
        <w:tc>
          <w:tcPr>
            <w:tcW w:w="781" w:type="dxa"/>
            <w:tcBorders>
              <w:top w:val="nil"/>
              <w:left w:val="nil"/>
              <w:bottom w:val="nil"/>
              <w:right w:val="nil"/>
            </w:tcBorders>
            <w:shd w:val="clear" w:color="auto" w:fill="auto"/>
            <w:noWrap/>
            <w:vAlign w:val="bottom"/>
            <w:hideMark/>
          </w:tcPr>
          <w:p w14:paraId="1B82C64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4,512 </w:t>
            </w:r>
          </w:p>
        </w:tc>
        <w:tc>
          <w:tcPr>
            <w:tcW w:w="787" w:type="dxa"/>
            <w:tcBorders>
              <w:top w:val="nil"/>
              <w:left w:val="nil"/>
              <w:bottom w:val="nil"/>
              <w:right w:val="single" w:sz="4" w:space="0" w:color="auto"/>
            </w:tcBorders>
            <w:shd w:val="clear" w:color="auto" w:fill="auto"/>
            <w:noWrap/>
            <w:vAlign w:val="bottom"/>
            <w:hideMark/>
          </w:tcPr>
          <w:p w14:paraId="02FCA23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5,437 </w:t>
            </w:r>
          </w:p>
        </w:tc>
      </w:tr>
      <w:tr w:rsidR="00510EA5" w:rsidRPr="00477D8F" w14:paraId="5859A927" w14:textId="77777777" w:rsidTr="00510EA5">
        <w:trPr>
          <w:trHeight w:val="290"/>
        </w:trPr>
        <w:tc>
          <w:tcPr>
            <w:tcW w:w="936" w:type="dxa"/>
            <w:vMerge/>
            <w:tcBorders>
              <w:top w:val="nil"/>
              <w:left w:val="single" w:sz="4" w:space="0" w:color="auto"/>
              <w:bottom w:val="nil"/>
              <w:right w:val="nil"/>
            </w:tcBorders>
            <w:vAlign w:val="center"/>
            <w:hideMark/>
          </w:tcPr>
          <w:p w14:paraId="5BCACEF8"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0E72DBB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Total</w:t>
            </w:r>
          </w:p>
        </w:tc>
        <w:tc>
          <w:tcPr>
            <w:tcW w:w="787" w:type="dxa"/>
            <w:tcBorders>
              <w:top w:val="nil"/>
              <w:left w:val="single" w:sz="4" w:space="0" w:color="auto"/>
              <w:bottom w:val="nil"/>
              <w:right w:val="nil"/>
            </w:tcBorders>
            <w:shd w:val="clear" w:color="auto" w:fill="auto"/>
            <w:noWrap/>
            <w:vAlign w:val="bottom"/>
            <w:hideMark/>
          </w:tcPr>
          <w:p w14:paraId="6764746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38,716 </w:t>
            </w:r>
          </w:p>
        </w:tc>
        <w:tc>
          <w:tcPr>
            <w:tcW w:w="781" w:type="dxa"/>
            <w:tcBorders>
              <w:top w:val="nil"/>
              <w:left w:val="nil"/>
              <w:bottom w:val="nil"/>
              <w:right w:val="nil"/>
            </w:tcBorders>
            <w:shd w:val="clear" w:color="auto" w:fill="auto"/>
            <w:noWrap/>
            <w:vAlign w:val="bottom"/>
            <w:hideMark/>
          </w:tcPr>
          <w:p w14:paraId="13D209E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47,217 </w:t>
            </w:r>
          </w:p>
        </w:tc>
        <w:tc>
          <w:tcPr>
            <w:tcW w:w="781" w:type="dxa"/>
            <w:tcBorders>
              <w:top w:val="nil"/>
              <w:left w:val="nil"/>
              <w:bottom w:val="nil"/>
              <w:right w:val="nil"/>
            </w:tcBorders>
            <w:shd w:val="clear" w:color="auto" w:fill="auto"/>
            <w:noWrap/>
            <w:vAlign w:val="bottom"/>
            <w:hideMark/>
          </w:tcPr>
          <w:p w14:paraId="7BD2BA2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59,336 </w:t>
            </w:r>
          </w:p>
        </w:tc>
        <w:tc>
          <w:tcPr>
            <w:tcW w:w="787" w:type="dxa"/>
            <w:tcBorders>
              <w:top w:val="nil"/>
              <w:left w:val="nil"/>
              <w:bottom w:val="nil"/>
              <w:right w:val="single" w:sz="4" w:space="0" w:color="auto"/>
            </w:tcBorders>
            <w:shd w:val="clear" w:color="auto" w:fill="auto"/>
            <w:noWrap/>
            <w:vAlign w:val="bottom"/>
            <w:hideMark/>
          </w:tcPr>
          <w:p w14:paraId="5E3B94A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69,324 </w:t>
            </w:r>
          </w:p>
        </w:tc>
        <w:tc>
          <w:tcPr>
            <w:tcW w:w="787" w:type="dxa"/>
            <w:tcBorders>
              <w:top w:val="nil"/>
              <w:left w:val="nil"/>
              <w:bottom w:val="nil"/>
              <w:right w:val="nil"/>
            </w:tcBorders>
            <w:shd w:val="clear" w:color="auto" w:fill="auto"/>
            <w:noWrap/>
            <w:vAlign w:val="bottom"/>
            <w:hideMark/>
          </w:tcPr>
          <w:p w14:paraId="2EC3811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28,253 </w:t>
            </w:r>
          </w:p>
        </w:tc>
        <w:tc>
          <w:tcPr>
            <w:tcW w:w="781" w:type="dxa"/>
            <w:tcBorders>
              <w:top w:val="nil"/>
              <w:left w:val="nil"/>
              <w:bottom w:val="nil"/>
              <w:right w:val="nil"/>
            </w:tcBorders>
            <w:shd w:val="clear" w:color="auto" w:fill="auto"/>
            <w:noWrap/>
            <w:vAlign w:val="bottom"/>
            <w:hideMark/>
          </w:tcPr>
          <w:p w14:paraId="1D3C642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33,459 </w:t>
            </w:r>
          </w:p>
        </w:tc>
        <w:tc>
          <w:tcPr>
            <w:tcW w:w="781" w:type="dxa"/>
            <w:tcBorders>
              <w:top w:val="nil"/>
              <w:left w:val="nil"/>
              <w:bottom w:val="nil"/>
              <w:right w:val="nil"/>
            </w:tcBorders>
            <w:shd w:val="clear" w:color="auto" w:fill="auto"/>
            <w:noWrap/>
            <w:vAlign w:val="bottom"/>
            <w:hideMark/>
          </w:tcPr>
          <w:p w14:paraId="30DB6F0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39,624 </w:t>
            </w:r>
          </w:p>
        </w:tc>
        <w:tc>
          <w:tcPr>
            <w:tcW w:w="787" w:type="dxa"/>
            <w:tcBorders>
              <w:top w:val="nil"/>
              <w:left w:val="nil"/>
              <w:bottom w:val="nil"/>
              <w:right w:val="single" w:sz="4" w:space="0" w:color="auto"/>
            </w:tcBorders>
            <w:shd w:val="clear" w:color="auto" w:fill="auto"/>
            <w:noWrap/>
            <w:vAlign w:val="bottom"/>
            <w:hideMark/>
          </w:tcPr>
          <w:p w14:paraId="6D40571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46,924 </w:t>
            </w:r>
          </w:p>
        </w:tc>
      </w:tr>
      <w:tr w:rsidR="00510EA5" w:rsidRPr="00477D8F" w14:paraId="4865496F" w14:textId="77777777" w:rsidTr="00510EA5">
        <w:trPr>
          <w:trHeight w:val="290"/>
        </w:trPr>
        <w:tc>
          <w:tcPr>
            <w:tcW w:w="936" w:type="dxa"/>
            <w:tcBorders>
              <w:top w:val="single" w:sz="4" w:space="0" w:color="auto"/>
              <w:left w:val="single" w:sz="4" w:space="0" w:color="auto"/>
              <w:bottom w:val="nil"/>
              <w:right w:val="nil"/>
            </w:tcBorders>
            <w:shd w:val="clear" w:color="auto" w:fill="auto"/>
            <w:noWrap/>
            <w:vAlign w:val="bottom"/>
            <w:hideMark/>
          </w:tcPr>
          <w:p w14:paraId="02BB25F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1836" w:type="dxa"/>
            <w:tcBorders>
              <w:top w:val="single" w:sz="4" w:space="0" w:color="auto"/>
              <w:left w:val="nil"/>
              <w:bottom w:val="nil"/>
              <w:right w:val="nil"/>
            </w:tcBorders>
            <w:shd w:val="clear" w:color="auto" w:fill="auto"/>
            <w:noWrap/>
            <w:vAlign w:val="bottom"/>
            <w:hideMark/>
          </w:tcPr>
          <w:p w14:paraId="60AD5F8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7" w:type="dxa"/>
            <w:tcBorders>
              <w:top w:val="single" w:sz="4" w:space="0" w:color="auto"/>
              <w:left w:val="single" w:sz="4" w:space="0" w:color="auto"/>
              <w:bottom w:val="nil"/>
              <w:right w:val="nil"/>
            </w:tcBorders>
            <w:shd w:val="clear" w:color="auto" w:fill="auto"/>
            <w:noWrap/>
            <w:vAlign w:val="bottom"/>
            <w:hideMark/>
          </w:tcPr>
          <w:p w14:paraId="7636D19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1" w:type="dxa"/>
            <w:tcBorders>
              <w:top w:val="single" w:sz="4" w:space="0" w:color="auto"/>
              <w:left w:val="nil"/>
              <w:bottom w:val="nil"/>
              <w:right w:val="nil"/>
            </w:tcBorders>
            <w:shd w:val="clear" w:color="auto" w:fill="auto"/>
            <w:noWrap/>
            <w:vAlign w:val="bottom"/>
            <w:hideMark/>
          </w:tcPr>
          <w:p w14:paraId="3012FE3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1" w:type="dxa"/>
            <w:tcBorders>
              <w:top w:val="single" w:sz="4" w:space="0" w:color="auto"/>
              <w:left w:val="nil"/>
              <w:bottom w:val="nil"/>
              <w:right w:val="nil"/>
            </w:tcBorders>
            <w:shd w:val="clear" w:color="auto" w:fill="auto"/>
            <w:noWrap/>
            <w:vAlign w:val="bottom"/>
            <w:hideMark/>
          </w:tcPr>
          <w:p w14:paraId="63AE9F8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14:paraId="3D29DB7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7" w:type="dxa"/>
            <w:tcBorders>
              <w:top w:val="single" w:sz="4" w:space="0" w:color="auto"/>
              <w:left w:val="nil"/>
              <w:bottom w:val="nil"/>
              <w:right w:val="nil"/>
            </w:tcBorders>
            <w:shd w:val="clear" w:color="auto" w:fill="auto"/>
            <w:noWrap/>
            <w:vAlign w:val="bottom"/>
            <w:hideMark/>
          </w:tcPr>
          <w:p w14:paraId="09D49E7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1" w:type="dxa"/>
            <w:tcBorders>
              <w:top w:val="single" w:sz="4" w:space="0" w:color="auto"/>
              <w:left w:val="nil"/>
              <w:bottom w:val="nil"/>
              <w:right w:val="nil"/>
            </w:tcBorders>
            <w:shd w:val="clear" w:color="auto" w:fill="auto"/>
            <w:noWrap/>
            <w:vAlign w:val="bottom"/>
            <w:hideMark/>
          </w:tcPr>
          <w:p w14:paraId="3CD05DA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1" w:type="dxa"/>
            <w:tcBorders>
              <w:top w:val="single" w:sz="4" w:space="0" w:color="auto"/>
              <w:left w:val="nil"/>
              <w:bottom w:val="nil"/>
              <w:right w:val="nil"/>
            </w:tcBorders>
            <w:shd w:val="clear" w:color="auto" w:fill="auto"/>
            <w:noWrap/>
            <w:vAlign w:val="bottom"/>
            <w:hideMark/>
          </w:tcPr>
          <w:p w14:paraId="20A687E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7" w:type="dxa"/>
            <w:tcBorders>
              <w:top w:val="single" w:sz="4" w:space="0" w:color="auto"/>
              <w:left w:val="nil"/>
              <w:bottom w:val="nil"/>
              <w:right w:val="single" w:sz="4" w:space="0" w:color="auto"/>
            </w:tcBorders>
            <w:shd w:val="clear" w:color="auto" w:fill="auto"/>
            <w:noWrap/>
            <w:vAlign w:val="bottom"/>
            <w:hideMark/>
          </w:tcPr>
          <w:p w14:paraId="2FB8321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r>
      <w:tr w:rsidR="00510EA5" w:rsidRPr="00477D8F" w14:paraId="42B0DCDC" w14:textId="77777777" w:rsidTr="00510EA5">
        <w:trPr>
          <w:trHeight w:val="290"/>
        </w:trPr>
        <w:tc>
          <w:tcPr>
            <w:tcW w:w="936" w:type="dxa"/>
            <w:vMerge w:val="restart"/>
            <w:tcBorders>
              <w:top w:val="nil"/>
              <w:left w:val="single" w:sz="4" w:space="0" w:color="auto"/>
              <w:bottom w:val="single" w:sz="4" w:space="0" w:color="000000"/>
              <w:right w:val="nil"/>
            </w:tcBorders>
            <w:shd w:val="clear" w:color="auto" w:fill="auto"/>
            <w:noWrap/>
            <w:hideMark/>
          </w:tcPr>
          <w:p w14:paraId="70BEF4F3" w14:textId="77777777" w:rsidR="00510EA5" w:rsidRPr="00477D8F" w:rsidRDefault="00510EA5" w:rsidP="00510EA5">
            <w:pPr>
              <w:spacing w:after="0" w:line="240" w:lineRule="auto"/>
              <w:jc w:val="center"/>
              <w:rPr>
                <w:rFonts w:ascii="Calibri" w:eastAsia="Times New Roman" w:hAnsi="Calibri" w:cs="Calibri"/>
                <w:color w:val="000000"/>
                <w:sz w:val="18"/>
                <w:szCs w:val="18"/>
              </w:rPr>
            </w:pPr>
            <w:r w:rsidRPr="00477D8F">
              <w:rPr>
                <w:rFonts w:ascii="Calibri" w:eastAsia="Times New Roman" w:hAnsi="Calibri" w:cs="Calibri"/>
                <w:color w:val="000000"/>
                <w:sz w:val="18"/>
                <w:szCs w:val="18"/>
              </w:rPr>
              <w:t>Low</w:t>
            </w:r>
          </w:p>
        </w:tc>
        <w:tc>
          <w:tcPr>
            <w:tcW w:w="1836" w:type="dxa"/>
            <w:tcBorders>
              <w:top w:val="nil"/>
              <w:left w:val="nil"/>
              <w:bottom w:val="nil"/>
              <w:right w:val="nil"/>
            </w:tcBorders>
            <w:shd w:val="clear" w:color="auto" w:fill="auto"/>
            <w:noWrap/>
            <w:vAlign w:val="bottom"/>
            <w:hideMark/>
          </w:tcPr>
          <w:p w14:paraId="68C7EF0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ECD</w:t>
            </w:r>
          </w:p>
        </w:tc>
        <w:tc>
          <w:tcPr>
            <w:tcW w:w="787" w:type="dxa"/>
            <w:tcBorders>
              <w:top w:val="nil"/>
              <w:left w:val="single" w:sz="4" w:space="0" w:color="auto"/>
              <w:bottom w:val="nil"/>
              <w:right w:val="nil"/>
            </w:tcBorders>
            <w:shd w:val="clear" w:color="auto" w:fill="auto"/>
            <w:noWrap/>
            <w:vAlign w:val="bottom"/>
            <w:hideMark/>
          </w:tcPr>
          <w:p w14:paraId="59290CB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1,725 </w:t>
            </w:r>
          </w:p>
        </w:tc>
        <w:tc>
          <w:tcPr>
            <w:tcW w:w="781" w:type="dxa"/>
            <w:tcBorders>
              <w:top w:val="nil"/>
              <w:left w:val="nil"/>
              <w:bottom w:val="nil"/>
              <w:right w:val="nil"/>
            </w:tcBorders>
            <w:shd w:val="clear" w:color="auto" w:fill="auto"/>
            <w:noWrap/>
            <w:vAlign w:val="bottom"/>
            <w:hideMark/>
          </w:tcPr>
          <w:p w14:paraId="16DAE03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1,961 </w:t>
            </w:r>
          </w:p>
        </w:tc>
        <w:tc>
          <w:tcPr>
            <w:tcW w:w="781" w:type="dxa"/>
            <w:tcBorders>
              <w:top w:val="nil"/>
              <w:left w:val="nil"/>
              <w:bottom w:val="nil"/>
              <w:right w:val="nil"/>
            </w:tcBorders>
            <w:shd w:val="clear" w:color="auto" w:fill="auto"/>
            <w:noWrap/>
            <w:vAlign w:val="bottom"/>
            <w:hideMark/>
          </w:tcPr>
          <w:p w14:paraId="65D970B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2,230 </w:t>
            </w:r>
          </w:p>
        </w:tc>
        <w:tc>
          <w:tcPr>
            <w:tcW w:w="787" w:type="dxa"/>
            <w:tcBorders>
              <w:top w:val="nil"/>
              <w:left w:val="nil"/>
              <w:bottom w:val="nil"/>
              <w:right w:val="single" w:sz="4" w:space="0" w:color="auto"/>
            </w:tcBorders>
            <w:shd w:val="clear" w:color="auto" w:fill="auto"/>
            <w:noWrap/>
            <w:vAlign w:val="bottom"/>
            <w:hideMark/>
          </w:tcPr>
          <w:p w14:paraId="61C6975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2,535 </w:t>
            </w:r>
          </w:p>
        </w:tc>
        <w:tc>
          <w:tcPr>
            <w:tcW w:w="787" w:type="dxa"/>
            <w:tcBorders>
              <w:top w:val="nil"/>
              <w:left w:val="nil"/>
              <w:bottom w:val="nil"/>
              <w:right w:val="nil"/>
            </w:tcBorders>
            <w:shd w:val="clear" w:color="auto" w:fill="auto"/>
            <w:noWrap/>
            <w:vAlign w:val="bottom"/>
            <w:hideMark/>
          </w:tcPr>
          <w:p w14:paraId="1AA8C38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1,259 </w:t>
            </w:r>
          </w:p>
        </w:tc>
        <w:tc>
          <w:tcPr>
            <w:tcW w:w="781" w:type="dxa"/>
            <w:tcBorders>
              <w:top w:val="nil"/>
              <w:left w:val="nil"/>
              <w:bottom w:val="nil"/>
              <w:right w:val="nil"/>
            </w:tcBorders>
            <w:shd w:val="clear" w:color="auto" w:fill="auto"/>
            <w:noWrap/>
            <w:vAlign w:val="bottom"/>
            <w:hideMark/>
          </w:tcPr>
          <w:p w14:paraId="5762644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1,427 </w:t>
            </w:r>
          </w:p>
        </w:tc>
        <w:tc>
          <w:tcPr>
            <w:tcW w:w="781" w:type="dxa"/>
            <w:tcBorders>
              <w:top w:val="nil"/>
              <w:left w:val="nil"/>
              <w:bottom w:val="nil"/>
              <w:right w:val="nil"/>
            </w:tcBorders>
            <w:shd w:val="clear" w:color="auto" w:fill="auto"/>
            <w:noWrap/>
            <w:vAlign w:val="bottom"/>
            <w:hideMark/>
          </w:tcPr>
          <w:p w14:paraId="74AE5EF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1,575 </w:t>
            </w:r>
          </w:p>
        </w:tc>
        <w:tc>
          <w:tcPr>
            <w:tcW w:w="787" w:type="dxa"/>
            <w:tcBorders>
              <w:top w:val="nil"/>
              <w:left w:val="nil"/>
              <w:bottom w:val="nil"/>
              <w:right w:val="single" w:sz="4" w:space="0" w:color="auto"/>
            </w:tcBorders>
            <w:shd w:val="clear" w:color="auto" w:fill="auto"/>
            <w:noWrap/>
            <w:vAlign w:val="bottom"/>
            <w:hideMark/>
          </w:tcPr>
          <w:p w14:paraId="607D519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1,835 </w:t>
            </w:r>
          </w:p>
        </w:tc>
      </w:tr>
      <w:tr w:rsidR="00510EA5" w:rsidRPr="00477D8F" w14:paraId="284BBC2E" w14:textId="77777777" w:rsidTr="00510EA5">
        <w:trPr>
          <w:trHeight w:val="290"/>
        </w:trPr>
        <w:tc>
          <w:tcPr>
            <w:tcW w:w="936" w:type="dxa"/>
            <w:vMerge/>
            <w:tcBorders>
              <w:top w:val="nil"/>
              <w:left w:val="single" w:sz="4" w:space="0" w:color="auto"/>
              <w:bottom w:val="single" w:sz="4" w:space="0" w:color="000000"/>
              <w:right w:val="nil"/>
            </w:tcBorders>
            <w:vAlign w:val="center"/>
            <w:hideMark/>
          </w:tcPr>
          <w:p w14:paraId="1615C22F"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5BC74BE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Primary</w:t>
            </w:r>
          </w:p>
        </w:tc>
        <w:tc>
          <w:tcPr>
            <w:tcW w:w="787" w:type="dxa"/>
            <w:tcBorders>
              <w:top w:val="nil"/>
              <w:left w:val="single" w:sz="4" w:space="0" w:color="auto"/>
              <w:bottom w:val="nil"/>
              <w:right w:val="nil"/>
            </w:tcBorders>
            <w:shd w:val="clear" w:color="auto" w:fill="auto"/>
            <w:noWrap/>
            <w:vAlign w:val="bottom"/>
            <w:hideMark/>
          </w:tcPr>
          <w:p w14:paraId="07B6E98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18,099 </w:t>
            </w:r>
          </w:p>
        </w:tc>
        <w:tc>
          <w:tcPr>
            <w:tcW w:w="781" w:type="dxa"/>
            <w:tcBorders>
              <w:top w:val="nil"/>
              <w:left w:val="nil"/>
              <w:bottom w:val="nil"/>
              <w:right w:val="nil"/>
            </w:tcBorders>
            <w:shd w:val="clear" w:color="auto" w:fill="auto"/>
            <w:noWrap/>
            <w:vAlign w:val="bottom"/>
            <w:hideMark/>
          </w:tcPr>
          <w:p w14:paraId="0F29C46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23,551 </w:t>
            </w:r>
          </w:p>
        </w:tc>
        <w:tc>
          <w:tcPr>
            <w:tcW w:w="781" w:type="dxa"/>
            <w:tcBorders>
              <w:top w:val="nil"/>
              <w:left w:val="nil"/>
              <w:bottom w:val="nil"/>
              <w:right w:val="nil"/>
            </w:tcBorders>
            <w:shd w:val="clear" w:color="auto" w:fill="auto"/>
            <w:noWrap/>
            <w:vAlign w:val="bottom"/>
            <w:hideMark/>
          </w:tcPr>
          <w:p w14:paraId="505F52A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27,621 </w:t>
            </w:r>
          </w:p>
        </w:tc>
        <w:tc>
          <w:tcPr>
            <w:tcW w:w="787" w:type="dxa"/>
            <w:tcBorders>
              <w:top w:val="nil"/>
              <w:left w:val="nil"/>
              <w:bottom w:val="nil"/>
              <w:right w:val="single" w:sz="4" w:space="0" w:color="auto"/>
            </w:tcBorders>
            <w:shd w:val="clear" w:color="auto" w:fill="auto"/>
            <w:noWrap/>
            <w:vAlign w:val="bottom"/>
            <w:hideMark/>
          </w:tcPr>
          <w:p w14:paraId="73F3420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30,608 </w:t>
            </w:r>
          </w:p>
        </w:tc>
        <w:tc>
          <w:tcPr>
            <w:tcW w:w="787" w:type="dxa"/>
            <w:tcBorders>
              <w:top w:val="nil"/>
              <w:left w:val="nil"/>
              <w:bottom w:val="nil"/>
              <w:right w:val="nil"/>
            </w:tcBorders>
            <w:shd w:val="clear" w:color="auto" w:fill="auto"/>
            <w:noWrap/>
            <w:vAlign w:val="bottom"/>
            <w:hideMark/>
          </w:tcPr>
          <w:p w14:paraId="5638496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13,207 </w:t>
            </w:r>
          </w:p>
        </w:tc>
        <w:tc>
          <w:tcPr>
            <w:tcW w:w="781" w:type="dxa"/>
            <w:tcBorders>
              <w:top w:val="nil"/>
              <w:left w:val="nil"/>
              <w:bottom w:val="nil"/>
              <w:right w:val="nil"/>
            </w:tcBorders>
            <w:shd w:val="clear" w:color="auto" w:fill="auto"/>
            <w:noWrap/>
            <w:vAlign w:val="bottom"/>
            <w:hideMark/>
          </w:tcPr>
          <w:p w14:paraId="4864C5D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17,138 </w:t>
            </w:r>
          </w:p>
        </w:tc>
        <w:tc>
          <w:tcPr>
            <w:tcW w:w="781" w:type="dxa"/>
            <w:tcBorders>
              <w:top w:val="nil"/>
              <w:left w:val="nil"/>
              <w:bottom w:val="nil"/>
              <w:right w:val="nil"/>
            </w:tcBorders>
            <w:shd w:val="clear" w:color="auto" w:fill="auto"/>
            <w:noWrap/>
            <w:vAlign w:val="bottom"/>
            <w:hideMark/>
          </w:tcPr>
          <w:p w14:paraId="5D079A2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19,507 </w:t>
            </w:r>
          </w:p>
        </w:tc>
        <w:tc>
          <w:tcPr>
            <w:tcW w:w="787" w:type="dxa"/>
            <w:tcBorders>
              <w:top w:val="nil"/>
              <w:left w:val="nil"/>
              <w:bottom w:val="nil"/>
              <w:right w:val="single" w:sz="4" w:space="0" w:color="auto"/>
            </w:tcBorders>
            <w:shd w:val="clear" w:color="auto" w:fill="auto"/>
            <w:noWrap/>
            <w:vAlign w:val="bottom"/>
            <w:hideMark/>
          </w:tcPr>
          <w:p w14:paraId="07B0E4F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22,153 </w:t>
            </w:r>
          </w:p>
        </w:tc>
      </w:tr>
      <w:tr w:rsidR="00510EA5" w:rsidRPr="00477D8F" w14:paraId="09AD4546" w14:textId="77777777" w:rsidTr="00510EA5">
        <w:trPr>
          <w:trHeight w:val="290"/>
        </w:trPr>
        <w:tc>
          <w:tcPr>
            <w:tcW w:w="936" w:type="dxa"/>
            <w:vMerge/>
            <w:tcBorders>
              <w:top w:val="nil"/>
              <w:left w:val="single" w:sz="4" w:space="0" w:color="auto"/>
              <w:bottom w:val="single" w:sz="4" w:space="0" w:color="000000"/>
              <w:right w:val="nil"/>
            </w:tcBorders>
            <w:vAlign w:val="center"/>
            <w:hideMark/>
          </w:tcPr>
          <w:p w14:paraId="7C7F0740"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30461A9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Lower Secondary</w:t>
            </w:r>
          </w:p>
        </w:tc>
        <w:tc>
          <w:tcPr>
            <w:tcW w:w="787" w:type="dxa"/>
            <w:tcBorders>
              <w:top w:val="nil"/>
              <w:left w:val="single" w:sz="4" w:space="0" w:color="auto"/>
              <w:bottom w:val="nil"/>
              <w:right w:val="nil"/>
            </w:tcBorders>
            <w:shd w:val="clear" w:color="auto" w:fill="auto"/>
            <w:noWrap/>
            <w:vAlign w:val="bottom"/>
            <w:hideMark/>
          </w:tcPr>
          <w:p w14:paraId="0C76BB8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9,566 </w:t>
            </w:r>
          </w:p>
        </w:tc>
        <w:tc>
          <w:tcPr>
            <w:tcW w:w="781" w:type="dxa"/>
            <w:tcBorders>
              <w:top w:val="nil"/>
              <w:left w:val="nil"/>
              <w:bottom w:val="nil"/>
              <w:right w:val="nil"/>
            </w:tcBorders>
            <w:shd w:val="clear" w:color="auto" w:fill="auto"/>
            <w:noWrap/>
            <w:vAlign w:val="bottom"/>
            <w:hideMark/>
          </w:tcPr>
          <w:p w14:paraId="42058F2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10,198 </w:t>
            </w:r>
          </w:p>
        </w:tc>
        <w:tc>
          <w:tcPr>
            <w:tcW w:w="781" w:type="dxa"/>
            <w:tcBorders>
              <w:top w:val="nil"/>
              <w:left w:val="nil"/>
              <w:bottom w:val="nil"/>
              <w:right w:val="nil"/>
            </w:tcBorders>
            <w:shd w:val="clear" w:color="auto" w:fill="auto"/>
            <w:noWrap/>
            <w:vAlign w:val="bottom"/>
            <w:hideMark/>
          </w:tcPr>
          <w:p w14:paraId="6A52765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14,068 </w:t>
            </w:r>
          </w:p>
        </w:tc>
        <w:tc>
          <w:tcPr>
            <w:tcW w:w="787" w:type="dxa"/>
            <w:tcBorders>
              <w:top w:val="nil"/>
              <w:left w:val="nil"/>
              <w:bottom w:val="nil"/>
              <w:right w:val="single" w:sz="4" w:space="0" w:color="auto"/>
            </w:tcBorders>
            <w:shd w:val="clear" w:color="auto" w:fill="auto"/>
            <w:noWrap/>
            <w:vAlign w:val="bottom"/>
            <w:hideMark/>
          </w:tcPr>
          <w:p w14:paraId="7893660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16,375 </w:t>
            </w:r>
          </w:p>
        </w:tc>
        <w:tc>
          <w:tcPr>
            <w:tcW w:w="787" w:type="dxa"/>
            <w:tcBorders>
              <w:top w:val="nil"/>
              <w:left w:val="nil"/>
              <w:bottom w:val="nil"/>
              <w:right w:val="nil"/>
            </w:tcBorders>
            <w:shd w:val="clear" w:color="auto" w:fill="auto"/>
            <w:noWrap/>
            <w:vAlign w:val="bottom"/>
            <w:hideMark/>
          </w:tcPr>
          <w:p w14:paraId="49BF47F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6,981 </w:t>
            </w:r>
          </w:p>
        </w:tc>
        <w:tc>
          <w:tcPr>
            <w:tcW w:w="781" w:type="dxa"/>
            <w:tcBorders>
              <w:top w:val="nil"/>
              <w:left w:val="nil"/>
              <w:bottom w:val="nil"/>
              <w:right w:val="nil"/>
            </w:tcBorders>
            <w:shd w:val="clear" w:color="auto" w:fill="auto"/>
            <w:noWrap/>
            <w:vAlign w:val="bottom"/>
            <w:hideMark/>
          </w:tcPr>
          <w:p w14:paraId="4A385B3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7,421 </w:t>
            </w:r>
          </w:p>
        </w:tc>
        <w:tc>
          <w:tcPr>
            <w:tcW w:w="781" w:type="dxa"/>
            <w:tcBorders>
              <w:top w:val="nil"/>
              <w:left w:val="nil"/>
              <w:bottom w:val="nil"/>
              <w:right w:val="nil"/>
            </w:tcBorders>
            <w:shd w:val="clear" w:color="auto" w:fill="auto"/>
            <w:noWrap/>
            <w:vAlign w:val="bottom"/>
            <w:hideMark/>
          </w:tcPr>
          <w:p w14:paraId="6F11402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9,935 </w:t>
            </w:r>
          </w:p>
        </w:tc>
        <w:tc>
          <w:tcPr>
            <w:tcW w:w="787" w:type="dxa"/>
            <w:tcBorders>
              <w:top w:val="nil"/>
              <w:left w:val="nil"/>
              <w:bottom w:val="nil"/>
              <w:right w:val="single" w:sz="4" w:space="0" w:color="auto"/>
            </w:tcBorders>
            <w:shd w:val="clear" w:color="auto" w:fill="auto"/>
            <w:noWrap/>
            <w:vAlign w:val="bottom"/>
            <w:hideMark/>
          </w:tcPr>
          <w:p w14:paraId="03D7D25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11,851 </w:t>
            </w:r>
          </w:p>
        </w:tc>
      </w:tr>
      <w:tr w:rsidR="00510EA5" w:rsidRPr="00477D8F" w14:paraId="4D894C1B" w14:textId="77777777" w:rsidTr="00510EA5">
        <w:trPr>
          <w:trHeight w:val="290"/>
        </w:trPr>
        <w:tc>
          <w:tcPr>
            <w:tcW w:w="936" w:type="dxa"/>
            <w:vMerge/>
            <w:tcBorders>
              <w:top w:val="nil"/>
              <w:left w:val="single" w:sz="4" w:space="0" w:color="auto"/>
              <w:bottom w:val="single" w:sz="4" w:space="0" w:color="000000"/>
              <w:right w:val="nil"/>
            </w:tcBorders>
            <w:vAlign w:val="center"/>
            <w:hideMark/>
          </w:tcPr>
          <w:p w14:paraId="574756F6"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66DFEE9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Senior secondary</w:t>
            </w:r>
          </w:p>
        </w:tc>
        <w:tc>
          <w:tcPr>
            <w:tcW w:w="787" w:type="dxa"/>
            <w:tcBorders>
              <w:top w:val="nil"/>
              <w:left w:val="single" w:sz="4" w:space="0" w:color="auto"/>
              <w:bottom w:val="nil"/>
              <w:right w:val="nil"/>
            </w:tcBorders>
            <w:shd w:val="clear" w:color="auto" w:fill="auto"/>
            <w:noWrap/>
            <w:vAlign w:val="bottom"/>
            <w:hideMark/>
          </w:tcPr>
          <w:p w14:paraId="37D1CF4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4,547 </w:t>
            </w:r>
          </w:p>
        </w:tc>
        <w:tc>
          <w:tcPr>
            <w:tcW w:w="781" w:type="dxa"/>
            <w:tcBorders>
              <w:top w:val="nil"/>
              <w:left w:val="nil"/>
              <w:bottom w:val="nil"/>
              <w:right w:val="nil"/>
            </w:tcBorders>
            <w:shd w:val="clear" w:color="auto" w:fill="auto"/>
            <w:noWrap/>
            <w:vAlign w:val="bottom"/>
            <w:hideMark/>
          </w:tcPr>
          <w:p w14:paraId="070ACE1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4,587 </w:t>
            </w:r>
          </w:p>
        </w:tc>
        <w:tc>
          <w:tcPr>
            <w:tcW w:w="781" w:type="dxa"/>
            <w:tcBorders>
              <w:top w:val="nil"/>
              <w:left w:val="nil"/>
              <w:bottom w:val="nil"/>
              <w:right w:val="nil"/>
            </w:tcBorders>
            <w:shd w:val="clear" w:color="auto" w:fill="auto"/>
            <w:noWrap/>
            <w:vAlign w:val="bottom"/>
            <w:hideMark/>
          </w:tcPr>
          <w:p w14:paraId="4491DBC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5,430 </w:t>
            </w:r>
          </w:p>
        </w:tc>
        <w:tc>
          <w:tcPr>
            <w:tcW w:w="787" w:type="dxa"/>
            <w:tcBorders>
              <w:top w:val="nil"/>
              <w:left w:val="nil"/>
              <w:bottom w:val="nil"/>
              <w:right w:val="single" w:sz="4" w:space="0" w:color="auto"/>
            </w:tcBorders>
            <w:shd w:val="clear" w:color="auto" w:fill="auto"/>
            <w:noWrap/>
            <w:vAlign w:val="bottom"/>
            <w:hideMark/>
          </w:tcPr>
          <w:p w14:paraId="2AA9C97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7,284 </w:t>
            </w:r>
          </w:p>
        </w:tc>
        <w:tc>
          <w:tcPr>
            <w:tcW w:w="787" w:type="dxa"/>
            <w:tcBorders>
              <w:top w:val="nil"/>
              <w:left w:val="nil"/>
              <w:bottom w:val="nil"/>
              <w:right w:val="nil"/>
            </w:tcBorders>
            <w:shd w:val="clear" w:color="auto" w:fill="auto"/>
            <w:noWrap/>
            <w:vAlign w:val="bottom"/>
            <w:hideMark/>
          </w:tcPr>
          <w:p w14:paraId="4EA3E34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3,318 </w:t>
            </w:r>
          </w:p>
        </w:tc>
        <w:tc>
          <w:tcPr>
            <w:tcW w:w="781" w:type="dxa"/>
            <w:tcBorders>
              <w:top w:val="nil"/>
              <w:left w:val="nil"/>
              <w:bottom w:val="nil"/>
              <w:right w:val="nil"/>
            </w:tcBorders>
            <w:shd w:val="clear" w:color="auto" w:fill="auto"/>
            <w:noWrap/>
            <w:vAlign w:val="bottom"/>
            <w:hideMark/>
          </w:tcPr>
          <w:p w14:paraId="0053FCD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3,338 </w:t>
            </w:r>
          </w:p>
        </w:tc>
        <w:tc>
          <w:tcPr>
            <w:tcW w:w="781" w:type="dxa"/>
            <w:tcBorders>
              <w:top w:val="nil"/>
              <w:left w:val="nil"/>
              <w:bottom w:val="nil"/>
              <w:right w:val="nil"/>
            </w:tcBorders>
            <w:shd w:val="clear" w:color="auto" w:fill="auto"/>
            <w:noWrap/>
            <w:vAlign w:val="bottom"/>
            <w:hideMark/>
          </w:tcPr>
          <w:p w14:paraId="3117348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3,835 </w:t>
            </w:r>
          </w:p>
        </w:tc>
        <w:tc>
          <w:tcPr>
            <w:tcW w:w="787" w:type="dxa"/>
            <w:tcBorders>
              <w:top w:val="nil"/>
              <w:left w:val="nil"/>
              <w:bottom w:val="nil"/>
              <w:right w:val="single" w:sz="4" w:space="0" w:color="auto"/>
            </w:tcBorders>
            <w:shd w:val="clear" w:color="auto" w:fill="auto"/>
            <w:noWrap/>
            <w:vAlign w:val="bottom"/>
            <w:hideMark/>
          </w:tcPr>
          <w:p w14:paraId="6246B48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5,272 </w:t>
            </w:r>
          </w:p>
        </w:tc>
      </w:tr>
      <w:tr w:rsidR="00510EA5" w:rsidRPr="00477D8F" w14:paraId="029A3A67" w14:textId="77777777" w:rsidTr="00510EA5">
        <w:trPr>
          <w:trHeight w:val="290"/>
        </w:trPr>
        <w:tc>
          <w:tcPr>
            <w:tcW w:w="936" w:type="dxa"/>
            <w:vMerge/>
            <w:tcBorders>
              <w:top w:val="nil"/>
              <w:left w:val="single" w:sz="4" w:space="0" w:color="auto"/>
              <w:bottom w:val="single" w:sz="4" w:space="0" w:color="000000"/>
              <w:right w:val="nil"/>
            </w:tcBorders>
            <w:vAlign w:val="center"/>
            <w:hideMark/>
          </w:tcPr>
          <w:p w14:paraId="27397B35"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nil"/>
              <w:right w:val="nil"/>
            </w:tcBorders>
            <w:shd w:val="clear" w:color="auto" w:fill="auto"/>
            <w:noWrap/>
            <w:vAlign w:val="bottom"/>
            <w:hideMark/>
          </w:tcPr>
          <w:p w14:paraId="63385A1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Higher Education</w:t>
            </w:r>
          </w:p>
        </w:tc>
        <w:tc>
          <w:tcPr>
            <w:tcW w:w="787" w:type="dxa"/>
            <w:tcBorders>
              <w:top w:val="nil"/>
              <w:left w:val="single" w:sz="4" w:space="0" w:color="auto"/>
              <w:bottom w:val="nil"/>
              <w:right w:val="nil"/>
            </w:tcBorders>
            <w:shd w:val="clear" w:color="auto" w:fill="auto"/>
            <w:noWrap/>
            <w:vAlign w:val="bottom"/>
            <w:hideMark/>
          </w:tcPr>
          <w:p w14:paraId="03E5539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4,779 </w:t>
            </w:r>
          </w:p>
        </w:tc>
        <w:tc>
          <w:tcPr>
            <w:tcW w:w="781" w:type="dxa"/>
            <w:tcBorders>
              <w:top w:val="nil"/>
              <w:left w:val="nil"/>
              <w:bottom w:val="nil"/>
              <w:right w:val="nil"/>
            </w:tcBorders>
            <w:shd w:val="clear" w:color="auto" w:fill="auto"/>
            <w:noWrap/>
            <w:vAlign w:val="bottom"/>
            <w:hideMark/>
          </w:tcPr>
          <w:p w14:paraId="0FC5826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5,682 </w:t>
            </w:r>
          </w:p>
        </w:tc>
        <w:tc>
          <w:tcPr>
            <w:tcW w:w="781" w:type="dxa"/>
            <w:tcBorders>
              <w:top w:val="nil"/>
              <w:left w:val="nil"/>
              <w:bottom w:val="nil"/>
              <w:right w:val="nil"/>
            </w:tcBorders>
            <w:shd w:val="clear" w:color="auto" w:fill="auto"/>
            <w:noWrap/>
            <w:vAlign w:val="bottom"/>
            <w:hideMark/>
          </w:tcPr>
          <w:p w14:paraId="2728977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6,756 </w:t>
            </w:r>
          </w:p>
        </w:tc>
        <w:tc>
          <w:tcPr>
            <w:tcW w:w="787" w:type="dxa"/>
            <w:tcBorders>
              <w:top w:val="nil"/>
              <w:left w:val="nil"/>
              <w:bottom w:val="nil"/>
              <w:right w:val="single" w:sz="4" w:space="0" w:color="auto"/>
            </w:tcBorders>
            <w:shd w:val="clear" w:color="auto" w:fill="auto"/>
            <w:noWrap/>
            <w:vAlign w:val="bottom"/>
            <w:hideMark/>
          </w:tcPr>
          <w:p w14:paraId="5B4869B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8,033 </w:t>
            </w:r>
          </w:p>
        </w:tc>
        <w:tc>
          <w:tcPr>
            <w:tcW w:w="787" w:type="dxa"/>
            <w:tcBorders>
              <w:top w:val="nil"/>
              <w:left w:val="nil"/>
              <w:bottom w:val="nil"/>
              <w:right w:val="nil"/>
            </w:tcBorders>
            <w:shd w:val="clear" w:color="auto" w:fill="auto"/>
            <w:noWrap/>
            <w:vAlign w:val="bottom"/>
            <w:hideMark/>
          </w:tcPr>
          <w:p w14:paraId="040D042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3,488 </w:t>
            </w:r>
          </w:p>
        </w:tc>
        <w:tc>
          <w:tcPr>
            <w:tcW w:w="781" w:type="dxa"/>
            <w:tcBorders>
              <w:top w:val="nil"/>
              <w:left w:val="nil"/>
              <w:bottom w:val="nil"/>
              <w:right w:val="nil"/>
            </w:tcBorders>
            <w:shd w:val="clear" w:color="auto" w:fill="auto"/>
            <w:noWrap/>
            <w:vAlign w:val="bottom"/>
            <w:hideMark/>
          </w:tcPr>
          <w:p w14:paraId="0265F2A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4,135 </w:t>
            </w:r>
          </w:p>
        </w:tc>
        <w:tc>
          <w:tcPr>
            <w:tcW w:w="781" w:type="dxa"/>
            <w:tcBorders>
              <w:top w:val="nil"/>
              <w:left w:val="nil"/>
              <w:bottom w:val="nil"/>
              <w:right w:val="nil"/>
            </w:tcBorders>
            <w:shd w:val="clear" w:color="auto" w:fill="auto"/>
            <w:noWrap/>
            <w:vAlign w:val="bottom"/>
            <w:hideMark/>
          </w:tcPr>
          <w:p w14:paraId="1C1A2B3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4,771 </w:t>
            </w:r>
          </w:p>
        </w:tc>
        <w:tc>
          <w:tcPr>
            <w:tcW w:w="787" w:type="dxa"/>
            <w:tcBorders>
              <w:top w:val="nil"/>
              <w:left w:val="nil"/>
              <w:bottom w:val="nil"/>
              <w:right w:val="single" w:sz="4" w:space="0" w:color="auto"/>
            </w:tcBorders>
            <w:shd w:val="clear" w:color="auto" w:fill="auto"/>
            <w:noWrap/>
            <w:vAlign w:val="bottom"/>
            <w:hideMark/>
          </w:tcPr>
          <w:p w14:paraId="32F881D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5,814 </w:t>
            </w:r>
          </w:p>
        </w:tc>
      </w:tr>
      <w:tr w:rsidR="00510EA5" w:rsidRPr="00477D8F" w14:paraId="591E4A8C" w14:textId="77777777" w:rsidTr="00510EA5">
        <w:trPr>
          <w:trHeight w:val="290"/>
        </w:trPr>
        <w:tc>
          <w:tcPr>
            <w:tcW w:w="936" w:type="dxa"/>
            <w:vMerge/>
            <w:tcBorders>
              <w:top w:val="nil"/>
              <w:left w:val="single" w:sz="4" w:space="0" w:color="auto"/>
              <w:bottom w:val="single" w:sz="4" w:space="0" w:color="000000"/>
              <w:right w:val="nil"/>
            </w:tcBorders>
            <w:vAlign w:val="center"/>
            <w:hideMark/>
          </w:tcPr>
          <w:p w14:paraId="71BF295A"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36" w:type="dxa"/>
            <w:tcBorders>
              <w:top w:val="nil"/>
              <w:left w:val="nil"/>
              <w:bottom w:val="single" w:sz="4" w:space="0" w:color="auto"/>
              <w:right w:val="nil"/>
            </w:tcBorders>
            <w:shd w:val="clear" w:color="auto" w:fill="auto"/>
            <w:noWrap/>
            <w:vAlign w:val="bottom"/>
            <w:hideMark/>
          </w:tcPr>
          <w:p w14:paraId="4DA25AC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Total</w:t>
            </w:r>
          </w:p>
        </w:tc>
        <w:tc>
          <w:tcPr>
            <w:tcW w:w="787" w:type="dxa"/>
            <w:tcBorders>
              <w:top w:val="nil"/>
              <w:left w:val="single" w:sz="4" w:space="0" w:color="auto"/>
              <w:bottom w:val="single" w:sz="4" w:space="0" w:color="auto"/>
              <w:right w:val="nil"/>
            </w:tcBorders>
            <w:shd w:val="clear" w:color="auto" w:fill="auto"/>
            <w:noWrap/>
            <w:vAlign w:val="bottom"/>
            <w:hideMark/>
          </w:tcPr>
          <w:p w14:paraId="6881899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38,716 </w:t>
            </w:r>
          </w:p>
        </w:tc>
        <w:tc>
          <w:tcPr>
            <w:tcW w:w="781" w:type="dxa"/>
            <w:tcBorders>
              <w:top w:val="nil"/>
              <w:left w:val="nil"/>
              <w:bottom w:val="single" w:sz="4" w:space="0" w:color="auto"/>
              <w:right w:val="nil"/>
            </w:tcBorders>
            <w:shd w:val="clear" w:color="auto" w:fill="auto"/>
            <w:noWrap/>
            <w:vAlign w:val="bottom"/>
            <w:hideMark/>
          </w:tcPr>
          <w:p w14:paraId="4C88450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45,979 </w:t>
            </w:r>
          </w:p>
        </w:tc>
        <w:tc>
          <w:tcPr>
            <w:tcW w:w="781" w:type="dxa"/>
            <w:tcBorders>
              <w:top w:val="nil"/>
              <w:left w:val="nil"/>
              <w:bottom w:val="single" w:sz="4" w:space="0" w:color="auto"/>
              <w:right w:val="nil"/>
            </w:tcBorders>
            <w:shd w:val="clear" w:color="auto" w:fill="auto"/>
            <w:noWrap/>
            <w:vAlign w:val="bottom"/>
            <w:hideMark/>
          </w:tcPr>
          <w:p w14:paraId="22CC782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56,105 </w:t>
            </w:r>
          </w:p>
        </w:tc>
        <w:tc>
          <w:tcPr>
            <w:tcW w:w="787" w:type="dxa"/>
            <w:tcBorders>
              <w:top w:val="nil"/>
              <w:left w:val="nil"/>
              <w:bottom w:val="single" w:sz="4" w:space="0" w:color="auto"/>
              <w:right w:val="single" w:sz="4" w:space="0" w:color="auto"/>
            </w:tcBorders>
            <w:shd w:val="clear" w:color="auto" w:fill="auto"/>
            <w:noWrap/>
            <w:vAlign w:val="bottom"/>
            <w:hideMark/>
          </w:tcPr>
          <w:p w14:paraId="192A57D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64,834 </w:t>
            </w:r>
          </w:p>
        </w:tc>
        <w:tc>
          <w:tcPr>
            <w:tcW w:w="787" w:type="dxa"/>
            <w:tcBorders>
              <w:top w:val="nil"/>
              <w:left w:val="nil"/>
              <w:bottom w:val="single" w:sz="4" w:space="0" w:color="auto"/>
              <w:right w:val="nil"/>
            </w:tcBorders>
            <w:shd w:val="clear" w:color="auto" w:fill="auto"/>
            <w:noWrap/>
            <w:vAlign w:val="bottom"/>
            <w:hideMark/>
          </w:tcPr>
          <w:p w14:paraId="0879C87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28,253 </w:t>
            </w:r>
          </w:p>
        </w:tc>
        <w:tc>
          <w:tcPr>
            <w:tcW w:w="781" w:type="dxa"/>
            <w:tcBorders>
              <w:top w:val="nil"/>
              <w:left w:val="nil"/>
              <w:bottom w:val="single" w:sz="4" w:space="0" w:color="auto"/>
              <w:right w:val="nil"/>
            </w:tcBorders>
            <w:shd w:val="clear" w:color="auto" w:fill="auto"/>
            <w:noWrap/>
            <w:vAlign w:val="bottom"/>
            <w:hideMark/>
          </w:tcPr>
          <w:p w14:paraId="430CA83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33,459 </w:t>
            </w:r>
          </w:p>
        </w:tc>
        <w:tc>
          <w:tcPr>
            <w:tcW w:w="781" w:type="dxa"/>
            <w:tcBorders>
              <w:top w:val="nil"/>
              <w:left w:val="nil"/>
              <w:bottom w:val="single" w:sz="4" w:space="0" w:color="auto"/>
              <w:right w:val="nil"/>
            </w:tcBorders>
            <w:shd w:val="clear" w:color="auto" w:fill="auto"/>
            <w:noWrap/>
            <w:vAlign w:val="bottom"/>
            <w:hideMark/>
          </w:tcPr>
          <w:p w14:paraId="579E332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39,624 </w:t>
            </w:r>
          </w:p>
        </w:tc>
        <w:tc>
          <w:tcPr>
            <w:tcW w:w="787" w:type="dxa"/>
            <w:tcBorders>
              <w:top w:val="nil"/>
              <w:left w:val="nil"/>
              <w:bottom w:val="single" w:sz="4" w:space="0" w:color="auto"/>
              <w:right w:val="single" w:sz="4" w:space="0" w:color="auto"/>
            </w:tcBorders>
            <w:shd w:val="clear" w:color="auto" w:fill="auto"/>
            <w:noWrap/>
            <w:vAlign w:val="bottom"/>
            <w:hideMark/>
          </w:tcPr>
          <w:p w14:paraId="6B1D2B9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46,924 </w:t>
            </w:r>
          </w:p>
        </w:tc>
      </w:tr>
    </w:tbl>
    <w:p w14:paraId="29CA2CD0" w14:textId="5A849D89" w:rsidR="00510EA5" w:rsidRPr="00477D8F" w:rsidRDefault="00510EA5" w:rsidP="00480421">
      <w:pPr>
        <w:jc w:val="both"/>
        <w:rPr>
          <w:rFonts w:ascii="Sylfaen" w:eastAsiaTheme="majorEastAsia" w:hAnsi="Sylfaen" w:cstheme="majorBidi"/>
          <w:bCs/>
        </w:rPr>
      </w:pPr>
    </w:p>
    <w:p w14:paraId="2C9C68E3" w14:textId="3BFF269C" w:rsidR="00510EA5" w:rsidRPr="00477D8F" w:rsidRDefault="00510EA5" w:rsidP="00480421">
      <w:pPr>
        <w:jc w:val="both"/>
        <w:rPr>
          <w:rFonts w:ascii="Sylfaen" w:eastAsiaTheme="majorEastAsia" w:hAnsi="Sylfaen" w:cstheme="majorBidi"/>
          <w:bCs/>
        </w:rPr>
      </w:pPr>
    </w:p>
    <w:p w14:paraId="4678F687" w14:textId="4116928B" w:rsidR="00510EA5" w:rsidRPr="00477D8F" w:rsidRDefault="00510EA5" w:rsidP="00480421">
      <w:pPr>
        <w:jc w:val="both"/>
        <w:rPr>
          <w:rFonts w:ascii="Sylfaen" w:eastAsiaTheme="majorEastAsia" w:hAnsi="Sylfaen" w:cstheme="majorBidi"/>
          <w:bCs/>
        </w:rPr>
      </w:pPr>
    </w:p>
    <w:p w14:paraId="1A00B018" w14:textId="3E4C61BE" w:rsidR="00510EA5" w:rsidRPr="00477D8F" w:rsidRDefault="00510EA5" w:rsidP="00480421">
      <w:pPr>
        <w:jc w:val="both"/>
        <w:rPr>
          <w:rFonts w:ascii="Sylfaen" w:eastAsiaTheme="majorEastAsia" w:hAnsi="Sylfaen" w:cstheme="majorBidi"/>
          <w:bCs/>
        </w:rPr>
      </w:pPr>
    </w:p>
    <w:p w14:paraId="134E8C6B" w14:textId="5E612D7F" w:rsidR="00510EA5" w:rsidRPr="00477D8F" w:rsidRDefault="00510EA5" w:rsidP="00480421">
      <w:pPr>
        <w:jc w:val="both"/>
        <w:rPr>
          <w:rFonts w:ascii="Sylfaen" w:eastAsiaTheme="majorEastAsia" w:hAnsi="Sylfaen" w:cstheme="majorBidi"/>
          <w:bCs/>
        </w:rPr>
      </w:pPr>
    </w:p>
    <w:p w14:paraId="511B5BA5" w14:textId="7404D006" w:rsidR="00510EA5" w:rsidRPr="00477D8F" w:rsidRDefault="00510EA5" w:rsidP="00480421">
      <w:pPr>
        <w:jc w:val="both"/>
        <w:rPr>
          <w:rFonts w:ascii="Sylfaen" w:eastAsiaTheme="majorEastAsia" w:hAnsi="Sylfaen" w:cstheme="majorBidi"/>
          <w:bCs/>
        </w:rPr>
      </w:pPr>
    </w:p>
    <w:p w14:paraId="77AD600D" w14:textId="7A0596D0" w:rsidR="00510EA5" w:rsidRPr="00477D8F" w:rsidRDefault="00510EA5" w:rsidP="00480421">
      <w:pPr>
        <w:jc w:val="both"/>
        <w:rPr>
          <w:rFonts w:ascii="Sylfaen" w:eastAsiaTheme="majorEastAsia" w:hAnsi="Sylfaen" w:cstheme="majorBidi"/>
          <w:bCs/>
        </w:rPr>
      </w:pPr>
    </w:p>
    <w:p w14:paraId="4377A246" w14:textId="2D27DC81" w:rsidR="00510EA5" w:rsidRPr="00477D8F" w:rsidRDefault="00510EA5" w:rsidP="00480421">
      <w:pPr>
        <w:jc w:val="both"/>
        <w:rPr>
          <w:rFonts w:ascii="Sylfaen" w:eastAsiaTheme="majorEastAsia" w:hAnsi="Sylfaen" w:cstheme="majorBidi"/>
          <w:bCs/>
        </w:rPr>
      </w:pPr>
    </w:p>
    <w:p w14:paraId="6D43014D" w14:textId="71F06741" w:rsidR="00510EA5" w:rsidRPr="00477D8F" w:rsidRDefault="00510EA5" w:rsidP="00480421">
      <w:pPr>
        <w:jc w:val="both"/>
        <w:rPr>
          <w:rFonts w:ascii="Sylfaen" w:eastAsiaTheme="majorEastAsia" w:hAnsi="Sylfaen" w:cstheme="majorBidi"/>
          <w:bCs/>
        </w:rPr>
      </w:pPr>
    </w:p>
    <w:p w14:paraId="2EB61F00" w14:textId="328DCF74" w:rsidR="00510EA5" w:rsidRPr="00477D8F" w:rsidRDefault="00510EA5" w:rsidP="00480421">
      <w:pPr>
        <w:jc w:val="both"/>
        <w:rPr>
          <w:rFonts w:ascii="Sylfaen" w:eastAsiaTheme="majorEastAsia" w:hAnsi="Sylfaen" w:cstheme="majorBidi"/>
          <w:bCs/>
        </w:rPr>
      </w:pPr>
    </w:p>
    <w:p w14:paraId="11E52D9B" w14:textId="380F95AE" w:rsidR="00510EA5" w:rsidRPr="00477D8F" w:rsidRDefault="00510EA5" w:rsidP="00480421">
      <w:pPr>
        <w:jc w:val="both"/>
        <w:rPr>
          <w:rFonts w:ascii="Sylfaen" w:eastAsiaTheme="majorEastAsia" w:hAnsi="Sylfaen" w:cstheme="majorBidi"/>
          <w:bCs/>
        </w:rPr>
      </w:pPr>
    </w:p>
    <w:p w14:paraId="456387ED" w14:textId="36C7D8EB" w:rsidR="00510EA5" w:rsidRPr="00477D8F" w:rsidRDefault="00510EA5" w:rsidP="006365B5">
      <w:pPr>
        <w:pStyle w:val="Caption1"/>
      </w:pPr>
      <w:r w:rsidRPr="00477D8F">
        <w:lastRenderedPageBreak/>
        <w:t>Table B</w:t>
      </w:r>
      <w:r w:rsidRPr="00477D8F">
        <w:fldChar w:fldCharType="begin"/>
      </w:r>
      <w:r w:rsidRPr="00477D8F">
        <w:instrText xml:space="preserve"> SEQ Table_B \* ARABIC </w:instrText>
      </w:r>
      <w:r w:rsidRPr="00477D8F">
        <w:fldChar w:fldCharType="separate"/>
      </w:r>
      <w:r w:rsidRPr="00477D8F">
        <w:rPr>
          <w:noProof/>
        </w:rPr>
        <w:t>5</w:t>
      </w:r>
      <w:r w:rsidRPr="00477D8F">
        <w:rPr>
          <w:noProof/>
        </w:rPr>
        <w:fldChar w:fldCharType="end"/>
      </w:r>
      <w:r w:rsidRPr="00477D8F">
        <w:t xml:space="preserve">: </w:t>
      </w:r>
      <w:r w:rsidR="006365B5" w:rsidRPr="00477D8F">
        <w:t>Projection of education funds expected from development partners and financing gap(US$, thousands), 2015-2030</w:t>
      </w:r>
    </w:p>
    <w:tbl>
      <w:tblPr>
        <w:tblW w:w="9012" w:type="dxa"/>
        <w:tblLook w:val="04A0" w:firstRow="1" w:lastRow="0" w:firstColumn="1" w:lastColumn="0" w:noHBand="0" w:noVBand="1"/>
      </w:tblPr>
      <w:tblGrid>
        <w:gridCol w:w="928"/>
        <w:gridCol w:w="1828"/>
        <w:gridCol w:w="778"/>
        <w:gridCol w:w="772"/>
        <w:gridCol w:w="786"/>
        <w:gridCol w:w="792"/>
        <w:gridCol w:w="778"/>
        <w:gridCol w:w="772"/>
        <w:gridCol w:w="786"/>
        <w:gridCol w:w="792"/>
      </w:tblGrid>
      <w:tr w:rsidR="00510EA5" w:rsidRPr="00477D8F" w14:paraId="6C9DC9E5" w14:textId="77777777" w:rsidTr="00510EA5">
        <w:trPr>
          <w:trHeight w:val="290"/>
        </w:trPr>
        <w:tc>
          <w:tcPr>
            <w:tcW w:w="928" w:type="dxa"/>
            <w:tcBorders>
              <w:top w:val="single" w:sz="4" w:space="0" w:color="auto"/>
              <w:left w:val="single" w:sz="4" w:space="0" w:color="auto"/>
              <w:bottom w:val="nil"/>
              <w:right w:val="nil"/>
            </w:tcBorders>
            <w:shd w:val="clear" w:color="auto" w:fill="auto"/>
            <w:noWrap/>
            <w:vAlign w:val="bottom"/>
            <w:hideMark/>
          </w:tcPr>
          <w:p w14:paraId="7AE4010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1828" w:type="dxa"/>
            <w:tcBorders>
              <w:top w:val="single" w:sz="4" w:space="0" w:color="auto"/>
              <w:left w:val="nil"/>
              <w:bottom w:val="nil"/>
              <w:right w:val="nil"/>
            </w:tcBorders>
            <w:shd w:val="clear" w:color="auto" w:fill="auto"/>
            <w:noWrap/>
            <w:vAlign w:val="bottom"/>
            <w:hideMark/>
          </w:tcPr>
          <w:p w14:paraId="1807AD2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3128"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98A7BB8" w14:textId="77777777" w:rsidR="00510EA5" w:rsidRPr="00477D8F" w:rsidRDefault="00510EA5" w:rsidP="00510EA5">
            <w:pPr>
              <w:spacing w:after="0" w:line="240" w:lineRule="auto"/>
              <w:jc w:val="center"/>
              <w:rPr>
                <w:rFonts w:ascii="Calibri" w:eastAsia="Times New Roman" w:hAnsi="Calibri" w:cs="Calibri"/>
                <w:color w:val="000000"/>
                <w:sz w:val="18"/>
                <w:szCs w:val="18"/>
              </w:rPr>
            </w:pPr>
            <w:r w:rsidRPr="00477D8F">
              <w:rPr>
                <w:rFonts w:ascii="Calibri" w:eastAsia="Times New Roman" w:hAnsi="Calibri" w:cs="Calibri"/>
                <w:color w:val="000000"/>
                <w:sz w:val="18"/>
                <w:szCs w:val="18"/>
              </w:rPr>
              <w:t>Funds expected from development partners</w:t>
            </w:r>
          </w:p>
        </w:tc>
        <w:tc>
          <w:tcPr>
            <w:tcW w:w="3128"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0B937C8" w14:textId="77777777" w:rsidR="00510EA5" w:rsidRPr="00477D8F" w:rsidRDefault="00510EA5" w:rsidP="00510EA5">
            <w:pPr>
              <w:spacing w:after="0" w:line="240" w:lineRule="auto"/>
              <w:jc w:val="center"/>
              <w:rPr>
                <w:rFonts w:ascii="Calibri" w:eastAsia="Times New Roman" w:hAnsi="Calibri" w:cs="Calibri"/>
                <w:color w:val="000000"/>
                <w:sz w:val="18"/>
                <w:szCs w:val="18"/>
              </w:rPr>
            </w:pPr>
            <w:r w:rsidRPr="00477D8F">
              <w:rPr>
                <w:rFonts w:ascii="Calibri" w:eastAsia="Times New Roman" w:hAnsi="Calibri" w:cs="Calibri"/>
                <w:color w:val="000000"/>
                <w:sz w:val="18"/>
                <w:szCs w:val="18"/>
              </w:rPr>
              <w:t>Financing gap by level</w:t>
            </w:r>
          </w:p>
        </w:tc>
      </w:tr>
      <w:tr w:rsidR="00510EA5" w:rsidRPr="00477D8F" w14:paraId="66457DA0" w14:textId="77777777" w:rsidTr="00510EA5">
        <w:trPr>
          <w:trHeight w:val="290"/>
        </w:trPr>
        <w:tc>
          <w:tcPr>
            <w:tcW w:w="928" w:type="dxa"/>
            <w:tcBorders>
              <w:top w:val="single" w:sz="4" w:space="0" w:color="auto"/>
              <w:left w:val="single" w:sz="4" w:space="0" w:color="auto"/>
              <w:bottom w:val="single" w:sz="4" w:space="0" w:color="auto"/>
              <w:right w:val="nil"/>
            </w:tcBorders>
            <w:shd w:val="clear" w:color="auto" w:fill="auto"/>
            <w:noWrap/>
            <w:vAlign w:val="bottom"/>
            <w:hideMark/>
          </w:tcPr>
          <w:p w14:paraId="7C57590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Scenario</w:t>
            </w:r>
          </w:p>
        </w:tc>
        <w:tc>
          <w:tcPr>
            <w:tcW w:w="1828" w:type="dxa"/>
            <w:tcBorders>
              <w:top w:val="single" w:sz="4" w:space="0" w:color="auto"/>
              <w:left w:val="nil"/>
              <w:bottom w:val="single" w:sz="4" w:space="0" w:color="auto"/>
              <w:right w:val="nil"/>
            </w:tcBorders>
            <w:shd w:val="clear" w:color="auto" w:fill="auto"/>
            <w:noWrap/>
            <w:vAlign w:val="bottom"/>
            <w:hideMark/>
          </w:tcPr>
          <w:p w14:paraId="3DFECDF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Indicator</w:t>
            </w:r>
          </w:p>
        </w:tc>
        <w:tc>
          <w:tcPr>
            <w:tcW w:w="778" w:type="dxa"/>
            <w:tcBorders>
              <w:top w:val="nil"/>
              <w:left w:val="single" w:sz="4" w:space="0" w:color="auto"/>
              <w:bottom w:val="single" w:sz="4" w:space="0" w:color="auto"/>
              <w:right w:val="nil"/>
            </w:tcBorders>
            <w:shd w:val="clear" w:color="auto" w:fill="auto"/>
            <w:noWrap/>
            <w:vAlign w:val="bottom"/>
            <w:hideMark/>
          </w:tcPr>
          <w:p w14:paraId="73312D29"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2015</w:t>
            </w:r>
          </w:p>
        </w:tc>
        <w:tc>
          <w:tcPr>
            <w:tcW w:w="772" w:type="dxa"/>
            <w:tcBorders>
              <w:top w:val="nil"/>
              <w:left w:val="nil"/>
              <w:bottom w:val="single" w:sz="4" w:space="0" w:color="auto"/>
              <w:right w:val="nil"/>
            </w:tcBorders>
            <w:shd w:val="clear" w:color="auto" w:fill="auto"/>
            <w:noWrap/>
            <w:vAlign w:val="bottom"/>
            <w:hideMark/>
          </w:tcPr>
          <w:p w14:paraId="409E7E52"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2020</w:t>
            </w:r>
          </w:p>
        </w:tc>
        <w:tc>
          <w:tcPr>
            <w:tcW w:w="786" w:type="dxa"/>
            <w:tcBorders>
              <w:top w:val="nil"/>
              <w:left w:val="nil"/>
              <w:bottom w:val="single" w:sz="4" w:space="0" w:color="auto"/>
              <w:right w:val="nil"/>
            </w:tcBorders>
            <w:shd w:val="clear" w:color="auto" w:fill="auto"/>
            <w:noWrap/>
            <w:vAlign w:val="bottom"/>
            <w:hideMark/>
          </w:tcPr>
          <w:p w14:paraId="1B60F685"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2025</w:t>
            </w:r>
          </w:p>
        </w:tc>
        <w:tc>
          <w:tcPr>
            <w:tcW w:w="792" w:type="dxa"/>
            <w:tcBorders>
              <w:top w:val="nil"/>
              <w:left w:val="nil"/>
              <w:bottom w:val="single" w:sz="4" w:space="0" w:color="auto"/>
              <w:right w:val="single" w:sz="4" w:space="0" w:color="auto"/>
            </w:tcBorders>
            <w:shd w:val="clear" w:color="auto" w:fill="auto"/>
            <w:noWrap/>
            <w:vAlign w:val="bottom"/>
            <w:hideMark/>
          </w:tcPr>
          <w:p w14:paraId="71DE00EA"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2030</w:t>
            </w:r>
          </w:p>
        </w:tc>
        <w:tc>
          <w:tcPr>
            <w:tcW w:w="778" w:type="dxa"/>
            <w:tcBorders>
              <w:top w:val="nil"/>
              <w:left w:val="nil"/>
              <w:bottom w:val="single" w:sz="4" w:space="0" w:color="auto"/>
              <w:right w:val="nil"/>
            </w:tcBorders>
            <w:shd w:val="clear" w:color="auto" w:fill="auto"/>
            <w:noWrap/>
            <w:vAlign w:val="bottom"/>
            <w:hideMark/>
          </w:tcPr>
          <w:p w14:paraId="6CD5FE7A"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2015</w:t>
            </w:r>
          </w:p>
        </w:tc>
        <w:tc>
          <w:tcPr>
            <w:tcW w:w="772" w:type="dxa"/>
            <w:tcBorders>
              <w:top w:val="nil"/>
              <w:left w:val="nil"/>
              <w:bottom w:val="single" w:sz="4" w:space="0" w:color="auto"/>
              <w:right w:val="nil"/>
            </w:tcBorders>
            <w:shd w:val="clear" w:color="auto" w:fill="auto"/>
            <w:noWrap/>
            <w:vAlign w:val="bottom"/>
            <w:hideMark/>
          </w:tcPr>
          <w:p w14:paraId="689076B1"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2020</w:t>
            </w:r>
          </w:p>
        </w:tc>
        <w:tc>
          <w:tcPr>
            <w:tcW w:w="786" w:type="dxa"/>
            <w:tcBorders>
              <w:top w:val="nil"/>
              <w:left w:val="nil"/>
              <w:bottom w:val="single" w:sz="4" w:space="0" w:color="auto"/>
              <w:right w:val="nil"/>
            </w:tcBorders>
            <w:shd w:val="clear" w:color="auto" w:fill="auto"/>
            <w:noWrap/>
            <w:vAlign w:val="bottom"/>
            <w:hideMark/>
          </w:tcPr>
          <w:p w14:paraId="0926658E"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2025</w:t>
            </w:r>
          </w:p>
        </w:tc>
        <w:tc>
          <w:tcPr>
            <w:tcW w:w="792" w:type="dxa"/>
            <w:tcBorders>
              <w:top w:val="nil"/>
              <w:left w:val="nil"/>
              <w:bottom w:val="single" w:sz="4" w:space="0" w:color="auto"/>
              <w:right w:val="single" w:sz="4" w:space="0" w:color="auto"/>
            </w:tcBorders>
            <w:shd w:val="clear" w:color="auto" w:fill="auto"/>
            <w:noWrap/>
            <w:vAlign w:val="bottom"/>
            <w:hideMark/>
          </w:tcPr>
          <w:p w14:paraId="2112B8BA" w14:textId="77777777" w:rsidR="00510EA5" w:rsidRPr="00477D8F" w:rsidRDefault="00510EA5" w:rsidP="00510EA5">
            <w:pPr>
              <w:spacing w:after="0" w:line="240" w:lineRule="auto"/>
              <w:jc w:val="right"/>
              <w:rPr>
                <w:rFonts w:ascii="Calibri" w:eastAsia="Times New Roman" w:hAnsi="Calibri" w:cs="Calibri"/>
                <w:color w:val="000000"/>
                <w:sz w:val="18"/>
                <w:szCs w:val="18"/>
              </w:rPr>
            </w:pPr>
            <w:r w:rsidRPr="00477D8F">
              <w:rPr>
                <w:rFonts w:ascii="Calibri" w:eastAsia="Times New Roman" w:hAnsi="Calibri" w:cs="Calibri"/>
                <w:color w:val="000000"/>
                <w:sz w:val="18"/>
                <w:szCs w:val="18"/>
              </w:rPr>
              <w:t>2030</w:t>
            </w:r>
          </w:p>
        </w:tc>
      </w:tr>
      <w:tr w:rsidR="00510EA5" w:rsidRPr="00477D8F" w14:paraId="474FE530" w14:textId="77777777" w:rsidTr="00510EA5">
        <w:trPr>
          <w:trHeight w:val="290"/>
        </w:trPr>
        <w:tc>
          <w:tcPr>
            <w:tcW w:w="928" w:type="dxa"/>
            <w:vMerge w:val="restart"/>
            <w:tcBorders>
              <w:top w:val="nil"/>
              <w:left w:val="single" w:sz="4" w:space="0" w:color="auto"/>
              <w:bottom w:val="single" w:sz="4" w:space="0" w:color="000000"/>
              <w:right w:val="nil"/>
            </w:tcBorders>
            <w:shd w:val="clear" w:color="auto" w:fill="auto"/>
            <w:noWrap/>
            <w:hideMark/>
          </w:tcPr>
          <w:p w14:paraId="12F15CF6" w14:textId="77777777" w:rsidR="00510EA5" w:rsidRPr="00477D8F" w:rsidRDefault="00510EA5" w:rsidP="00510EA5">
            <w:pPr>
              <w:spacing w:after="0" w:line="240" w:lineRule="auto"/>
              <w:jc w:val="center"/>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High </w:t>
            </w:r>
          </w:p>
        </w:tc>
        <w:tc>
          <w:tcPr>
            <w:tcW w:w="1828" w:type="dxa"/>
            <w:tcBorders>
              <w:top w:val="nil"/>
              <w:left w:val="nil"/>
              <w:bottom w:val="nil"/>
              <w:right w:val="nil"/>
            </w:tcBorders>
            <w:shd w:val="clear" w:color="auto" w:fill="auto"/>
            <w:noWrap/>
            <w:vAlign w:val="bottom"/>
            <w:hideMark/>
          </w:tcPr>
          <w:p w14:paraId="50880A2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ECD</w:t>
            </w:r>
          </w:p>
        </w:tc>
        <w:tc>
          <w:tcPr>
            <w:tcW w:w="778" w:type="dxa"/>
            <w:tcBorders>
              <w:top w:val="nil"/>
              <w:left w:val="single" w:sz="4" w:space="0" w:color="auto"/>
              <w:bottom w:val="nil"/>
              <w:right w:val="nil"/>
            </w:tcBorders>
            <w:shd w:val="clear" w:color="auto" w:fill="auto"/>
            <w:noWrap/>
            <w:vAlign w:val="bottom"/>
            <w:hideMark/>
          </w:tcPr>
          <w:p w14:paraId="0DFB652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420 </w:t>
            </w:r>
          </w:p>
        </w:tc>
        <w:tc>
          <w:tcPr>
            <w:tcW w:w="772" w:type="dxa"/>
            <w:tcBorders>
              <w:top w:val="nil"/>
              <w:left w:val="nil"/>
              <w:bottom w:val="nil"/>
              <w:right w:val="nil"/>
            </w:tcBorders>
            <w:shd w:val="clear" w:color="auto" w:fill="auto"/>
            <w:noWrap/>
            <w:vAlign w:val="bottom"/>
            <w:hideMark/>
          </w:tcPr>
          <w:p w14:paraId="00632B0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546 </w:t>
            </w:r>
          </w:p>
        </w:tc>
        <w:tc>
          <w:tcPr>
            <w:tcW w:w="786" w:type="dxa"/>
            <w:tcBorders>
              <w:top w:val="nil"/>
              <w:left w:val="nil"/>
              <w:bottom w:val="nil"/>
              <w:right w:val="nil"/>
            </w:tcBorders>
            <w:shd w:val="clear" w:color="auto" w:fill="auto"/>
            <w:noWrap/>
            <w:vAlign w:val="bottom"/>
            <w:hideMark/>
          </w:tcPr>
          <w:p w14:paraId="7775AFE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687 </w:t>
            </w:r>
          </w:p>
        </w:tc>
        <w:tc>
          <w:tcPr>
            <w:tcW w:w="792" w:type="dxa"/>
            <w:tcBorders>
              <w:top w:val="nil"/>
              <w:left w:val="nil"/>
              <w:bottom w:val="nil"/>
              <w:right w:val="single" w:sz="4" w:space="0" w:color="auto"/>
            </w:tcBorders>
            <w:shd w:val="clear" w:color="auto" w:fill="auto"/>
            <w:noWrap/>
            <w:vAlign w:val="bottom"/>
            <w:hideMark/>
          </w:tcPr>
          <w:p w14:paraId="78EA62B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963 </w:t>
            </w:r>
          </w:p>
        </w:tc>
        <w:tc>
          <w:tcPr>
            <w:tcW w:w="778" w:type="dxa"/>
            <w:tcBorders>
              <w:top w:val="nil"/>
              <w:left w:val="nil"/>
              <w:bottom w:val="nil"/>
              <w:right w:val="nil"/>
            </w:tcBorders>
            <w:shd w:val="clear" w:color="auto" w:fill="auto"/>
            <w:noWrap/>
            <w:vAlign w:val="bottom"/>
            <w:hideMark/>
          </w:tcPr>
          <w:p w14:paraId="52DA3CC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47 </w:t>
            </w:r>
          </w:p>
        </w:tc>
        <w:tc>
          <w:tcPr>
            <w:tcW w:w="772" w:type="dxa"/>
            <w:tcBorders>
              <w:top w:val="nil"/>
              <w:left w:val="nil"/>
              <w:bottom w:val="nil"/>
              <w:right w:val="nil"/>
            </w:tcBorders>
            <w:shd w:val="clear" w:color="auto" w:fill="auto"/>
            <w:noWrap/>
            <w:vAlign w:val="bottom"/>
            <w:hideMark/>
          </w:tcPr>
          <w:p w14:paraId="195A9BF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328 </w:t>
            </w:r>
          </w:p>
        </w:tc>
        <w:tc>
          <w:tcPr>
            <w:tcW w:w="786" w:type="dxa"/>
            <w:tcBorders>
              <w:top w:val="nil"/>
              <w:left w:val="nil"/>
              <w:bottom w:val="nil"/>
              <w:right w:val="nil"/>
            </w:tcBorders>
            <w:shd w:val="clear" w:color="auto" w:fill="auto"/>
            <w:noWrap/>
            <w:vAlign w:val="bottom"/>
            <w:hideMark/>
          </w:tcPr>
          <w:p w14:paraId="441D843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908 </w:t>
            </w:r>
          </w:p>
        </w:tc>
        <w:tc>
          <w:tcPr>
            <w:tcW w:w="792" w:type="dxa"/>
            <w:tcBorders>
              <w:top w:val="nil"/>
              <w:left w:val="nil"/>
              <w:bottom w:val="nil"/>
              <w:right w:val="single" w:sz="4" w:space="0" w:color="auto"/>
            </w:tcBorders>
            <w:shd w:val="clear" w:color="auto" w:fill="auto"/>
            <w:noWrap/>
            <w:vAlign w:val="bottom"/>
            <w:hideMark/>
          </w:tcPr>
          <w:p w14:paraId="3B65B14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1,468 </w:t>
            </w:r>
          </w:p>
        </w:tc>
      </w:tr>
      <w:tr w:rsidR="00510EA5" w:rsidRPr="00477D8F" w14:paraId="14D71A7F"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5F1832D6"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3E6311C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Primary</w:t>
            </w:r>
          </w:p>
        </w:tc>
        <w:tc>
          <w:tcPr>
            <w:tcW w:w="778" w:type="dxa"/>
            <w:tcBorders>
              <w:top w:val="nil"/>
              <w:left w:val="single" w:sz="4" w:space="0" w:color="auto"/>
              <w:bottom w:val="nil"/>
              <w:right w:val="nil"/>
            </w:tcBorders>
            <w:shd w:val="clear" w:color="auto" w:fill="auto"/>
            <w:noWrap/>
            <w:vAlign w:val="bottom"/>
            <w:hideMark/>
          </w:tcPr>
          <w:p w14:paraId="79AD2D6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4,402 </w:t>
            </w:r>
          </w:p>
        </w:tc>
        <w:tc>
          <w:tcPr>
            <w:tcW w:w="772" w:type="dxa"/>
            <w:tcBorders>
              <w:top w:val="nil"/>
              <w:left w:val="nil"/>
              <w:bottom w:val="nil"/>
              <w:right w:val="nil"/>
            </w:tcBorders>
            <w:shd w:val="clear" w:color="auto" w:fill="auto"/>
            <w:noWrap/>
            <w:vAlign w:val="bottom"/>
            <w:hideMark/>
          </w:tcPr>
          <w:p w14:paraId="03B3677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5,483 </w:t>
            </w:r>
          </w:p>
        </w:tc>
        <w:tc>
          <w:tcPr>
            <w:tcW w:w="786" w:type="dxa"/>
            <w:tcBorders>
              <w:top w:val="nil"/>
              <w:left w:val="nil"/>
              <w:bottom w:val="nil"/>
              <w:right w:val="nil"/>
            </w:tcBorders>
            <w:shd w:val="clear" w:color="auto" w:fill="auto"/>
            <w:noWrap/>
            <w:vAlign w:val="bottom"/>
            <w:hideMark/>
          </w:tcPr>
          <w:p w14:paraId="1494155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5,674 </w:t>
            </w:r>
          </w:p>
        </w:tc>
        <w:tc>
          <w:tcPr>
            <w:tcW w:w="792" w:type="dxa"/>
            <w:tcBorders>
              <w:top w:val="nil"/>
              <w:left w:val="nil"/>
              <w:bottom w:val="nil"/>
              <w:right w:val="single" w:sz="4" w:space="0" w:color="auto"/>
            </w:tcBorders>
            <w:shd w:val="clear" w:color="auto" w:fill="auto"/>
            <w:noWrap/>
            <w:vAlign w:val="bottom"/>
            <w:hideMark/>
          </w:tcPr>
          <w:p w14:paraId="1002B84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6,035 </w:t>
            </w:r>
          </w:p>
        </w:tc>
        <w:tc>
          <w:tcPr>
            <w:tcW w:w="778" w:type="dxa"/>
            <w:tcBorders>
              <w:top w:val="nil"/>
              <w:left w:val="nil"/>
              <w:bottom w:val="nil"/>
              <w:right w:val="nil"/>
            </w:tcBorders>
            <w:shd w:val="clear" w:color="auto" w:fill="auto"/>
            <w:noWrap/>
            <w:vAlign w:val="bottom"/>
            <w:hideMark/>
          </w:tcPr>
          <w:p w14:paraId="5363DB7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489 </w:t>
            </w:r>
          </w:p>
        </w:tc>
        <w:tc>
          <w:tcPr>
            <w:tcW w:w="772" w:type="dxa"/>
            <w:tcBorders>
              <w:top w:val="nil"/>
              <w:left w:val="nil"/>
              <w:bottom w:val="nil"/>
              <w:right w:val="nil"/>
            </w:tcBorders>
            <w:shd w:val="clear" w:color="auto" w:fill="auto"/>
            <w:noWrap/>
            <w:vAlign w:val="bottom"/>
            <w:hideMark/>
          </w:tcPr>
          <w:p w14:paraId="38E88C5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3,293 </w:t>
            </w:r>
          </w:p>
        </w:tc>
        <w:tc>
          <w:tcPr>
            <w:tcW w:w="786" w:type="dxa"/>
            <w:tcBorders>
              <w:top w:val="nil"/>
              <w:left w:val="nil"/>
              <w:bottom w:val="nil"/>
              <w:right w:val="nil"/>
            </w:tcBorders>
            <w:shd w:val="clear" w:color="auto" w:fill="auto"/>
            <w:noWrap/>
            <w:vAlign w:val="bottom"/>
            <w:hideMark/>
          </w:tcPr>
          <w:p w14:paraId="4C5C294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7,502 </w:t>
            </w:r>
          </w:p>
        </w:tc>
        <w:tc>
          <w:tcPr>
            <w:tcW w:w="792" w:type="dxa"/>
            <w:tcBorders>
              <w:top w:val="nil"/>
              <w:left w:val="nil"/>
              <w:bottom w:val="nil"/>
              <w:right w:val="single" w:sz="4" w:space="0" w:color="auto"/>
            </w:tcBorders>
            <w:shd w:val="clear" w:color="auto" w:fill="auto"/>
            <w:noWrap/>
            <w:vAlign w:val="bottom"/>
            <w:hideMark/>
          </w:tcPr>
          <w:p w14:paraId="06A8CD4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9,201 </w:t>
            </w:r>
          </w:p>
        </w:tc>
      </w:tr>
      <w:tr w:rsidR="00510EA5" w:rsidRPr="00477D8F" w14:paraId="24053491"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1B20327C"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3D3D894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Lower Secondary</w:t>
            </w:r>
          </w:p>
        </w:tc>
        <w:tc>
          <w:tcPr>
            <w:tcW w:w="778" w:type="dxa"/>
            <w:tcBorders>
              <w:top w:val="nil"/>
              <w:left w:val="single" w:sz="4" w:space="0" w:color="auto"/>
              <w:bottom w:val="nil"/>
              <w:right w:val="nil"/>
            </w:tcBorders>
            <w:shd w:val="clear" w:color="auto" w:fill="auto"/>
            <w:noWrap/>
            <w:vAlign w:val="bottom"/>
            <w:hideMark/>
          </w:tcPr>
          <w:p w14:paraId="7CC9290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2,327 </w:t>
            </w:r>
          </w:p>
        </w:tc>
        <w:tc>
          <w:tcPr>
            <w:tcW w:w="772" w:type="dxa"/>
            <w:tcBorders>
              <w:top w:val="nil"/>
              <w:left w:val="nil"/>
              <w:bottom w:val="nil"/>
              <w:right w:val="nil"/>
            </w:tcBorders>
            <w:shd w:val="clear" w:color="auto" w:fill="auto"/>
            <w:noWrap/>
            <w:vAlign w:val="bottom"/>
            <w:hideMark/>
          </w:tcPr>
          <w:p w14:paraId="4C3824D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2,596 </w:t>
            </w:r>
          </w:p>
        </w:tc>
        <w:tc>
          <w:tcPr>
            <w:tcW w:w="786" w:type="dxa"/>
            <w:tcBorders>
              <w:top w:val="nil"/>
              <w:left w:val="nil"/>
              <w:bottom w:val="nil"/>
              <w:right w:val="nil"/>
            </w:tcBorders>
            <w:shd w:val="clear" w:color="auto" w:fill="auto"/>
            <w:noWrap/>
            <w:vAlign w:val="bottom"/>
            <w:hideMark/>
          </w:tcPr>
          <w:p w14:paraId="20EA65E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3,748 </w:t>
            </w:r>
          </w:p>
        </w:tc>
        <w:tc>
          <w:tcPr>
            <w:tcW w:w="792" w:type="dxa"/>
            <w:tcBorders>
              <w:top w:val="nil"/>
              <w:left w:val="nil"/>
              <w:bottom w:val="nil"/>
              <w:right w:val="single" w:sz="4" w:space="0" w:color="auto"/>
            </w:tcBorders>
            <w:shd w:val="clear" w:color="auto" w:fill="auto"/>
            <w:noWrap/>
            <w:vAlign w:val="bottom"/>
            <w:hideMark/>
          </w:tcPr>
          <w:p w14:paraId="5B55582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4,392 </w:t>
            </w:r>
          </w:p>
        </w:tc>
        <w:tc>
          <w:tcPr>
            <w:tcW w:w="778" w:type="dxa"/>
            <w:tcBorders>
              <w:top w:val="nil"/>
              <w:left w:val="nil"/>
              <w:bottom w:val="nil"/>
              <w:right w:val="nil"/>
            </w:tcBorders>
            <w:shd w:val="clear" w:color="auto" w:fill="auto"/>
            <w:noWrap/>
            <w:vAlign w:val="bottom"/>
            <w:hideMark/>
          </w:tcPr>
          <w:p w14:paraId="7423408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258 </w:t>
            </w:r>
          </w:p>
        </w:tc>
        <w:tc>
          <w:tcPr>
            <w:tcW w:w="772" w:type="dxa"/>
            <w:tcBorders>
              <w:top w:val="nil"/>
              <w:left w:val="nil"/>
              <w:bottom w:val="nil"/>
              <w:right w:val="nil"/>
            </w:tcBorders>
            <w:shd w:val="clear" w:color="auto" w:fill="auto"/>
            <w:noWrap/>
            <w:vAlign w:val="bottom"/>
            <w:hideMark/>
          </w:tcPr>
          <w:p w14:paraId="076E967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1,559 </w:t>
            </w:r>
          </w:p>
        </w:tc>
        <w:tc>
          <w:tcPr>
            <w:tcW w:w="786" w:type="dxa"/>
            <w:tcBorders>
              <w:top w:val="nil"/>
              <w:left w:val="nil"/>
              <w:bottom w:val="nil"/>
              <w:right w:val="nil"/>
            </w:tcBorders>
            <w:shd w:val="clear" w:color="auto" w:fill="auto"/>
            <w:noWrap/>
            <w:vAlign w:val="bottom"/>
            <w:hideMark/>
          </w:tcPr>
          <w:p w14:paraId="38901C8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4,956 </w:t>
            </w:r>
          </w:p>
        </w:tc>
        <w:tc>
          <w:tcPr>
            <w:tcW w:w="792" w:type="dxa"/>
            <w:tcBorders>
              <w:top w:val="nil"/>
              <w:left w:val="nil"/>
              <w:bottom w:val="nil"/>
              <w:right w:val="single" w:sz="4" w:space="0" w:color="auto"/>
            </w:tcBorders>
            <w:shd w:val="clear" w:color="auto" w:fill="auto"/>
            <w:noWrap/>
            <w:vAlign w:val="bottom"/>
            <w:hideMark/>
          </w:tcPr>
          <w:p w14:paraId="0BA3BFE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6,697 </w:t>
            </w:r>
          </w:p>
        </w:tc>
      </w:tr>
      <w:tr w:rsidR="00510EA5" w:rsidRPr="00477D8F" w14:paraId="23A113CC"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76BE74FD"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039B17B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Senior secondary</w:t>
            </w:r>
          </w:p>
        </w:tc>
        <w:tc>
          <w:tcPr>
            <w:tcW w:w="778" w:type="dxa"/>
            <w:tcBorders>
              <w:top w:val="nil"/>
              <w:left w:val="single" w:sz="4" w:space="0" w:color="auto"/>
              <w:bottom w:val="nil"/>
              <w:right w:val="nil"/>
            </w:tcBorders>
            <w:shd w:val="clear" w:color="auto" w:fill="auto"/>
            <w:noWrap/>
            <w:vAlign w:val="bottom"/>
            <w:hideMark/>
          </w:tcPr>
          <w:p w14:paraId="6FE92FB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103 </w:t>
            </w:r>
          </w:p>
        </w:tc>
        <w:tc>
          <w:tcPr>
            <w:tcW w:w="772" w:type="dxa"/>
            <w:tcBorders>
              <w:top w:val="nil"/>
              <w:left w:val="nil"/>
              <w:bottom w:val="nil"/>
              <w:right w:val="nil"/>
            </w:tcBorders>
            <w:shd w:val="clear" w:color="auto" w:fill="auto"/>
            <w:noWrap/>
            <w:vAlign w:val="bottom"/>
            <w:hideMark/>
          </w:tcPr>
          <w:p w14:paraId="5FD8DC8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110 </w:t>
            </w:r>
          </w:p>
        </w:tc>
        <w:tc>
          <w:tcPr>
            <w:tcW w:w="786" w:type="dxa"/>
            <w:tcBorders>
              <w:top w:val="nil"/>
              <w:left w:val="nil"/>
              <w:bottom w:val="nil"/>
              <w:right w:val="nil"/>
            </w:tcBorders>
            <w:shd w:val="clear" w:color="auto" w:fill="auto"/>
            <w:noWrap/>
            <w:vAlign w:val="bottom"/>
            <w:hideMark/>
          </w:tcPr>
          <w:p w14:paraId="1D90AE2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148 </w:t>
            </w:r>
          </w:p>
        </w:tc>
        <w:tc>
          <w:tcPr>
            <w:tcW w:w="792" w:type="dxa"/>
            <w:tcBorders>
              <w:top w:val="nil"/>
              <w:left w:val="nil"/>
              <w:bottom w:val="nil"/>
              <w:right w:val="single" w:sz="4" w:space="0" w:color="auto"/>
            </w:tcBorders>
            <w:shd w:val="clear" w:color="auto" w:fill="auto"/>
            <w:noWrap/>
            <w:vAlign w:val="bottom"/>
            <w:hideMark/>
          </w:tcPr>
          <w:p w14:paraId="52763E8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221 </w:t>
            </w:r>
          </w:p>
        </w:tc>
        <w:tc>
          <w:tcPr>
            <w:tcW w:w="778" w:type="dxa"/>
            <w:tcBorders>
              <w:top w:val="nil"/>
              <w:left w:val="nil"/>
              <w:bottom w:val="nil"/>
              <w:right w:val="nil"/>
            </w:tcBorders>
            <w:shd w:val="clear" w:color="auto" w:fill="auto"/>
            <w:noWrap/>
            <w:vAlign w:val="bottom"/>
            <w:hideMark/>
          </w:tcPr>
          <w:p w14:paraId="1D4A710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1,126 </w:t>
            </w:r>
          </w:p>
        </w:tc>
        <w:tc>
          <w:tcPr>
            <w:tcW w:w="772" w:type="dxa"/>
            <w:tcBorders>
              <w:top w:val="nil"/>
              <w:left w:val="nil"/>
              <w:bottom w:val="nil"/>
              <w:right w:val="nil"/>
            </w:tcBorders>
            <w:shd w:val="clear" w:color="auto" w:fill="auto"/>
            <w:noWrap/>
            <w:vAlign w:val="bottom"/>
            <w:hideMark/>
          </w:tcPr>
          <w:p w14:paraId="4BDEF02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1,787 </w:t>
            </w:r>
          </w:p>
        </w:tc>
        <w:tc>
          <w:tcPr>
            <w:tcW w:w="786" w:type="dxa"/>
            <w:tcBorders>
              <w:top w:val="nil"/>
              <w:left w:val="nil"/>
              <w:bottom w:val="nil"/>
              <w:right w:val="nil"/>
            </w:tcBorders>
            <w:shd w:val="clear" w:color="auto" w:fill="auto"/>
            <w:noWrap/>
            <w:vAlign w:val="bottom"/>
            <w:hideMark/>
          </w:tcPr>
          <w:p w14:paraId="42B02DD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3,560 </w:t>
            </w:r>
          </w:p>
        </w:tc>
        <w:tc>
          <w:tcPr>
            <w:tcW w:w="792" w:type="dxa"/>
            <w:tcBorders>
              <w:top w:val="nil"/>
              <w:left w:val="nil"/>
              <w:bottom w:val="nil"/>
              <w:right w:val="single" w:sz="4" w:space="0" w:color="auto"/>
            </w:tcBorders>
            <w:shd w:val="clear" w:color="auto" w:fill="auto"/>
            <w:noWrap/>
            <w:vAlign w:val="bottom"/>
            <w:hideMark/>
          </w:tcPr>
          <w:p w14:paraId="7BDB358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5,787 </w:t>
            </w:r>
          </w:p>
        </w:tc>
      </w:tr>
      <w:tr w:rsidR="00510EA5" w:rsidRPr="00477D8F" w14:paraId="4BD63F1D"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758142E9"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7AF0E19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Higher Education</w:t>
            </w:r>
          </w:p>
        </w:tc>
        <w:tc>
          <w:tcPr>
            <w:tcW w:w="778" w:type="dxa"/>
            <w:tcBorders>
              <w:top w:val="nil"/>
              <w:left w:val="single" w:sz="4" w:space="0" w:color="auto"/>
              <w:bottom w:val="nil"/>
              <w:right w:val="nil"/>
            </w:tcBorders>
            <w:shd w:val="clear" w:color="auto" w:fill="auto"/>
            <w:noWrap/>
            <w:vAlign w:val="bottom"/>
            <w:hideMark/>
          </w:tcPr>
          <w:p w14:paraId="060C901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223 </w:t>
            </w:r>
          </w:p>
        </w:tc>
        <w:tc>
          <w:tcPr>
            <w:tcW w:w="772" w:type="dxa"/>
            <w:tcBorders>
              <w:top w:val="nil"/>
              <w:left w:val="nil"/>
              <w:bottom w:val="nil"/>
              <w:right w:val="nil"/>
            </w:tcBorders>
            <w:shd w:val="clear" w:color="auto" w:fill="auto"/>
            <w:noWrap/>
            <w:vAlign w:val="bottom"/>
            <w:hideMark/>
          </w:tcPr>
          <w:p w14:paraId="2AFFA70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257 </w:t>
            </w:r>
          </w:p>
        </w:tc>
        <w:tc>
          <w:tcPr>
            <w:tcW w:w="786" w:type="dxa"/>
            <w:tcBorders>
              <w:top w:val="nil"/>
              <w:left w:val="nil"/>
              <w:bottom w:val="nil"/>
              <w:right w:val="nil"/>
            </w:tcBorders>
            <w:shd w:val="clear" w:color="auto" w:fill="auto"/>
            <w:noWrap/>
            <w:vAlign w:val="bottom"/>
            <w:hideMark/>
          </w:tcPr>
          <w:p w14:paraId="2CB7A2F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288 </w:t>
            </w:r>
          </w:p>
        </w:tc>
        <w:tc>
          <w:tcPr>
            <w:tcW w:w="792" w:type="dxa"/>
            <w:tcBorders>
              <w:top w:val="nil"/>
              <w:left w:val="nil"/>
              <w:bottom w:val="nil"/>
              <w:right w:val="single" w:sz="4" w:space="0" w:color="auto"/>
            </w:tcBorders>
            <w:shd w:val="clear" w:color="auto" w:fill="auto"/>
            <w:noWrap/>
            <w:vAlign w:val="bottom"/>
            <w:hideMark/>
          </w:tcPr>
          <w:p w14:paraId="1BF4AFE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359 </w:t>
            </w:r>
          </w:p>
        </w:tc>
        <w:tc>
          <w:tcPr>
            <w:tcW w:w="778" w:type="dxa"/>
            <w:tcBorders>
              <w:top w:val="nil"/>
              <w:left w:val="nil"/>
              <w:bottom w:val="nil"/>
              <w:right w:val="nil"/>
            </w:tcBorders>
            <w:shd w:val="clear" w:color="auto" w:fill="auto"/>
            <w:noWrap/>
            <w:vAlign w:val="bottom"/>
            <w:hideMark/>
          </w:tcPr>
          <w:p w14:paraId="150C412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1,069 </w:t>
            </w:r>
          </w:p>
        </w:tc>
        <w:tc>
          <w:tcPr>
            <w:tcW w:w="772" w:type="dxa"/>
            <w:tcBorders>
              <w:top w:val="nil"/>
              <w:left w:val="nil"/>
              <w:bottom w:val="nil"/>
              <w:right w:val="nil"/>
            </w:tcBorders>
            <w:shd w:val="clear" w:color="auto" w:fill="auto"/>
            <w:noWrap/>
            <w:vAlign w:val="bottom"/>
            <w:hideMark/>
          </w:tcPr>
          <w:p w14:paraId="122B422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1,894 </w:t>
            </w:r>
          </w:p>
        </w:tc>
        <w:tc>
          <w:tcPr>
            <w:tcW w:w="786" w:type="dxa"/>
            <w:tcBorders>
              <w:top w:val="nil"/>
              <w:left w:val="nil"/>
              <w:bottom w:val="nil"/>
              <w:right w:val="nil"/>
            </w:tcBorders>
            <w:shd w:val="clear" w:color="auto" w:fill="auto"/>
            <w:noWrap/>
            <w:vAlign w:val="bottom"/>
            <w:hideMark/>
          </w:tcPr>
          <w:p w14:paraId="2096216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3,202 </w:t>
            </w:r>
          </w:p>
        </w:tc>
        <w:tc>
          <w:tcPr>
            <w:tcW w:w="792" w:type="dxa"/>
            <w:tcBorders>
              <w:top w:val="nil"/>
              <w:left w:val="nil"/>
              <w:bottom w:val="nil"/>
              <w:right w:val="single" w:sz="4" w:space="0" w:color="auto"/>
            </w:tcBorders>
            <w:shd w:val="clear" w:color="auto" w:fill="auto"/>
            <w:noWrap/>
            <w:vAlign w:val="bottom"/>
            <w:hideMark/>
          </w:tcPr>
          <w:p w14:paraId="3A8CEFB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4,369 </w:t>
            </w:r>
          </w:p>
        </w:tc>
      </w:tr>
      <w:tr w:rsidR="00510EA5" w:rsidRPr="00477D8F" w14:paraId="49EFFACF"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7540155F"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single" w:sz="4" w:space="0" w:color="auto"/>
              <w:right w:val="nil"/>
            </w:tcBorders>
            <w:shd w:val="clear" w:color="auto" w:fill="auto"/>
            <w:noWrap/>
            <w:vAlign w:val="bottom"/>
            <w:hideMark/>
          </w:tcPr>
          <w:p w14:paraId="3680D58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Total</w:t>
            </w:r>
          </w:p>
        </w:tc>
        <w:tc>
          <w:tcPr>
            <w:tcW w:w="778" w:type="dxa"/>
            <w:tcBorders>
              <w:top w:val="nil"/>
              <w:left w:val="single" w:sz="4" w:space="0" w:color="auto"/>
              <w:bottom w:val="single" w:sz="4" w:space="0" w:color="auto"/>
              <w:right w:val="nil"/>
            </w:tcBorders>
            <w:shd w:val="clear" w:color="auto" w:fill="auto"/>
            <w:noWrap/>
            <w:vAlign w:val="bottom"/>
            <w:hideMark/>
          </w:tcPr>
          <w:p w14:paraId="078D356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7,474 </w:t>
            </w:r>
          </w:p>
        </w:tc>
        <w:tc>
          <w:tcPr>
            <w:tcW w:w="772" w:type="dxa"/>
            <w:tcBorders>
              <w:top w:val="nil"/>
              <w:left w:val="nil"/>
              <w:bottom w:val="single" w:sz="4" w:space="0" w:color="auto"/>
              <w:right w:val="nil"/>
            </w:tcBorders>
            <w:shd w:val="clear" w:color="auto" w:fill="auto"/>
            <w:noWrap/>
            <w:vAlign w:val="bottom"/>
            <w:hideMark/>
          </w:tcPr>
          <w:p w14:paraId="4F46663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8,991 </w:t>
            </w:r>
          </w:p>
        </w:tc>
        <w:tc>
          <w:tcPr>
            <w:tcW w:w="786" w:type="dxa"/>
            <w:tcBorders>
              <w:top w:val="nil"/>
              <w:left w:val="nil"/>
              <w:bottom w:val="single" w:sz="4" w:space="0" w:color="auto"/>
              <w:right w:val="nil"/>
            </w:tcBorders>
            <w:shd w:val="clear" w:color="auto" w:fill="auto"/>
            <w:noWrap/>
            <w:vAlign w:val="bottom"/>
            <w:hideMark/>
          </w:tcPr>
          <w:p w14:paraId="5ACC35D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10,544 </w:t>
            </w:r>
          </w:p>
        </w:tc>
        <w:tc>
          <w:tcPr>
            <w:tcW w:w="792" w:type="dxa"/>
            <w:tcBorders>
              <w:top w:val="nil"/>
              <w:left w:val="nil"/>
              <w:bottom w:val="single" w:sz="4" w:space="0" w:color="auto"/>
              <w:right w:val="single" w:sz="4" w:space="0" w:color="auto"/>
            </w:tcBorders>
            <w:shd w:val="clear" w:color="auto" w:fill="auto"/>
            <w:noWrap/>
            <w:vAlign w:val="bottom"/>
            <w:hideMark/>
          </w:tcPr>
          <w:p w14:paraId="673ADF4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11,969 </w:t>
            </w:r>
          </w:p>
        </w:tc>
        <w:tc>
          <w:tcPr>
            <w:tcW w:w="778" w:type="dxa"/>
            <w:tcBorders>
              <w:top w:val="nil"/>
              <w:left w:val="nil"/>
              <w:bottom w:val="single" w:sz="4" w:space="0" w:color="auto"/>
              <w:right w:val="nil"/>
            </w:tcBorders>
            <w:shd w:val="clear" w:color="auto" w:fill="auto"/>
            <w:noWrap/>
            <w:vAlign w:val="bottom"/>
            <w:hideMark/>
          </w:tcPr>
          <w:p w14:paraId="5894CD5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2,989 </w:t>
            </w:r>
          </w:p>
        </w:tc>
        <w:tc>
          <w:tcPr>
            <w:tcW w:w="772" w:type="dxa"/>
            <w:tcBorders>
              <w:top w:val="nil"/>
              <w:left w:val="nil"/>
              <w:bottom w:val="single" w:sz="4" w:space="0" w:color="auto"/>
              <w:right w:val="nil"/>
            </w:tcBorders>
            <w:shd w:val="clear" w:color="auto" w:fill="auto"/>
            <w:noWrap/>
            <w:vAlign w:val="bottom"/>
            <w:hideMark/>
          </w:tcPr>
          <w:p w14:paraId="5F97141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8,860 </w:t>
            </w:r>
          </w:p>
        </w:tc>
        <w:tc>
          <w:tcPr>
            <w:tcW w:w="786" w:type="dxa"/>
            <w:tcBorders>
              <w:top w:val="nil"/>
              <w:left w:val="nil"/>
              <w:bottom w:val="single" w:sz="4" w:space="0" w:color="auto"/>
              <w:right w:val="nil"/>
            </w:tcBorders>
            <w:shd w:val="clear" w:color="auto" w:fill="auto"/>
            <w:noWrap/>
            <w:vAlign w:val="bottom"/>
            <w:hideMark/>
          </w:tcPr>
          <w:p w14:paraId="41EAB61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20,128 </w:t>
            </w:r>
          </w:p>
        </w:tc>
        <w:tc>
          <w:tcPr>
            <w:tcW w:w="792" w:type="dxa"/>
            <w:tcBorders>
              <w:top w:val="nil"/>
              <w:left w:val="nil"/>
              <w:bottom w:val="single" w:sz="4" w:space="0" w:color="auto"/>
              <w:right w:val="single" w:sz="4" w:space="0" w:color="auto"/>
            </w:tcBorders>
            <w:shd w:val="clear" w:color="auto" w:fill="auto"/>
            <w:noWrap/>
            <w:vAlign w:val="bottom"/>
            <w:hideMark/>
          </w:tcPr>
          <w:p w14:paraId="64591E6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27,522 </w:t>
            </w:r>
          </w:p>
        </w:tc>
      </w:tr>
      <w:tr w:rsidR="00510EA5" w:rsidRPr="00477D8F" w14:paraId="34DED3F5" w14:textId="77777777" w:rsidTr="00510EA5">
        <w:trPr>
          <w:trHeight w:val="290"/>
        </w:trPr>
        <w:tc>
          <w:tcPr>
            <w:tcW w:w="928" w:type="dxa"/>
            <w:tcBorders>
              <w:top w:val="nil"/>
              <w:left w:val="nil"/>
              <w:bottom w:val="nil"/>
              <w:right w:val="nil"/>
            </w:tcBorders>
            <w:shd w:val="clear" w:color="auto" w:fill="auto"/>
            <w:noWrap/>
            <w:vAlign w:val="bottom"/>
            <w:hideMark/>
          </w:tcPr>
          <w:p w14:paraId="1675A32E"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3A01D63B" w14:textId="77777777" w:rsidR="00510EA5" w:rsidRPr="00477D8F" w:rsidRDefault="00510EA5" w:rsidP="00510EA5">
            <w:pPr>
              <w:spacing w:after="0" w:line="240" w:lineRule="auto"/>
              <w:rPr>
                <w:rFonts w:ascii="Times New Roman" w:eastAsia="Times New Roman" w:hAnsi="Times New Roman" w:cs="Times New Roman"/>
                <w:sz w:val="18"/>
                <w:szCs w:val="18"/>
              </w:rPr>
            </w:pPr>
          </w:p>
        </w:tc>
        <w:tc>
          <w:tcPr>
            <w:tcW w:w="778" w:type="dxa"/>
            <w:tcBorders>
              <w:top w:val="nil"/>
              <w:left w:val="single" w:sz="4" w:space="0" w:color="auto"/>
              <w:bottom w:val="nil"/>
              <w:right w:val="nil"/>
            </w:tcBorders>
            <w:shd w:val="clear" w:color="auto" w:fill="auto"/>
            <w:noWrap/>
            <w:vAlign w:val="bottom"/>
            <w:hideMark/>
          </w:tcPr>
          <w:p w14:paraId="738469F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72" w:type="dxa"/>
            <w:tcBorders>
              <w:top w:val="nil"/>
              <w:left w:val="nil"/>
              <w:bottom w:val="nil"/>
              <w:right w:val="nil"/>
            </w:tcBorders>
            <w:shd w:val="clear" w:color="auto" w:fill="auto"/>
            <w:noWrap/>
            <w:vAlign w:val="bottom"/>
            <w:hideMark/>
          </w:tcPr>
          <w:p w14:paraId="39E18B49"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786" w:type="dxa"/>
            <w:tcBorders>
              <w:top w:val="nil"/>
              <w:left w:val="nil"/>
              <w:bottom w:val="nil"/>
              <w:right w:val="nil"/>
            </w:tcBorders>
            <w:shd w:val="clear" w:color="auto" w:fill="auto"/>
            <w:noWrap/>
            <w:vAlign w:val="bottom"/>
            <w:hideMark/>
          </w:tcPr>
          <w:p w14:paraId="1CA93AAD" w14:textId="77777777" w:rsidR="00510EA5" w:rsidRPr="00477D8F" w:rsidRDefault="00510EA5" w:rsidP="00510EA5">
            <w:pPr>
              <w:spacing w:after="0" w:line="240" w:lineRule="auto"/>
              <w:rPr>
                <w:rFonts w:ascii="Times New Roman" w:eastAsia="Times New Roman" w:hAnsi="Times New Roman" w:cs="Times New Roman"/>
                <w:sz w:val="18"/>
                <w:szCs w:val="18"/>
              </w:rPr>
            </w:pPr>
          </w:p>
        </w:tc>
        <w:tc>
          <w:tcPr>
            <w:tcW w:w="792" w:type="dxa"/>
            <w:tcBorders>
              <w:top w:val="nil"/>
              <w:left w:val="nil"/>
              <w:bottom w:val="nil"/>
              <w:right w:val="single" w:sz="4" w:space="0" w:color="auto"/>
            </w:tcBorders>
            <w:shd w:val="clear" w:color="auto" w:fill="auto"/>
            <w:noWrap/>
            <w:vAlign w:val="bottom"/>
            <w:hideMark/>
          </w:tcPr>
          <w:p w14:paraId="233CB97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78" w:type="dxa"/>
            <w:tcBorders>
              <w:top w:val="nil"/>
              <w:left w:val="nil"/>
              <w:bottom w:val="nil"/>
              <w:right w:val="nil"/>
            </w:tcBorders>
            <w:shd w:val="clear" w:color="auto" w:fill="auto"/>
            <w:noWrap/>
            <w:vAlign w:val="bottom"/>
            <w:hideMark/>
          </w:tcPr>
          <w:p w14:paraId="6BA2FF8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72" w:type="dxa"/>
            <w:tcBorders>
              <w:top w:val="nil"/>
              <w:left w:val="nil"/>
              <w:bottom w:val="nil"/>
              <w:right w:val="nil"/>
            </w:tcBorders>
            <w:shd w:val="clear" w:color="auto" w:fill="auto"/>
            <w:noWrap/>
            <w:vAlign w:val="bottom"/>
            <w:hideMark/>
          </w:tcPr>
          <w:p w14:paraId="673222A7"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786" w:type="dxa"/>
            <w:tcBorders>
              <w:top w:val="nil"/>
              <w:left w:val="nil"/>
              <w:bottom w:val="nil"/>
              <w:right w:val="nil"/>
            </w:tcBorders>
            <w:shd w:val="clear" w:color="auto" w:fill="auto"/>
            <w:noWrap/>
            <w:vAlign w:val="bottom"/>
            <w:hideMark/>
          </w:tcPr>
          <w:p w14:paraId="0968527D" w14:textId="77777777" w:rsidR="00510EA5" w:rsidRPr="00477D8F" w:rsidRDefault="00510EA5" w:rsidP="00510EA5">
            <w:pPr>
              <w:spacing w:after="0" w:line="240" w:lineRule="auto"/>
              <w:rPr>
                <w:rFonts w:ascii="Times New Roman" w:eastAsia="Times New Roman" w:hAnsi="Times New Roman" w:cs="Times New Roman"/>
                <w:sz w:val="18"/>
                <w:szCs w:val="18"/>
              </w:rPr>
            </w:pPr>
          </w:p>
        </w:tc>
        <w:tc>
          <w:tcPr>
            <w:tcW w:w="792" w:type="dxa"/>
            <w:tcBorders>
              <w:top w:val="nil"/>
              <w:left w:val="nil"/>
              <w:bottom w:val="nil"/>
              <w:right w:val="single" w:sz="4" w:space="0" w:color="auto"/>
            </w:tcBorders>
            <w:shd w:val="clear" w:color="auto" w:fill="auto"/>
            <w:noWrap/>
            <w:vAlign w:val="bottom"/>
            <w:hideMark/>
          </w:tcPr>
          <w:p w14:paraId="0231358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r>
      <w:tr w:rsidR="00510EA5" w:rsidRPr="00477D8F" w14:paraId="00BAACB3" w14:textId="77777777" w:rsidTr="00510EA5">
        <w:trPr>
          <w:trHeight w:val="290"/>
        </w:trPr>
        <w:tc>
          <w:tcPr>
            <w:tcW w:w="928" w:type="dxa"/>
            <w:vMerge w:val="restart"/>
            <w:tcBorders>
              <w:top w:val="nil"/>
              <w:left w:val="nil"/>
              <w:bottom w:val="nil"/>
              <w:right w:val="nil"/>
            </w:tcBorders>
            <w:shd w:val="clear" w:color="auto" w:fill="auto"/>
            <w:noWrap/>
            <w:hideMark/>
          </w:tcPr>
          <w:p w14:paraId="63763106" w14:textId="77777777" w:rsidR="00510EA5" w:rsidRPr="00477D8F" w:rsidRDefault="00510EA5" w:rsidP="00510EA5">
            <w:pPr>
              <w:spacing w:after="0" w:line="240" w:lineRule="auto"/>
              <w:jc w:val="center"/>
              <w:rPr>
                <w:rFonts w:ascii="Calibri" w:eastAsia="Times New Roman" w:hAnsi="Calibri" w:cs="Calibri"/>
                <w:color w:val="000000"/>
                <w:sz w:val="18"/>
                <w:szCs w:val="18"/>
              </w:rPr>
            </w:pPr>
            <w:r w:rsidRPr="00477D8F">
              <w:rPr>
                <w:rFonts w:ascii="Calibri" w:eastAsia="Times New Roman" w:hAnsi="Calibri" w:cs="Calibri"/>
                <w:color w:val="000000"/>
                <w:sz w:val="18"/>
                <w:szCs w:val="18"/>
              </w:rPr>
              <w:t>Medium</w:t>
            </w:r>
          </w:p>
        </w:tc>
        <w:tc>
          <w:tcPr>
            <w:tcW w:w="1828" w:type="dxa"/>
            <w:tcBorders>
              <w:top w:val="nil"/>
              <w:left w:val="nil"/>
              <w:bottom w:val="nil"/>
              <w:right w:val="nil"/>
            </w:tcBorders>
            <w:shd w:val="clear" w:color="auto" w:fill="auto"/>
            <w:noWrap/>
            <w:vAlign w:val="bottom"/>
            <w:hideMark/>
          </w:tcPr>
          <w:p w14:paraId="4843ADE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ECD</w:t>
            </w:r>
          </w:p>
        </w:tc>
        <w:tc>
          <w:tcPr>
            <w:tcW w:w="778" w:type="dxa"/>
            <w:tcBorders>
              <w:top w:val="single" w:sz="4" w:space="0" w:color="auto"/>
              <w:left w:val="single" w:sz="4" w:space="0" w:color="auto"/>
              <w:bottom w:val="nil"/>
              <w:right w:val="nil"/>
            </w:tcBorders>
            <w:shd w:val="clear" w:color="auto" w:fill="auto"/>
            <w:noWrap/>
            <w:vAlign w:val="bottom"/>
            <w:hideMark/>
          </w:tcPr>
          <w:p w14:paraId="6773B1B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420 </w:t>
            </w:r>
          </w:p>
        </w:tc>
        <w:tc>
          <w:tcPr>
            <w:tcW w:w="772" w:type="dxa"/>
            <w:tcBorders>
              <w:top w:val="single" w:sz="4" w:space="0" w:color="auto"/>
              <w:left w:val="nil"/>
              <w:bottom w:val="nil"/>
              <w:right w:val="nil"/>
            </w:tcBorders>
            <w:shd w:val="clear" w:color="auto" w:fill="auto"/>
            <w:noWrap/>
            <w:vAlign w:val="bottom"/>
            <w:hideMark/>
          </w:tcPr>
          <w:p w14:paraId="5C758CC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493 </w:t>
            </w:r>
          </w:p>
        </w:tc>
        <w:tc>
          <w:tcPr>
            <w:tcW w:w="786" w:type="dxa"/>
            <w:tcBorders>
              <w:top w:val="single" w:sz="4" w:space="0" w:color="auto"/>
              <w:left w:val="nil"/>
              <w:bottom w:val="nil"/>
              <w:right w:val="nil"/>
            </w:tcBorders>
            <w:shd w:val="clear" w:color="auto" w:fill="auto"/>
            <w:noWrap/>
            <w:vAlign w:val="bottom"/>
            <w:hideMark/>
          </w:tcPr>
          <w:p w14:paraId="24A76DB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563 </w:t>
            </w:r>
          </w:p>
        </w:tc>
        <w:tc>
          <w:tcPr>
            <w:tcW w:w="792" w:type="dxa"/>
            <w:tcBorders>
              <w:top w:val="single" w:sz="4" w:space="0" w:color="auto"/>
              <w:left w:val="nil"/>
              <w:bottom w:val="nil"/>
              <w:right w:val="single" w:sz="4" w:space="0" w:color="auto"/>
            </w:tcBorders>
            <w:shd w:val="clear" w:color="auto" w:fill="auto"/>
            <w:noWrap/>
            <w:vAlign w:val="bottom"/>
            <w:hideMark/>
          </w:tcPr>
          <w:p w14:paraId="4628C5C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691 </w:t>
            </w:r>
          </w:p>
        </w:tc>
        <w:tc>
          <w:tcPr>
            <w:tcW w:w="778" w:type="dxa"/>
            <w:tcBorders>
              <w:top w:val="single" w:sz="4" w:space="0" w:color="auto"/>
              <w:left w:val="nil"/>
              <w:bottom w:val="nil"/>
              <w:right w:val="nil"/>
            </w:tcBorders>
            <w:shd w:val="clear" w:color="auto" w:fill="auto"/>
            <w:noWrap/>
            <w:vAlign w:val="bottom"/>
            <w:hideMark/>
          </w:tcPr>
          <w:p w14:paraId="2537EA9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47 </w:t>
            </w:r>
          </w:p>
        </w:tc>
        <w:tc>
          <w:tcPr>
            <w:tcW w:w="772" w:type="dxa"/>
            <w:tcBorders>
              <w:top w:val="single" w:sz="4" w:space="0" w:color="auto"/>
              <w:left w:val="nil"/>
              <w:bottom w:val="nil"/>
              <w:right w:val="nil"/>
            </w:tcBorders>
            <w:shd w:val="clear" w:color="auto" w:fill="auto"/>
            <w:noWrap/>
            <w:vAlign w:val="bottom"/>
            <w:hideMark/>
          </w:tcPr>
          <w:p w14:paraId="6D2E618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115 </w:t>
            </w:r>
          </w:p>
        </w:tc>
        <w:tc>
          <w:tcPr>
            <w:tcW w:w="786" w:type="dxa"/>
            <w:tcBorders>
              <w:top w:val="single" w:sz="4" w:space="0" w:color="auto"/>
              <w:left w:val="nil"/>
              <w:bottom w:val="nil"/>
              <w:right w:val="nil"/>
            </w:tcBorders>
            <w:shd w:val="clear" w:color="auto" w:fill="auto"/>
            <w:noWrap/>
            <w:vAlign w:val="bottom"/>
            <w:hideMark/>
          </w:tcPr>
          <w:p w14:paraId="2760D30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277 </w:t>
            </w:r>
          </w:p>
        </w:tc>
        <w:tc>
          <w:tcPr>
            <w:tcW w:w="792" w:type="dxa"/>
            <w:tcBorders>
              <w:top w:val="single" w:sz="4" w:space="0" w:color="auto"/>
              <w:left w:val="nil"/>
              <w:bottom w:val="nil"/>
              <w:right w:val="single" w:sz="4" w:space="0" w:color="auto"/>
            </w:tcBorders>
            <w:shd w:val="clear" w:color="auto" w:fill="auto"/>
            <w:noWrap/>
            <w:vAlign w:val="bottom"/>
            <w:hideMark/>
          </w:tcPr>
          <w:p w14:paraId="488DBDE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298 </w:t>
            </w:r>
          </w:p>
        </w:tc>
      </w:tr>
      <w:tr w:rsidR="00510EA5" w:rsidRPr="00477D8F" w14:paraId="537E7F02" w14:textId="77777777" w:rsidTr="00510EA5">
        <w:trPr>
          <w:trHeight w:val="290"/>
        </w:trPr>
        <w:tc>
          <w:tcPr>
            <w:tcW w:w="928" w:type="dxa"/>
            <w:vMerge/>
            <w:tcBorders>
              <w:top w:val="nil"/>
              <w:left w:val="nil"/>
              <w:bottom w:val="nil"/>
              <w:right w:val="nil"/>
            </w:tcBorders>
            <w:vAlign w:val="center"/>
            <w:hideMark/>
          </w:tcPr>
          <w:p w14:paraId="147FEC7A"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0A9FC69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Primary</w:t>
            </w:r>
          </w:p>
        </w:tc>
        <w:tc>
          <w:tcPr>
            <w:tcW w:w="778" w:type="dxa"/>
            <w:tcBorders>
              <w:top w:val="nil"/>
              <w:left w:val="single" w:sz="4" w:space="0" w:color="auto"/>
              <w:bottom w:val="nil"/>
              <w:right w:val="nil"/>
            </w:tcBorders>
            <w:shd w:val="clear" w:color="auto" w:fill="auto"/>
            <w:noWrap/>
            <w:vAlign w:val="bottom"/>
            <w:hideMark/>
          </w:tcPr>
          <w:p w14:paraId="2E9130C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4,402 </w:t>
            </w:r>
          </w:p>
        </w:tc>
        <w:tc>
          <w:tcPr>
            <w:tcW w:w="772" w:type="dxa"/>
            <w:tcBorders>
              <w:top w:val="nil"/>
              <w:left w:val="nil"/>
              <w:bottom w:val="nil"/>
              <w:right w:val="nil"/>
            </w:tcBorders>
            <w:shd w:val="clear" w:color="auto" w:fill="auto"/>
            <w:noWrap/>
            <w:vAlign w:val="bottom"/>
            <w:hideMark/>
          </w:tcPr>
          <w:p w14:paraId="130A30A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5,690 </w:t>
            </w:r>
          </w:p>
        </w:tc>
        <w:tc>
          <w:tcPr>
            <w:tcW w:w="786" w:type="dxa"/>
            <w:tcBorders>
              <w:top w:val="nil"/>
              <w:left w:val="nil"/>
              <w:bottom w:val="nil"/>
              <w:right w:val="nil"/>
            </w:tcBorders>
            <w:shd w:val="clear" w:color="auto" w:fill="auto"/>
            <w:noWrap/>
            <w:vAlign w:val="bottom"/>
            <w:hideMark/>
          </w:tcPr>
          <w:p w14:paraId="08F968C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6,326 </w:t>
            </w:r>
          </w:p>
        </w:tc>
        <w:tc>
          <w:tcPr>
            <w:tcW w:w="792" w:type="dxa"/>
            <w:tcBorders>
              <w:top w:val="nil"/>
              <w:left w:val="nil"/>
              <w:bottom w:val="nil"/>
              <w:right w:val="single" w:sz="4" w:space="0" w:color="auto"/>
            </w:tcBorders>
            <w:shd w:val="clear" w:color="auto" w:fill="auto"/>
            <w:noWrap/>
            <w:vAlign w:val="bottom"/>
            <w:hideMark/>
          </w:tcPr>
          <w:p w14:paraId="6334430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7,090 </w:t>
            </w:r>
          </w:p>
        </w:tc>
        <w:tc>
          <w:tcPr>
            <w:tcW w:w="778" w:type="dxa"/>
            <w:tcBorders>
              <w:top w:val="nil"/>
              <w:left w:val="nil"/>
              <w:bottom w:val="nil"/>
              <w:right w:val="nil"/>
            </w:tcBorders>
            <w:shd w:val="clear" w:color="auto" w:fill="auto"/>
            <w:noWrap/>
            <w:vAlign w:val="bottom"/>
            <w:hideMark/>
          </w:tcPr>
          <w:p w14:paraId="66FD8C9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489 </w:t>
            </w:r>
          </w:p>
        </w:tc>
        <w:tc>
          <w:tcPr>
            <w:tcW w:w="772" w:type="dxa"/>
            <w:tcBorders>
              <w:top w:val="nil"/>
              <w:left w:val="nil"/>
              <w:bottom w:val="nil"/>
              <w:right w:val="nil"/>
            </w:tcBorders>
            <w:shd w:val="clear" w:color="auto" w:fill="auto"/>
            <w:noWrap/>
            <w:vAlign w:val="bottom"/>
            <w:hideMark/>
          </w:tcPr>
          <w:p w14:paraId="2806B7C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1,329 </w:t>
            </w:r>
          </w:p>
        </w:tc>
        <w:tc>
          <w:tcPr>
            <w:tcW w:w="786" w:type="dxa"/>
            <w:tcBorders>
              <w:top w:val="nil"/>
              <w:left w:val="nil"/>
              <w:bottom w:val="nil"/>
              <w:right w:val="nil"/>
            </w:tcBorders>
            <w:shd w:val="clear" w:color="auto" w:fill="auto"/>
            <w:noWrap/>
            <w:vAlign w:val="bottom"/>
            <w:hideMark/>
          </w:tcPr>
          <w:p w14:paraId="24C4EEA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3,116 </w:t>
            </w:r>
          </w:p>
        </w:tc>
        <w:tc>
          <w:tcPr>
            <w:tcW w:w="792" w:type="dxa"/>
            <w:tcBorders>
              <w:top w:val="nil"/>
              <w:left w:val="nil"/>
              <w:bottom w:val="nil"/>
              <w:right w:val="single" w:sz="4" w:space="0" w:color="auto"/>
            </w:tcBorders>
            <w:shd w:val="clear" w:color="auto" w:fill="auto"/>
            <w:noWrap/>
            <w:vAlign w:val="bottom"/>
            <w:hideMark/>
          </w:tcPr>
          <w:p w14:paraId="3203B68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3,064 </w:t>
            </w:r>
          </w:p>
        </w:tc>
      </w:tr>
      <w:tr w:rsidR="00510EA5" w:rsidRPr="00477D8F" w14:paraId="07CD8E5D" w14:textId="77777777" w:rsidTr="00510EA5">
        <w:trPr>
          <w:trHeight w:val="290"/>
        </w:trPr>
        <w:tc>
          <w:tcPr>
            <w:tcW w:w="928" w:type="dxa"/>
            <w:vMerge/>
            <w:tcBorders>
              <w:top w:val="nil"/>
              <w:left w:val="nil"/>
              <w:bottom w:val="nil"/>
              <w:right w:val="nil"/>
            </w:tcBorders>
            <w:vAlign w:val="center"/>
            <w:hideMark/>
          </w:tcPr>
          <w:p w14:paraId="36DB5661"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178D9B3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Lower Secondary</w:t>
            </w:r>
          </w:p>
        </w:tc>
        <w:tc>
          <w:tcPr>
            <w:tcW w:w="778" w:type="dxa"/>
            <w:tcBorders>
              <w:top w:val="nil"/>
              <w:left w:val="single" w:sz="4" w:space="0" w:color="auto"/>
              <w:bottom w:val="nil"/>
              <w:right w:val="nil"/>
            </w:tcBorders>
            <w:shd w:val="clear" w:color="auto" w:fill="auto"/>
            <w:noWrap/>
            <w:vAlign w:val="bottom"/>
            <w:hideMark/>
          </w:tcPr>
          <w:p w14:paraId="2E89180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2,327 </w:t>
            </w:r>
          </w:p>
        </w:tc>
        <w:tc>
          <w:tcPr>
            <w:tcW w:w="772" w:type="dxa"/>
            <w:tcBorders>
              <w:top w:val="nil"/>
              <w:left w:val="nil"/>
              <w:bottom w:val="nil"/>
              <w:right w:val="nil"/>
            </w:tcBorders>
            <w:shd w:val="clear" w:color="auto" w:fill="auto"/>
            <w:noWrap/>
            <w:vAlign w:val="bottom"/>
            <w:hideMark/>
          </w:tcPr>
          <w:p w14:paraId="5C6B861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2,515 </w:t>
            </w:r>
          </w:p>
        </w:tc>
        <w:tc>
          <w:tcPr>
            <w:tcW w:w="786" w:type="dxa"/>
            <w:tcBorders>
              <w:top w:val="nil"/>
              <w:left w:val="nil"/>
              <w:bottom w:val="nil"/>
              <w:right w:val="nil"/>
            </w:tcBorders>
            <w:shd w:val="clear" w:color="auto" w:fill="auto"/>
            <w:noWrap/>
            <w:vAlign w:val="bottom"/>
            <w:hideMark/>
          </w:tcPr>
          <w:p w14:paraId="2404912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3,477 </w:t>
            </w:r>
          </w:p>
        </w:tc>
        <w:tc>
          <w:tcPr>
            <w:tcW w:w="792" w:type="dxa"/>
            <w:tcBorders>
              <w:top w:val="nil"/>
              <w:left w:val="nil"/>
              <w:bottom w:val="nil"/>
              <w:right w:val="single" w:sz="4" w:space="0" w:color="auto"/>
            </w:tcBorders>
            <w:shd w:val="clear" w:color="auto" w:fill="auto"/>
            <w:noWrap/>
            <w:vAlign w:val="bottom"/>
            <w:hideMark/>
          </w:tcPr>
          <w:p w14:paraId="5E423D3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4,154 </w:t>
            </w:r>
          </w:p>
        </w:tc>
        <w:tc>
          <w:tcPr>
            <w:tcW w:w="778" w:type="dxa"/>
            <w:tcBorders>
              <w:top w:val="nil"/>
              <w:left w:val="nil"/>
              <w:bottom w:val="nil"/>
              <w:right w:val="nil"/>
            </w:tcBorders>
            <w:shd w:val="clear" w:color="auto" w:fill="auto"/>
            <w:noWrap/>
            <w:vAlign w:val="bottom"/>
            <w:hideMark/>
          </w:tcPr>
          <w:p w14:paraId="2E3461D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258 </w:t>
            </w:r>
          </w:p>
        </w:tc>
        <w:tc>
          <w:tcPr>
            <w:tcW w:w="772" w:type="dxa"/>
            <w:tcBorders>
              <w:top w:val="nil"/>
              <w:left w:val="nil"/>
              <w:bottom w:val="nil"/>
              <w:right w:val="nil"/>
            </w:tcBorders>
            <w:shd w:val="clear" w:color="auto" w:fill="auto"/>
            <w:noWrap/>
            <w:vAlign w:val="bottom"/>
            <w:hideMark/>
          </w:tcPr>
          <w:p w14:paraId="2A99772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587 </w:t>
            </w:r>
          </w:p>
        </w:tc>
        <w:tc>
          <w:tcPr>
            <w:tcW w:w="786" w:type="dxa"/>
            <w:tcBorders>
              <w:top w:val="nil"/>
              <w:left w:val="nil"/>
              <w:bottom w:val="nil"/>
              <w:right w:val="nil"/>
            </w:tcBorders>
            <w:shd w:val="clear" w:color="auto" w:fill="auto"/>
            <w:noWrap/>
            <w:vAlign w:val="bottom"/>
            <w:hideMark/>
          </w:tcPr>
          <w:p w14:paraId="5C7CE00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1,712 </w:t>
            </w:r>
          </w:p>
        </w:tc>
        <w:tc>
          <w:tcPr>
            <w:tcW w:w="792" w:type="dxa"/>
            <w:tcBorders>
              <w:top w:val="nil"/>
              <w:left w:val="nil"/>
              <w:bottom w:val="nil"/>
              <w:right w:val="single" w:sz="4" w:space="0" w:color="auto"/>
            </w:tcBorders>
            <w:shd w:val="clear" w:color="auto" w:fill="auto"/>
            <w:noWrap/>
            <w:vAlign w:val="bottom"/>
            <w:hideMark/>
          </w:tcPr>
          <w:p w14:paraId="3DABEDC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1,795 </w:t>
            </w:r>
          </w:p>
        </w:tc>
      </w:tr>
      <w:tr w:rsidR="00510EA5" w:rsidRPr="00477D8F" w14:paraId="2B378FF0" w14:textId="77777777" w:rsidTr="00510EA5">
        <w:trPr>
          <w:trHeight w:val="290"/>
        </w:trPr>
        <w:tc>
          <w:tcPr>
            <w:tcW w:w="928" w:type="dxa"/>
            <w:vMerge/>
            <w:tcBorders>
              <w:top w:val="nil"/>
              <w:left w:val="nil"/>
              <w:bottom w:val="nil"/>
              <w:right w:val="nil"/>
            </w:tcBorders>
            <w:vAlign w:val="center"/>
            <w:hideMark/>
          </w:tcPr>
          <w:p w14:paraId="73DB398F"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3C3C107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Senior secondary</w:t>
            </w:r>
          </w:p>
        </w:tc>
        <w:tc>
          <w:tcPr>
            <w:tcW w:w="778" w:type="dxa"/>
            <w:tcBorders>
              <w:top w:val="nil"/>
              <w:left w:val="single" w:sz="4" w:space="0" w:color="auto"/>
              <w:bottom w:val="nil"/>
              <w:right w:val="nil"/>
            </w:tcBorders>
            <w:shd w:val="clear" w:color="auto" w:fill="auto"/>
            <w:noWrap/>
            <w:vAlign w:val="bottom"/>
            <w:hideMark/>
          </w:tcPr>
          <w:p w14:paraId="6751A13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103 </w:t>
            </w:r>
          </w:p>
        </w:tc>
        <w:tc>
          <w:tcPr>
            <w:tcW w:w="772" w:type="dxa"/>
            <w:tcBorders>
              <w:top w:val="nil"/>
              <w:left w:val="nil"/>
              <w:bottom w:val="nil"/>
              <w:right w:val="nil"/>
            </w:tcBorders>
            <w:shd w:val="clear" w:color="auto" w:fill="auto"/>
            <w:noWrap/>
            <w:vAlign w:val="bottom"/>
            <w:hideMark/>
          </w:tcPr>
          <w:p w14:paraId="41A1B27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103 </w:t>
            </w:r>
          </w:p>
        </w:tc>
        <w:tc>
          <w:tcPr>
            <w:tcW w:w="786" w:type="dxa"/>
            <w:tcBorders>
              <w:top w:val="nil"/>
              <w:left w:val="nil"/>
              <w:bottom w:val="nil"/>
              <w:right w:val="nil"/>
            </w:tcBorders>
            <w:shd w:val="clear" w:color="auto" w:fill="auto"/>
            <w:noWrap/>
            <w:vAlign w:val="bottom"/>
            <w:hideMark/>
          </w:tcPr>
          <w:p w14:paraId="734834A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124 </w:t>
            </w:r>
          </w:p>
        </w:tc>
        <w:tc>
          <w:tcPr>
            <w:tcW w:w="792" w:type="dxa"/>
            <w:tcBorders>
              <w:top w:val="nil"/>
              <w:left w:val="nil"/>
              <w:bottom w:val="nil"/>
              <w:right w:val="single" w:sz="4" w:space="0" w:color="auto"/>
            </w:tcBorders>
            <w:shd w:val="clear" w:color="auto" w:fill="auto"/>
            <w:noWrap/>
            <w:vAlign w:val="bottom"/>
            <w:hideMark/>
          </w:tcPr>
          <w:p w14:paraId="3418D81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176 </w:t>
            </w:r>
          </w:p>
        </w:tc>
        <w:tc>
          <w:tcPr>
            <w:tcW w:w="778" w:type="dxa"/>
            <w:tcBorders>
              <w:top w:val="nil"/>
              <w:left w:val="nil"/>
              <w:bottom w:val="nil"/>
              <w:right w:val="nil"/>
            </w:tcBorders>
            <w:shd w:val="clear" w:color="auto" w:fill="auto"/>
            <w:noWrap/>
            <w:vAlign w:val="bottom"/>
            <w:hideMark/>
          </w:tcPr>
          <w:p w14:paraId="3825BF2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1,126 </w:t>
            </w:r>
          </w:p>
        </w:tc>
        <w:tc>
          <w:tcPr>
            <w:tcW w:w="772" w:type="dxa"/>
            <w:tcBorders>
              <w:top w:val="nil"/>
              <w:left w:val="nil"/>
              <w:bottom w:val="nil"/>
              <w:right w:val="nil"/>
            </w:tcBorders>
            <w:shd w:val="clear" w:color="auto" w:fill="auto"/>
            <w:noWrap/>
            <w:vAlign w:val="bottom"/>
            <w:hideMark/>
          </w:tcPr>
          <w:p w14:paraId="1B22C66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1,269 </w:t>
            </w:r>
          </w:p>
        </w:tc>
        <w:tc>
          <w:tcPr>
            <w:tcW w:w="786" w:type="dxa"/>
            <w:tcBorders>
              <w:top w:val="nil"/>
              <w:left w:val="nil"/>
              <w:bottom w:val="nil"/>
              <w:right w:val="nil"/>
            </w:tcBorders>
            <w:shd w:val="clear" w:color="auto" w:fill="auto"/>
            <w:noWrap/>
            <w:vAlign w:val="bottom"/>
            <w:hideMark/>
          </w:tcPr>
          <w:p w14:paraId="2022671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1,873 </w:t>
            </w:r>
          </w:p>
        </w:tc>
        <w:tc>
          <w:tcPr>
            <w:tcW w:w="792" w:type="dxa"/>
            <w:tcBorders>
              <w:top w:val="nil"/>
              <w:left w:val="nil"/>
              <w:bottom w:val="nil"/>
              <w:right w:val="single" w:sz="4" w:space="0" w:color="auto"/>
            </w:tcBorders>
            <w:shd w:val="clear" w:color="auto" w:fill="auto"/>
            <w:noWrap/>
            <w:vAlign w:val="bottom"/>
            <w:hideMark/>
          </w:tcPr>
          <w:p w14:paraId="62D89E2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2,537 </w:t>
            </w:r>
          </w:p>
        </w:tc>
      </w:tr>
      <w:tr w:rsidR="00510EA5" w:rsidRPr="00477D8F" w14:paraId="0D2AF3BB" w14:textId="77777777" w:rsidTr="00510EA5">
        <w:trPr>
          <w:trHeight w:val="290"/>
        </w:trPr>
        <w:tc>
          <w:tcPr>
            <w:tcW w:w="928" w:type="dxa"/>
            <w:vMerge/>
            <w:tcBorders>
              <w:top w:val="nil"/>
              <w:left w:val="nil"/>
              <w:bottom w:val="nil"/>
              <w:right w:val="nil"/>
            </w:tcBorders>
            <w:vAlign w:val="center"/>
            <w:hideMark/>
          </w:tcPr>
          <w:p w14:paraId="0D99C142"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5E97B70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Higher Education</w:t>
            </w:r>
          </w:p>
        </w:tc>
        <w:tc>
          <w:tcPr>
            <w:tcW w:w="778" w:type="dxa"/>
            <w:tcBorders>
              <w:top w:val="nil"/>
              <w:left w:val="single" w:sz="4" w:space="0" w:color="auto"/>
              <w:bottom w:val="nil"/>
              <w:right w:val="nil"/>
            </w:tcBorders>
            <w:shd w:val="clear" w:color="auto" w:fill="auto"/>
            <w:noWrap/>
            <w:vAlign w:val="bottom"/>
            <w:hideMark/>
          </w:tcPr>
          <w:p w14:paraId="7D54536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223 </w:t>
            </w:r>
          </w:p>
        </w:tc>
        <w:tc>
          <w:tcPr>
            <w:tcW w:w="772" w:type="dxa"/>
            <w:tcBorders>
              <w:top w:val="nil"/>
              <w:left w:val="nil"/>
              <w:bottom w:val="nil"/>
              <w:right w:val="nil"/>
            </w:tcBorders>
            <w:shd w:val="clear" w:color="auto" w:fill="auto"/>
            <w:noWrap/>
            <w:vAlign w:val="bottom"/>
            <w:hideMark/>
          </w:tcPr>
          <w:p w14:paraId="2710F03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257 </w:t>
            </w:r>
          </w:p>
        </w:tc>
        <w:tc>
          <w:tcPr>
            <w:tcW w:w="786" w:type="dxa"/>
            <w:tcBorders>
              <w:top w:val="nil"/>
              <w:left w:val="nil"/>
              <w:bottom w:val="nil"/>
              <w:right w:val="nil"/>
            </w:tcBorders>
            <w:shd w:val="clear" w:color="auto" w:fill="auto"/>
            <w:noWrap/>
            <w:vAlign w:val="bottom"/>
            <w:hideMark/>
          </w:tcPr>
          <w:p w14:paraId="4FDD08D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288 </w:t>
            </w:r>
          </w:p>
        </w:tc>
        <w:tc>
          <w:tcPr>
            <w:tcW w:w="792" w:type="dxa"/>
            <w:tcBorders>
              <w:top w:val="nil"/>
              <w:left w:val="nil"/>
              <w:bottom w:val="nil"/>
              <w:right w:val="single" w:sz="4" w:space="0" w:color="auto"/>
            </w:tcBorders>
            <w:shd w:val="clear" w:color="auto" w:fill="auto"/>
            <w:noWrap/>
            <w:vAlign w:val="bottom"/>
            <w:hideMark/>
          </w:tcPr>
          <w:p w14:paraId="6DA8C7D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347 </w:t>
            </w:r>
          </w:p>
        </w:tc>
        <w:tc>
          <w:tcPr>
            <w:tcW w:w="778" w:type="dxa"/>
            <w:tcBorders>
              <w:top w:val="nil"/>
              <w:left w:val="nil"/>
              <w:bottom w:val="nil"/>
              <w:right w:val="nil"/>
            </w:tcBorders>
            <w:shd w:val="clear" w:color="auto" w:fill="auto"/>
            <w:noWrap/>
            <w:vAlign w:val="bottom"/>
            <w:hideMark/>
          </w:tcPr>
          <w:p w14:paraId="7F06811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1,069 </w:t>
            </w:r>
          </w:p>
        </w:tc>
        <w:tc>
          <w:tcPr>
            <w:tcW w:w="772" w:type="dxa"/>
            <w:tcBorders>
              <w:top w:val="nil"/>
              <w:left w:val="nil"/>
              <w:bottom w:val="nil"/>
              <w:right w:val="nil"/>
            </w:tcBorders>
            <w:shd w:val="clear" w:color="auto" w:fill="auto"/>
            <w:noWrap/>
            <w:vAlign w:val="bottom"/>
            <w:hideMark/>
          </w:tcPr>
          <w:p w14:paraId="3793BD1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1,399 </w:t>
            </w:r>
          </w:p>
        </w:tc>
        <w:tc>
          <w:tcPr>
            <w:tcW w:w="786" w:type="dxa"/>
            <w:tcBorders>
              <w:top w:val="nil"/>
              <w:left w:val="nil"/>
              <w:bottom w:val="nil"/>
              <w:right w:val="nil"/>
            </w:tcBorders>
            <w:shd w:val="clear" w:color="auto" w:fill="auto"/>
            <w:noWrap/>
            <w:vAlign w:val="bottom"/>
            <w:hideMark/>
          </w:tcPr>
          <w:p w14:paraId="39CA759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1,957 </w:t>
            </w:r>
          </w:p>
        </w:tc>
        <w:tc>
          <w:tcPr>
            <w:tcW w:w="792" w:type="dxa"/>
            <w:tcBorders>
              <w:top w:val="nil"/>
              <w:left w:val="nil"/>
              <w:bottom w:val="nil"/>
              <w:right w:val="single" w:sz="4" w:space="0" w:color="auto"/>
            </w:tcBorders>
            <w:shd w:val="clear" w:color="auto" w:fill="auto"/>
            <w:noWrap/>
            <w:vAlign w:val="bottom"/>
            <w:hideMark/>
          </w:tcPr>
          <w:p w14:paraId="270F332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2,248 </w:t>
            </w:r>
          </w:p>
        </w:tc>
      </w:tr>
      <w:tr w:rsidR="00510EA5" w:rsidRPr="00477D8F" w14:paraId="3FBD132A" w14:textId="77777777" w:rsidTr="00510EA5">
        <w:trPr>
          <w:trHeight w:val="290"/>
        </w:trPr>
        <w:tc>
          <w:tcPr>
            <w:tcW w:w="928" w:type="dxa"/>
            <w:vMerge/>
            <w:tcBorders>
              <w:top w:val="nil"/>
              <w:left w:val="nil"/>
              <w:bottom w:val="nil"/>
              <w:right w:val="nil"/>
            </w:tcBorders>
            <w:vAlign w:val="center"/>
            <w:hideMark/>
          </w:tcPr>
          <w:p w14:paraId="43D5111E"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5FFE90F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Total</w:t>
            </w:r>
          </w:p>
        </w:tc>
        <w:tc>
          <w:tcPr>
            <w:tcW w:w="778" w:type="dxa"/>
            <w:tcBorders>
              <w:top w:val="nil"/>
              <w:left w:val="single" w:sz="4" w:space="0" w:color="auto"/>
              <w:bottom w:val="single" w:sz="4" w:space="0" w:color="auto"/>
              <w:right w:val="nil"/>
            </w:tcBorders>
            <w:shd w:val="clear" w:color="auto" w:fill="auto"/>
            <w:noWrap/>
            <w:vAlign w:val="bottom"/>
            <w:hideMark/>
          </w:tcPr>
          <w:p w14:paraId="440CA1E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7,474 </w:t>
            </w:r>
          </w:p>
        </w:tc>
        <w:tc>
          <w:tcPr>
            <w:tcW w:w="772" w:type="dxa"/>
            <w:tcBorders>
              <w:top w:val="nil"/>
              <w:left w:val="nil"/>
              <w:bottom w:val="single" w:sz="4" w:space="0" w:color="auto"/>
              <w:right w:val="nil"/>
            </w:tcBorders>
            <w:shd w:val="clear" w:color="auto" w:fill="auto"/>
            <w:noWrap/>
            <w:vAlign w:val="bottom"/>
            <w:hideMark/>
          </w:tcPr>
          <w:p w14:paraId="33AD22D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9,059 </w:t>
            </w:r>
          </w:p>
        </w:tc>
        <w:tc>
          <w:tcPr>
            <w:tcW w:w="786" w:type="dxa"/>
            <w:tcBorders>
              <w:top w:val="nil"/>
              <w:left w:val="nil"/>
              <w:bottom w:val="single" w:sz="4" w:space="0" w:color="auto"/>
              <w:right w:val="nil"/>
            </w:tcBorders>
            <w:shd w:val="clear" w:color="auto" w:fill="auto"/>
            <w:noWrap/>
            <w:vAlign w:val="bottom"/>
            <w:hideMark/>
          </w:tcPr>
          <w:p w14:paraId="141F7EB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10,778 </w:t>
            </w:r>
          </w:p>
        </w:tc>
        <w:tc>
          <w:tcPr>
            <w:tcW w:w="792" w:type="dxa"/>
            <w:tcBorders>
              <w:top w:val="nil"/>
              <w:left w:val="nil"/>
              <w:bottom w:val="single" w:sz="4" w:space="0" w:color="auto"/>
              <w:right w:val="single" w:sz="4" w:space="0" w:color="auto"/>
            </w:tcBorders>
            <w:shd w:val="clear" w:color="auto" w:fill="auto"/>
            <w:noWrap/>
            <w:vAlign w:val="bottom"/>
            <w:hideMark/>
          </w:tcPr>
          <w:p w14:paraId="174CBA5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12,457 </w:t>
            </w:r>
          </w:p>
        </w:tc>
        <w:tc>
          <w:tcPr>
            <w:tcW w:w="778" w:type="dxa"/>
            <w:tcBorders>
              <w:top w:val="nil"/>
              <w:left w:val="nil"/>
              <w:bottom w:val="single" w:sz="4" w:space="0" w:color="auto"/>
              <w:right w:val="nil"/>
            </w:tcBorders>
            <w:shd w:val="clear" w:color="auto" w:fill="auto"/>
            <w:noWrap/>
            <w:vAlign w:val="bottom"/>
            <w:hideMark/>
          </w:tcPr>
          <w:p w14:paraId="7595C4F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2,989 </w:t>
            </w:r>
          </w:p>
        </w:tc>
        <w:tc>
          <w:tcPr>
            <w:tcW w:w="772" w:type="dxa"/>
            <w:tcBorders>
              <w:top w:val="nil"/>
              <w:left w:val="nil"/>
              <w:bottom w:val="single" w:sz="4" w:space="0" w:color="auto"/>
              <w:right w:val="nil"/>
            </w:tcBorders>
            <w:shd w:val="clear" w:color="auto" w:fill="auto"/>
            <w:noWrap/>
            <w:vAlign w:val="bottom"/>
            <w:hideMark/>
          </w:tcPr>
          <w:p w14:paraId="0DB13EE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4,699 </w:t>
            </w:r>
          </w:p>
        </w:tc>
        <w:tc>
          <w:tcPr>
            <w:tcW w:w="786" w:type="dxa"/>
            <w:tcBorders>
              <w:top w:val="nil"/>
              <w:left w:val="nil"/>
              <w:bottom w:val="single" w:sz="4" w:space="0" w:color="auto"/>
              <w:right w:val="nil"/>
            </w:tcBorders>
            <w:shd w:val="clear" w:color="auto" w:fill="auto"/>
            <w:noWrap/>
            <w:vAlign w:val="bottom"/>
            <w:hideMark/>
          </w:tcPr>
          <w:p w14:paraId="63C5CB7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8,935 </w:t>
            </w:r>
          </w:p>
        </w:tc>
        <w:tc>
          <w:tcPr>
            <w:tcW w:w="792" w:type="dxa"/>
            <w:tcBorders>
              <w:top w:val="nil"/>
              <w:left w:val="nil"/>
              <w:bottom w:val="single" w:sz="4" w:space="0" w:color="auto"/>
              <w:right w:val="single" w:sz="4" w:space="0" w:color="auto"/>
            </w:tcBorders>
            <w:shd w:val="clear" w:color="auto" w:fill="auto"/>
            <w:noWrap/>
            <w:vAlign w:val="bottom"/>
            <w:hideMark/>
          </w:tcPr>
          <w:p w14:paraId="361ADDD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9,943 </w:t>
            </w:r>
          </w:p>
        </w:tc>
      </w:tr>
      <w:tr w:rsidR="00510EA5" w:rsidRPr="00477D8F" w14:paraId="0C1CC08B" w14:textId="77777777" w:rsidTr="00510EA5">
        <w:trPr>
          <w:trHeight w:val="290"/>
        </w:trPr>
        <w:tc>
          <w:tcPr>
            <w:tcW w:w="928" w:type="dxa"/>
            <w:tcBorders>
              <w:top w:val="single" w:sz="4" w:space="0" w:color="auto"/>
              <w:left w:val="single" w:sz="4" w:space="0" w:color="auto"/>
              <w:bottom w:val="nil"/>
              <w:right w:val="nil"/>
            </w:tcBorders>
            <w:shd w:val="clear" w:color="auto" w:fill="auto"/>
            <w:noWrap/>
            <w:vAlign w:val="bottom"/>
            <w:hideMark/>
          </w:tcPr>
          <w:p w14:paraId="5395037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1828" w:type="dxa"/>
            <w:tcBorders>
              <w:top w:val="single" w:sz="4" w:space="0" w:color="auto"/>
              <w:left w:val="nil"/>
              <w:bottom w:val="nil"/>
              <w:right w:val="nil"/>
            </w:tcBorders>
            <w:shd w:val="clear" w:color="auto" w:fill="auto"/>
            <w:noWrap/>
            <w:vAlign w:val="bottom"/>
            <w:hideMark/>
          </w:tcPr>
          <w:p w14:paraId="16B35BA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78" w:type="dxa"/>
            <w:tcBorders>
              <w:top w:val="nil"/>
              <w:left w:val="single" w:sz="4" w:space="0" w:color="auto"/>
              <w:bottom w:val="nil"/>
              <w:right w:val="nil"/>
            </w:tcBorders>
            <w:shd w:val="clear" w:color="auto" w:fill="auto"/>
            <w:noWrap/>
            <w:vAlign w:val="bottom"/>
            <w:hideMark/>
          </w:tcPr>
          <w:p w14:paraId="79CEF01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72" w:type="dxa"/>
            <w:tcBorders>
              <w:top w:val="nil"/>
              <w:left w:val="nil"/>
              <w:bottom w:val="nil"/>
              <w:right w:val="nil"/>
            </w:tcBorders>
            <w:shd w:val="clear" w:color="auto" w:fill="auto"/>
            <w:noWrap/>
            <w:vAlign w:val="bottom"/>
            <w:hideMark/>
          </w:tcPr>
          <w:p w14:paraId="12DCF8C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6" w:type="dxa"/>
            <w:tcBorders>
              <w:top w:val="nil"/>
              <w:left w:val="nil"/>
              <w:bottom w:val="nil"/>
              <w:right w:val="nil"/>
            </w:tcBorders>
            <w:shd w:val="clear" w:color="auto" w:fill="auto"/>
            <w:noWrap/>
            <w:vAlign w:val="bottom"/>
            <w:hideMark/>
          </w:tcPr>
          <w:p w14:paraId="42407EC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92" w:type="dxa"/>
            <w:tcBorders>
              <w:top w:val="nil"/>
              <w:left w:val="nil"/>
              <w:bottom w:val="nil"/>
              <w:right w:val="single" w:sz="4" w:space="0" w:color="auto"/>
            </w:tcBorders>
            <w:shd w:val="clear" w:color="auto" w:fill="auto"/>
            <w:noWrap/>
            <w:vAlign w:val="bottom"/>
            <w:hideMark/>
          </w:tcPr>
          <w:p w14:paraId="3F4B55C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78" w:type="dxa"/>
            <w:tcBorders>
              <w:top w:val="nil"/>
              <w:left w:val="nil"/>
              <w:bottom w:val="nil"/>
              <w:right w:val="nil"/>
            </w:tcBorders>
            <w:shd w:val="clear" w:color="auto" w:fill="auto"/>
            <w:noWrap/>
            <w:vAlign w:val="bottom"/>
            <w:hideMark/>
          </w:tcPr>
          <w:p w14:paraId="48269ED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72" w:type="dxa"/>
            <w:tcBorders>
              <w:top w:val="nil"/>
              <w:left w:val="nil"/>
              <w:bottom w:val="nil"/>
              <w:right w:val="nil"/>
            </w:tcBorders>
            <w:shd w:val="clear" w:color="auto" w:fill="auto"/>
            <w:noWrap/>
            <w:vAlign w:val="bottom"/>
            <w:hideMark/>
          </w:tcPr>
          <w:p w14:paraId="0CA7848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86" w:type="dxa"/>
            <w:tcBorders>
              <w:top w:val="nil"/>
              <w:left w:val="nil"/>
              <w:bottom w:val="nil"/>
              <w:right w:val="nil"/>
            </w:tcBorders>
            <w:shd w:val="clear" w:color="auto" w:fill="auto"/>
            <w:noWrap/>
            <w:vAlign w:val="bottom"/>
            <w:hideMark/>
          </w:tcPr>
          <w:p w14:paraId="119314C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c>
          <w:tcPr>
            <w:tcW w:w="792" w:type="dxa"/>
            <w:tcBorders>
              <w:top w:val="nil"/>
              <w:left w:val="nil"/>
              <w:bottom w:val="nil"/>
              <w:right w:val="single" w:sz="4" w:space="0" w:color="auto"/>
            </w:tcBorders>
            <w:shd w:val="clear" w:color="auto" w:fill="auto"/>
            <w:noWrap/>
            <w:vAlign w:val="bottom"/>
            <w:hideMark/>
          </w:tcPr>
          <w:p w14:paraId="52907D1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w:t>
            </w:r>
          </w:p>
        </w:tc>
      </w:tr>
      <w:tr w:rsidR="00510EA5" w:rsidRPr="00477D8F" w14:paraId="5C457B67" w14:textId="77777777" w:rsidTr="00510EA5">
        <w:trPr>
          <w:trHeight w:val="290"/>
        </w:trPr>
        <w:tc>
          <w:tcPr>
            <w:tcW w:w="928" w:type="dxa"/>
            <w:vMerge w:val="restart"/>
            <w:tcBorders>
              <w:top w:val="nil"/>
              <w:left w:val="single" w:sz="4" w:space="0" w:color="auto"/>
              <w:bottom w:val="single" w:sz="4" w:space="0" w:color="000000"/>
              <w:right w:val="nil"/>
            </w:tcBorders>
            <w:shd w:val="clear" w:color="auto" w:fill="auto"/>
            <w:noWrap/>
            <w:hideMark/>
          </w:tcPr>
          <w:p w14:paraId="46134367" w14:textId="77777777" w:rsidR="00510EA5" w:rsidRPr="00477D8F" w:rsidRDefault="00510EA5" w:rsidP="00510EA5">
            <w:pPr>
              <w:spacing w:after="0" w:line="240" w:lineRule="auto"/>
              <w:jc w:val="center"/>
              <w:rPr>
                <w:rFonts w:ascii="Calibri" w:eastAsia="Times New Roman" w:hAnsi="Calibri" w:cs="Calibri"/>
                <w:color w:val="000000"/>
                <w:sz w:val="18"/>
                <w:szCs w:val="18"/>
              </w:rPr>
            </w:pPr>
            <w:r w:rsidRPr="00477D8F">
              <w:rPr>
                <w:rFonts w:ascii="Calibri" w:eastAsia="Times New Roman" w:hAnsi="Calibri" w:cs="Calibri"/>
                <w:color w:val="000000"/>
                <w:sz w:val="18"/>
                <w:szCs w:val="18"/>
              </w:rPr>
              <w:t>Low</w:t>
            </w:r>
          </w:p>
        </w:tc>
        <w:tc>
          <w:tcPr>
            <w:tcW w:w="1828" w:type="dxa"/>
            <w:tcBorders>
              <w:top w:val="nil"/>
              <w:left w:val="nil"/>
              <w:bottom w:val="nil"/>
              <w:right w:val="nil"/>
            </w:tcBorders>
            <w:shd w:val="clear" w:color="auto" w:fill="auto"/>
            <w:noWrap/>
            <w:vAlign w:val="bottom"/>
            <w:hideMark/>
          </w:tcPr>
          <w:p w14:paraId="6C0D950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ECD</w:t>
            </w:r>
          </w:p>
        </w:tc>
        <w:tc>
          <w:tcPr>
            <w:tcW w:w="778" w:type="dxa"/>
            <w:tcBorders>
              <w:top w:val="nil"/>
              <w:left w:val="single" w:sz="4" w:space="0" w:color="auto"/>
              <w:bottom w:val="nil"/>
              <w:right w:val="nil"/>
            </w:tcBorders>
            <w:shd w:val="clear" w:color="auto" w:fill="auto"/>
            <w:noWrap/>
            <w:vAlign w:val="bottom"/>
            <w:hideMark/>
          </w:tcPr>
          <w:p w14:paraId="601AA90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420 </w:t>
            </w:r>
          </w:p>
        </w:tc>
        <w:tc>
          <w:tcPr>
            <w:tcW w:w="772" w:type="dxa"/>
            <w:tcBorders>
              <w:top w:val="nil"/>
              <w:left w:val="nil"/>
              <w:bottom w:val="nil"/>
              <w:right w:val="nil"/>
            </w:tcBorders>
            <w:shd w:val="clear" w:color="auto" w:fill="auto"/>
            <w:noWrap/>
            <w:vAlign w:val="bottom"/>
            <w:hideMark/>
          </w:tcPr>
          <w:p w14:paraId="79D40F1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476 </w:t>
            </w:r>
          </w:p>
        </w:tc>
        <w:tc>
          <w:tcPr>
            <w:tcW w:w="786" w:type="dxa"/>
            <w:tcBorders>
              <w:top w:val="nil"/>
              <w:left w:val="nil"/>
              <w:bottom w:val="nil"/>
              <w:right w:val="nil"/>
            </w:tcBorders>
            <w:shd w:val="clear" w:color="auto" w:fill="auto"/>
            <w:noWrap/>
            <w:vAlign w:val="bottom"/>
            <w:hideMark/>
          </w:tcPr>
          <w:p w14:paraId="5753EE7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525 </w:t>
            </w:r>
          </w:p>
        </w:tc>
        <w:tc>
          <w:tcPr>
            <w:tcW w:w="792" w:type="dxa"/>
            <w:tcBorders>
              <w:top w:val="nil"/>
              <w:left w:val="nil"/>
              <w:bottom w:val="nil"/>
              <w:right w:val="single" w:sz="4" w:space="0" w:color="auto"/>
            </w:tcBorders>
            <w:shd w:val="clear" w:color="auto" w:fill="auto"/>
            <w:noWrap/>
            <w:vAlign w:val="bottom"/>
            <w:hideMark/>
          </w:tcPr>
          <w:p w14:paraId="49F0816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612 </w:t>
            </w:r>
          </w:p>
        </w:tc>
        <w:tc>
          <w:tcPr>
            <w:tcW w:w="778" w:type="dxa"/>
            <w:tcBorders>
              <w:top w:val="nil"/>
              <w:left w:val="nil"/>
              <w:bottom w:val="nil"/>
              <w:right w:val="nil"/>
            </w:tcBorders>
            <w:shd w:val="clear" w:color="auto" w:fill="auto"/>
            <w:noWrap/>
            <w:vAlign w:val="bottom"/>
            <w:hideMark/>
          </w:tcPr>
          <w:p w14:paraId="2AA055E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47 </w:t>
            </w:r>
          </w:p>
        </w:tc>
        <w:tc>
          <w:tcPr>
            <w:tcW w:w="772" w:type="dxa"/>
            <w:tcBorders>
              <w:top w:val="nil"/>
              <w:left w:val="nil"/>
              <w:bottom w:val="nil"/>
              <w:right w:val="nil"/>
            </w:tcBorders>
            <w:shd w:val="clear" w:color="auto" w:fill="auto"/>
            <w:noWrap/>
            <w:vAlign w:val="bottom"/>
            <w:hideMark/>
          </w:tcPr>
          <w:p w14:paraId="640B8B4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58 </w:t>
            </w:r>
          </w:p>
        </w:tc>
        <w:tc>
          <w:tcPr>
            <w:tcW w:w="786" w:type="dxa"/>
            <w:tcBorders>
              <w:top w:val="nil"/>
              <w:left w:val="nil"/>
              <w:bottom w:val="nil"/>
              <w:right w:val="nil"/>
            </w:tcBorders>
            <w:shd w:val="clear" w:color="auto" w:fill="auto"/>
            <w:noWrap/>
            <w:vAlign w:val="bottom"/>
            <w:hideMark/>
          </w:tcPr>
          <w:p w14:paraId="29EBFEC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130 </w:t>
            </w:r>
          </w:p>
        </w:tc>
        <w:tc>
          <w:tcPr>
            <w:tcW w:w="792" w:type="dxa"/>
            <w:tcBorders>
              <w:top w:val="nil"/>
              <w:left w:val="nil"/>
              <w:bottom w:val="nil"/>
              <w:right w:val="single" w:sz="4" w:space="0" w:color="auto"/>
            </w:tcBorders>
            <w:shd w:val="clear" w:color="auto" w:fill="auto"/>
            <w:noWrap/>
            <w:vAlign w:val="bottom"/>
            <w:hideMark/>
          </w:tcPr>
          <w:p w14:paraId="5D9946F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89 </w:t>
            </w:r>
          </w:p>
        </w:tc>
      </w:tr>
      <w:tr w:rsidR="00510EA5" w:rsidRPr="00477D8F" w14:paraId="535C22D8"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709C054B"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2C83F726"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Primary</w:t>
            </w:r>
          </w:p>
        </w:tc>
        <w:tc>
          <w:tcPr>
            <w:tcW w:w="778" w:type="dxa"/>
            <w:tcBorders>
              <w:top w:val="nil"/>
              <w:left w:val="single" w:sz="4" w:space="0" w:color="auto"/>
              <w:bottom w:val="nil"/>
              <w:right w:val="nil"/>
            </w:tcBorders>
            <w:shd w:val="clear" w:color="auto" w:fill="auto"/>
            <w:noWrap/>
            <w:vAlign w:val="bottom"/>
            <w:hideMark/>
          </w:tcPr>
          <w:p w14:paraId="5DAD2BA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4,402 </w:t>
            </w:r>
          </w:p>
        </w:tc>
        <w:tc>
          <w:tcPr>
            <w:tcW w:w="772" w:type="dxa"/>
            <w:tcBorders>
              <w:top w:val="nil"/>
              <w:left w:val="nil"/>
              <w:bottom w:val="nil"/>
              <w:right w:val="nil"/>
            </w:tcBorders>
            <w:shd w:val="clear" w:color="auto" w:fill="auto"/>
            <w:noWrap/>
            <w:vAlign w:val="bottom"/>
            <w:hideMark/>
          </w:tcPr>
          <w:p w14:paraId="5771282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5,713 </w:t>
            </w:r>
          </w:p>
        </w:tc>
        <w:tc>
          <w:tcPr>
            <w:tcW w:w="786" w:type="dxa"/>
            <w:tcBorders>
              <w:top w:val="nil"/>
              <w:left w:val="nil"/>
              <w:bottom w:val="nil"/>
              <w:right w:val="nil"/>
            </w:tcBorders>
            <w:shd w:val="clear" w:color="auto" w:fill="auto"/>
            <w:noWrap/>
            <w:vAlign w:val="bottom"/>
            <w:hideMark/>
          </w:tcPr>
          <w:p w14:paraId="2B1EECC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6,502 </w:t>
            </w:r>
          </w:p>
        </w:tc>
        <w:tc>
          <w:tcPr>
            <w:tcW w:w="792" w:type="dxa"/>
            <w:tcBorders>
              <w:top w:val="nil"/>
              <w:left w:val="nil"/>
              <w:bottom w:val="nil"/>
              <w:right w:val="single" w:sz="4" w:space="0" w:color="auto"/>
            </w:tcBorders>
            <w:shd w:val="clear" w:color="auto" w:fill="auto"/>
            <w:noWrap/>
            <w:vAlign w:val="bottom"/>
            <w:hideMark/>
          </w:tcPr>
          <w:p w14:paraId="5C6EBBD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7,384 </w:t>
            </w:r>
          </w:p>
        </w:tc>
        <w:tc>
          <w:tcPr>
            <w:tcW w:w="778" w:type="dxa"/>
            <w:tcBorders>
              <w:top w:val="nil"/>
              <w:left w:val="nil"/>
              <w:bottom w:val="nil"/>
              <w:right w:val="nil"/>
            </w:tcBorders>
            <w:shd w:val="clear" w:color="auto" w:fill="auto"/>
            <w:noWrap/>
            <w:vAlign w:val="bottom"/>
            <w:hideMark/>
          </w:tcPr>
          <w:p w14:paraId="1F28819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489 </w:t>
            </w:r>
          </w:p>
        </w:tc>
        <w:tc>
          <w:tcPr>
            <w:tcW w:w="772" w:type="dxa"/>
            <w:tcBorders>
              <w:top w:val="nil"/>
              <w:left w:val="nil"/>
              <w:bottom w:val="nil"/>
              <w:right w:val="nil"/>
            </w:tcBorders>
            <w:shd w:val="clear" w:color="auto" w:fill="auto"/>
            <w:noWrap/>
            <w:vAlign w:val="bottom"/>
            <w:hideMark/>
          </w:tcPr>
          <w:p w14:paraId="6FFF717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700 </w:t>
            </w:r>
          </w:p>
        </w:tc>
        <w:tc>
          <w:tcPr>
            <w:tcW w:w="786" w:type="dxa"/>
            <w:tcBorders>
              <w:top w:val="nil"/>
              <w:left w:val="nil"/>
              <w:bottom w:val="nil"/>
              <w:right w:val="nil"/>
            </w:tcBorders>
            <w:shd w:val="clear" w:color="auto" w:fill="auto"/>
            <w:noWrap/>
            <w:vAlign w:val="bottom"/>
            <w:hideMark/>
          </w:tcPr>
          <w:p w14:paraId="35AFC6C1"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1,611 </w:t>
            </w:r>
          </w:p>
        </w:tc>
        <w:tc>
          <w:tcPr>
            <w:tcW w:w="792" w:type="dxa"/>
            <w:tcBorders>
              <w:top w:val="nil"/>
              <w:left w:val="nil"/>
              <w:bottom w:val="nil"/>
              <w:right w:val="single" w:sz="4" w:space="0" w:color="auto"/>
            </w:tcBorders>
            <w:shd w:val="clear" w:color="auto" w:fill="auto"/>
            <w:noWrap/>
            <w:vAlign w:val="bottom"/>
            <w:hideMark/>
          </w:tcPr>
          <w:p w14:paraId="3368B7B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1,071 </w:t>
            </w:r>
          </w:p>
        </w:tc>
      </w:tr>
      <w:tr w:rsidR="00510EA5" w:rsidRPr="00477D8F" w14:paraId="7EA6080C"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10B1A9FD"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0AD3098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Lower Secondary</w:t>
            </w:r>
          </w:p>
        </w:tc>
        <w:tc>
          <w:tcPr>
            <w:tcW w:w="778" w:type="dxa"/>
            <w:tcBorders>
              <w:top w:val="nil"/>
              <w:left w:val="single" w:sz="4" w:space="0" w:color="auto"/>
              <w:bottom w:val="nil"/>
              <w:right w:val="nil"/>
            </w:tcBorders>
            <w:shd w:val="clear" w:color="auto" w:fill="auto"/>
            <w:noWrap/>
            <w:vAlign w:val="bottom"/>
            <w:hideMark/>
          </w:tcPr>
          <w:p w14:paraId="5D20755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2,327 </w:t>
            </w:r>
          </w:p>
        </w:tc>
        <w:tc>
          <w:tcPr>
            <w:tcW w:w="772" w:type="dxa"/>
            <w:tcBorders>
              <w:top w:val="nil"/>
              <w:left w:val="nil"/>
              <w:bottom w:val="nil"/>
              <w:right w:val="nil"/>
            </w:tcBorders>
            <w:shd w:val="clear" w:color="auto" w:fill="auto"/>
            <w:noWrap/>
            <w:vAlign w:val="bottom"/>
            <w:hideMark/>
          </w:tcPr>
          <w:p w14:paraId="4142CF3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2,474 </w:t>
            </w:r>
          </w:p>
        </w:tc>
        <w:tc>
          <w:tcPr>
            <w:tcW w:w="786" w:type="dxa"/>
            <w:tcBorders>
              <w:top w:val="nil"/>
              <w:left w:val="nil"/>
              <w:bottom w:val="nil"/>
              <w:right w:val="nil"/>
            </w:tcBorders>
            <w:shd w:val="clear" w:color="auto" w:fill="auto"/>
            <w:noWrap/>
            <w:vAlign w:val="bottom"/>
            <w:hideMark/>
          </w:tcPr>
          <w:p w14:paraId="3B1462C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3,312 </w:t>
            </w:r>
          </w:p>
        </w:tc>
        <w:tc>
          <w:tcPr>
            <w:tcW w:w="792" w:type="dxa"/>
            <w:tcBorders>
              <w:top w:val="nil"/>
              <w:left w:val="nil"/>
              <w:bottom w:val="nil"/>
              <w:right w:val="single" w:sz="4" w:space="0" w:color="auto"/>
            </w:tcBorders>
            <w:shd w:val="clear" w:color="auto" w:fill="auto"/>
            <w:noWrap/>
            <w:vAlign w:val="bottom"/>
            <w:hideMark/>
          </w:tcPr>
          <w:p w14:paraId="181F029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3,950 </w:t>
            </w:r>
          </w:p>
        </w:tc>
        <w:tc>
          <w:tcPr>
            <w:tcW w:w="778" w:type="dxa"/>
            <w:tcBorders>
              <w:top w:val="nil"/>
              <w:left w:val="nil"/>
              <w:bottom w:val="nil"/>
              <w:right w:val="nil"/>
            </w:tcBorders>
            <w:shd w:val="clear" w:color="auto" w:fill="auto"/>
            <w:noWrap/>
            <w:vAlign w:val="bottom"/>
            <w:hideMark/>
          </w:tcPr>
          <w:p w14:paraId="78B2B2C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258 </w:t>
            </w:r>
          </w:p>
        </w:tc>
        <w:tc>
          <w:tcPr>
            <w:tcW w:w="772" w:type="dxa"/>
            <w:tcBorders>
              <w:top w:val="nil"/>
              <w:left w:val="nil"/>
              <w:bottom w:val="nil"/>
              <w:right w:val="nil"/>
            </w:tcBorders>
            <w:shd w:val="clear" w:color="auto" w:fill="auto"/>
            <w:noWrap/>
            <w:vAlign w:val="bottom"/>
            <w:hideMark/>
          </w:tcPr>
          <w:p w14:paraId="7A81029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303 </w:t>
            </w:r>
          </w:p>
        </w:tc>
        <w:tc>
          <w:tcPr>
            <w:tcW w:w="786" w:type="dxa"/>
            <w:tcBorders>
              <w:top w:val="nil"/>
              <w:left w:val="nil"/>
              <w:bottom w:val="nil"/>
              <w:right w:val="nil"/>
            </w:tcBorders>
            <w:shd w:val="clear" w:color="auto" w:fill="auto"/>
            <w:noWrap/>
            <w:vAlign w:val="bottom"/>
            <w:hideMark/>
          </w:tcPr>
          <w:p w14:paraId="424D183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821 </w:t>
            </w:r>
          </w:p>
        </w:tc>
        <w:tc>
          <w:tcPr>
            <w:tcW w:w="792" w:type="dxa"/>
            <w:tcBorders>
              <w:top w:val="nil"/>
              <w:left w:val="nil"/>
              <w:bottom w:val="nil"/>
              <w:right w:val="single" w:sz="4" w:space="0" w:color="auto"/>
            </w:tcBorders>
            <w:shd w:val="clear" w:color="auto" w:fill="auto"/>
            <w:noWrap/>
            <w:vAlign w:val="bottom"/>
            <w:hideMark/>
          </w:tcPr>
          <w:p w14:paraId="22A7138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573 </w:t>
            </w:r>
          </w:p>
        </w:tc>
      </w:tr>
      <w:tr w:rsidR="00510EA5" w:rsidRPr="00477D8F" w14:paraId="4B2BB1E2"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428FAFEB"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1D5C921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Senior secondary</w:t>
            </w:r>
          </w:p>
        </w:tc>
        <w:tc>
          <w:tcPr>
            <w:tcW w:w="778" w:type="dxa"/>
            <w:tcBorders>
              <w:top w:val="nil"/>
              <w:left w:val="single" w:sz="4" w:space="0" w:color="auto"/>
              <w:bottom w:val="nil"/>
              <w:right w:val="nil"/>
            </w:tcBorders>
            <w:shd w:val="clear" w:color="auto" w:fill="auto"/>
            <w:noWrap/>
            <w:vAlign w:val="bottom"/>
            <w:hideMark/>
          </w:tcPr>
          <w:p w14:paraId="035CDC9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103 </w:t>
            </w:r>
          </w:p>
        </w:tc>
        <w:tc>
          <w:tcPr>
            <w:tcW w:w="772" w:type="dxa"/>
            <w:tcBorders>
              <w:top w:val="nil"/>
              <w:left w:val="nil"/>
              <w:bottom w:val="nil"/>
              <w:right w:val="nil"/>
            </w:tcBorders>
            <w:shd w:val="clear" w:color="auto" w:fill="auto"/>
            <w:noWrap/>
            <w:vAlign w:val="bottom"/>
            <w:hideMark/>
          </w:tcPr>
          <w:p w14:paraId="1C873FB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103 </w:t>
            </w:r>
          </w:p>
        </w:tc>
        <w:tc>
          <w:tcPr>
            <w:tcW w:w="786" w:type="dxa"/>
            <w:tcBorders>
              <w:top w:val="nil"/>
              <w:left w:val="nil"/>
              <w:bottom w:val="nil"/>
              <w:right w:val="nil"/>
            </w:tcBorders>
            <w:shd w:val="clear" w:color="auto" w:fill="auto"/>
            <w:noWrap/>
            <w:vAlign w:val="bottom"/>
            <w:hideMark/>
          </w:tcPr>
          <w:p w14:paraId="0BA4CF97"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119 </w:t>
            </w:r>
          </w:p>
        </w:tc>
        <w:tc>
          <w:tcPr>
            <w:tcW w:w="792" w:type="dxa"/>
            <w:tcBorders>
              <w:top w:val="nil"/>
              <w:left w:val="nil"/>
              <w:bottom w:val="nil"/>
              <w:right w:val="single" w:sz="4" w:space="0" w:color="auto"/>
            </w:tcBorders>
            <w:shd w:val="clear" w:color="auto" w:fill="auto"/>
            <w:noWrap/>
            <w:vAlign w:val="bottom"/>
            <w:hideMark/>
          </w:tcPr>
          <w:p w14:paraId="4CBC817D"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163 </w:t>
            </w:r>
          </w:p>
        </w:tc>
        <w:tc>
          <w:tcPr>
            <w:tcW w:w="778" w:type="dxa"/>
            <w:tcBorders>
              <w:top w:val="nil"/>
              <w:left w:val="nil"/>
              <w:bottom w:val="nil"/>
              <w:right w:val="nil"/>
            </w:tcBorders>
            <w:shd w:val="clear" w:color="auto" w:fill="auto"/>
            <w:noWrap/>
            <w:vAlign w:val="bottom"/>
            <w:hideMark/>
          </w:tcPr>
          <w:p w14:paraId="76C063A3"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1,126 </w:t>
            </w:r>
          </w:p>
        </w:tc>
        <w:tc>
          <w:tcPr>
            <w:tcW w:w="772" w:type="dxa"/>
            <w:tcBorders>
              <w:top w:val="nil"/>
              <w:left w:val="nil"/>
              <w:bottom w:val="nil"/>
              <w:right w:val="nil"/>
            </w:tcBorders>
            <w:shd w:val="clear" w:color="auto" w:fill="auto"/>
            <w:noWrap/>
            <w:vAlign w:val="bottom"/>
            <w:hideMark/>
          </w:tcPr>
          <w:p w14:paraId="4DBB4C24"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1,146 </w:t>
            </w:r>
          </w:p>
        </w:tc>
        <w:tc>
          <w:tcPr>
            <w:tcW w:w="786" w:type="dxa"/>
            <w:tcBorders>
              <w:top w:val="nil"/>
              <w:left w:val="nil"/>
              <w:bottom w:val="nil"/>
              <w:right w:val="nil"/>
            </w:tcBorders>
            <w:shd w:val="clear" w:color="auto" w:fill="auto"/>
            <w:noWrap/>
            <w:vAlign w:val="bottom"/>
            <w:hideMark/>
          </w:tcPr>
          <w:p w14:paraId="2564D885"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1,477 </w:t>
            </w:r>
          </w:p>
        </w:tc>
        <w:tc>
          <w:tcPr>
            <w:tcW w:w="792" w:type="dxa"/>
            <w:tcBorders>
              <w:top w:val="nil"/>
              <w:left w:val="nil"/>
              <w:bottom w:val="nil"/>
              <w:right w:val="single" w:sz="4" w:space="0" w:color="auto"/>
            </w:tcBorders>
            <w:shd w:val="clear" w:color="auto" w:fill="auto"/>
            <w:noWrap/>
            <w:vAlign w:val="bottom"/>
            <w:hideMark/>
          </w:tcPr>
          <w:p w14:paraId="28D33F2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1,849 </w:t>
            </w:r>
          </w:p>
        </w:tc>
      </w:tr>
      <w:tr w:rsidR="00510EA5" w:rsidRPr="00477D8F" w14:paraId="717A530C"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665413B3"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nil"/>
              <w:right w:val="nil"/>
            </w:tcBorders>
            <w:shd w:val="clear" w:color="auto" w:fill="auto"/>
            <w:noWrap/>
            <w:vAlign w:val="bottom"/>
            <w:hideMark/>
          </w:tcPr>
          <w:p w14:paraId="4284A9B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Higher Education</w:t>
            </w:r>
          </w:p>
        </w:tc>
        <w:tc>
          <w:tcPr>
            <w:tcW w:w="778" w:type="dxa"/>
            <w:tcBorders>
              <w:top w:val="nil"/>
              <w:left w:val="single" w:sz="4" w:space="0" w:color="auto"/>
              <w:bottom w:val="nil"/>
              <w:right w:val="nil"/>
            </w:tcBorders>
            <w:shd w:val="clear" w:color="auto" w:fill="auto"/>
            <w:noWrap/>
            <w:vAlign w:val="bottom"/>
            <w:hideMark/>
          </w:tcPr>
          <w:p w14:paraId="7670D78E"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223 </w:t>
            </w:r>
          </w:p>
        </w:tc>
        <w:tc>
          <w:tcPr>
            <w:tcW w:w="772" w:type="dxa"/>
            <w:tcBorders>
              <w:top w:val="nil"/>
              <w:left w:val="nil"/>
              <w:bottom w:val="nil"/>
              <w:right w:val="nil"/>
            </w:tcBorders>
            <w:shd w:val="clear" w:color="auto" w:fill="auto"/>
            <w:noWrap/>
            <w:vAlign w:val="bottom"/>
            <w:hideMark/>
          </w:tcPr>
          <w:p w14:paraId="620A544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264 </w:t>
            </w:r>
          </w:p>
        </w:tc>
        <w:tc>
          <w:tcPr>
            <w:tcW w:w="786" w:type="dxa"/>
            <w:tcBorders>
              <w:top w:val="nil"/>
              <w:left w:val="nil"/>
              <w:bottom w:val="nil"/>
              <w:right w:val="nil"/>
            </w:tcBorders>
            <w:shd w:val="clear" w:color="auto" w:fill="auto"/>
            <w:noWrap/>
            <w:vAlign w:val="bottom"/>
            <w:hideMark/>
          </w:tcPr>
          <w:p w14:paraId="414F0A3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305 </w:t>
            </w:r>
          </w:p>
        </w:tc>
        <w:tc>
          <w:tcPr>
            <w:tcW w:w="792" w:type="dxa"/>
            <w:tcBorders>
              <w:top w:val="nil"/>
              <w:left w:val="nil"/>
              <w:bottom w:val="nil"/>
              <w:right w:val="single" w:sz="4" w:space="0" w:color="auto"/>
            </w:tcBorders>
            <w:shd w:val="clear" w:color="auto" w:fill="auto"/>
            <w:noWrap/>
            <w:vAlign w:val="bottom"/>
            <w:hideMark/>
          </w:tcPr>
          <w:p w14:paraId="1047E090"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371 </w:t>
            </w:r>
          </w:p>
        </w:tc>
        <w:tc>
          <w:tcPr>
            <w:tcW w:w="778" w:type="dxa"/>
            <w:tcBorders>
              <w:top w:val="nil"/>
              <w:left w:val="nil"/>
              <w:bottom w:val="nil"/>
              <w:right w:val="nil"/>
            </w:tcBorders>
            <w:shd w:val="clear" w:color="auto" w:fill="auto"/>
            <w:noWrap/>
            <w:vAlign w:val="bottom"/>
            <w:hideMark/>
          </w:tcPr>
          <w:p w14:paraId="307E9C1A"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1,069 </w:t>
            </w:r>
          </w:p>
        </w:tc>
        <w:tc>
          <w:tcPr>
            <w:tcW w:w="772" w:type="dxa"/>
            <w:tcBorders>
              <w:top w:val="nil"/>
              <w:left w:val="nil"/>
              <w:bottom w:val="nil"/>
              <w:right w:val="nil"/>
            </w:tcBorders>
            <w:shd w:val="clear" w:color="auto" w:fill="auto"/>
            <w:noWrap/>
            <w:vAlign w:val="bottom"/>
            <w:hideMark/>
          </w:tcPr>
          <w:p w14:paraId="0437563C"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1,283 </w:t>
            </w:r>
          </w:p>
        </w:tc>
        <w:tc>
          <w:tcPr>
            <w:tcW w:w="786" w:type="dxa"/>
            <w:tcBorders>
              <w:top w:val="nil"/>
              <w:left w:val="nil"/>
              <w:bottom w:val="nil"/>
              <w:right w:val="nil"/>
            </w:tcBorders>
            <w:shd w:val="clear" w:color="auto" w:fill="auto"/>
            <w:noWrap/>
            <w:vAlign w:val="bottom"/>
            <w:hideMark/>
          </w:tcPr>
          <w:p w14:paraId="59F3E588"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1,680 </w:t>
            </w:r>
          </w:p>
        </w:tc>
        <w:tc>
          <w:tcPr>
            <w:tcW w:w="792" w:type="dxa"/>
            <w:tcBorders>
              <w:top w:val="nil"/>
              <w:left w:val="nil"/>
              <w:bottom w:val="nil"/>
              <w:right w:val="single" w:sz="4" w:space="0" w:color="auto"/>
            </w:tcBorders>
            <w:shd w:val="clear" w:color="auto" w:fill="auto"/>
            <w:noWrap/>
            <w:vAlign w:val="bottom"/>
            <w:hideMark/>
          </w:tcPr>
          <w:p w14:paraId="7CB972E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1,848 </w:t>
            </w:r>
          </w:p>
        </w:tc>
      </w:tr>
      <w:tr w:rsidR="00510EA5" w:rsidRPr="00477D8F" w14:paraId="43BFBA4D"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7CD0DDAE" w14:textId="77777777" w:rsidR="00510EA5" w:rsidRPr="00477D8F" w:rsidRDefault="00510EA5" w:rsidP="00510EA5">
            <w:pPr>
              <w:spacing w:after="0" w:line="240" w:lineRule="auto"/>
              <w:rPr>
                <w:rFonts w:ascii="Calibri" w:eastAsia="Times New Roman" w:hAnsi="Calibri" w:cs="Calibri"/>
                <w:color w:val="000000"/>
                <w:sz w:val="18"/>
                <w:szCs w:val="18"/>
              </w:rPr>
            </w:pPr>
          </w:p>
        </w:tc>
        <w:tc>
          <w:tcPr>
            <w:tcW w:w="1828" w:type="dxa"/>
            <w:tcBorders>
              <w:top w:val="nil"/>
              <w:left w:val="nil"/>
              <w:bottom w:val="single" w:sz="4" w:space="0" w:color="auto"/>
              <w:right w:val="nil"/>
            </w:tcBorders>
            <w:shd w:val="clear" w:color="auto" w:fill="auto"/>
            <w:noWrap/>
            <w:vAlign w:val="bottom"/>
            <w:hideMark/>
          </w:tcPr>
          <w:p w14:paraId="73D552D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Total</w:t>
            </w:r>
          </w:p>
        </w:tc>
        <w:tc>
          <w:tcPr>
            <w:tcW w:w="778" w:type="dxa"/>
            <w:tcBorders>
              <w:top w:val="nil"/>
              <w:left w:val="single" w:sz="4" w:space="0" w:color="auto"/>
              <w:bottom w:val="single" w:sz="4" w:space="0" w:color="auto"/>
              <w:right w:val="nil"/>
            </w:tcBorders>
            <w:shd w:val="clear" w:color="auto" w:fill="auto"/>
            <w:noWrap/>
            <w:vAlign w:val="bottom"/>
            <w:hideMark/>
          </w:tcPr>
          <w:p w14:paraId="59D730C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7,474 </w:t>
            </w:r>
          </w:p>
        </w:tc>
        <w:tc>
          <w:tcPr>
            <w:tcW w:w="772" w:type="dxa"/>
            <w:tcBorders>
              <w:top w:val="nil"/>
              <w:left w:val="nil"/>
              <w:bottom w:val="single" w:sz="4" w:space="0" w:color="auto"/>
              <w:right w:val="nil"/>
            </w:tcBorders>
            <w:shd w:val="clear" w:color="auto" w:fill="auto"/>
            <w:noWrap/>
            <w:vAlign w:val="bottom"/>
            <w:hideMark/>
          </w:tcPr>
          <w:p w14:paraId="2F784C0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9,029 </w:t>
            </w:r>
          </w:p>
        </w:tc>
        <w:tc>
          <w:tcPr>
            <w:tcW w:w="786" w:type="dxa"/>
            <w:tcBorders>
              <w:top w:val="nil"/>
              <w:left w:val="nil"/>
              <w:bottom w:val="single" w:sz="4" w:space="0" w:color="auto"/>
              <w:right w:val="nil"/>
            </w:tcBorders>
            <w:shd w:val="clear" w:color="auto" w:fill="auto"/>
            <w:noWrap/>
            <w:vAlign w:val="bottom"/>
            <w:hideMark/>
          </w:tcPr>
          <w:p w14:paraId="350A097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10,762 </w:t>
            </w:r>
          </w:p>
        </w:tc>
        <w:tc>
          <w:tcPr>
            <w:tcW w:w="792" w:type="dxa"/>
            <w:tcBorders>
              <w:top w:val="nil"/>
              <w:left w:val="nil"/>
              <w:bottom w:val="single" w:sz="4" w:space="0" w:color="auto"/>
              <w:right w:val="single" w:sz="4" w:space="0" w:color="auto"/>
            </w:tcBorders>
            <w:shd w:val="clear" w:color="auto" w:fill="auto"/>
            <w:noWrap/>
            <w:vAlign w:val="bottom"/>
            <w:hideMark/>
          </w:tcPr>
          <w:p w14:paraId="5D1A7219"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12,480 </w:t>
            </w:r>
          </w:p>
        </w:tc>
        <w:tc>
          <w:tcPr>
            <w:tcW w:w="778" w:type="dxa"/>
            <w:tcBorders>
              <w:top w:val="nil"/>
              <w:left w:val="nil"/>
              <w:bottom w:val="single" w:sz="4" w:space="0" w:color="auto"/>
              <w:right w:val="nil"/>
            </w:tcBorders>
            <w:shd w:val="clear" w:color="auto" w:fill="auto"/>
            <w:noWrap/>
            <w:vAlign w:val="bottom"/>
            <w:hideMark/>
          </w:tcPr>
          <w:p w14:paraId="5A980EAF"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2,989 </w:t>
            </w:r>
          </w:p>
        </w:tc>
        <w:tc>
          <w:tcPr>
            <w:tcW w:w="772" w:type="dxa"/>
            <w:tcBorders>
              <w:top w:val="nil"/>
              <w:left w:val="nil"/>
              <w:bottom w:val="single" w:sz="4" w:space="0" w:color="auto"/>
              <w:right w:val="nil"/>
            </w:tcBorders>
            <w:shd w:val="clear" w:color="auto" w:fill="auto"/>
            <w:noWrap/>
            <w:vAlign w:val="bottom"/>
            <w:hideMark/>
          </w:tcPr>
          <w:p w14:paraId="1678351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3,491 </w:t>
            </w:r>
          </w:p>
        </w:tc>
        <w:tc>
          <w:tcPr>
            <w:tcW w:w="786" w:type="dxa"/>
            <w:tcBorders>
              <w:top w:val="nil"/>
              <w:left w:val="nil"/>
              <w:bottom w:val="single" w:sz="4" w:space="0" w:color="auto"/>
              <w:right w:val="nil"/>
            </w:tcBorders>
            <w:shd w:val="clear" w:color="auto" w:fill="auto"/>
            <w:noWrap/>
            <w:vAlign w:val="bottom"/>
            <w:hideMark/>
          </w:tcPr>
          <w:p w14:paraId="1C9A0502"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5,719 </w:t>
            </w:r>
          </w:p>
        </w:tc>
        <w:tc>
          <w:tcPr>
            <w:tcW w:w="792" w:type="dxa"/>
            <w:tcBorders>
              <w:top w:val="nil"/>
              <w:left w:val="nil"/>
              <w:bottom w:val="single" w:sz="4" w:space="0" w:color="auto"/>
              <w:right w:val="single" w:sz="4" w:space="0" w:color="auto"/>
            </w:tcBorders>
            <w:shd w:val="clear" w:color="auto" w:fill="auto"/>
            <w:noWrap/>
            <w:vAlign w:val="bottom"/>
            <w:hideMark/>
          </w:tcPr>
          <w:p w14:paraId="5BBEDA0B" w14:textId="77777777" w:rsidR="00510EA5" w:rsidRPr="00477D8F" w:rsidRDefault="00510EA5" w:rsidP="00510EA5">
            <w:pPr>
              <w:spacing w:after="0" w:line="240" w:lineRule="auto"/>
              <w:rPr>
                <w:rFonts w:ascii="Calibri" w:eastAsia="Times New Roman" w:hAnsi="Calibri" w:cs="Calibri"/>
                <w:color w:val="000000"/>
                <w:sz w:val="18"/>
                <w:szCs w:val="18"/>
              </w:rPr>
            </w:pPr>
            <w:r w:rsidRPr="00477D8F">
              <w:rPr>
                <w:rFonts w:ascii="Calibri" w:eastAsia="Times New Roman" w:hAnsi="Calibri" w:cs="Calibri"/>
                <w:color w:val="000000"/>
                <w:sz w:val="18"/>
                <w:szCs w:val="18"/>
              </w:rPr>
              <w:t xml:space="preserve">   5,430 </w:t>
            </w:r>
          </w:p>
        </w:tc>
      </w:tr>
    </w:tbl>
    <w:p w14:paraId="6EE41C23" w14:textId="669F4789" w:rsidR="00510EA5" w:rsidRPr="00477D8F" w:rsidRDefault="00510EA5" w:rsidP="00480421">
      <w:pPr>
        <w:jc w:val="both"/>
        <w:rPr>
          <w:rFonts w:ascii="Sylfaen" w:eastAsiaTheme="majorEastAsia" w:hAnsi="Sylfaen" w:cstheme="majorBidi"/>
          <w:bCs/>
        </w:rPr>
      </w:pPr>
    </w:p>
    <w:p w14:paraId="07883574" w14:textId="3A7C2F7D" w:rsidR="00510EA5" w:rsidRPr="00477D8F" w:rsidRDefault="00510EA5" w:rsidP="00480421">
      <w:pPr>
        <w:jc w:val="both"/>
        <w:rPr>
          <w:rFonts w:ascii="Sylfaen" w:eastAsiaTheme="majorEastAsia" w:hAnsi="Sylfaen" w:cstheme="majorBidi"/>
          <w:bCs/>
        </w:rPr>
      </w:pPr>
    </w:p>
    <w:p w14:paraId="49368F4C" w14:textId="02864D5F" w:rsidR="00510EA5" w:rsidRPr="00477D8F" w:rsidRDefault="00510EA5" w:rsidP="00480421">
      <w:pPr>
        <w:jc w:val="both"/>
        <w:rPr>
          <w:rFonts w:ascii="Sylfaen" w:eastAsiaTheme="majorEastAsia" w:hAnsi="Sylfaen" w:cstheme="majorBidi"/>
          <w:bCs/>
        </w:rPr>
      </w:pPr>
    </w:p>
    <w:p w14:paraId="7552F739" w14:textId="3392DE99" w:rsidR="00510EA5" w:rsidRPr="00477D8F" w:rsidRDefault="00510EA5" w:rsidP="00480421">
      <w:pPr>
        <w:jc w:val="both"/>
        <w:rPr>
          <w:rFonts w:ascii="Sylfaen" w:eastAsiaTheme="majorEastAsia" w:hAnsi="Sylfaen" w:cstheme="majorBidi"/>
          <w:bCs/>
        </w:rPr>
      </w:pPr>
    </w:p>
    <w:p w14:paraId="24725E70" w14:textId="37E22354" w:rsidR="00510EA5" w:rsidRPr="00477D8F" w:rsidRDefault="00510EA5" w:rsidP="00480421">
      <w:pPr>
        <w:jc w:val="both"/>
        <w:rPr>
          <w:rFonts w:ascii="Sylfaen" w:eastAsiaTheme="majorEastAsia" w:hAnsi="Sylfaen" w:cstheme="majorBidi"/>
          <w:bCs/>
        </w:rPr>
      </w:pPr>
    </w:p>
    <w:p w14:paraId="7972270D" w14:textId="47EA2B65" w:rsidR="00510EA5" w:rsidRPr="00477D8F" w:rsidRDefault="00510EA5" w:rsidP="00480421">
      <w:pPr>
        <w:jc w:val="both"/>
        <w:rPr>
          <w:rFonts w:ascii="Sylfaen" w:eastAsiaTheme="majorEastAsia" w:hAnsi="Sylfaen" w:cstheme="majorBidi"/>
          <w:bCs/>
        </w:rPr>
      </w:pPr>
    </w:p>
    <w:p w14:paraId="7D8FAE8F" w14:textId="7282E6E9" w:rsidR="00510EA5" w:rsidRPr="00477D8F" w:rsidRDefault="00510EA5" w:rsidP="00480421">
      <w:pPr>
        <w:jc w:val="both"/>
        <w:rPr>
          <w:rFonts w:ascii="Sylfaen" w:eastAsiaTheme="majorEastAsia" w:hAnsi="Sylfaen" w:cstheme="majorBidi"/>
          <w:bCs/>
        </w:rPr>
      </w:pPr>
    </w:p>
    <w:p w14:paraId="22E15D0D" w14:textId="4380DA41" w:rsidR="00510EA5" w:rsidRPr="00477D8F" w:rsidRDefault="00510EA5" w:rsidP="00480421">
      <w:pPr>
        <w:jc w:val="both"/>
        <w:rPr>
          <w:rFonts w:ascii="Sylfaen" w:eastAsiaTheme="majorEastAsia" w:hAnsi="Sylfaen" w:cstheme="majorBidi"/>
          <w:bCs/>
        </w:rPr>
      </w:pPr>
    </w:p>
    <w:p w14:paraId="4141D990" w14:textId="0E109D06" w:rsidR="00510EA5" w:rsidRPr="00477D8F" w:rsidRDefault="00510EA5" w:rsidP="00480421">
      <w:pPr>
        <w:jc w:val="both"/>
        <w:rPr>
          <w:rFonts w:ascii="Sylfaen" w:eastAsiaTheme="majorEastAsia" w:hAnsi="Sylfaen" w:cstheme="majorBidi"/>
          <w:bCs/>
        </w:rPr>
      </w:pPr>
    </w:p>
    <w:p w14:paraId="2E6495D8" w14:textId="4F23C292" w:rsidR="00510EA5" w:rsidRPr="00477D8F" w:rsidRDefault="00510EA5" w:rsidP="00480421">
      <w:pPr>
        <w:jc w:val="both"/>
        <w:rPr>
          <w:rFonts w:ascii="Sylfaen" w:eastAsiaTheme="majorEastAsia" w:hAnsi="Sylfaen" w:cstheme="majorBidi"/>
          <w:bCs/>
        </w:rPr>
      </w:pPr>
    </w:p>
    <w:p w14:paraId="29EC2A64" w14:textId="77777777" w:rsidR="00510EA5" w:rsidRPr="00477D8F" w:rsidRDefault="00510EA5" w:rsidP="00480421">
      <w:pPr>
        <w:jc w:val="both"/>
        <w:rPr>
          <w:rFonts w:ascii="Sylfaen" w:eastAsiaTheme="majorEastAsia" w:hAnsi="Sylfaen" w:cstheme="majorBidi"/>
          <w:bCs/>
        </w:rPr>
      </w:pPr>
    </w:p>
    <w:p w14:paraId="712E7ACB" w14:textId="03AA0E6A" w:rsidR="00510EA5" w:rsidRPr="00477D8F" w:rsidRDefault="00510EA5" w:rsidP="00510EA5">
      <w:pPr>
        <w:pStyle w:val="Caption1"/>
      </w:pPr>
      <w:r w:rsidRPr="00477D8F">
        <w:lastRenderedPageBreak/>
        <w:t>Table B</w:t>
      </w:r>
      <w:r w:rsidRPr="00477D8F">
        <w:fldChar w:fldCharType="begin"/>
      </w:r>
      <w:r w:rsidRPr="00477D8F">
        <w:instrText xml:space="preserve"> SEQ Table_B \* ARABIC </w:instrText>
      </w:r>
      <w:r w:rsidRPr="00477D8F">
        <w:fldChar w:fldCharType="separate"/>
      </w:r>
      <w:r w:rsidRPr="00477D8F">
        <w:rPr>
          <w:noProof/>
        </w:rPr>
        <w:t>6</w:t>
      </w:r>
      <w:r w:rsidRPr="00477D8F">
        <w:rPr>
          <w:noProof/>
        </w:rPr>
        <w:fldChar w:fldCharType="end"/>
      </w:r>
      <w:r w:rsidRPr="00477D8F">
        <w:t xml:space="preserve">: Projection of </w:t>
      </w:r>
      <w:r w:rsidR="006365B5" w:rsidRPr="00477D8F">
        <w:t>share of financing gap and education level allocation by level</w:t>
      </w:r>
      <w:r w:rsidRPr="00477D8F">
        <w:t>, 2015-2030</w:t>
      </w:r>
    </w:p>
    <w:tbl>
      <w:tblPr>
        <w:tblW w:w="9013" w:type="dxa"/>
        <w:tblLook w:val="04A0" w:firstRow="1" w:lastRow="0" w:firstColumn="1" w:lastColumn="0" w:noHBand="0" w:noVBand="1"/>
      </w:tblPr>
      <w:tblGrid>
        <w:gridCol w:w="984"/>
        <w:gridCol w:w="1828"/>
        <w:gridCol w:w="789"/>
        <w:gridCol w:w="780"/>
        <w:gridCol w:w="780"/>
        <w:gridCol w:w="780"/>
        <w:gridCol w:w="780"/>
        <w:gridCol w:w="780"/>
        <w:gridCol w:w="780"/>
        <w:gridCol w:w="788"/>
      </w:tblGrid>
      <w:tr w:rsidR="00510EA5" w:rsidRPr="00477D8F" w14:paraId="5169499F" w14:textId="77777777" w:rsidTr="00510EA5">
        <w:trPr>
          <w:trHeight w:val="290"/>
        </w:trPr>
        <w:tc>
          <w:tcPr>
            <w:tcW w:w="928" w:type="dxa"/>
            <w:tcBorders>
              <w:top w:val="single" w:sz="4" w:space="0" w:color="auto"/>
              <w:left w:val="single" w:sz="4" w:space="0" w:color="auto"/>
              <w:bottom w:val="single" w:sz="4" w:space="0" w:color="auto"/>
              <w:right w:val="nil"/>
            </w:tcBorders>
            <w:shd w:val="clear" w:color="auto" w:fill="auto"/>
            <w:noWrap/>
            <w:vAlign w:val="bottom"/>
            <w:hideMark/>
          </w:tcPr>
          <w:p w14:paraId="008D4EBC"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Scenario</w:t>
            </w:r>
          </w:p>
        </w:tc>
        <w:tc>
          <w:tcPr>
            <w:tcW w:w="1828" w:type="dxa"/>
            <w:tcBorders>
              <w:top w:val="single" w:sz="4" w:space="0" w:color="auto"/>
              <w:left w:val="nil"/>
              <w:bottom w:val="single" w:sz="4" w:space="0" w:color="auto"/>
              <w:right w:val="nil"/>
            </w:tcBorders>
            <w:shd w:val="clear" w:color="auto" w:fill="auto"/>
            <w:noWrap/>
            <w:vAlign w:val="bottom"/>
            <w:hideMark/>
          </w:tcPr>
          <w:p w14:paraId="48121FE5"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Indicator</w:t>
            </w:r>
          </w:p>
        </w:tc>
        <w:tc>
          <w:tcPr>
            <w:tcW w:w="3129" w:type="dxa"/>
            <w:gridSpan w:val="4"/>
            <w:tcBorders>
              <w:top w:val="single" w:sz="4" w:space="0" w:color="auto"/>
              <w:left w:val="single" w:sz="4" w:space="0" w:color="auto"/>
              <w:bottom w:val="nil"/>
              <w:right w:val="nil"/>
            </w:tcBorders>
            <w:shd w:val="clear" w:color="auto" w:fill="auto"/>
            <w:noWrap/>
            <w:vAlign w:val="bottom"/>
            <w:hideMark/>
          </w:tcPr>
          <w:p w14:paraId="7A5E645D" w14:textId="77777777" w:rsidR="00510EA5" w:rsidRPr="00477D8F" w:rsidRDefault="00510EA5" w:rsidP="00510EA5">
            <w:pPr>
              <w:spacing w:after="0" w:line="240" w:lineRule="auto"/>
              <w:jc w:val="center"/>
              <w:rPr>
                <w:rFonts w:ascii="Calibri" w:eastAsia="Times New Roman" w:hAnsi="Calibri" w:cs="Calibri"/>
                <w:color w:val="000000"/>
              </w:rPr>
            </w:pPr>
            <w:r w:rsidRPr="00477D8F">
              <w:rPr>
                <w:rFonts w:ascii="Calibri" w:eastAsia="Times New Roman" w:hAnsi="Calibri" w:cs="Calibri"/>
                <w:color w:val="000000"/>
              </w:rPr>
              <w:t>Share of financing gap by level</w:t>
            </w:r>
          </w:p>
        </w:tc>
        <w:tc>
          <w:tcPr>
            <w:tcW w:w="3128" w:type="dxa"/>
            <w:gridSpan w:val="4"/>
            <w:tcBorders>
              <w:top w:val="single" w:sz="4" w:space="0" w:color="auto"/>
              <w:left w:val="nil"/>
              <w:bottom w:val="nil"/>
              <w:right w:val="single" w:sz="4" w:space="0" w:color="000000"/>
            </w:tcBorders>
            <w:shd w:val="clear" w:color="auto" w:fill="auto"/>
            <w:noWrap/>
            <w:vAlign w:val="bottom"/>
            <w:hideMark/>
          </w:tcPr>
          <w:p w14:paraId="123D36BA" w14:textId="77777777" w:rsidR="00510EA5" w:rsidRPr="00477D8F" w:rsidRDefault="00510EA5" w:rsidP="00510EA5">
            <w:pPr>
              <w:spacing w:after="0" w:line="240" w:lineRule="auto"/>
              <w:jc w:val="center"/>
              <w:rPr>
                <w:rFonts w:ascii="Calibri" w:eastAsia="Times New Roman" w:hAnsi="Calibri" w:cs="Calibri"/>
                <w:color w:val="000000"/>
              </w:rPr>
            </w:pPr>
            <w:r w:rsidRPr="00477D8F">
              <w:rPr>
                <w:rFonts w:ascii="Calibri" w:eastAsia="Times New Roman" w:hAnsi="Calibri" w:cs="Calibri"/>
                <w:color w:val="000000"/>
              </w:rPr>
              <w:t>Allocation of budget by level</w:t>
            </w:r>
          </w:p>
        </w:tc>
      </w:tr>
      <w:tr w:rsidR="00510EA5" w:rsidRPr="00477D8F" w14:paraId="5D7C3E26" w14:textId="77777777" w:rsidTr="00510EA5">
        <w:trPr>
          <w:trHeight w:val="290"/>
        </w:trPr>
        <w:tc>
          <w:tcPr>
            <w:tcW w:w="928" w:type="dxa"/>
            <w:tcBorders>
              <w:top w:val="nil"/>
              <w:left w:val="single" w:sz="4" w:space="0" w:color="auto"/>
              <w:bottom w:val="single" w:sz="4" w:space="0" w:color="auto"/>
              <w:right w:val="nil"/>
            </w:tcBorders>
            <w:shd w:val="clear" w:color="auto" w:fill="auto"/>
            <w:noWrap/>
            <w:vAlign w:val="bottom"/>
            <w:hideMark/>
          </w:tcPr>
          <w:p w14:paraId="4F3A409D"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1828" w:type="dxa"/>
            <w:tcBorders>
              <w:top w:val="nil"/>
              <w:left w:val="nil"/>
              <w:bottom w:val="single" w:sz="4" w:space="0" w:color="auto"/>
              <w:right w:val="nil"/>
            </w:tcBorders>
            <w:shd w:val="clear" w:color="auto" w:fill="auto"/>
            <w:noWrap/>
            <w:vAlign w:val="bottom"/>
            <w:hideMark/>
          </w:tcPr>
          <w:p w14:paraId="08CD9770"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9" w:type="dxa"/>
            <w:tcBorders>
              <w:top w:val="nil"/>
              <w:left w:val="single" w:sz="4" w:space="0" w:color="auto"/>
              <w:bottom w:val="single" w:sz="4" w:space="0" w:color="auto"/>
              <w:right w:val="nil"/>
            </w:tcBorders>
            <w:shd w:val="clear" w:color="auto" w:fill="auto"/>
            <w:noWrap/>
            <w:vAlign w:val="bottom"/>
            <w:hideMark/>
          </w:tcPr>
          <w:p w14:paraId="52375357"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2015</w:t>
            </w:r>
          </w:p>
        </w:tc>
        <w:tc>
          <w:tcPr>
            <w:tcW w:w="780" w:type="dxa"/>
            <w:tcBorders>
              <w:top w:val="nil"/>
              <w:left w:val="nil"/>
              <w:bottom w:val="single" w:sz="4" w:space="0" w:color="auto"/>
              <w:right w:val="nil"/>
            </w:tcBorders>
            <w:shd w:val="clear" w:color="auto" w:fill="auto"/>
            <w:noWrap/>
            <w:vAlign w:val="bottom"/>
            <w:hideMark/>
          </w:tcPr>
          <w:p w14:paraId="2F851E87"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2020</w:t>
            </w:r>
          </w:p>
        </w:tc>
        <w:tc>
          <w:tcPr>
            <w:tcW w:w="780" w:type="dxa"/>
            <w:tcBorders>
              <w:top w:val="nil"/>
              <w:left w:val="nil"/>
              <w:bottom w:val="single" w:sz="4" w:space="0" w:color="auto"/>
              <w:right w:val="nil"/>
            </w:tcBorders>
            <w:shd w:val="clear" w:color="auto" w:fill="auto"/>
            <w:noWrap/>
            <w:vAlign w:val="bottom"/>
            <w:hideMark/>
          </w:tcPr>
          <w:p w14:paraId="20F0E66E"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2025</w:t>
            </w:r>
          </w:p>
        </w:tc>
        <w:tc>
          <w:tcPr>
            <w:tcW w:w="780" w:type="dxa"/>
            <w:tcBorders>
              <w:top w:val="nil"/>
              <w:left w:val="nil"/>
              <w:bottom w:val="single" w:sz="4" w:space="0" w:color="auto"/>
              <w:right w:val="nil"/>
            </w:tcBorders>
            <w:shd w:val="clear" w:color="auto" w:fill="auto"/>
            <w:noWrap/>
            <w:vAlign w:val="bottom"/>
            <w:hideMark/>
          </w:tcPr>
          <w:p w14:paraId="54C4C514"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2030</w:t>
            </w:r>
          </w:p>
        </w:tc>
        <w:tc>
          <w:tcPr>
            <w:tcW w:w="780" w:type="dxa"/>
            <w:tcBorders>
              <w:top w:val="nil"/>
              <w:left w:val="nil"/>
              <w:bottom w:val="single" w:sz="4" w:space="0" w:color="auto"/>
              <w:right w:val="nil"/>
            </w:tcBorders>
            <w:shd w:val="clear" w:color="auto" w:fill="auto"/>
            <w:noWrap/>
            <w:vAlign w:val="bottom"/>
            <w:hideMark/>
          </w:tcPr>
          <w:p w14:paraId="1BC9762C"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2015</w:t>
            </w:r>
          </w:p>
        </w:tc>
        <w:tc>
          <w:tcPr>
            <w:tcW w:w="780" w:type="dxa"/>
            <w:tcBorders>
              <w:top w:val="nil"/>
              <w:left w:val="nil"/>
              <w:bottom w:val="single" w:sz="4" w:space="0" w:color="auto"/>
              <w:right w:val="nil"/>
            </w:tcBorders>
            <w:shd w:val="clear" w:color="auto" w:fill="auto"/>
            <w:noWrap/>
            <w:vAlign w:val="bottom"/>
            <w:hideMark/>
          </w:tcPr>
          <w:p w14:paraId="1AC72AA9"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2020</w:t>
            </w:r>
          </w:p>
        </w:tc>
        <w:tc>
          <w:tcPr>
            <w:tcW w:w="780" w:type="dxa"/>
            <w:tcBorders>
              <w:top w:val="nil"/>
              <w:left w:val="nil"/>
              <w:bottom w:val="single" w:sz="4" w:space="0" w:color="auto"/>
              <w:right w:val="nil"/>
            </w:tcBorders>
            <w:shd w:val="clear" w:color="auto" w:fill="auto"/>
            <w:noWrap/>
            <w:vAlign w:val="bottom"/>
            <w:hideMark/>
          </w:tcPr>
          <w:p w14:paraId="65BC6378"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2025</w:t>
            </w:r>
          </w:p>
        </w:tc>
        <w:tc>
          <w:tcPr>
            <w:tcW w:w="788" w:type="dxa"/>
            <w:tcBorders>
              <w:top w:val="nil"/>
              <w:left w:val="nil"/>
              <w:bottom w:val="single" w:sz="4" w:space="0" w:color="auto"/>
              <w:right w:val="single" w:sz="4" w:space="0" w:color="auto"/>
            </w:tcBorders>
            <w:shd w:val="clear" w:color="auto" w:fill="auto"/>
            <w:noWrap/>
            <w:vAlign w:val="bottom"/>
            <w:hideMark/>
          </w:tcPr>
          <w:p w14:paraId="0740D6C7"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2030</w:t>
            </w:r>
          </w:p>
        </w:tc>
      </w:tr>
      <w:tr w:rsidR="00510EA5" w:rsidRPr="00477D8F" w14:paraId="6318BA6B" w14:textId="77777777" w:rsidTr="00510EA5">
        <w:trPr>
          <w:trHeight w:val="290"/>
        </w:trPr>
        <w:tc>
          <w:tcPr>
            <w:tcW w:w="928" w:type="dxa"/>
            <w:vMerge w:val="restart"/>
            <w:tcBorders>
              <w:top w:val="nil"/>
              <w:left w:val="single" w:sz="4" w:space="0" w:color="auto"/>
              <w:bottom w:val="single" w:sz="4" w:space="0" w:color="000000"/>
              <w:right w:val="nil"/>
            </w:tcBorders>
            <w:shd w:val="clear" w:color="auto" w:fill="auto"/>
            <w:noWrap/>
            <w:hideMark/>
          </w:tcPr>
          <w:p w14:paraId="026917F1" w14:textId="77777777" w:rsidR="00510EA5" w:rsidRPr="00477D8F" w:rsidRDefault="00510EA5" w:rsidP="00510EA5">
            <w:pPr>
              <w:spacing w:after="0" w:line="240" w:lineRule="auto"/>
              <w:jc w:val="center"/>
              <w:rPr>
                <w:rFonts w:ascii="Calibri" w:eastAsia="Times New Roman" w:hAnsi="Calibri" w:cs="Calibri"/>
                <w:color w:val="000000"/>
              </w:rPr>
            </w:pPr>
            <w:r w:rsidRPr="00477D8F">
              <w:rPr>
                <w:rFonts w:ascii="Calibri" w:eastAsia="Times New Roman" w:hAnsi="Calibri" w:cs="Calibri"/>
                <w:color w:val="000000"/>
              </w:rPr>
              <w:t xml:space="preserve">High </w:t>
            </w:r>
          </w:p>
        </w:tc>
        <w:tc>
          <w:tcPr>
            <w:tcW w:w="1828" w:type="dxa"/>
            <w:tcBorders>
              <w:top w:val="nil"/>
              <w:left w:val="nil"/>
              <w:bottom w:val="nil"/>
              <w:right w:val="nil"/>
            </w:tcBorders>
            <w:shd w:val="clear" w:color="auto" w:fill="auto"/>
            <w:noWrap/>
            <w:vAlign w:val="bottom"/>
            <w:hideMark/>
          </w:tcPr>
          <w:p w14:paraId="14C82DC1"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ECD</w:t>
            </w:r>
          </w:p>
        </w:tc>
        <w:tc>
          <w:tcPr>
            <w:tcW w:w="789" w:type="dxa"/>
            <w:tcBorders>
              <w:top w:val="nil"/>
              <w:left w:val="single" w:sz="4" w:space="0" w:color="auto"/>
              <w:bottom w:val="nil"/>
              <w:right w:val="nil"/>
            </w:tcBorders>
            <w:shd w:val="clear" w:color="auto" w:fill="auto"/>
            <w:noWrap/>
            <w:vAlign w:val="bottom"/>
            <w:hideMark/>
          </w:tcPr>
          <w:p w14:paraId="5E8FF73E"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540CE3D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13%</w:t>
            </w:r>
          </w:p>
        </w:tc>
        <w:tc>
          <w:tcPr>
            <w:tcW w:w="780" w:type="dxa"/>
            <w:tcBorders>
              <w:top w:val="nil"/>
              <w:left w:val="nil"/>
              <w:bottom w:val="nil"/>
              <w:right w:val="nil"/>
            </w:tcBorders>
            <w:shd w:val="clear" w:color="auto" w:fill="auto"/>
            <w:noWrap/>
            <w:vAlign w:val="bottom"/>
            <w:hideMark/>
          </w:tcPr>
          <w:p w14:paraId="0D8E3CB3"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24BB6756"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28%</w:t>
            </w:r>
          </w:p>
        </w:tc>
        <w:tc>
          <w:tcPr>
            <w:tcW w:w="780" w:type="dxa"/>
            <w:tcBorders>
              <w:top w:val="nil"/>
              <w:left w:val="nil"/>
              <w:bottom w:val="nil"/>
              <w:right w:val="nil"/>
            </w:tcBorders>
            <w:shd w:val="clear" w:color="auto" w:fill="auto"/>
            <w:noWrap/>
            <w:vAlign w:val="bottom"/>
            <w:hideMark/>
          </w:tcPr>
          <w:p w14:paraId="44780C95"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w:t>
            </w:r>
          </w:p>
        </w:tc>
        <w:tc>
          <w:tcPr>
            <w:tcW w:w="780" w:type="dxa"/>
            <w:tcBorders>
              <w:top w:val="nil"/>
              <w:left w:val="nil"/>
              <w:bottom w:val="nil"/>
              <w:right w:val="nil"/>
            </w:tcBorders>
            <w:shd w:val="clear" w:color="auto" w:fill="auto"/>
            <w:noWrap/>
            <w:vAlign w:val="bottom"/>
            <w:hideMark/>
          </w:tcPr>
          <w:p w14:paraId="4C878EC3"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w:t>
            </w:r>
          </w:p>
        </w:tc>
        <w:tc>
          <w:tcPr>
            <w:tcW w:w="780" w:type="dxa"/>
            <w:tcBorders>
              <w:top w:val="nil"/>
              <w:left w:val="nil"/>
              <w:bottom w:val="nil"/>
              <w:right w:val="nil"/>
            </w:tcBorders>
            <w:shd w:val="clear" w:color="auto" w:fill="auto"/>
            <w:noWrap/>
            <w:vAlign w:val="bottom"/>
            <w:hideMark/>
          </w:tcPr>
          <w:p w14:paraId="077CB87E"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w:t>
            </w:r>
          </w:p>
        </w:tc>
        <w:tc>
          <w:tcPr>
            <w:tcW w:w="788" w:type="dxa"/>
            <w:tcBorders>
              <w:top w:val="nil"/>
              <w:left w:val="nil"/>
              <w:bottom w:val="nil"/>
              <w:right w:val="single" w:sz="4" w:space="0" w:color="auto"/>
            </w:tcBorders>
            <w:shd w:val="clear" w:color="auto" w:fill="auto"/>
            <w:noWrap/>
            <w:vAlign w:val="bottom"/>
            <w:hideMark/>
          </w:tcPr>
          <w:p w14:paraId="56BE7198"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w:t>
            </w:r>
          </w:p>
        </w:tc>
      </w:tr>
      <w:tr w:rsidR="00510EA5" w:rsidRPr="00477D8F" w14:paraId="343D4306"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46B491C8"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nil"/>
              <w:right w:val="nil"/>
            </w:tcBorders>
            <w:shd w:val="clear" w:color="auto" w:fill="auto"/>
            <w:noWrap/>
            <w:vAlign w:val="bottom"/>
            <w:hideMark/>
          </w:tcPr>
          <w:p w14:paraId="1849899D"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Primary</w:t>
            </w:r>
          </w:p>
        </w:tc>
        <w:tc>
          <w:tcPr>
            <w:tcW w:w="789" w:type="dxa"/>
            <w:tcBorders>
              <w:top w:val="nil"/>
              <w:left w:val="single" w:sz="4" w:space="0" w:color="auto"/>
              <w:bottom w:val="nil"/>
              <w:right w:val="nil"/>
            </w:tcBorders>
            <w:shd w:val="clear" w:color="auto" w:fill="auto"/>
            <w:noWrap/>
            <w:vAlign w:val="bottom"/>
            <w:hideMark/>
          </w:tcPr>
          <w:p w14:paraId="58310B59"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6C8D41D3"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13%</w:t>
            </w:r>
          </w:p>
        </w:tc>
        <w:tc>
          <w:tcPr>
            <w:tcW w:w="780" w:type="dxa"/>
            <w:tcBorders>
              <w:top w:val="nil"/>
              <w:left w:val="nil"/>
              <w:bottom w:val="nil"/>
              <w:right w:val="nil"/>
            </w:tcBorders>
            <w:shd w:val="clear" w:color="auto" w:fill="auto"/>
            <w:noWrap/>
            <w:vAlign w:val="bottom"/>
            <w:hideMark/>
          </w:tcPr>
          <w:p w14:paraId="02233C75"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1CD31146"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28%</w:t>
            </w:r>
          </w:p>
        </w:tc>
        <w:tc>
          <w:tcPr>
            <w:tcW w:w="780" w:type="dxa"/>
            <w:tcBorders>
              <w:top w:val="nil"/>
              <w:left w:val="nil"/>
              <w:bottom w:val="nil"/>
              <w:right w:val="nil"/>
            </w:tcBorders>
            <w:shd w:val="clear" w:color="auto" w:fill="auto"/>
            <w:noWrap/>
            <w:vAlign w:val="bottom"/>
            <w:hideMark/>
          </w:tcPr>
          <w:p w14:paraId="684A69D2"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47%</w:t>
            </w:r>
          </w:p>
        </w:tc>
        <w:tc>
          <w:tcPr>
            <w:tcW w:w="780" w:type="dxa"/>
            <w:tcBorders>
              <w:top w:val="nil"/>
              <w:left w:val="nil"/>
              <w:bottom w:val="nil"/>
              <w:right w:val="nil"/>
            </w:tcBorders>
            <w:shd w:val="clear" w:color="auto" w:fill="auto"/>
            <w:noWrap/>
            <w:vAlign w:val="bottom"/>
            <w:hideMark/>
          </w:tcPr>
          <w:p w14:paraId="09CA8166"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49%</w:t>
            </w:r>
          </w:p>
        </w:tc>
        <w:tc>
          <w:tcPr>
            <w:tcW w:w="780" w:type="dxa"/>
            <w:tcBorders>
              <w:top w:val="nil"/>
              <w:left w:val="nil"/>
              <w:bottom w:val="nil"/>
              <w:right w:val="nil"/>
            </w:tcBorders>
            <w:shd w:val="clear" w:color="auto" w:fill="auto"/>
            <w:noWrap/>
            <w:vAlign w:val="bottom"/>
            <w:hideMark/>
          </w:tcPr>
          <w:p w14:paraId="38D2CCF1"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43%</w:t>
            </w:r>
          </w:p>
        </w:tc>
        <w:tc>
          <w:tcPr>
            <w:tcW w:w="788" w:type="dxa"/>
            <w:tcBorders>
              <w:top w:val="nil"/>
              <w:left w:val="nil"/>
              <w:bottom w:val="nil"/>
              <w:right w:val="single" w:sz="4" w:space="0" w:color="auto"/>
            </w:tcBorders>
            <w:shd w:val="clear" w:color="auto" w:fill="auto"/>
            <w:noWrap/>
            <w:vAlign w:val="bottom"/>
            <w:hideMark/>
          </w:tcPr>
          <w:p w14:paraId="0A0D1DCF"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39%</w:t>
            </w:r>
          </w:p>
        </w:tc>
      </w:tr>
      <w:tr w:rsidR="00510EA5" w:rsidRPr="00477D8F" w14:paraId="63F89010"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2D411931"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nil"/>
              <w:right w:val="nil"/>
            </w:tcBorders>
            <w:shd w:val="clear" w:color="auto" w:fill="auto"/>
            <w:noWrap/>
            <w:vAlign w:val="bottom"/>
            <w:hideMark/>
          </w:tcPr>
          <w:p w14:paraId="357048BD"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Lower Secondary</w:t>
            </w:r>
          </w:p>
        </w:tc>
        <w:tc>
          <w:tcPr>
            <w:tcW w:w="789" w:type="dxa"/>
            <w:tcBorders>
              <w:top w:val="nil"/>
              <w:left w:val="single" w:sz="4" w:space="0" w:color="auto"/>
              <w:bottom w:val="nil"/>
              <w:right w:val="nil"/>
            </w:tcBorders>
            <w:shd w:val="clear" w:color="auto" w:fill="auto"/>
            <w:noWrap/>
            <w:vAlign w:val="bottom"/>
            <w:hideMark/>
          </w:tcPr>
          <w:p w14:paraId="2FA34FA1"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2732AC94"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13%</w:t>
            </w:r>
          </w:p>
        </w:tc>
        <w:tc>
          <w:tcPr>
            <w:tcW w:w="780" w:type="dxa"/>
            <w:tcBorders>
              <w:top w:val="nil"/>
              <w:left w:val="nil"/>
              <w:bottom w:val="nil"/>
              <w:right w:val="nil"/>
            </w:tcBorders>
            <w:shd w:val="clear" w:color="auto" w:fill="auto"/>
            <w:noWrap/>
            <w:vAlign w:val="bottom"/>
            <w:hideMark/>
          </w:tcPr>
          <w:p w14:paraId="5E13827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2D8184EC"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28%</w:t>
            </w:r>
          </w:p>
        </w:tc>
        <w:tc>
          <w:tcPr>
            <w:tcW w:w="780" w:type="dxa"/>
            <w:tcBorders>
              <w:top w:val="nil"/>
              <w:left w:val="nil"/>
              <w:bottom w:val="nil"/>
              <w:right w:val="nil"/>
            </w:tcBorders>
            <w:shd w:val="clear" w:color="auto" w:fill="auto"/>
            <w:noWrap/>
            <w:vAlign w:val="bottom"/>
            <w:hideMark/>
          </w:tcPr>
          <w:p w14:paraId="5CD51C36"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76A83295"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23%</w:t>
            </w:r>
          </w:p>
        </w:tc>
        <w:tc>
          <w:tcPr>
            <w:tcW w:w="780" w:type="dxa"/>
            <w:tcBorders>
              <w:top w:val="nil"/>
              <w:left w:val="nil"/>
              <w:bottom w:val="nil"/>
              <w:right w:val="nil"/>
            </w:tcBorders>
            <w:shd w:val="clear" w:color="auto" w:fill="auto"/>
            <w:noWrap/>
            <w:vAlign w:val="bottom"/>
            <w:hideMark/>
          </w:tcPr>
          <w:p w14:paraId="2DA97EB5"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28%</w:t>
            </w:r>
          </w:p>
        </w:tc>
        <w:tc>
          <w:tcPr>
            <w:tcW w:w="788" w:type="dxa"/>
            <w:tcBorders>
              <w:top w:val="nil"/>
              <w:left w:val="nil"/>
              <w:bottom w:val="nil"/>
              <w:right w:val="single" w:sz="4" w:space="0" w:color="auto"/>
            </w:tcBorders>
            <w:shd w:val="clear" w:color="auto" w:fill="auto"/>
            <w:noWrap/>
            <w:vAlign w:val="bottom"/>
            <w:hideMark/>
          </w:tcPr>
          <w:p w14:paraId="5A6EB3E7"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28%</w:t>
            </w:r>
          </w:p>
        </w:tc>
      </w:tr>
      <w:tr w:rsidR="00510EA5" w:rsidRPr="00477D8F" w14:paraId="0CDD0BFE"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51BBAC46"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nil"/>
              <w:right w:val="nil"/>
            </w:tcBorders>
            <w:shd w:val="clear" w:color="auto" w:fill="auto"/>
            <w:noWrap/>
            <w:vAlign w:val="bottom"/>
            <w:hideMark/>
          </w:tcPr>
          <w:p w14:paraId="27CCD9F0"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Senior secondary</w:t>
            </w:r>
          </w:p>
        </w:tc>
        <w:tc>
          <w:tcPr>
            <w:tcW w:w="789" w:type="dxa"/>
            <w:tcBorders>
              <w:top w:val="nil"/>
              <w:left w:val="single" w:sz="4" w:space="0" w:color="auto"/>
              <w:bottom w:val="nil"/>
              <w:right w:val="nil"/>
            </w:tcBorders>
            <w:shd w:val="clear" w:color="auto" w:fill="auto"/>
            <w:noWrap/>
            <w:vAlign w:val="bottom"/>
            <w:hideMark/>
          </w:tcPr>
          <w:p w14:paraId="78D1A43A"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1D962F52"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33%</w:t>
            </w:r>
          </w:p>
        </w:tc>
        <w:tc>
          <w:tcPr>
            <w:tcW w:w="780" w:type="dxa"/>
            <w:tcBorders>
              <w:top w:val="nil"/>
              <w:left w:val="nil"/>
              <w:bottom w:val="nil"/>
              <w:right w:val="nil"/>
            </w:tcBorders>
            <w:shd w:val="clear" w:color="auto" w:fill="auto"/>
            <w:noWrap/>
            <w:vAlign w:val="bottom"/>
            <w:hideMark/>
          </w:tcPr>
          <w:p w14:paraId="25A22625"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42%</w:t>
            </w:r>
          </w:p>
        </w:tc>
        <w:tc>
          <w:tcPr>
            <w:tcW w:w="780" w:type="dxa"/>
            <w:tcBorders>
              <w:top w:val="nil"/>
              <w:left w:val="nil"/>
              <w:bottom w:val="nil"/>
              <w:right w:val="nil"/>
            </w:tcBorders>
            <w:shd w:val="clear" w:color="auto" w:fill="auto"/>
            <w:noWrap/>
            <w:vAlign w:val="bottom"/>
            <w:hideMark/>
          </w:tcPr>
          <w:p w14:paraId="589E2C9C"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44%</w:t>
            </w:r>
          </w:p>
        </w:tc>
        <w:tc>
          <w:tcPr>
            <w:tcW w:w="780" w:type="dxa"/>
            <w:tcBorders>
              <w:top w:val="nil"/>
              <w:left w:val="nil"/>
              <w:bottom w:val="nil"/>
              <w:right w:val="nil"/>
            </w:tcBorders>
            <w:shd w:val="clear" w:color="auto" w:fill="auto"/>
            <w:noWrap/>
            <w:vAlign w:val="bottom"/>
            <w:hideMark/>
          </w:tcPr>
          <w:p w14:paraId="47224E57"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c>
          <w:tcPr>
            <w:tcW w:w="780" w:type="dxa"/>
            <w:tcBorders>
              <w:top w:val="nil"/>
              <w:left w:val="nil"/>
              <w:bottom w:val="nil"/>
              <w:right w:val="nil"/>
            </w:tcBorders>
            <w:shd w:val="clear" w:color="auto" w:fill="auto"/>
            <w:noWrap/>
            <w:vAlign w:val="bottom"/>
            <w:hideMark/>
          </w:tcPr>
          <w:p w14:paraId="0A242824"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w:t>
            </w:r>
          </w:p>
        </w:tc>
        <w:tc>
          <w:tcPr>
            <w:tcW w:w="780" w:type="dxa"/>
            <w:tcBorders>
              <w:top w:val="nil"/>
              <w:left w:val="nil"/>
              <w:bottom w:val="nil"/>
              <w:right w:val="nil"/>
            </w:tcBorders>
            <w:shd w:val="clear" w:color="auto" w:fill="auto"/>
            <w:noWrap/>
            <w:vAlign w:val="bottom"/>
            <w:hideMark/>
          </w:tcPr>
          <w:p w14:paraId="282499F6"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c>
          <w:tcPr>
            <w:tcW w:w="788" w:type="dxa"/>
            <w:tcBorders>
              <w:top w:val="nil"/>
              <w:left w:val="nil"/>
              <w:bottom w:val="nil"/>
              <w:right w:val="single" w:sz="4" w:space="0" w:color="auto"/>
            </w:tcBorders>
            <w:shd w:val="clear" w:color="auto" w:fill="auto"/>
            <w:noWrap/>
            <w:vAlign w:val="bottom"/>
            <w:hideMark/>
          </w:tcPr>
          <w:p w14:paraId="1F3344A4"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15%</w:t>
            </w:r>
          </w:p>
        </w:tc>
      </w:tr>
      <w:tr w:rsidR="00510EA5" w:rsidRPr="00477D8F" w14:paraId="11B29014"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1721BC88"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nil"/>
              <w:right w:val="nil"/>
            </w:tcBorders>
            <w:shd w:val="clear" w:color="auto" w:fill="auto"/>
            <w:noWrap/>
            <w:vAlign w:val="bottom"/>
            <w:hideMark/>
          </w:tcPr>
          <w:p w14:paraId="044A7C29"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Higher Education</w:t>
            </w:r>
          </w:p>
        </w:tc>
        <w:tc>
          <w:tcPr>
            <w:tcW w:w="789" w:type="dxa"/>
            <w:tcBorders>
              <w:top w:val="nil"/>
              <w:left w:val="single" w:sz="4" w:space="0" w:color="auto"/>
              <w:bottom w:val="nil"/>
              <w:right w:val="nil"/>
            </w:tcBorders>
            <w:shd w:val="clear" w:color="auto" w:fill="auto"/>
            <w:noWrap/>
            <w:vAlign w:val="bottom"/>
            <w:hideMark/>
          </w:tcPr>
          <w:p w14:paraId="3889E0B3"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22%</w:t>
            </w:r>
          </w:p>
        </w:tc>
        <w:tc>
          <w:tcPr>
            <w:tcW w:w="780" w:type="dxa"/>
            <w:tcBorders>
              <w:top w:val="nil"/>
              <w:left w:val="nil"/>
              <w:bottom w:val="nil"/>
              <w:right w:val="nil"/>
            </w:tcBorders>
            <w:shd w:val="clear" w:color="auto" w:fill="auto"/>
            <w:noWrap/>
            <w:vAlign w:val="bottom"/>
            <w:hideMark/>
          </w:tcPr>
          <w:p w14:paraId="1C7E0886"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31%</w:t>
            </w:r>
          </w:p>
        </w:tc>
        <w:tc>
          <w:tcPr>
            <w:tcW w:w="780" w:type="dxa"/>
            <w:tcBorders>
              <w:top w:val="nil"/>
              <w:left w:val="nil"/>
              <w:bottom w:val="nil"/>
              <w:right w:val="nil"/>
            </w:tcBorders>
            <w:shd w:val="clear" w:color="auto" w:fill="auto"/>
            <w:noWrap/>
            <w:vAlign w:val="bottom"/>
            <w:hideMark/>
          </w:tcPr>
          <w:p w14:paraId="2A19B9D3"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40%</w:t>
            </w:r>
          </w:p>
        </w:tc>
        <w:tc>
          <w:tcPr>
            <w:tcW w:w="780" w:type="dxa"/>
            <w:tcBorders>
              <w:top w:val="nil"/>
              <w:left w:val="nil"/>
              <w:bottom w:val="nil"/>
              <w:right w:val="nil"/>
            </w:tcBorders>
            <w:shd w:val="clear" w:color="auto" w:fill="auto"/>
            <w:noWrap/>
            <w:vAlign w:val="bottom"/>
            <w:hideMark/>
          </w:tcPr>
          <w:p w14:paraId="37FA8F85"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42%</w:t>
            </w:r>
          </w:p>
        </w:tc>
        <w:tc>
          <w:tcPr>
            <w:tcW w:w="780" w:type="dxa"/>
            <w:tcBorders>
              <w:top w:val="nil"/>
              <w:left w:val="nil"/>
              <w:bottom w:val="nil"/>
              <w:right w:val="nil"/>
            </w:tcBorders>
            <w:shd w:val="clear" w:color="auto" w:fill="auto"/>
            <w:noWrap/>
            <w:vAlign w:val="bottom"/>
            <w:hideMark/>
          </w:tcPr>
          <w:p w14:paraId="2260C02E"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c>
          <w:tcPr>
            <w:tcW w:w="780" w:type="dxa"/>
            <w:tcBorders>
              <w:top w:val="nil"/>
              <w:left w:val="nil"/>
              <w:bottom w:val="nil"/>
              <w:right w:val="nil"/>
            </w:tcBorders>
            <w:shd w:val="clear" w:color="auto" w:fill="auto"/>
            <w:noWrap/>
            <w:vAlign w:val="bottom"/>
            <w:hideMark/>
          </w:tcPr>
          <w:p w14:paraId="74B95689"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c>
          <w:tcPr>
            <w:tcW w:w="780" w:type="dxa"/>
            <w:tcBorders>
              <w:top w:val="nil"/>
              <w:left w:val="nil"/>
              <w:bottom w:val="nil"/>
              <w:right w:val="nil"/>
            </w:tcBorders>
            <w:shd w:val="clear" w:color="auto" w:fill="auto"/>
            <w:noWrap/>
            <w:vAlign w:val="bottom"/>
            <w:hideMark/>
          </w:tcPr>
          <w:p w14:paraId="0539BDF5"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w:t>
            </w:r>
          </w:p>
        </w:tc>
        <w:tc>
          <w:tcPr>
            <w:tcW w:w="788" w:type="dxa"/>
            <w:tcBorders>
              <w:top w:val="nil"/>
              <w:left w:val="nil"/>
              <w:bottom w:val="nil"/>
              <w:right w:val="single" w:sz="4" w:space="0" w:color="auto"/>
            </w:tcBorders>
            <w:shd w:val="clear" w:color="auto" w:fill="auto"/>
            <w:noWrap/>
            <w:vAlign w:val="bottom"/>
            <w:hideMark/>
          </w:tcPr>
          <w:p w14:paraId="133920F8"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r>
      <w:tr w:rsidR="00510EA5" w:rsidRPr="00477D8F" w14:paraId="052D8173"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0A4E1BC5"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single" w:sz="4" w:space="0" w:color="auto"/>
              <w:right w:val="nil"/>
            </w:tcBorders>
            <w:shd w:val="clear" w:color="auto" w:fill="auto"/>
            <w:noWrap/>
            <w:vAlign w:val="bottom"/>
            <w:hideMark/>
          </w:tcPr>
          <w:p w14:paraId="718C197F"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Total</w:t>
            </w:r>
          </w:p>
        </w:tc>
        <w:tc>
          <w:tcPr>
            <w:tcW w:w="789" w:type="dxa"/>
            <w:tcBorders>
              <w:top w:val="nil"/>
              <w:left w:val="single" w:sz="4" w:space="0" w:color="auto"/>
              <w:bottom w:val="single" w:sz="4" w:space="0" w:color="auto"/>
              <w:right w:val="nil"/>
            </w:tcBorders>
            <w:shd w:val="clear" w:color="auto" w:fill="auto"/>
            <w:noWrap/>
            <w:vAlign w:val="bottom"/>
            <w:hideMark/>
          </w:tcPr>
          <w:p w14:paraId="26BB2189"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w:t>
            </w:r>
          </w:p>
        </w:tc>
        <w:tc>
          <w:tcPr>
            <w:tcW w:w="780" w:type="dxa"/>
            <w:tcBorders>
              <w:top w:val="nil"/>
              <w:left w:val="nil"/>
              <w:bottom w:val="single" w:sz="4" w:space="0" w:color="auto"/>
              <w:right w:val="nil"/>
            </w:tcBorders>
            <w:shd w:val="clear" w:color="auto" w:fill="auto"/>
            <w:noWrap/>
            <w:vAlign w:val="bottom"/>
            <w:hideMark/>
          </w:tcPr>
          <w:p w14:paraId="74025D1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17%</w:t>
            </w:r>
          </w:p>
        </w:tc>
        <w:tc>
          <w:tcPr>
            <w:tcW w:w="780" w:type="dxa"/>
            <w:tcBorders>
              <w:top w:val="nil"/>
              <w:left w:val="nil"/>
              <w:bottom w:val="single" w:sz="4" w:space="0" w:color="auto"/>
              <w:right w:val="nil"/>
            </w:tcBorders>
            <w:shd w:val="clear" w:color="auto" w:fill="auto"/>
            <w:noWrap/>
            <w:vAlign w:val="bottom"/>
            <w:hideMark/>
          </w:tcPr>
          <w:p w14:paraId="19BADAEF"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29%</w:t>
            </w:r>
          </w:p>
        </w:tc>
        <w:tc>
          <w:tcPr>
            <w:tcW w:w="780" w:type="dxa"/>
            <w:tcBorders>
              <w:top w:val="nil"/>
              <w:left w:val="nil"/>
              <w:bottom w:val="single" w:sz="4" w:space="0" w:color="auto"/>
              <w:right w:val="nil"/>
            </w:tcBorders>
            <w:shd w:val="clear" w:color="auto" w:fill="auto"/>
            <w:noWrap/>
            <w:vAlign w:val="bottom"/>
            <w:hideMark/>
          </w:tcPr>
          <w:p w14:paraId="306DBBB2"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32%</w:t>
            </w:r>
          </w:p>
        </w:tc>
        <w:tc>
          <w:tcPr>
            <w:tcW w:w="780" w:type="dxa"/>
            <w:tcBorders>
              <w:top w:val="nil"/>
              <w:left w:val="nil"/>
              <w:bottom w:val="single" w:sz="4" w:space="0" w:color="auto"/>
              <w:right w:val="nil"/>
            </w:tcBorders>
            <w:shd w:val="clear" w:color="auto" w:fill="auto"/>
            <w:noWrap/>
            <w:vAlign w:val="bottom"/>
            <w:hideMark/>
          </w:tcPr>
          <w:p w14:paraId="7CC67054"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100%</w:t>
            </w:r>
          </w:p>
        </w:tc>
        <w:tc>
          <w:tcPr>
            <w:tcW w:w="780" w:type="dxa"/>
            <w:tcBorders>
              <w:top w:val="nil"/>
              <w:left w:val="nil"/>
              <w:bottom w:val="single" w:sz="4" w:space="0" w:color="auto"/>
              <w:right w:val="nil"/>
            </w:tcBorders>
            <w:shd w:val="clear" w:color="auto" w:fill="auto"/>
            <w:noWrap/>
            <w:vAlign w:val="bottom"/>
            <w:hideMark/>
          </w:tcPr>
          <w:p w14:paraId="63D05075"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100%</w:t>
            </w:r>
          </w:p>
        </w:tc>
        <w:tc>
          <w:tcPr>
            <w:tcW w:w="780" w:type="dxa"/>
            <w:tcBorders>
              <w:top w:val="nil"/>
              <w:left w:val="nil"/>
              <w:bottom w:val="single" w:sz="4" w:space="0" w:color="auto"/>
              <w:right w:val="nil"/>
            </w:tcBorders>
            <w:shd w:val="clear" w:color="auto" w:fill="auto"/>
            <w:noWrap/>
            <w:vAlign w:val="bottom"/>
            <w:hideMark/>
          </w:tcPr>
          <w:p w14:paraId="49AB81C7"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100%</w:t>
            </w:r>
          </w:p>
        </w:tc>
        <w:tc>
          <w:tcPr>
            <w:tcW w:w="788" w:type="dxa"/>
            <w:tcBorders>
              <w:top w:val="nil"/>
              <w:left w:val="nil"/>
              <w:bottom w:val="single" w:sz="4" w:space="0" w:color="auto"/>
              <w:right w:val="single" w:sz="4" w:space="0" w:color="auto"/>
            </w:tcBorders>
            <w:shd w:val="clear" w:color="auto" w:fill="auto"/>
            <w:noWrap/>
            <w:vAlign w:val="bottom"/>
            <w:hideMark/>
          </w:tcPr>
          <w:p w14:paraId="539E9100"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100%</w:t>
            </w:r>
          </w:p>
        </w:tc>
      </w:tr>
      <w:tr w:rsidR="00510EA5" w:rsidRPr="00477D8F" w14:paraId="1EBE1E28" w14:textId="77777777" w:rsidTr="00510EA5">
        <w:trPr>
          <w:trHeight w:val="290"/>
        </w:trPr>
        <w:tc>
          <w:tcPr>
            <w:tcW w:w="928" w:type="dxa"/>
            <w:tcBorders>
              <w:top w:val="nil"/>
              <w:left w:val="single" w:sz="4" w:space="0" w:color="auto"/>
              <w:bottom w:val="nil"/>
              <w:right w:val="nil"/>
            </w:tcBorders>
            <w:shd w:val="clear" w:color="auto" w:fill="auto"/>
            <w:noWrap/>
            <w:vAlign w:val="bottom"/>
            <w:hideMark/>
          </w:tcPr>
          <w:p w14:paraId="3DCBC117"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1828" w:type="dxa"/>
            <w:tcBorders>
              <w:top w:val="nil"/>
              <w:left w:val="nil"/>
              <w:bottom w:val="nil"/>
              <w:right w:val="nil"/>
            </w:tcBorders>
            <w:shd w:val="clear" w:color="auto" w:fill="auto"/>
            <w:noWrap/>
            <w:vAlign w:val="bottom"/>
            <w:hideMark/>
          </w:tcPr>
          <w:p w14:paraId="4CBB5E8E"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9" w:type="dxa"/>
            <w:tcBorders>
              <w:top w:val="nil"/>
              <w:left w:val="nil"/>
              <w:bottom w:val="nil"/>
              <w:right w:val="nil"/>
            </w:tcBorders>
            <w:shd w:val="clear" w:color="auto" w:fill="auto"/>
            <w:noWrap/>
            <w:vAlign w:val="bottom"/>
            <w:hideMark/>
          </w:tcPr>
          <w:p w14:paraId="4B274733"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0" w:type="dxa"/>
            <w:tcBorders>
              <w:top w:val="nil"/>
              <w:left w:val="nil"/>
              <w:bottom w:val="nil"/>
              <w:right w:val="nil"/>
            </w:tcBorders>
            <w:shd w:val="clear" w:color="auto" w:fill="auto"/>
            <w:noWrap/>
            <w:vAlign w:val="bottom"/>
            <w:hideMark/>
          </w:tcPr>
          <w:p w14:paraId="3CE352A8"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0" w:type="dxa"/>
            <w:tcBorders>
              <w:top w:val="nil"/>
              <w:left w:val="nil"/>
              <w:bottom w:val="nil"/>
              <w:right w:val="nil"/>
            </w:tcBorders>
            <w:shd w:val="clear" w:color="auto" w:fill="auto"/>
            <w:noWrap/>
            <w:vAlign w:val="bottom"/>
            <w:hideMark/>
          </w:tcPr>
          <w:p w14:paraId="77E6DCC8"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0" w:type="dxa"/>
            <w:tcBorders>
              <w:top w:val="nil"/>
              <w:left w:val="nil"/>
              <w:bottom w:val="nil"/>
              <w:right w:val="nil"/>
            </w:tcBorders>
            <w:shd w:val="clear" w:color="auto" w:fill="auto"/>
            <w:noWrap/>
            <w:vAlign w:val="bottom"/>
            <w:hideMark/>
          </w:tcPr>
          <w:p w14:paraId="6EB0D81E"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0" w:type="dxa"/>
            <w:tcBorders>
              <w:top w:val="nil"/>
              <w:left w:val="nil"/>
              <w:bottom w:val="nil"/>
              <w:right w:val="nil"/>
            </w:tcBorders>
            <w:shd w:val="clear" w:color="auto" w:fill="auto"/>
            <w:noWrap/>
            <w:vAlign w:val="bottom"/>
            <w:hideMark/>
          </w:tcPr>
          <w:p w14:paraId="115FF3A8"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0" w:type="dxa"/>
            <w:tcBorders>
              <w:top w:val="nil"/>
              <w:left w:val="nil"/>
              <w:bottom w:val="nil"/>
              <w:right w:val="nil"/>
            </w:tcBorders>
            <w:shd w:val="clear" w:color="auto" w:fill="auto"/>
            <w:noWrap/>
            <w:vAlign w:val="bottom"/>
            <w:hideMark/>
          </w:tcPr>
          <w:p w14:paraId="29133825"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0" w:type="dxa"/>
            <w:tcBorders>
              <w:top w:val="nil"/>
              <w:left w:val="nil"/>
              <w:bottom w:val="nil"/>
              <w:right w:val="nil"/>
            </w:tcBorders>
            <w:shd w:val="clear" w:color="auto" w:fill="auto"/>
            <w:noWrap/>
            <w:vAlign w:val="bottom"/>
            <w:hideMark/>
          </w:tcPr>
          <w:p w14:paraId="615D9B30"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8" w:type="dxa"/>
            <w:tcBorders>
              <w:top w:val="nil"/>
              <w:left w:val="nil"/>
              <w:bottom w:val="nil"/>
              <w:right w:val="single" w:sz="4" w:space="0" w:color="auto"/>
            </w:tcBorders>
            <w:shd w:val="clear" w:color="auto" w:fill="auto"/>
            <w:noWrap/>
            <w:vAlign w:val="bottom"/>
            <w:hideMark/>
          </w:tcPr>
          <w:p w14:paraId="5F175FAB"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r>
      <w:tr w:rsidR="00510EA5" w:rsidRPr="00477D8F" w14:paraId="48AFCC66" w14:textId="77777777" w:rsidTr="00510EA5">
        <w:trPr>
          <w:trHeight w:val="290"/>
        </w:trPr>
        <w:tc>
          <w:tcPr>
            <w:tcW w:w="928" w:type="dxa"/>
            <w:vMerge w:val="restart"/>
            <w:tcBorders>
              <w:top w:val="nil"/>
              <w:left w:val="single" w:sz="4" w:space="0" w:color="auto"/>
              <w:bottom w:val="single" w:sz="4" w:space="0" w:color="000000"/>
              <w:right w:val="nil"/>
            </w:tcBorders>
            <w:shd w:val="clear" w:color="auto" w:fill="auto"/>
            <w:noWrap/>
            <w:hideMark/>
          </w:tcPr>
          <w:p w14:paraId="7E97A1BF" w14:textId="77777777" w:rsidR="00510EA5" w:rsidRPr="00477D8F" w:rsidRDefault="00510EA5" w:rsidP="00510EA5">
            <w:pPr>
              <w:spacing w:after="0" w:line="240" w:lineRule="auto"/>
              <w:jc w:val="center"/>
              <w:rPr>
                <w:rFonts w:ascii="Calibri" w:eastAsia="Times New Roman" w:hAnsi="Calibri" w:cs="Calibri"/>
                <w:color w:val="000000"/>
              </w:rPr>
            </w:pPr>
            <w:r w:rsidRPr="00477D8F">
              <w:rPr>
                <w:rFonts w:ascii="Calibri" w:eastAsia="Times New Roman" w:hAnsi="Calibri" w:cs="Calibri"/>
                <w:color w:val="000000"/>
              </w:rPr>
              <w:t>Medium</w:t>
            </w:r>
          </w:p>
        </w:tc>
        <w:tc>
          <w:tcPr>
            <w:tcW w:w="1828" w:type="dxa"/>
            <w:tcBorders>
              <w:top w:val="nil"/>
              <w:left w:val="nil"/>
              <w:bottom w:val="nil"/>
              <w:right w:val="nil"/>
            </w:tcBorders>
            <w:shd w:val="clear" w:color="auto" w:fill="auto"/>
            <w:noWrap/>
            <w:vAlign w:val="bottom"/>
            <w:hideMark/>
          </w:tcPr>
          <w:p w14:paraId="1A250597"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ECD</w:t>
            </w:r>
          </w:p>
        </w:tc>
        <w:tc>
          <w:tcPr>
            <w:tcW w:w="789" w:type="dxa"/>
            <w:tcBorders>
              <w:top w:val="nil"/>
              <w:left w:val="nil"/>
              <w:bottom w:val="nil"/>
              <w:right w:val="nil"/>
            </w:tcBorders>
            <w:shd w:val="clear" w:color="auto" w:fill="auto"/>
            <w:noWrap/>
            <w:vAlign w:val="bottom"/>
            <w:hideMark/>
          </w:tcPr>
          <w:p w14:paraId="1954263C"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4C4B7E00"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w:t>
            </w:r>
          </w:p>
        </w:tc>
        <w:tc>
          <w:tcPr>
            <w:tcW w:w="780" w:type="dxa"/>
            <w:tcBorders>
              <w:top w:val="nil"/>
              <w:left w:val="nil"/>
              <w:bottom w:val="nil"/>
              <w:right w:val="nil"/>
            </w:tcBorders>
            <w:shd w:val="clear" w:color="auto" w:fill="auto"/>
            <w:noWrap/>
            <w:vAlign w:val="bottom"/>
            <w:hideMark/>
          </w:tcPr>
          <w:p w14:paraId="072D944E"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w:t>
            </w:r>
          </w:p>
        </w:tc>
        <w:tc>
          <w:tcPr>
            <w:tcW w:w="780" w:type="dxa"/>
            <w:tcBorders>
              <w:top w:val="nil"/>
              <w:left w:val="nil"/>
              <w:bottom w:val="nil"/>
              <w:right w:val="nil"/>
            </w:tcBorders>
            <w:shd w:val="clear" w:color="auto" w:fill="auto"/>
            <w:noWrap/>
            <w:vAlign w:val="bottom"/>
            <w:hideMark/>
          </w:tcPr>
          <w:p w14:paraId="7A9F20B1"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w:t>
            </w:r>
          </w:p>
        </w:tc>
        <w:tc>
          <w:tcPr>
            <w:tcW w:w="780" w:type="dxa"/>
            <w:tcBorders>
              <w:top w:val="nil"/>
              <w:left w:val="nil"/>
              <w:bottom w:val="nil"/>
              <w:right w:val="nil"/>
            </w:tcBorders>
            <w:shd w:val="clear" w:color="auto" w:fill="auto"/>
            <w:noWrap/>
            <w:vAlign w:val="bottom"/>
            <w:hideMark/>
          </w:tcPr>
          <w:p w14:paraId="45B61485"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w:t>
            </w:r>
          </w:p>
        </w:tc>
        <w:tc>
          <w:tcPr>
            <w:tcW w:w="780" w:type="dxa"/>
            <w:tcBorders>
              <w:top w:val="nil"/>
              <w:left w:val="nil"/>
              <w:bottom w:val="nil"/>
              <w:right w:val="nil"/>
            </w:tcBorders>
            <w:shd w:val="clear" w:color="auto" w:fill="auto"/>
            <w:noWrap/>
            <w:vAlign w:val="bottom"/>
            <w:hideMark/>
          </w:tcPr>
          <w:p w14:paraId="753E13A5"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w:t>
            </w:r>
          </w:p>
        </w:tc>
        <w:tc>
          <w:tcPr>
            <w:tcW w:w="780" w:type="dxa"/>
            <w:tcBorders>
              <w:top w:val="nil"/>
              <w:left w:val="nil"/>
              <w:bottom w:val="nil"/>
              <w:right w:val="nil"/>
            </w:tcBorders>
            <w:shd w:val="clear" w:color="auto" w:fill="auto"/>
            <w:noWrap/>
            <w:vAlign w:val="bottom"/>
            <w:hideMark/>
          </w:tcPr>
          <w:p w14:paraId="69849F45"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w:t>
            </w:r>
          </w:p>
        </w:tc>
        <w:tc>
          <w:tcPr>
            <w:tcW w:w="788" w:type="dxa"/>
            <w:tcBorders>
              <w:top w:val="nil"/>
              <w:left w:val="nil"/>
              <w:bottom w:val="nil"/>
              <w:right w:val="single" w:sz="4" w:space="0" w:color="auto"/>
            </w:tcBorders>
            <w:shd w:val="clear" w:color="auto" w:fill="auto"/>
            <w:noWrap/>
            <w:vAlign w:val="bottom"/>
            <w:hideMark/>
          </w:tcPr>
          <w:p w14:paraId="1FDEFD80"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w:t>
            </w:r>
          </w:p>
        </w:tc>
      </w:tr>
      <w:tr w:rsidR="00510EA5" w:rsidRPr="00477D8F" w14:paraId="7AF0236A"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1B41480A"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nil"/>
              <w:right w:val="nil"/>
            </w:tcBorders>
            <w:shd w:val="clear" w:color="auto" w:fill="auto"/>
            <w:noWrap/>
            <w:vAlign w:val="bottom"/>
            <w:hideMark/>
          </w:tcPr>
          <w:p w14:paraId="32755916"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Primary</w:t>
            </w:r>
          </w:p>
        </w:tc>
        <w:tc>
          <w:tcPr>
            <w:tcW w:w="789" w:type="dxa"/>
            <w:tcBorders>
              <w:top w:val="nil"/>
              <w:left w:val="nil"/>
              <w:bottom w:val="nil"/>
              <w:right w:val="nil"/>
            </w:tcBorders>
            <w:shd w:val="clear" w:color="auto" w:fill="auto"/>
            <w:noWrap/>
            <w:vAlign w:val="bottom"/>
            <w:hideMark/>
          </w:tcPr>
          <w:p w14:paraId="5AE77656"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7CB396CF"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w:t>
            </w:r>
          </w:p>
        </w:tc>
        <w:tc>
          <w:tcPr>
            <w:tcW w:w="780" w:type="dxa"/>
            <w:tcBorders>
              <w:top w:val="nil"/>
              <w:left w:val="nil"/>
              <w:bottom w:val="nil"/>
              <w:right w:val="nil"/>
            </w:tcBorders>
            <w:shd w:val="clear" w:color="auto" w:fill="auto"/>
            <w:noWrap/>
            <w:vAlign w:val="bottom"/>
            <w:hideMark/>
          </w:tcPr>
          <w:p w14:paraId="10AD6DAD"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w:t>
            </w:r>
          </w:p>
        </w:tc>
        <w:tc>
          <w:tcPr>
            <w:tcW w:w="780" w:type="dxa"/>
            <w:tcBorders>
              <w:top w:val="nil"/>
              <w:left w:val="nil"/>
              <w:bottom w:val="nil"/>
              <w:right w:val="nil"/>
            </w:tcBorders>
            <w:shd w:val="clear" w:color="auto" w:fill="auto"/>
            <w:noWrap/>
            <w:vAlign w:val="bottom"/>
            <w:hideMark/>
          </w:tcPr>
          <w:p w14:paraId="68553DA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w:t>
            </w:r>
          </w:p>
        </w:tc>
        <w:tc>
          <w:tcPr>
            <w:tcW w:w="780" w:type="dxa"/>
            <w:tcBorders>
              <w:top w:val="nil"/>
              <w:left w:val="nil"/>
              <w:bottom w:val="nil"/>
              <w:right w:val="nil"/>
            </w:tcBorders>
            <w:shd w:val="clear" w:color="auto" w:fill="auto"/>
            <w:noWrap/>
            <w:vAlign w:val="bottom"/>
            <w:hideMark/>
          </w:tcPr>
          <w:p w14:paraId="292BAF53"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47%</w:t>
            </w:r>
          </w:p>
        </w:tc>
        <w:tc>
          <w:tcPr>
            <w:tcW w:w="780" w:type="dxa"/>
            <w:tcBorders>
              <w:top w:val="nil"/>
              <w:left w:val="nil"/>
              <w:bottom w:val="nil"/>
              <w:right w:val="nil"/>
            </w:tcBorders>
            <w:shd w:val="clear" w:color="auto" w:fill="auto"/>
            <w:noWrap/>
            <w:vAlign w:val="bottom"/>
            <w:hideMark/>
          </w:tcPr>
          <w:p w14:paraId="0BF1D3B4"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51%</w:t>
            </w:r>
          </w:p>
        </w:tc>
        <w:tc>
          <w:tcPr>
            <w:tcW w:w="780" w:type="dxa"/>
            <w:tcBorders>
              <w:top w:val="nil"/>
              <w:left w:val="nil"/>
              <w:bottom w:val="nil"/>
              <w:right w:val="nil"/>
            </w:tcBorders>
            <w:shd w:val="clear" w:color="auto" w:fill="auto"/>
            <w:noWrap/>
            <w:vAlign w:val="bottom"/>
            <w:hideMark/>
          </w:tcPr>
          <w:p w14:paraId="57535DF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48%</w:t>
            </w:r>
          </w:p>
        </w:tc>
        <w:tc>
          <w:tcPr>
            <w:tcW w:w="788" w:type="dxa"/>
            <w:tcBorders>
              <w:top w:val="nil"/>
              <w:left w:val="nil"/>
              <w:bottom w:val="nil"/>
              <w:right w:val="single" w:sz="4" w:space="0" w:color="auto"/>
            </w:tcBorders>
            <w:shd w:val="clear" w:color="auto" w:fill="auto"/>
            <w:noWrap/>
            <w:vAlign w:val="bottom"/>
            <w:hideMark/>
          </w:tcPr>
          <w:p w14:paraId="34494BDD"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45%</w:t>
            </w:r>
          </w:p>
        </w:tc>
      </w:tr>
      <w:tr w:rsidR="00510EA5" w:rsidRPr="00477D8F" w14:paraId="606B4D08"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698B9A4F"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nil"/>
              <w:right w:val="nil"/>
            </w:tcBorders>
            <w:shd w:val="clear" w:color="auto" w:fill="auto"/>
            <w:noWrap/>
            <w:vAlign w:val="bottom"/>
            <w:hideMark/>
          </w:tcPr>
          <w:p w14:paraId="2BABABD5"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Lower Secondary</w:t>
            </w:r>
          </w:p>
        </w:tc>
        <w:tc>
          <w:tcPr>
            <w:tcW w:w="789" w:type="dxa"/>
            <w:tcBorders>
              <w:top w:val="nil"/>
              <w:left w:val="nil"/>
              <w:bottom w:val="nil"/>
              <w:right w:val="nil"/>
            </w:tcBorders>
            <w:shd w:val="clear" w:color="auto" w:fill="auto"/>
            <w:noWrap/>
            <w:vAlign w:val="bottom"/>
            <w:hideMark/>
          </w:tcPr>
          <w:p w14:paraId="73EBC9C4"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37A857A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w:t>
            </w:r>
          </w:p>
        </w:tc>
        <w:tc>
          <w:tcPr>
            <w:tcW w:w="780" w:type="dxa"/>
            <w:tcBorders>
              <w:top w:val="nil"/>
              <w:left w:val="nil"/>
              <w:bottom w:val="nil"/>
              <w:right w:val="nil"/>
            </w:tcBorders>
            <w:shd w:val="clear" w:color="auto" w:fill="auto"/>
            <w:noWrap/>
            <w:vAlign w:val="bottom"/>
            <w:hideMark/>
          </w:tcPr>
          <w:p w14:paraId="50381183"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w:t>
            </w:r>
          </w:p>
        </w:tc>
        <w:tc>
          <w:tcPr>
            <w:tcW w:w="780" w:type="dxa"/>
            <w:tcBorders>
              <w:top w:val="nil"/>
              <w:left w:val="nil"/>
              <w:bottom w:val="nil"/>
              <w:right w:val="nil"/>
            </w:tcBorders>
            <w:shd w:val="clear" w:color="auto" w:fill="auto"/>
            <w:noWrap/>
            <w:vAlign w:val="bottom"/>
            <w:hideMark/>
          </w:tcPr>
          <w:p w14:paraId="1204B8FE"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w:t>
            </w:r>
          </w:p>
        </w:tc>
        <w:tc>
          <w:tcPr>
            <w:tcW w:w="780" w:type="dxa"/>
            <w:tcBorders>
              <w:top w:val="nil"/>
              <w:left w:val="nil"/>
              <w:bottom w:val="nil"/>
              <w:right w:val="nil"/>
            </w:tcBorders>
            <w:shd w:val="clear" w:color="auto" w:fill="auto"/>
            <w:noWrap/>
            <w:vAlign w:val="bottom"/>
            <w:hideMark/>
          </w:tcPr>
          <w:p w14:paraId="5A39990D"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6EB16B13"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23%</w:t>
            </w:r>
          </w:p>
        </w:tc>
        <w:tc>
          <w:tcPr>
            <w:tcW w:w="780" w:type="dxa"/>
            <w:tcBorders>
              <w:top w:val="nil"/>
              <w:left w:val="nil"/>
              <w:bottom w:val="nil"/>
              <w:right w:val="nil"/>
            </w:tcBorders>
            <w:shd w:val="clear" w:color="auto" w:fill="auto"/>
            <w:noWrap/>
            <w:vAlign w:val="bottom"/>
            <w:hideMark/>
          </w:tcPr>
          <w:p w14:paraId="2765B290"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26%</w:t>
            </w:r>
          </w:p>
        </w:tc>
        <w:tc>
          <w:tcPr>
            <w:tcW w:w="788" w:type="dxa"/>
            <w:tcBorders>
              <w:top w:val="nil"/>
              <w:left w:val="nil"/>
              <w:bottom w:val="nil"/>
              <w:right w:val="single" w:sz="4" w:space="0" w:color="auto"/>
            </w:tcBorders>
            <w:shd w:val="clear" w:color="auto" w:fill="auto"/>
            <w:noWrap/>
            <w:vAlign w:val="bottom"/>
            <w:hideMark/>
          </w:tcPr>
          <w:p w14:paraId="037FFF21"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27%</w:t>
            </w:r>
          </w:p>
        </w:tc>
      </w:tr>
      <w:tr w:rsidR="00510EA5" w:rsidRPr="00477D8F" w14:paraId="1E6231DA"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0F772704"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nil"/>
              <w:right w:val="nil"/>
            </w:tcBorders>
            <w:shd w:val="clear" w:color="auto" w:fill="auto"/>
            <w:noWrap/>
            <w:vAlign w:val="bottom"/>
            <w:hideMark/>
          </w:tcPr>
          <w:p w14:paraId="692088A3"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Senior secondary</w:t>
            </w:r>
          </w:p>
        </w:tc>
        <w:tc>
          <w:tcPr>
            <w:tcW w:w="789" w:type="dxa"/>
            <w:tcBorders>
              <w:top w:val="nil"/>
              <w:left w:val="nil"/>
              <w:bottom w:val="nil"/>
              <w:right w:val="nil"/>
            </w:tcBorders>
            <w:shd w:val="clear" w:color="auto" w:fill="auto"/>
            <w:noWrap/>
            <w:vAlign w:val="bottom"/>
            <w:hideMark/>
          </w:tcPr>
          <w:p w14:paraId="2026BA4C"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08C5AA5D"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27%</w:t>
            </w:r>
          </w:p>
        </w:tc>
        <w:tc>
          <w:tcPr>
            <w:tcW w:w="780" w:type="dxa"/>
            <w:tcBorders>
              <w:top w:val="nil"/>
              <w:left w:val="nil"/>
              <w:bottom w:val="nil"/>
              <w:right w:val="nil"/>
            </w:tcBorders>
            <w:shd w:val="clear" w:color="auto" w:fill="auto"/>
            <w:noWrap/>
            <w:vAlign w:val="bottom"/>
            <w:hideMark/>
          </w:tcPr>
          <w:p w14:paraId="22256078"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31%</w:t>
            </w:r>
          </w:p>
        </w:tc>
        <w:tc>
          <w:tcPr>
            <w:tcW w:w="780" w:type="dxa"/>
            <w:tcBorders>
              <w:top w:val="nil"/>
              <w:left w:val="nil"/>
              <w:bottom w:val="nil"/>
              <w:right w:val="nil"/>
            </w:tcBorders>
            <w:shd w:val="clear" w:color="auto" w:fill="auto"/>
            <w:noWrap/>
            <w:vAlign w:val="bottom"/>
            <w:hideMark/>
          </w:tcPr>
          <w:p w14:paraId="0EF2954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30%</w:t>
            </w:r>
          </w:p>
        </w:tc>
        <w:tc>
          <w:tcPr>
            <w:tcW w:w="780" w:type="dxa"/>
            <w:tcBorders>
              <w:top w:val="nil"/>
              <w:left w:val="nil"/>
              <w:bottom w:val="nil"/>
              <w:right w:val="nil"/>
            </w:tcBorders>
            <w:shd w:val="clear" w:color="auto" w:fill="auto"/>
            <w:noWrap/>
            <w:vAlign w:val="bottom"/>
            <w:hideMark/>
          </w:tcPr>
          <w:p w14:paraId="0B560C7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c>
          <w:tcPr>
            <w:tcW w:w="780" w:type="dxa"/>
            <w:tcBorders>
              <w:top w:val="nil"/>
              <w:left w:val="nil"/>
              <w:bottom w:val="nil"/>
              <w:right w:val="nil"/>
            </w:tcBorders>
            <w:shd w:val="clear" w:color="auto" w:fill="auto"/>
            <w:noWrap/>
            <w:vAlign w:val="bottom"/>
            <w:hideMark/>
          </w:tcPr>
          <w:p w14:paraId="7F2980EE"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w:t>
            </w:r>
          </w:p>
        </w:tc>
        <w:tc>
          <w:tcPr>
            <w:tcW w:w="780" w:type="dxa"/>
            <w:tcBorders>
              <w:top w:val="nil"/>
              <w:left w:val="nil"/>
              <w:bottom w:val="nil"/>
              <w:right w:val="nil"/>
            </w:tcBorders>
            <w:shd w:val="clear" w:color="auto" w:fill="auto"/>
            <w:noWrap/>
            <w:vAlign w:val="bottom"/>
            <w:hideMark/>
          </w:tcPr>
          <w:p w14:paraId="764417C7"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w:t>
            </w:r>
          </w:p>
        </w:tc>
        <w:tc>
          <w:tcPr>
            <w:tcW w:w="788" w:type="dxa"/>
            <w:tcBorders>
              <w:top w:val="nil"/>
              <w:left w:val="nil"/>
              <w:bottom w:val="nil"/>
              <w:right w:val="single" w:sz="4" w:space="0" w:color="auto"/>
            </w:tcBorders>
            <w:shd w:val="clear" w:color="auto" w:fill="auto"/>
            <w:noWrap/>
            <w:vAlign w:val="bottom"/>
            <w:hideMark/>
          </w:tcPr>
          <w:p w14:paraId="2D512E19"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r>
      <w:tr w:rsidR="00510EA5" w:rsidRPr="00477D8F" w14:paraId="32E4C05C"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381F3796"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nil"/>
              <w:right w:val="nil"/>
            </w:tcBorders>
            <w:shd w:val="clear" w:color="auto" w:fill="auto"/>
            <w:noWrap/>
            <w:vAlign w:val="bottom"/>
            <w:hideMark/>
          </w:tcPr>
          <w:p w14:paraId="20A44298"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Higher Education</w:t>
            </w:r>
          </w:p>
        </w:tc>
        <w:tc>
          <w:tcPr>
            <w:tcW w:w="789" w:type="dxa"/>
            <w:tcBorders>
              <w:top w:val="nil"/>
              <w:left w:val="nil"/>
              <w:bottom w:val="nil"/>
              <w:right w:val="nil"/>
            </w:tcBorders>
            <w:shd w:val="clear" w:color="auto" w:fill="auto"/>
            <w:noWrap/>
            <w:vAlign w:val="bottom"/>
            <w:hideMark/>
          </w:tcPr>
          <w:p w14:paraId="589B9789"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22%</w:t>
            </w:r>
          </w:p>
        </w:tc>
        <w:tc>
          <w:tcPr>
            <w:tcW w:w="780" w:type="dxa"/>
            <w:tcBorders>
              <w:top w:val="nil"/>
              <w:left w:val="nil"/>
              <w:bottom w:val="nil"/>
              <w:right w:val="nil"/>
            </w:tcBorders>
            <w:shd w:val="clear" w:color="auto" w:fill="auto"/>
            <w:noWrap/>
            <w:vAlign w:val="bottom"/>
            <w:hideMark/>
          </w:tcPr>
          <w:p w14:paraId="64114633"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05BEEDC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29%</w:t>
            </w:r>
          </w:p>
        </w:tc>
        <w:tc>
          <w:tcPr>
            <w:tcW w:w="780" w:type="dxa"/>
            <w:tcBorders>
              <w:top w:val="nil"/>
              <w:left w:val="nil"/>
              <w:bottom w:val="nil"/>
              <w:right w:val="nil"/>
            </w:tcBorders>
            <w:shd w:val="clear" w:color="auto" w:fill="auto"/>
            <w:noWrap/>
            <w:vAlign w:val="bottom"/>
            <w:hideMark/>
          </w:tcPr>
          <w:p w14:paraId="08B5415E"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28%</w:t>
            </w:r>
          </w:p>
        </w:tc>
        <w:tc>
          <w:tcPr>
            <w:tcW w:w="780" w:type="dxa"/>
            <w:tcBorders>
              <w:top w:val="nil"/>
              <w:left w:val="nil"/>
              <w:bottom w:val="nil"/>
              <w:right w:val="nil"/>
            </w:tcBorders>
            <w:shd w:val="clear" w:color="auto" w:fill="auto"/>
            <w:noWrap/>
            <w:vAlign w:val="bottom"/>
            <w:hideMark/>
          </w:tcPr>
          <w:p w14:paraId="2C99649A"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c>
          <w:tcPr>
            <w:tcW w:w="780" w:type="dxa"/>
            <w:tcBorders>
              <w:top w:val="nil"/>
              <w:left w:val="nil"/>
              <w:bottom w:val="nil"/>
              <w:right w:val="nil"/>
            </w:tcBorders>
            <w:shd w:val="clear" w:color="auto" w:fill="auto"/>
            <w:noWrap/>
            <w:vAlign w:val="bottom"/>
            <w:hideMark/>
          </w:tcPr>
          <w:p w14:paraId="13B53D4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c>
          <w:tcPr>
            <w:tcW w:w="780" w:type="dxa"/>
            <w:tcBorders>
              <w:top w:val="nil"/>
              <w:left w:val="nil"/>
              <w:bottom w:val="nil"/>
              <w:right w:val="nil"/>
            </w:tcBorders>
            <w:shd w:val="clear" w:color="auto" w:fill="auto"/>
            <w:noWrap/>
            <w:vAlign w:val="bottom"/>
            <w:hideMark/>
          </w:tcPr>
          <w:p w14:paraId="2AFD1574"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w:t>
            </w:r>
          </w:p>
        </w:tc>
        <w:tc>
          <w:tcPr>
            <w:tcW w:w="788" w:type="dxa"/>
            <w:tcBorders>
              <w:top w:val="nil"/>
              <w:left w:val="nil"/>
              <w:bottom w:val="nil"/>
              <w:right w:val="single" w:sz="4" w:space="0" w:color="auto"/>
            </w:tcBorders>
            <w:shd w:val="clear" w:color="auto" w:fill="auto"/>
            <w:noWrap/>
            <w:vAlign w:val="bottom"/>
            <w:hideMark/>
          </w:tcPr>
          <w:p w14:paraId="4A2CC740"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r>
      <w:tr w:rsidR="00510EA5" w:rsidRPr="00477D8F" w14:paraId="7AEE1C1E"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0CB468A9"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single" w:sz="4" w:space="0" w:color="auto"/>
              <w:right w:val="nil"/>
            </w:tcBorders>
            <w:shd w:val="clear" w:color="auto" w:fill="auto"/>
            <w:noWrap/>
            <w:vAlign w:val="bottom"/>
            <w:hideMark/>
          </w:tcPr>
          <w:p w14:paraId="001FC9B4"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Total</w:t>
            </w:r>
          </w:p>
        </w:tc>
        <w:tc>
          <w:tcPr>
            <w:tcW w:w="789" w:type="dxa"/>
            <w:tcBorders>
              <w:top w:val="nil"/>
              <w:left w:val="nil"/>
              <w:bottom w:val="single" w:sz="4" w:space="0" w:color="auto"/>
              <w:right w:val="nil"/>
            </w:tcBorders>
            <w:shd w:val="clear" w:color="auto" w:fill="auto"/>
            <w:noWrap/>
            <w:vAlign w:val="bottom"/>
            <w:hideMark/>
          </w:tcPr>
          <w:p w14:paraId="5E89BB9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w:t>
            </w:r>
          </w:p>
        </w:tc>
        <w:tc>
          <w:tcPr>
            <w:tcW w:w="780" w:type="dxa"/>
            <w:tcBorders>
              <w:top w:val="nil"/>
              <w:left w:val="nil"/>
              <w:bottom w:val="single" w:sz="4" w:space="0" w:color="auto"/>
              <w:right w:val="nil"/>
            </w:tcBorders>
            <w:shd w:val="clear" w:color="auto" w:fill="auto"/>
            <w:noWrap/>
            <w:vAlign w:val="bottom"/>
            <w:hideMark/>
          </w:tcPr>
          <w:p w14:paraId="64EF1282"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w:t>
            </w:r>
          </w:p>
        </w:tc>
        <w:tc>
          <w:tcPr>
            <w:tcW w:w="780" w:type="dxa"/>
            <w:tcBorders>
              <w:top w:val="nil"/>
              <w:left w:val="nil"/>
              <w:bottom w:val="single" w:sz="4" w:space="0" w:color="auto"/>
              <w:right w:val="nil"/>
            </w:tcBorders>
            <w:shd w:val="clear" w:color="auto" w:fill="auto"/>
            <w:noWrap/>
            <w:vAlign w:val="bottom"/>
            <w:hideMark/>
          </w:tcPr>
          <w:p w14:paraId="42A5EE5A"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15%</w:t>
            </w:r>
          </w:p>
        </w:tc>
        <w:tc>
          <w:tcPr>
            <w:tcW w:w="780" w:type="dxa"/>
            <w:tcBorders>
              <w:top w:val="nil"/>
              <w:left w:val="nil"/>
              <w:bottom w:val="single" w:sz="4" w:space="0" w:color="auto"/>
              <w:right w:val="nil"/>
            </w:tcBorders>
            <w:shd w:val="clear" w:color="auto" w:fill="auto"/>
            <w:noWrap/>
            <w:vAlign w:val="bottom"/>
            <w:hideMark/>
          </w:tcPr>
          <w:p w14:paraId="72B5C676"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14%</w:t>
            </w:r>
          </w:p>
        </w:tc>
        <w:tc>
          <w:tcPr>
            <w:tcW w:w="780" w:type="dxa"/>
            <w:tcBorders>
              <w:top w:val="nil"/>
              <w:left w:val="nil"/>
              <w:bottom w:val="single" w:sz="4" w:space="0" w:color="auto"/>
              <w:right w:val="nil"/>
            </w:tcBorders>
            <w:shd w:val="clear" w:color="auto" w:fill="auto"/>
            <w:noWrap/>
            <w:vAlign w:val="bottom"/>
            <w:hideMark/>
          </w:tcPr>
          <w:p w14:paraId="428B9FE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100%</w:t>
            </w:r>
          </w:p>
        </w:tc>
        <w:tc>
          <w:tcPr>
            <w:tcW w:w="780" w:type="dxa"/>
            <w:tcBorders>
              <w:top w:val="nil"/>
              <w:left w:val="nil"/>
              <w:bottom w:val="single" w:sz="4" w:space="0" w:color="auto"/>
              <w:right w:val="nil"/>
            </w:tcBorders>
            <w:shd w:val="clear" w:color="auto" w:fill="auto"/>
            <w:noWrap/>
            <w:vAlign w:val="bottom"/>
            <w:hideMark/>
          </w:tcPr>
          <w:p w14:paraId="0182C860"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100%</w:t>
            </w:r>
          </w:p>
        </w:tc>
        <w:tc>
          <w:tcPr>
            <w:tcW w:w="780" w:type="dxa"/>
            <w:tcBorders>
              <w:top w:val="nil"/>
              <w:left w:val="nil"/>
              <w:bottom w:val="single" w:sz="4" w:space="0" w:color="auto"/>
              <w:right w:val="nil"/>
            </w:tcBorders>
            <w:shd w:val="clear" w:color="auto" w:fill="auto"/>
            <w:noWrap/>
            <w:vAlign w:val="bottom"/>
            <w:hideMark/>
          </w:tcPr>
          <w:p w14:paraId="114DC1BA"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100%</w:t>
            </w:r>
          </w:p>
        </w:tc>
        <w:tc>
          <w:tcPr>
            <w:tcW w:w="788" w:type="dxa"/>
            <w:tcBorders>
              <w:top w:val="nil"/>
              <w:left w:val="nil"/>
              <w:bottom w:val="single" w:sz="4" w:space="0" w:color="auto"/>
              <w:right w:val="single" w:sz="4" w:space="0" w:color="auto"/>
            </w:tcBorders>
            <w:shd w:val="clear" w:color="auto" w:fill="auto"/>
            <w:noWrap/>
            <w:vAlign w:val="bottom"/>
            <w:hideMark/>
          </w:tcPr>
          <w:p w14:paraId="6F0DAE8C"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100%</w:t>
            </w:r>
          </w:p>
        </w:tc>
      </w:tr>
      <w:tr w:rsidR="00510EA5" w:rsidRPr="00477D8F" w14:paraId="3695C8A6" w14:textId="77777777" w:rsidTr="00510EA5">
        <w:trPr>
          <w:trHeight w:val="290"/>
        </w:trPr>
        <w:tc>
          <w:tcPr>
            <w:tcW w:w="928" w:type="dxa"/>
            <w:tcBorders>
              <w:top w:val="nil"/>
              <w:left w:val="single" w:sz="4" w:space="0" w:color="auto"/>
              <w:bottom w:val="nil"/>
              <w:right w:val="nil"/>
            </w:tcBorders>
            <w:shd w:val="clear" w:color="auto" w:fill="auto"/>
            <w:noWrap/>
            <w:vAlign w:val="bottom"/>
            <w:hideMark/>
          </w:tcPr>
          <w:p w14:paraId="1BB998AC"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1828" w:type="dxa"/>
            <w:tcBorders>
              <w:top w:val="nil"/>
              <w:left w:val="nil"/>
              <w:bottom w:val="nil"/>
              <w:right w:val="nil"/>
            </w:tcBorders>
            <w:shd w:val="clear" w:color="auto" w:fill="auto"/>
            <w:noWrap/>
            <w:vAlign w:val="bottom"/>
            <w:hideMark/>
          </w:tcPr>
          <w:p w14:paraId="3A22B602"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9" w:type="dxa"/>
            <w:tcBorders>
              <w:top w:val="nil"/>
              <w:left w:val="nil"/>
              <w:bottom w:val="nil"/>
              <w:right w:val="nil"/>
            </w:tcBorders>
            <w:shd w:val="clear" w:color="auto" w:fill="auto"/>
            <w:noWrap/>
            <w:vAlign w:val="bottom"/>
            <w:hideMark/>
          </w:tcPr>
          <w:p w14:paraId="60AD350E"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0" w:type="dxa"/>
            <w:tcBorders>
              <w:top w:val="nil"/>
              <w:left w:val="nil"/>
              <w:bottom w:val="nil"/>
              <w:right w:val="nil"/>
            </w:tcBorders>
            <w:shd w:val="clear" w:color="auto" w:fill="auto"/>
            <w:noWrap/>
            <w:vAlign w:val="bottom"/>
            <w:hideMark/>
          </w:tcPr>
          <w:p w14:paraId="6FD93B1E"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0" w:type="dxa"/>
            <w:tcBorders>
              <w:top w:val="nil"/>
              <w:left w:val="nil"/>
              <w:bottom w:val="nil"/>
              <w:right w:val="nil"/>
            </w:tcBorders>
            <w:shd w:val="clear" w:color="auto" w:fill="auto"/>
            <w:noWrap/>
            <w:vAlign w:val="bottom"/>
            <w:hideMark/>
          </w:tcPr>
          <w:p w14:paraId="7BBDD05A"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0" w:type="dxa"/>
            <w:tcBorders>
              <w:top w:val="nil"/>
              <w:left w:val="nil"/>
              <w:bottom w:val="nil"/>
              <w:right w:val="nil"/>
            </w:tcBorders>
            <w:shd w:val="clear" w:color="auto" w:fill="auto"/>
            <w:noWrap/>
            <w:vAlign w:val="bottom"/>
            <w:hideMark/>
          </w:tcPr>
          <w:p w14:paraId="3BEF009C"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0" w:type="dxa"/>
            <w:tcBorders>
              <w:top w:val="nil"/>
              <w:left w:val="nil"/>
              <w:bottom w:val="nil"/>
              <w:right w:val="nil"/>
            </w:tcBorders>
            <w:shd w:val="clear" w:color="auto" w:fill="auto"/>
            <w:noWrap/>
            <w:vAlign w:val="bottom"/>
            <w:hideMark/>
          </w:tcPr>
          <w:p w14:paraId="5AF73A82"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0" w:type="dxa"/>
            <w:tcBorders>
              <w:top w:val="nil"/>
              <w:left w:val="nil"/>
              <w:bottom w:val="nil"/>
              <w:right w:val="nil"/>
            </w:tcBorders>
            <w:shd w:val="clear" w:color="auto" w:fill="auto"/>
            <w:noWrap/>
            <w:vAlign w:val="bottom"/>
            <w:hideMark/>
          </w:tcPr>
          <w:p w14:paraId="598C8543"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0" w:type="dxa"/>
            <w:tcBorders>
              <w:top w:val="nil"/>
              <w:left w:val="nil"/>
              <w:bottom w:val="nil"/>
              <w:right w:val="nil"/>
            </w:tcBorders>
            <w:shd w:val="clear" w:color="auto" w:fill="auto"/>
            <w:noWrap/>
            <w:vAlign w:val="bottom"/>
            <w:hideMark/>
          </w:tcPr>
          <w:p w14:paraId="7EE134BA"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8" w:type="dxa"/>
            <w:tcBorders>
              <w:top w:val="nil"/>
              <w:left w:val="nil"/>
              <w:bottom w:val="nil"/>
              <w:right w:val="single" w:sz="4" w:space="0" w:color="auto"/>
            </w:tcBorders>
            <w:shd w:val="clear" w:color="auto" w:fill="auto"/>
            <w:noWrap/>
            <w:vAlign w:val="bottom"/>
            <w:hideMark/>
          </w:tcPr>
          <w:p w14:paraId="20B0B829"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r>
      <w:tr w:rsidR="00510EA5" w:rsidRPr="00477D8F" w14:paraId="1CA289D7" w14:textId="77777777" w:rsidTr="00510EA5">
        <w:trPr>
          <w:trHeight w:val="290"/>
        </w:trPr>
        <w:tc>
          <w:tcPr>
            <w:tcW w:w="928" w:type="dxa"/>
            <w:vMerge w:val="restart"/>
            <w:tcBorders>
              <w:top w:val="nil"/>
              <w:left w:val="single" w:sz="4" w:space="0" w:color="auto"/>
              <w:bottom w:val="single" w:sz="4" w:space="0" w:color="000000"/>
              <w:right w:val="nil"/>
            </w:tcBorders>
            <w:shd w:val="clear" w:color="auto" w:fill="auto"/>
            <w:noWrap/>
            <w:hideMark/>
          </w:tcPr>
          <w:p w14:paraId="2B3F5449" w14:textId="77777777" w:rsidR="00510EA5" w:rsidRPr="00477D8F" w:rsidRDefault="00510EA5" w:rsidP="00510EA5">
            <w:pPr>
              <w:spacing w:after="0" w:line="240" w:lineRule="auto"/>
              <w:jc w:val="center"/>
              <w:rPr>
                <w:rFonts w:ascii="Calibri" w:eastAsia="Times New Roman" w:hAnsi="Calibri" w:cs="Calibri"/>
                <w:color w:val="000000"/>
              </w:rPr>
            </w:pPr>
            <w:r w:rsidRPr="00477D8F">
              <w:rPr>
                <w:rFonts w:ascii="Calibri" w:eastAsia="Times New Roman" w:hAnsi="Calibri" w:cs="Calibri"/>
                <w:color w:val="000000"/>
              </w:rPr>
              <w:t>Low</w:t>
            </w:r>
          </w:p>
        </w:tc>
        <w:tc>
          <w:tcPr>
            <w:tcW w:w="1828" w:type="dxa"/>
            <w:tcBorders>
              <w:top w:val="nil"/>
              <w:left w:val="nil"/>
              <w:bottom w:val="nil"/>
              <w:right w:val="nil"/>
            </w:tcBorders>
            <w:shd w:val="clear" w:color="auto" w:fill="auto"/>
            <w:noWrap/>
            <w:vAlign w:val="bottom"/>
            <w:hideMark/>
          </w:tcPr>
          <w:p w14:paraId="37912F0A"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ECD</w:t>
            </w:r>
          </w:p>
        </w:tc>
        <w:tc>
          <w:tcPr>
            <w:tcW w:w="789" w:type="dxa"/>
            <w:tcBorders>
              <w:top w:val="nil"/>
              <w:left w:val="nil"/>
              <w:bottom w:val="nil"/>
              <w:right w:val="nil"/>
            </w:tcBorders>
            <w:shd w:val="clear" w:color="auto" w:fill="auto"/>
            <w:noWrap/>
            <w:vAlign w:val="bottom"/>
            <w:hideMark/>
          </w:tcPr>
          <w:p w14:paraId="57C66727"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717018CF"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7474AEA3"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w:t>
            </w:r>
          </w:p>
        </w:tc>
        <w:tc>
          <w:tcPr>
            <w:tcW w:w="780" w:type="dxa"/>
            <w:tcBorders>
              <w:top w:val="nil"/>
              <w:left w:val="nil"/>
              <w:bottom w:val="nil"/>
              <w:right w:val="nil"/>
            </w:tcBorders>
            <w:shd w:val="clear" w:color="auto" w:fill="auto"/>
            <w:noWrap/>
            <w:vAlign w:val="bottom"/>
            <w:hideMark/>
          </w:tcPr>
          <w:p w14:paraId="3B5CA3B8"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6C019119"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w:t>
            </w:r>
          </w:p>
        </w:tc>
        <w:tc>
          <w:tcPr>
            <w:tcW w:w="780" w:type="dxa"/>
            <w:tcBorders>
              <w:top w:val="nil"/>
              <w:left w:val="nil"/>
              <w:bottom w:val="nil"/>
              <w:right w:val="nil"/>
            </w:tcBorders>
            <w:shd w:val="clear" w:color="auto" w:fill="auto"/>
            <w:noWrap/>
            <w:vAlign w:val="bottom"/>
            <w:hideMark/>
          </w:tcPr>
          <w:p w14:paraId="13286252"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w:t>
            </w:r>
          </w:p>
        </w:tc>
        <w:tc>
          <w:tcPr>
            <w:tcW w:w="780" w:type="dxa"/>
            <w:tcBorders>
              <w:top w:val="nil"/>
              <w:left w:val="nil"/>
              <w:bottom w:val="nil"/>
              <w:right w:val="nil"/>
            </w:tcBorders>
            <w:shd w:val="clear" w:color="auto" w:fill="auto"/>
            <w:noWrap/>
            <w:vAlign w:val="bottom"/>
            <w:hideMark/>
          </w:tcPr>
          <w:p w14:paraId="0F50AF8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w:t>
            </w:r>
          </w:p>
        </w:tc>
        <w:tc>
          <w:tcPr>
            <w:tcW w:w="788" w:type="dxa"/>
            <w:tcBorders>
              <w:top w:val="nil"/>
              <w:left w:val="nil"/>
              <w:bottom w:val="nil"/>
              <w:right w:val="single" w:sz="4" w:space="0" w:color="auto"/>
            </w:tcBorders>
            <w:shd w:val="clear" w:color="auto" w:fill="auto"/>
            <w:noWrap/>
            <w:vAlign w:val="bottom"/>
            <w:hideMark/>
          </w:tcPr>
          <w:p w14:paraId="256B337A"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w:t>
            </w:r>
          </w:p>
        </w:tc>
      </w:tr>
      <w:tr w:rsidR="00510EA5" w:rsidRPr="00477D8F" w14:paraId="31093FDE"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228ED1A0"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nil"/>
              <w:right w:val="nil"/>
            </w:tcBorders>
            <w:shd w:val="clear" w:color="auto" w:fill="auto"/>
            <w:noWrap/>
            <w:vAlign w:val="bottom"/>
            <w:hideMark/>
          </w:tcPr>
          <w:p w14:paraId="5C0CBCC4"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Primary</w:t>
            </w:r>
          </w:p>
        </w:tc>
        <w:tc>
          <w:tcPr>
            <w:tcW w:w="789" w:type="dxa"/>
            <w:tcBorders>
              <w:top w:val="nil"/>
              <w:left w:val="nil"/>
              <w:bottom w:val="nil"/>
              <w:right w:val="nil"/>
            </w:tcBorders>
            <w:shd w:val="clear" w:color="auto" w:fill="auto"/>
            <w:noWrap/>
            <w:vAlign w:val="bottom"/>
            <w:hideMark/>
          </w:tcPr>
          <w:p w14:paraId="6FB29CA4"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32303FEE"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00116D26"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w:t>
            </w:r>
          </w:p>
        </w:tc>
        <w:tc>
          <w:tcPr>
            <w:tcW w:w="780" w:type="dxa"/>
            <w:tcBorders>
              <w:top w:val="nil"/>
              <w:left w:val="nil"/>
              <w:bottom w:val="nil"/>
              <w:right w:val="nil"/>
            </w:tcBorders>
            <w:shd w:val="clear" w:color="auto" w:fill="auto"/>
            <w:noWrap/>
            <w:vAlign w:val="bottom"/>
            <w:hideMark/>
          </w:tcPr>
          <w:p w14:paraId="3794FC8F"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69A9C4CD"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47%</w:t>
            </w:r>
          </w:p>
        </w:tc>
        <w:tc>
          <w:tcPr>
            <w:tcW w:w="780" w:type="dxa"/>
            <w:tcBorders>
              <w:top w:val="nil"/>
              <w:left w:val="nil"/>
              <w:bottom w:val="nil"/>
              <w:right w:val="nil"/>
            </w:tcBorders>
            <w:shd w:val="clear" w:color="auto" w:fill="auto"/>
            <w:noWrap/>
            <w:vAlign w:val="bottom"/>
            <w:hideMark/>
          </w:tcPr>
          <w:p w14:paraId="30EFE58F"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51%</w:t>
            </w:r>
          </w:p>
        </w:tc>
        <w:tc>
          <w:tcPr>
            <w:tcW w:w="780" w:type="dxa"/>
            <w:tcBorders>
              <w:top w:val="nil"/>
              <w:left w:val="nil"/>
              <w:bottom w:val="nil"/>
              <w:right w:val="nil"/>
            </w:tcBorders>
            <w:shd w:val="clear" w:color="auto" w:fill="auto"/>
            <w:noWrap/>
            <w:vAlign w:val="bottom"/>
            <w:hideMark/>
          </w:tcPr>
          <w:p w14:paraId="7E4666CD"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49%</w:t>
            </w:r>
          </w:p>
        </w:tc>
        <w:tc>
          <w:tcPr>
            <w:tcW w:w="788" w:type="dxa"/>
            <w:tcBorders>
              <w:top w:val="nil"/>
              <w:left w:val="nil"/>
              <w:bottom w:val="nil"/>
              <w:right w:val="single" w:sz="4" w:space="0" w:color="auto"/>
            </w:tcBorders>
            <w:shd w:val="clear" w:color="auto" w:fill="auto"/>
            <w:noWrap/>
            <w:vAlign w:val="bottom"/>
            <w:hideMark/>
          </w:tcPr>
          <w:p w14:paraId="6DE2CE17"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47%</w:t>
            </w:r>
          </w:p>
        </w:tc>
      </w:tr>
      <w:tr w:rsidR="00510EA5" w:rsidRPr="00477D8F" w14:paraId="3F292BF6"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4AE3F6B3"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nil"/>
              <w:right w:val="nil"/>
            </w:tcBorders>
            <w:shd w:val="clear" w:color="auto" w:fill="auto"/>
            <w:noWrap/>
            <w:vAlign w:val="bottom"/>
            <w:hideMark/>
          </w:tcPr>
          <w:p w14:paraId="267BFCB5"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Lower Secondary</w:t>
            </w:r>
          </w:p>
        </w:tc>
        <w:tc>
          <w:tcPr>
            <w:tcW w:w="789" w:type="dxa"/>
            <w:tcBorders>
              <w:top w:val="nil"/>
              <w:left w:val="nil"/>
              <w:bottom w:val="nil"/>
              <w:right w:val="nil"/>
            </w:tcBorders>
            <w:shd w:val="clear" w:color="auto" w:fill="auto"/>
            <w:noWrap/>
            <w:vAlign w:val="bottom"/>
            <w:hideMark/>
          </w:tcPr>
          <w:p w14:paraId="7D9A70C2"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28E4CDD8"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6CB9AB9C"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6%</w:t>
            </w:r>
          </w:p>
        </w:tc>
        <w:tc>
          <w:tcPr>
            <w:tcW w:w="780" w:type="dxa"/>
            <w:tcBorders>
              <w:top w:val="nil"/>
              <w:left w:val="nil"/>
              <w:bottom w:val="nil"/>
              <w:right w:val="nil"/>
            </w:tcBorders>
            <w:shd w:val="clear" w:color="auto" w:fill="auto"/>
            <w:noWrap/>
            <w:vAlign w:val="bottom"/>
            <w:hideMark/>
          </w:tcPr>
          <w:p w14:paraId="29F97F34"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w:t>
            </w:r>
          </w:p>
        </w:tc>
        <w:tc>
          <w:tcPr>
            <w:tcW w:w="780" w:type="dxa"/>
            <w:tcBorders>
              <w:top w:val="nil"/>
              <w:left w:val="nil"/>
              <w:bottom w:val="nil"/>
              <w:right w:val="nil"/>
            </w:tcBorders>
            <w:shd w:val="clear" w:color="auto" w:fill="auto"/>
            <w:noWrap/>
            <w:vAlign w:val="bottom"/>
            <w:hideMark/>
          </w:tcPr>
          <w:p w14:paraId="6391A75C"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65CE5A79"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22%</w:t>
            </w:r>
          </w:p>
        </w:tc>
        <w:tc>
          <w:tcPr>
            <w:tcW w:w="780" w:type="dxa"/>
            <w:tcBorders>
              <w:top w:val="nil"/>
              <w:left w:val="nil"/>
              <w:bottom w:val="nil"/>
              <w:right w:val="nil"/>
            </w:tcBorders>
            <w:shd w:val="clear" w:color="auto" w:fill="auto"/>
            <w:noWrap/>
            <w:vAlign w:val="bottom"/>
            <w:hideMark/>
          </w:tcPr>
          <w:p w14:paraId="3871BCEF"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8" w:type="dxa"/>
            <w:tcBorders>
              <w:top w:val="nil"/>
              <w:left w:val="nil"/>
              <w:bottom w:val="nil"/>
              <w:right w:val="single" w:sz="4" w:space="0" w:color="auto"/>
            </w:tcBorders>
            <w:shd w:val="clear" w:color="auto" w:fill="auto"/>
            <w:noWrap/>
            <w:vAlign w:val="bottom"/>
            <w:hideMark/>
          </w:tcPr>
          <w:p w14:paraId="7E69E2A7"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r>
      <w:tr w:rsidR="00510EA5" w:rsidRPr="00477D8F" w14:paraId="73383977"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2988499F"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nil"/>
              <w:right w:val="nil"/>
            </w:tcBorders>
            <w:shd w:val="clear" w:color="auto" w:fill="auto"/>
            <w:noWrap/>
            <w:vAlign w:val="bottom"/>
            <w:hideMark/>
          </w:tcPr>
          <w:p w14:paraId="6C7D16A6"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Senior secondary</w:t>
            </w:r>
          </w:p>
        </w:tc>
        <w:tc>
          <w:tcPr>
            <w:tcW w:w="789" w:type="dxa"/>
            <w:tcBorders>
              <w:top w:val="nil"/>
              <w:left w:val="nil"/>
              <w:bottom w:val="nil"/>
              <w:right w:val="nil"/>
            </w:tcBorders>
            <w:shd w:val="clear" w:color="auto" w:fill="auto"/>
            <w:noWrap/>
            <w:vAlign w:val="bottom"/>
            <w:hideMark/>
          </w:tcPr>
          <w:p w14:paraId="15DADFDC"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08CAB0A6"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62E78CD8"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27%</w:t>
            </w:r>
          </w:p>
        </w:tc>
        <w:tc>
          <w:tcPr>
            <w:tcW w:w="780" w:type="dxa"/>
            <w:tcBorders>
              <w:top w:val="nil"/>
              <w:left w:val="nil"/>
              <w:bottom w:val="nil"/>
              <w:right w:val="nil"/>
            </w:tcBorders>
            <w:shd w:val="clear" w:color="auto" w:fill="auto"/>
            <w:noWrap/>
            <w:vAlign w:val="bottom"/>
            <w:hideMark/>
          </w:tcPr>
          <w:p w14:paraId="681331AD"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4365B9AD"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c>
          <w:tcPr>
            <w:tcW w:w="780" w:type="dxa"/>
            <w:tcBorders>
              <w:top w:val="nil"/>
              <w:left w:val="nil"/>
              <w:bottom w:val="nil"/>
              <w:right w:val="nil"/>
            </w:tcBorders>
            <w:shd w:val="clear" w:color="auto" w:fill="auto"/>
            <w:noWrap/>
            <w:vAlign w:val="bottom"/>
            <w:hideMark/>
          </w:tcPr>
          <w:p w14:paraId="3090F70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w:t>
            </w:r>
          </w:p>
        </w:tc>
        <w:tc>
          <w:tcPr>
            <w:tcW w:w="780" w:type="dxa"/>
            <w:tcBorders>
              <w:top w:val="nil"/>
              <w:left w:val="nil"/>
              <w:bottom w:val="nil"/>
              <w:right w:val="nil"/>
            </w:tcBorders>
            <w:shd w:val="clear" w:color="auto" w:fill="auto"/>
            <w:noWrap/>
            <w:vAlign w:val="bottom"/>
            <w:hideMark/>
          </w:tcPr>
          <w:p w14:paraId="446228A1"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w:t>
            </w:r>
          </w:p>
        </w:tc>
        <w:tc>
          <w:tcPr>
            <w:tcW w:w="788" w:type="dxa"/>
            <w:tcBorders>
              <w:top w:val="nil"/>
              <w:left w:val="nil"/>
              <w:bottom w:val="nil"/>
              <w:right w:val="single" w:sz="4" w:space="0" w:color="auto"/>
            </w:tcBorders>
            <w:shd w:val="clear" w:color="auto" w:fill="auto"/>
            <w:noWrap/>
            <w:vAlign w:val="bottom"/>
            <w:hideMark/>
          </w:tcPr>
          <w:p w14:paraId="04BD74D8"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11%</w:t>
            </w:r>
          </w:p>
        </w:tc>
      </w:tr>
      <w:tr w:rsidR="00510EA5" w:rsidRPr="00477D8F" w14:paraId="5C50599B"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4F017082"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nil"/>
              <w:right w:val="nil"/>
            </w:tcBorders>
            <w:shd w:val="clear" w:color="auto" w:fill="auto"/>
            <w:noWrap/>
            <w:vAlign w:val="bottom"/>
            <w:hideMark/>
          </w:tcPr>
          <w:p w14:paraId="054602D2"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Higher Education</w:t>
            </w:r>
          </w:p>
        </w:tc>
        <w:tc>
          <w:tcPr>
            <w:tcW w:w="789" w:type="dxa"/>
            <w:tcBorders>
              <w:top w:val="nil"/>
              <w:left w:val="nil"/>
              <w:bottom w:val="nil"/>
              <w:right w:val="nil"/>
            </w:tcBorders>
            <w:shd w:val="clear" w:color="auto" w:fill="auto"/>
            <w:noWrap/>
            <w:vAlign w:val="bottom"/>
            <w:hideMark/>
          </w:tcPr>
          <w:p w14:paraId="69E6F2BA"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22%</w:t>
            </w:r>
          </w:p>
        </w:tc>
        <w:tc>
          <w:tcPr>
            <w:tcW w:w="780" w:type="dxa"/>
            <w:tcBorders>
              <w:top w:val="nil"/>
              <w:left w:val="nil"/>
              <w:bottom w:val="nil"/>
              <w:right w:val="nil"/>
            </w:tcBorders>
            <w:shd w:val="clear" w:color="auto" w:fill="auto"/>
            <w:noWrap/>
            <w:vAlign w:val="bottom"/>
            <w:hideMark/>
          </w:tcPr>
          <w:p w14:paraId="5BFAAB80"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23%</w:t>
            </w:r>
          </w:p>
        </w:tc>
        <w:tc>
          <w:tcPr>
            <w:tcW w:w="780" w:type="dxa"/>
            <w:tcBorders>
              <w:top w:val="nil"/>
              <w:left w:val="nil"/>
              <w:bottom w:val="nil"/>
              <w:right w:val="nil"/>
            </w:tcBorders>
            <w:shd w:val="clear" w:color="auto" w:fill="auto"/>
            <w:noWrap/>
            <w:vAlign w:val="bottom"/>
            <w:hideMark/>
          </w:tcPr>
          <w:p w14:paraId="3A9236DA"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c>
          <w:tcPr>
            <w:tcW w:w="780" w:type="dxa"/>
            <w:tcBorders>
              <w:top w:val="nil"/>
              <w:left w:val="nil"/>
              <w:bottom w:val="nil"/>
              <w:right w:val="nil"/>
            </w:tcBorders>
            <w:shd w:val="clear" w:color="auto" w:fill="auto"/>
            <w:noWrap/>
            <w:vAlign w:val="bottom"/>
            <w:hideMark/>
          </w:tcPr>
          <w:p w14:paraId="164F0B82"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23%</w:t>
            </w:r>
          </w:p>
        </w:tc>
        <w:tc>
          <w:tcPr>
            <w:tcW w:w="780" w:type="dxa"/>
            <w:tcBorders>
              <w:top w:val="nil"/>
              <w:left w:val="nil"/>
              <w:bottom w:val="nil"/>
              <w:right w:val="nil"/>
            </w:tcBorders>
            <w:shd w:val="clear" w:color="auto" w:fill="auto"/>
            <w:noWrap/>
            <w:vAlign w:val="bottom"/>
            <w:hideMark/>
          </w:tcPr>
          <w:p w14:paraId="71794A8C"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c>
          <w:tcPr>
            <w:tcW w:w="780" w:type="dxa"/>
            <w:tcBorders>
              <w:top w:val="nil"/>
              <w:left w:val="nil"/>
              <w:bottom w:val="nil"/>
              <w:right w:val="nil"/>
            </w:tcBorders>
            <w:shd w:val="clear" w:color="auto" w:fill="auto"/>
            <w:noWrap/>
            <w:vAlign w:val="bottom"/>
            <w:hideMark/>
          </w:tcPr>
          <w:p w14:paraId="552DD245"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c>
          <w:tcPr>
            <w:tcW w:w="780" w:type="dxa"/>
            <w:tcBorders>
              <w:top w:val="nil"/>
              <w:left w:val="nil"/>
              <w:bottom w:val="nil"/>
              <w:right w:val="nil"/>
            </w:tcBorders>
            <w:shd w:val="clear" w:color="auto" w:fill="auto"/>
            <w:noWrap/>
            <w:vAlign w:val="bottom"/>
            <w:hideMark/>
          </w:tcPr>
          <w:p w14:paraId="59E8932E"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c>
          <w:tcPr>
            <w:tcW w:w="788" w:type="dxa"/>
            <w:tcBorders>
              <w:top w:val="nil"/>
              <w:left w:val="nil"/>
              <w:bottom w:val="nil"/>
              <w:right w:val="single" w:sz="4" w:space="0" w:color="auto"/>
            </w:tcBorders>
            <w:shd w:val="clear" w:color="auto" w:fill="auto"/>
            <w:noWrap/>
            <w:vAlign w:val="bottom"/>
            <w:hideMark/>
          </w:tcPr>
          <w:p w14:paraId="4A633E0D"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w:t>
            </w:r>
          </w:p>
        </w:tc>
      </w:tr>
      <w:tr w:rsidR="00510EA5" w:rsidRPr="00477D8F" w14:paraId="2989CDFD" w14:textId="77777777" w:rsidTr="00510EA5">
        <w:trPr>
          <w:trHeight w:val="290"/>
        </w:trPr>
        <w:tc>
          <w:tcPr>
            <w:tcW w:w="928" w:type="dxa"/>
            <w:vMerge/>
            <w:tcBorders>
              <w:top w:val="nil"/>
              <w:left w:val="single" w:sz="4" w:space="0" w:color="auto"/>
              <w:bottom w:val="single" w:sz="4" w:space="0" w:color="000000"/>
              <w:right w:val="nil"/>
            </w:tcBorders>
            <w:vAlign w:val="center"/>
            <w:hideMark/>
          </w:tcPr>
          <w:p w14:paraId="118A63D5" w14:textId="77777777" w:rsidR="00510EA5" w:rsidRPr="00477D8F" w:rsidRDefault="00510EA5" w:rsidP="00510EA5">
            <w:pPr>
              <w:spacing w:after="0" w:line="240" w:lineRule="auto"/>
              <w:rPr>
                <w:rFonts w:ascii="Calibri" w:eastAsia="Times New Roman" w:hAnsi="Calibri" w:cs="Calibri"/>
                <w:color w:val="000000"/>
              </w:rPr>
            </w:pPr>
          </w:p>
        </w:tc>
        <w:tc>
          <w:tcPr>
            <w:tcW w:w="1828" w:type="dxa"/>
            <w:tcBorders>
              <w:top w:val="nil"/>
              <w:left w:val="nil"/>
              <w:bottom w:val="single" w:sz="4" w:space="0" w:color="auto"/>
              <w:right w:val="nil"/>
            </w:tcBorders>
            <w:shd w:val="clear" w:color="auto" w:fill="auto"/>
            <w:noWrap/>
            <w:vAlign w:val="bottom"/>
            <w:hideMark/>
          </w:tcPr>
          <w:p w14:paraId="052491AA"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Total</w:t>
            </w:r>
          </w:p>
        </w:tc>
        <w:tc>
          <w:tcPr>
            <w:tcW w:w="789" w:type="dxa"/>
            <w:tcBorders>
              <w:top w:val="nil"/>
              <w:left w:val="nil"/>
              <w:bottom w:val="single" w:sz="4" w:space="0" w:color="auto"/>
              <w:right w:val="nil"/>
            </w:tcBorders>
            <w:shd w:val="clear" w:color="auto" w:fill="auto"/>
            <w:noWrap/>
            <w:vAlign w:val="bottom"/>
            <w:hideMark/>
          </w:tcPr>
          <w:p w14:paraId="66F4CB78"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w:t>
            </w:r>
          </w:p>
        </w:tc>
        <w:tc>
          <w:tcPr>
            <w:tcW w:w="780" w:type="dxa"/>
            <w:tcBorders>
              <w:top w:val="nil"/>
              <w:left w:val="nil"/>
              <w:bottom w:val="single" w:sz="4" w:space="0" w:color="auto"/>
              <w:right w:val="nil"/>
            </w:tcBorders>
            <w:shd w:val="clear" w:color="auto" w:fill="auto"/>
            <w:noWrap/>
            <w:vAlign w:val="bottom"/>
            <w:hideMark/>
          </w:tcPr>
          <w:p w14:paraId="582EBAF2"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w:t>
            </w:r>
          </w:p>
        </w:tc>
        <w:tc>
          <w:tcPr>
            <w:tcW w:w="780" w:type="dxa"/>
            <w:tcBorders>
              <w:top w:val="nil"/>
              <w:left w:val="nil"/>
              <w:bottom w:val="single" w:sz="4" w:space="0" w:color="auto"/>
              <w:right w:val="nil"/>
            </w:tcBorders>
            <w:shd w:val="clear" w:color="auto" w:fill="auto"/>
            <w:noWrap/>
            <w:vAlign w:val="bottom"/>
            <w:hideMark/>
          </w:tcPr>
          <w:p w14:paraId="13C6B587"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w:t>
            </w:r>
          </w:p>
        </w:tc>
        <w:tc>
          <w:tcPr>
            <w:tcW w:w="780" w:type="dxa"/>
            <w:tcBorders>
              <w:top w:val="nil"/>
              <w:left w:val="nil"/>
              <w:bottom w:val="single" w:sz="4" w:space="0" w:color="auto"/>
              <w:right w:val="nil"/>
            </w:tcBorders>
            <w:shd w:val="clear" w:color="auto" w:fill="auto"/>
            <w:noWrap/>
            <w:vAlign w:val="bottom"/>
            <w:hideMark/>
          </w:tcPr>
          <w:p w14:paraId="492EA6D4"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w:t>
            </w:r>
          </w:p>
        </w:tc>
        <w:tc>
          <w:tcPr>
            <w:tcW w:w="780" w:type="dxa"/>
            <w:tcBorders>
              <w:top w:val="nil"/>
              <w:left w:val="nil"/>
              <w:bottom w:val="single" w:sz="4" w:space="0" w:color="auto"/>
              <w:right w:val="nil"/>
            </w:tcBorders>
            <w:shd w:val="clear" w:color="auto" w:fill="auto"/>
            <w:noWrap/>
            <w:vAlign w:val="bottom"/>
            <w:hideMark/>
          </w:tcPr>
          <w:p w14:paraId="1DC2E1FE"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100%</w:t>
            </w:r>
          </w:p>
        </w:tc>
        <w:tc>
          <w:tcPr>
            <w:tcW w:w="780" w:type="dxa"/>
            <w:tcBorders>
              <w:top w:val="nil"/>
              <w:left w:val="nil"/>
              <w:bottom w:val="single" w:sz="4" w:space="0" w:color="auto"/>
              <w:right w:val="nil"/>
            </w:tcBorders>
            <w:shd w:val="clear" w:color="auto" w:fill="auto"/>
            <w:noWrap/>
            <w:vAlign w:val="bottom"/>
            <w:hideMark/>
          </w:tcPr>
          <w:p w14:paraId="586491FB"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100%</w:t>
            </w:r>
          </w:p>
        </w:tc>
        <w:tc>
          <w:tcPr>
            <w:tcW w:w="780" w:type="dxa"/>
            <w:tcBorders>
              <w:top w:val="nil"/>
              <w:left w:val="nil"/>
              <w:bottom w:val="single" w:sz="4" w:space="0" w:color="auto"/>
              <w:right w:val="nil"/>
            </w:tcBorders>
            <w:shd w:val="clear" w:color="auto" w:fill="auto"/>
            <w:noWrap/>
            <w:vAlign w:val="bottom"/>
            <w:hideMark/>
          </w:tcPr>
          <w:p w14:paraId="254139AE"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100%</w:t>
            </w:r>
          </w:p>
        </w:tc>
        <w:tc>
          <w:tcPr>
            <w:tcW w:w="788" w:type="dxa"/>
            <w:tcBorders>
              <w:top w:val="nil"/>
              <w:left w:val="nil"/>
              <w:bottom w:val="single" w:sz="4" w:space="0" w:color="auto"/>
              <w:right w:val="single" w:sz="4" w:space="0" w:color="auto"/>
            </w:tcBorders>
            <w:shd w:val="clear" w:color="auto" w:fill="auto"/>
            <w:noWrap/>
            <w:vAlign w:val="bottom"/>
            <w:hideMark/>
          </w:tcPr>
          <w:p w14:paraId="524E867A"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100%</w:t>
            </w:r>
          </w:p>
        </w:tc>
      </w:tr>
    </w:tbl>
    <w:p w14:paraId="09E78629" w14:textId="30535BA9" w:rsidR="00510EA5" w:rsidRPr="00477D8F" w:rsidRDefault="00510EA5" w:rsidP="00480421">
      <w:pPr>
        <w:jc w:val="both"/>
        <w:rPr>
          <w:rFonts w:ascii="Sylfaen" w:eastAsiaTheme="majorEastAsia" w:hAnsi="Sylfaen" w:cstheme="majorBidi"/>
          <w:bCs/>
        </w:rPr>
      </w:pPr>
    </w:p>
    <w:p w14:paraId="08F024B6" w14:textId="1538E433" w:rsidR="00510EA5" w:rsidRPr="00477D8F" w:rsidRDefault="00510EA5" w:rsidP="00480421">
      <w:pPr>
        <w:jc w:val="both"/>
        <w:rPr>
          <w:rFonts w:ascii="Sylfaen" w:eastAsiaTheme="majorEastAsia" w:hAnsi="Sylfaen" w:cstheme="majorBidi"/>
          <w:bCs/>
        </w:rPr>
      </w:pPr>
    </w:p>
    <w:p w14:paraId="42974794" w14:textId="72D79D0F" w:rsidR="00510EA5" w:rsidRPr="00477D8F" w:rsidRDefault="00510EA5" w:rsidP="00480421">
      <w:pPr>
        <w:jc w:val="both"/>
        <w:rPr>
          <w:rFonts w:ascii="Sylfaen" w:eastAsiaTheme="majorEastAsia" w:hAnsi="Sylfaen" w:cstheme="majorBidi"/>
          <w:bCs/>
        </w:rPr>
      </w:pPr>
    </w:p>
    <w:p w14:paraId="54B14C19" w14:textId="6980DCCA" w:rsidR="00510EA5" w:rsidRPr="00477D8F" w:rsidRDefault="00510EA5" w:rsidP="00480421">
      <w:pPr>
        <w:jc w:val="both"/>
        <w:rPr>
          <w:rFonts w:ascii="Sylfaen" w:eastAsiaTheme="majorEastAsia" w:hAnsi="Sylfaen" w:cstheme="majorBidi"/>
          <w:bCs/>
        </w:rPr>
      </w:pPr>
    </w:p>
    <w:p w14:paraId="0FA32766" w14:textId="6EF039ED" w:rsidR="00510EA5" w:rsidRPr="00477D8F" w:rsidRDefault="00510EA5" w:rsidP="00480421">
      <w:pPr>
        <w:jc w:val="both"/>
        <w:rPr>
          <w:rFonts w:ascii="Sylfaen" w:eastAsiaTheme="majorEastAsia" w:hAnsi="Sylfaen" w:cstheme="majorBidi"/>
          <w:bCs/>
        </w:rPr>
      </w:pPr>
    </w:p>
    <w:p w14:paraId="10EB322F" w14:textId="617D261C" w:rsidR="00510EA5" w:rsidRPr="00477D8F" w:rsidRDefault="00510EA5" w:rsidP="00480421">
      <w:pPr>
        <w:jc w:val="both"/>
        <w:rPr>
          <w:rFonts w:ascii="Sylfaen" w:eastAsiaTheme="majorEastAsia" w:hAnsi="Sylfaen" w:cstheme="majorBidi"/>
          <w:bCs/>
        </w:rPr>
      </w:pPr>
    </w:p>
    <w:p w14:paraId="192BDAD6" w14:textId="4E79062B" w:rsidR="00510EA5" w:rsidRPr="00477D8F" w:rsidRDefault="00510EA5" w:rsidP="00480421">
      <w:pPr>
        <w:jc w:val="both"/>
        <w:rPr>
          <w:rFonts w:ascii="Sylfaen" w:eastAsiaTheme="majorEastAsia" w:hAnsi="Sylfaen" w:cstheme="majorBidi"/>
          <w:bCs/>
        </w:rPr>
      </w:pPr>
    </w:p>
    <w:p w14:paraId="13EE7292" w14:textId="2D75C905" w:rsidR="00510EA5" w:rsidRPr="00477D8F" w:rsidRDefault="00510EA5" w:rsidP="00480421">
      <w:pPr>
        <w:jc w:val="both"/>
        <w:rPr>
          <w:rFonts w:ascii="Sylfaen" w:eastAsiaTheme="majorEastAsia" w:hAnsi="Sylfaen" w:cstheme="majorBidi"/>
          <w:bCs/>
        </w:rPr>
      </w:pPr>
    </w:p>
    <w:p w14:paraId="1AAD8C27" w14:textId="693E4347" w:rsidR="00510EA5" w:rsidRPr="00477D8F" w:rsidRDefault="00510EA5" w:rsidP="00480421">
      <w:pPr>
        <w:jc w:val="both"/>
        <w:rPr>
          <w:rFonts w:ascii="Sylfaen" w:eastAsiaTheme="majorEastAsia" w:hAnsi="Sylfaen" w:cstheme="majorBidi"/>
          <w:bCs/>
        </w:rPr>
      </w:pPr>
    </w:p>
    <w:p w14:paraId="14A7F53B" w14:textId="0743CA96" w:rsidR="00510EA5" w:rsidRPr="00477D8F" w:rsidRDefault="00510EA5" w:rsidP="00480421">
      <w:pPr>
        <w:jc w:val="both"/>
        <w:rPr>
          <w:rFonts w:ascii="Sylfaen" w:eastAsiaTheme="majorEastAsia" w:hAnsi="Sylfaen" w:cstheme="majorBidi"/>
          <w:bCs/>
        </w:rPr>
      </w:pPr>
    </w:p>
    <w:p w14:paraId="4EBF8507" w14:textId="1B5737BC" w:rsidR="00510EA5" w:rsidRPr="00477D8F" w:rsidRDefault="00510EA5" w:rsidP="00480421">
      <w:pPr>
        <w:jc w:val="both"/>
        <w:rPr>
          <w:rFonts w:ascii="Sylfaen" w:eastAsiaTheme="majorEastAsia" w:hAnsi="Sylfaen" w:cstheme="majorBidi"/>
          <w:bCs/>
        </w:rPr>
      </w:pPr>
    </w:p>
    <w:p w14:paraId="7C01F6B8" w14:textId="77777777" w:rsidR="00510EA5" w:rsidRPr="00477D8F" w:rsidRDefault="00510EA5" w:rsidP="00480421">
      <w:pPr>
        <w:jc w:val="both"/>
        <w:rPr>
          <w:rFonts w:ascii="Sylfaen" w:eastAsiaTheme="majorEastAsia" w:hAnsi="Sylfaen" w:cstheme="majorBidi"/>
          <w:bCs/>
        </w:rPr>
      </w:pPr>
    </w:p>
    <w:p w14:paraId="756C4A46" w14:textId="730BBA61" w:rsidR="00510EA5" w:rsidRPr="00477D8F" w:rsidRDefault="00510EA5" w:rsidP="00510EA5">
      <w:pPr>
        <w:pStyle w:val="Caption1"/>
      </w:pPr>
      <w:r w:rsidRPr="00477D8F">
        <w:lastRenderedPageBreak/>
        <w:t>Table B</w:t>
      </w:r>
      <w:r w:rsidRPr="00477D8F">
        <w:fldChar w:fldCharType="begin"/>
      </w:r>
      <w:r w:rsidRPr="00477D8F">
        <w:instrText xml:space="preserve"> SEQ Table_B \* ARABIC </w:instrText>
      </w:r>
      <w:r w:rsidRPr="00477D8F">
        <w:fldChar w:fldCharType="separate"/>
      </w:r>
      <w:r w:rsidRPr="00477D8F">
        <w:rPr>
          <w:noProof/>
        </w:rPr>
        <w:t>7</w:t>
      </w:r>
      <w:r w:rsidRPr="00477D8F">
        <w:rPr>
          <w:noProof/>
        </w:rPr>
        <w:fldChar w:fldCharType="end"/>
      </w:r>
      <w:r w:rsidRPr="00477D8F">
        <w:t xml:space="preserve">: Projection of key </w:t>
      </w:r>
      <w:r w:rsidR="006365B5" w:rsidRPr="00477D8F">
        <w:t>fiscal space implication</w:t>
      </w:r>
      <w:r w:rsidRPr="00477D8F">
        <w:t xml:space="preserve"> under three scenarios, 2015-2030</w:t>
      </w:r>
    </w:p>
    <w:tbl>
      <w:tblPr>
        <w:tblW w:w="8782" w:type="dxa"/>
        <w:tblLook w:val="04A0" w:firstRow="1" w:lastRow="0" w:firstColumn="1" w:lastColumn="0" w:noHBand="0" w:noVBand="1"/>
      </w:tblPr>
      <w:tblGrid>
        <w:gridCol w:w="984"/>
        <w:gridCol w:w="4771"/>
        <w:gridCol w:w="663"/>
        <w:gridCol w:w="788"/>
        <w:gridCol w:w="788"/>
        <w:gridCol w:w="788"/>
      </w:tblGrid>
      <w:tr w:rsidR="00510EA5" w:rsidRPr="00477D8F" w14:paraId="44480234" w14:textId="77777777" w:rsidTr="00316AFE">
        <w:trPr>
          <w:trHeight w:val="290"/>
        </w:trPr>
        <w:tc>
          <w:tcPr>
            <w:tcW w:w="984" w:type="dxa"/>
            <w:tcBorders>
              <w:top w:val="single" w:sz="4" w:space="0" w:color="auto"/>
              <w:left w:val="single" w:sz="4" w:space="0" w:color="auto"/>
              <w:bottom w:val="single" w:sz="4" w:space="0" w:color="auto"/>
              <w:right w:val="nil"/>
            </w:tcBorders>
            <w:shd w:val="clear" w:color="auto" w:fill="auto"/>
            <w:noWrap/>
            <w:vAlign w:val="bottom"/>
            <w:hideMark/>
          </w:tcPr>
          <w:p w14:paraId="694E1151"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Scenario</w:t>
            </w:r>
          </w:p>
        </w:tc>
        <w:tc>
          <w:tcPr>
            <w:tcW w:w="4771" w:type="dxa"/>
            <w:tcBorders>
              <w:top w:val="single" w:sz="4" w:space="0" w:color="auto"/>
              <w:left w:val="nil"/>
              <w:bottom w:val="single" w:sz="4" w:space="0" w:color="auto"/>
              <w:right w:val="nil"/>
            </w:tcBorders>
            <w:shd w:val="clear" w:color="auto" w:fill="auto"/>
            <w:noWrap/>
            <w:vAlign w:val="bottom"/>
            <w:hideMark/>
          </w:tcPr>
          <w:p w14:paraId="72FB4DA1"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Indicator</w:t>
            </w:r>
          </w:p>
        </w:tc>
        <w:tc>
          <w:tcPr>
            <w:tcW w:w="663" w:type="dxa"/>
            <w:tcBorders>
              <w:top w:val="single" w:sz="4" w:space="0" w:color="auto"/>
              <w:left w:val="nil"/>
              <w:bottom w:val="single" w:sz="4" w:space="0" w:color="auto"/>
              <w:right w:val="nil"/>
            </w:tcBorders>
            <w:shd w:val="clear" w:color="auto" w:fill="auto"/>
            <w:noWrap/>
            <w:vAlign w:val="bottom"/>
            <w:hideMark/>
          </w:tcPr>
          <w:p w14:paraId="2DDE0756"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2015</w:t>
            </w:r>
          </w:p>
        </w:tc>
        <w:tc>
          <w:tcPr>
            <w:tcW w:w="788" w:type="dxa"/>
            <w:tcBorders>
              <w:top w:val="single" w:sz="4" w:space="0" w:color="auto"/>
              <w:left w:val="nil"/>
              <w:bottom w:val="single" w:sz="4" w:space="0" w:color="auto"/>
              <w:right w:val="nil"/>
            </w:tcBorders>
            <w:shd w:val="clear" w:color="auto" w:fill="auto"/>
            <w:noWrap/>
            <w:vAlign w:val="bottom"/>
            <w:hideMark/>
          </w:tcPr>
          <w:p w14:paraId="39CC2CCF"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2020</w:t>
            </w:r>
          </w:p>
        </w:tc>
        <w:tc>
          <w:tcPr>
            <w:tcW w:w="788" w:type="dxa"/>
            <w:tcBorders>
              <w:top w:val="single" w:sz="4" w:space="0" w:color="auto"/>
              <w:left w:val="nil"/>
              <w:bottom w:val="single" w:sz="4" w:space="0" w:color="auto"/>
              <w:right w:val="nil"/>
            </w:tcBorders>
            <w:shd w:val="clear" w:color="auto" w:fill="auto"/>
            <w:noWrap/>
            <w:vAlign w:val="bottom"/>
            <w:hideMark/>
          </w:tcPr>
          <w:p w14:paraId="68DFCE60"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2025</w:t>
            </w:r>
          </w:p>
        </w:tc>
        <w:tc>
          <w:tcPr>
            <w:tcW w:w="788" w:type="dxa"/>
            <w:tcBorders>
              <w:top w:val="single" w:sz="4" w:space="0" w:color="auto"/>
              <w:left w:val="nil"/>
              <w:bottom w:val="single" w:sz="4" w:space="0" w:color="auto"/>
              <w:right w:val="single" w:sz="4" w:space="0" w:color="auto"/>
            </w:tcBorders>
            <w:shd w:val="clear" w:color="auto" w:fill="auto"/>
            <w:noWrap/>
            <w:vAlign w:val="bottom"/>
            <w:hideMark/>
          </w:tcPr>
          <w:p w14:paraId="6CFD1629" w14:textId="77777777" w:rsidR="00510EA5" w:rsidRPr="00477D8F" w:rsidRDefault="00510EA5"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2030</w:t>
            </w:r>
          </w:p>
        </w:tc>
      </w:tr>
      <w:tr w:rsidR="00316AFE" w:rsidRPr="00477D8F" w14:paraId="0C4E3C38" w14:textId="77777777" w:rsidTr="00316AFE">
        <w:trPr>
          <w:trHeight w:val="290"/>
        </w:trPr>
        <w:tc>
          <w:tcPr>
            <w:tcW w:w="984" w:type="dxa"/>
            <w:vMerge w:val="restart"/>
            <w:tcBorders>
              <w:top w:val="nil"/>
              <w:left w:val="single" w:sz="4" w:space="0" w:color="auto"/>
              <w:right w:val="nil"/>
            </w:tcBorders>
            <w:shd w:val="clear" w:color="auto" w:fill="auto"/>
            <w:noWrap/>
            <w:vAlign w:val="bottom"/>
            <w:hideMark/>
          </w:tcPr>
          <w:p w14:paraId="45ABB3E4"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High</w:t>
            </w:r>
          </w:p>
          <w:p w14:paraId="67211E8C"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7C9DD033"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4D493195"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0C00011E"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77378328"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27AF9CA1"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19896088" w14:textId="17189326"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4771" w:type="dxa"/>
            <w:tcBorders>
              <w:top w:val="nil"/>
              <w:left w:val="nil"/>
              <w:bottom w:val="nil"/>
              <w:right w:val="nil"/>
            </w:tcBorders>
            <w:shd w:val="clear" w:color="auto" w:fill="auto"/>
            <w:noWrap/>
            <w:vAlign w:val="bottom"/>
            <w:hideMark/>
          </w:tcPr>
          <w:p w14:paraId="4648FA80"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Nominal GDP (US$, millions)</w:t>
            </w:r>
          </w:p>
        </w:tc>
        <w:tc>
          <w:tcPr>
            <w:tcW w:w="663" w:type="dxa"/>
            <w:tcBorders>
              <w:top w:val="nil"/>
              <w:left w:val="nil"/>
              <w:bottom w:val="nil"/>
              <w:right w:val="nil"/>
            </w:tcBorders>
            <w:shd w:val="clear" w:color="auto" w:fill="auto"/>
            <w:noWrap/>
            <w:vAlign w:val="bottom"/>
            <w:hideMark/>
          </w:tcPr>
          <w:p w14:paraId="78BEEA12"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893</w:t>
            </w:r>
          </w:p>
        </w:tc>
        <w:tc>
          <w:tcPr>
            <w:tcW w:w="788" w:type="dxa"/>
            <w:tcBorders>
              <w:top w:val="nil"/>
              <w:left w:val="nil"/>
              <w:bottom w:val="nil"/>
              <w:right w:val="nil"/>
            </w:tcBorders>
            <w:shd w:val="clear" w:color="auto" w:fill="auto"/>
            <w:noWrap/>
            <w:vAlign w:val="bottom"/>
            <w:hideMark/>
          </w:tcPr>
          <w:p w14:paraId="4F26B21E"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1,058</w:t>
            </w:r>
          </w:p>
        </w:tc>
        <w:tc>
          <w:tcPr>
            <w:tcW w:w="788" w:type="dxa"/>
            <w:tcBorders>
              <w:top w:val="nil"/>
              <w:left w:val="nil"/>
              <w:bottom w:val="nil"/>
              <w:right w:val="nil"/>
            </w:tcBorders>
            <w:shd w:val="clear" w:color="auto" w:fill="auto"/>
            <w:noWrap/>
            <w:vAlign w:val="bottom"/>
            <w:hideMark/>
          </w:tcPr>
          <w:p w14:paraId="1A8C1339"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1,252</w:t>
            </w:r>
          </w:p>
        </w:tc>
        <w:tc>
          <w:tcPr>
            <w:tcW w:w="788" w:type="dxa"/>
            <w:tcBorders>
              <w:top w:val="nil"/>
              <w:left w:val="nil"/>
              <w:bottom w:val="nil"/>
              <w:right w:val="single" w:sz="4" w:space="0" w:color="auto"/>
            </w:tcBorders>
            <w:shd w:val="clear" w:color="auto" w:fill="auto"/>
            <w:noWrap/>
            <w:vAlign w:val="bottom"/>
            <w:hideMark/>
          </w:tcPr>
          <w:p w14:paraId="0ACA41E2"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1,483</w:t>
            </w:r>
          </w:p>
        </w:tc>
      </w:tr>
      <w:tr w:rsidR="00316AFE" w:rsidRPr="00477D8F" w14:paraId="57DE9B8D" w14:textId="77777777" w:rsidTr="00316AFE">
        <w:trPr>
          <w:trHeight w:val="290"/>
        </w:trPr>
        <w:tc>
          <w:tcPr>
            <w:tcW w:w="984" w:type="dxa"/>
            <w:vMerge/>
            <w:tcBorders>
              <w:left w:val="single" w:sz="4" w:space="0" w:color="auto"/>
              <w:right w:val="nil"/>
            </w:tcBorders>
            <w:shd w:val="clear" w:color="auto" w:fill="auto"/>
            <w:noWrap/>
            <w:vAlign w:val="bottom"/>
            <w:hideMark/>
          </w:tcPr>
          <w:p w14:paraId="3068DDE7" w14:textId="5ED5A870"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4215AB2E"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GDP per capita</w:t>
            </w:r>
          </w:p>
        </w:tc>
        <w:tc>
          <w:tcPr>
            <w:tcW w:w="663" w:type="dxa"/>
            <w:tcBorders>
              <w:top w:val="nil"/>
              <w:left w:val="nil"/>
              <w:bottom w:val="nil"/>
              <w:right w:val="nil"/>
            </w:tcBorders>
            <w:shd w:val="clear" w:color="auto" w:fill="auto"/>
            <w:noWrap/>
            <w:vAlign w:val="bottom"/>
            <w:hideMark/>
          </w:tcPr>
          <w:p w14:paraId="5454C965"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449</w:t>
            </w:r>
          </w:p>
        </w:tc>
        <w:tc>
          <w:tcPr>
            <w:tcW w:w="788" w:type="dxa"/>
            <w:tcBorders>
              <w:top w:val="nil"/>
              <w:left w:val="nil"/>
              <w:bottom w:val="nil"/>
              <w:right w:val="nil"/>
            </w:tcBorders>
            <w:shd w:val="clear" w:color="auto" w:fill="auto"/>
            <w:noWrap/>
            <w:vAlign w:val="bottom"/>
            <w:hideMark/>
          </w:tcPr>
          <w:p w14:paraId="53BEFEAF"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455</w:t>
            </w:r>
          </w:p>
        </w:tc>
        <w:tc>
          <w:tcPr>
            <w:tcW w:w="788" w:type="dxa"/>
            <w:tcBorders>
              <w:top w:val="nil"/>
              <w:left w:val="nil"/>
              <w:bottom w:val="nil"/>
              <w:right w:val="nil"/>
            </w:tcBorders>
            <w:shd w:val="clear" w:color="auto" w:fill="auto"/>
            <w:noWrap/>
            <w:vAlign w:val="bottom"/>
            <w:hideMark/>
          </w:tcPr>
          <w:p w14:paraId="613D54FE"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464</w:t>
            </w:r>
          </w:p>
        </w:tc>
        <w:tc>
          <w:tcPr>
            <w:tcW w:w="788" w:type="dxa"/>
            <w:tcBorders>
              <w:top w:val="nil"/>
              <w:left w:val="nil"/>
              <w:bottom w:val="nil"/>
              <w:right w:val="single" w:sz="4" w:space="0" w:color="auto"/>
            </w:tcBorders>
            <w:shd w:val="clear" w:color="auto" w:fill="auto"/>
            <w:noWrap/>
            <w:vAlign w:val="bottom"/>
            <w:hideMark/>
          </w:tcPr>
          <w:p w14:paraId="08F270D0"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478</w:t>
            </w:r>
          </w:p>
        </w:tc>
      </w:tr>
      <w:tr w:rsidR="00316AFE" w:rsidRPr="00477D8F" w14:paraId="4522877A" w14:textId="77777777" w:rsidTr="00316AFE">
        <w:trPr>
          <w:trHeight w:val="290"/>
        </w:trPr>
        <w:tc>
          <w:tcPr>
            <w:tcW w:w="984" w:type="dxa"/>
            <w:vMerge/>
            <w:tcBorders>
              <w:left w:val="single" w:sz="4" w:space="0" w:color="auto"/>
              <w:right w:val="nil"/>
            </w:tcBorders>
            <w:shd w:val="clear" w:color="auto" w:fill="auto"/>
            <w:noWrap/>
            <w:vAlign w:val="bottom"/>
            <w:hideMark/>
          </w:tcPr>
          <w:p w14:paraId="12024EB6" w14:textId="0120F1DE"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7D925176"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Revenue and grant share of GDP</w:t>
            </w:r>
          </w:p>
        </w:tc>
        <w:tc>
          <w:tcPr>
            <w:tcW w:w="663" w:type="dxa"/>
            <w:tcBorders>
              <w:top w:val="nil"/>
              <w:left w:val="nil"/>
              <w:bottom w:val="nil"/>
              <w:right w:val="nil"/>
            </w:tcBorders>
            <w:shd w:val="clear" w:color="auto" w:fill="auto"/>
            <w:noWrap/>
            <w:vAlign w:val="bottom"/>
            <w:hideMark/>
          </w:tcPr>
          <w:p w14:paraId="714C28A8"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21.6</w:t>
            </w:r>
          </w:p>
        </w:tc>
        <w:tc>
          <w:tcPr>
            <w:tcW w:w="788" w:type="dxa"/>
            <w:tcBorders>
              <w:top w:val="nil"/>
              <w:left w:val="nil"/>
              <w:bottom w:val="nil"/>
              <w:right w:val="nil"/>
            </w:tcBorders>
            <w:shd w:val="clear" w:color="auto" w:fill="auto"/>
            <w:noWrap/>
            <w:vAlign w:val="bottom"/>
            <w:hideMark/>
          </w:tcPr>
          <w:p w14:paraId="11C09A90"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23.6</w:t>
            </w:r>
          </w:p>
        </w:tc>
        <w:tc>
          <w:tcPr>
            <w:tcW w:w="788" w:type="dxa"/>
            <w:tcBorders>
              <w:top w:val="nil"/>
              <w:left w:val="nil"/>
              <w:bottom w:val="nil"/>
              <w:right w:val="nil"/>
            </w:tcBorders>
            <w:shd w:val="clear" w:color="auto" w:fill="auto"/>
            <w:noWrap/>
            <w:vAlign w:val="bottom"/>
            <w:hideMark/>
          </w:tcPr>
          <w:p w14:paraId="24F63E96"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27.9</w:t>
            </w:r>
          </w:p>
        </w:tc>
        <w:tc>
          <w:tcPr>
            <w:tcW w:w="788" w:type="dxa"/>
            <w:tcBorders>
              <w:top w:val="nil"/>
              <w:left w:val="nil"/>
              <w:bottom w:val="nil"/>
              <w:right w:val="single" w:sz="4" w:space="0" w:color="auto"/>
            </w:tcBorders>
            <w:shd w:val="clear" w:color="auto" w:fill="auto"/>
            <w:noWrap/>
            <w:vAlign w:val="bottom"/>
            <w:hideMark/>
          </w:tcPr>
          <w:p w14:paraId="15CBC3C8"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33.1</w:t>
            </w:r>
          </w:p>
        </w:tc>
      </w:tr>
      <w:tr w:rsidR="00316AFE" w:rsidRPr="00477D8F" w14:paraId="30C99ABC" w14:textId="77777777" w:rsidTr="00316AFE">
        <w:trPr>
          <w:trHeight w:val="290"/>
        </w:trPr>
        <w:tc>
          <w:tcPr>
            <w:tcW w:w="984" w:type="dxa"/>
            <w:vMerge/>
            <w:tcBorders>
              <w:left w:val="single" w:sz="4" w:space="0" w:color="auto"/>
              <w:right w:val="nil"/>
            </w:tcBorders>
            <w:shd w:val="clear" w:color="auto" w:fill="auto"/>
            <w:noWrap/>
            <w:vAlign w:val="bottom"/>
            <w:hideMark/>
          </w:tcPr>
          <w:p w14:paraId="58B43985" w14:textId="3C8EB5D8"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150F9A3B" w14:textId="46C9861E"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Expenditure share of GDP (%)</w:t>
            </w:r>
          </w:p>
        </w:tc>
        <w:tc>
          <w:tcPr>
            <w:tcW w:w="663" w:type="dxa"/>
            <w:tcBorders>
              <w:top w:val="nil"/>
              <w:left w:val="nil"/>
              <w:bottom w:val="nil"/>
              <w:right w:val="nil"/>
            </w:tcBorders>
            <w:shd w:val="clear" w:color="auto" w:fill="auto"/>
            <w:noWrap/>
            <w:vAlign w:val="bottom"/>
            <w:hideMark/>
          </w:tcPr>
          <w:p w14:paraId="129C8707"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29.7</w:t>
            </w:r>
          </w:p>
        </w:tc>
        <w:tc>
          <w:tcPr>
            <w:tcW w:w="788" w:type="dxa"/>
            <w:tcBorders>
              <w:top w:val="nil"/>
              <w:left w:val="nil"/>
              <w:bottom w:val="nil"/>
              <w:right w:val="nil"/>
            </w:tcBorders>
            <w:shd w:val="clear" w:color="auto" w:fill="auto"/>
            <w:noWrap/>
            <w:vAlign w:val="bottom"/>
            <w:hideMark/>
          </w:tcPr>
          <w:p w14:paraId="19F4D6DC"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25.4</w:t>
            </w:r>
          </w:p>
        </w:tc>
        <w:tc>
          <w:tcPr>
            <w:tcW w:w="788" w:type="dxa"/>
            <w:tcBorders>
              <w:top w:val="nil"/>
              <w:left w:val="nil"/>
              <w:bottom w:val="nil"/>
              <w:right w:val="nil"/>
            </w:tcBorders>
            <w:shd w:val="clear" w:color="auto" w:fill="auto"/>
            <w:noWrap/>
            <w:vAlign w:val="bottom"/>
            <w:hideMark/>
          </w:tcPr>
          <w:p w14:paraId="60E37C0E"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30.1</w:t>
            </w:r>
          </w:p>
        </w:tc>
        <w:tc>
          <w:tcPr>
            <w:tcW w:w="788" w:type="dxa"/>
            <w:tcBorders>
              <w:top w:val="nil"/>
              <w:left w:val="nil"/>
              <w:bottom w:val="nil"/>
              <w:right w:val="single" w:sz="4" w:space="0" w:color="auto"/>
            </w:tcBorders>
            <w:shd w:val="clear" w:color="auto" w:fill="auto"/>
            <w:noWrap/>
            <w:vAlign w:val="bottom"/>
            <w:hideMark/>
          </w:tcPr>
          <w:p w14:paraId="121AFF87"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35.6</w:t>
            </w:r>
          </w:p>
        </w:tc>
      </w:tr>
      <w:tr w:rsidR="00316AFE" w:rsidRPr="00477D8F" w14:paraId="2E693DDC" w14:textId="77777777" w:rsidTr="00316AFE">
        <w:trPr>
          <w:trHeight w:val="290"/>
        </w:trPr>
        <w:tc>
          <w:tcPr>
            <w:tcW w:w="984" w:type="dxa"/>
            <w:vMerge/>
            <w:tcBorders>
              <w:left w:val="single" w:sz="4" w:space="0" w:color="auto"/>
              <w:right w:val="nil"/>
            </w:tcBorders>
            <w:shd w:val="clear" w:color="auto" w:fill="auto"/>
            <w:noWrap/>
            <w:vAlign w:val="bottom"/>
            <w:hideMark/>
          </w:tcPr>
          <w:p w14:paraId="4141FD15" w14:textId="73D28722"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1B96DFDB" w14:textId="5A4ED814"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Debt as share of GDP (%)</w:t>
            </w:r>
          </w:p>
        </w:tc>
        <w:tc>
          <w:tcPr>
            <w:tcW w:w="663" w:type="dxa"/>
            <w:tcBorders>
              <w:top w:val="nil"/>
              <w:left w:val="nil"/>
              <w:bottom w:val="nil"/>
              <w:right w:val="nil"/>
            </w:tcBorders>
            <w:shd w:val="clear" w:color="auto" w:fill="auto"/>
            <w:noWrap/>
            <w:vAlign w:val="bottom"/>
            <w:hideMark/>
          </w:tcPr>
          <w:p w14:paraId="06168424"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8.1</w:t>
            </w:r>
          </w:p>
        </w:tc>
        <w:tc>
          <w:tcPr>
            <w:tcW w:w="788" w:type="dxa"/>
            <w:tcBorders>
              <w:top w:val="nil"/>
              <w:left w:val="nil"/>
              <w:bottom w:val="nil"/>
              <w:right w:val="nil"/>
            </w:tcBorders>
            <w:shd w:val="clear" w:color="auto" w:fill="auto"/>
            <w:noWrap/>
            <w:vAlign w:val="bottom"/>
            <w:hideMark/>
          </w:tcPr>
          <w:p w14:paraId="28D819AB"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1.8</w:t>
            </w:r>
          </w:p>
        </w:tc>
        <w:tc>
          <w:tcPr>
            <w:tcW w:w="788" w:type="dxa"/>
            <w:tcBorders>
              <w:top w:val="nil"/>
              <w:left w:val="nil"/>
              <w:bottom w:val="nil"/>
              <w:right w:val="nil"/>
            </w:tcBorders>
            <w:shd w:val="clear" w:color="auto" w:fill="auto"/>
            <w:noWrap/>
            <w:vAlign w:val="bottom"/>
            <w:hideMark/>
          </w:tcPr>
          <w:p w14:paraId="055D7EA1"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2.1</w:t>
            </w:r>
          </w:p>
        </w:tc>
        <w:tc>
          <w:tcPr>
            <w:tcW w:w="788" w:type="dxa"/>
            <w:tcBorders>
              <w:top w:val="nil"/>
              <w:left w:val="nil"/>
              <w:bottom w:val="nil"/>
              <w:right w:val="single" w:sz="4" w:space="0" w:color="auto"/>
            </w:tcBorders>
            <w:shd w:val="clear" w:color="auto" w:fill="auto"/>
            <w:noWrap/>
            <w:vAlign w:val="bottom"/>
            <w:hideMark/>
          </w:tcPr>
          <w:p w14:paraId="6ECFA13B"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r>
      <w:tr w:rsidR="00316AFE" w:rsidRPr="00477D8F" w14:paraId="603C8D66" w14:textId="77777777" w:rsidTr="00316AFE">
        <w:trPr>
          <w:trHeight w:val="290"/>
        </w:trPr>
        <w:tc>
          <w:tcPr>
            <w:tcW w:w="984" w:type="dxa"/>
            <w:vMerge/>
            <w:tcBorders>
              <w:left w:val="single" w:sz="4" w:space="0" w:color="auto"/>
              <w:right w:val="nil"/>
            </w:tcBorders>
            <w:shd w:val="clear" w:color="auto" w:fill="auto"/>
            <w:noWrap/>
            <w:vAlign w:val="bottom"/>
            <w:hideMark/>
          </w:tcPr>
          <w:p w14:paraId="1676EA48" w14:textId="5885AC29"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6B0678F6" w14:textId="4FE2A3CD"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Education spending as share of GDP (%)</w:t>
            </w:r>
          </w:p>
        </w:tc>
        <w:tc>
          <w:tcPr>
            <w:tcW w:w="663" w:type="dxa"/>
            <w:tcBorders>
              <w:top w:val="nil"/>
              <w:left w:val="nil"/>
              <w:bottom w:val="nil"/>
              <w:right w:val="nil"/>
            </w:tcBorders>
            <w:shd w:val="clear" w:color="auto" w:fill="auto"/>
            <w:noWrap/>
            <w:vAlign w:val="bottom"/>
            <w:hideMark/>
          </w:tcPr>
          <w:p w14:paraId="725B6708"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3.2</w:t>
            </w:r>
          </w:p>
        </w:tc>
        <w:tc>
          <w:tcPr>
            <w:tcW w:w="788" w:type="dxa"/>
            <w:tcBorders>
              <w:top w:val="nil"/>
              <w:left w:val="nil"/>
              <w:bottom w:val="nil"/>
              <w:right w:val="nil"/>
            </w:tcBorders>
            <w:shd w:val="clear" w:color="auto" w:fill="auto"/>
            <w:noWrap/>
            <w:vAlign w:val="bottom"/>
            <w:hideMark/>
          </w:tcPr>
          <w:p w14:paraId="378C8CE0"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3.5</w:t>
            </w:r>
          </w:p>
        </w:tc>
        <w:tc>
          <w:tcPr>
            <w:tcW w:w="788" w:type="dxa"/>
            <w:tcBorders>
              <w:top w:val="nil"/>
              <w:left w:val="nil"/>
              <w:bottom w:val="nil"/>
              <w:right w:val="nil"/>
            </w:tcBorders>
            <w:shd w:val="clear" w:color="auto" w:fill="auto"/>
            <w:noWrap/>
            <w:vAlign w:val="bottom"/>
            <w:hideMark/>
          </w:tcPr>
          <w:p w14:paraId="260547AA"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4.1</w:t>
            </w:r>
          </w:p>
        </w:tc>
        <w:tc>
          <w:tcPr>
            <w:tcW w:w="788" w:type="dxa"/>
            <w:tcBorders>
              <w:top w:val="nil"/>
              <w:left w:val="nil"/>
              <w:bottom w:val="nil"/>
              <w:right w:val="single" w:sz="4" w:space="0" w:color="auto"/>
            </w:tcBorders>
            <w:shd w:val="clear" w:color="auto" w:fill="auto"/>
            <w:noWrap/>
            <w:vAlign w:val="bottom"/>
            <w:hideMark/>
          </w:tcPr>
          <w:p w14:paraId="339B19E1"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4.3</w:t>
            </w:r>
          </w:p>
        </w:tc>
      </w:tr>
      <w:tr w:rsidR="00316AFE" w:rsidRPr="00477D8F" w14:paraId="71765998" w14:textId="77777777" w:rsidTr="00316AFE">
        <w:trPr>
          <w:trHeight w:val="290"/>
        </w:trPr>
        <w:tc>
          <w:tcPr>
            <w:tcW w:w="984" w:type="dxa"/>
            <w:vMerge/>
            <w:tcBorders>
              <w:left w:val="single" w:sz="4" w:space="0" w:color="auto"/>
              <w:right w:val="nil"/>
            </w:tcBorders>
            <w:shd w:val="clear" w:color="auto" w:fill="auto"/>
            <w:noWrap/>
            <w:vAlign w:val="bottom"/>
            <w:hideMark/>
          </w:tcPr>
          <w:p w14:paraId="0E0978E5" w14:textId="25805D28"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1C6F9FD1" w14:textId="4D768F9C"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Education financing gap as share of GDP (%)</w:t>
            </w:r>
          </w:p>
        </w:tc>
        <w:tc>
          <w:tcPr>
            <w:tcW w:w="663" w:type="dxa"/>
            <w:tcBorders>
              <w:top w:val="nil"/>
              <w:left w:val="nil"/>
              <w:bottom w:val="nil"/>
              <w:right w:val="nil"/>
            </w:tcBorders>
            <w:shd w:val="clear" w:color="auto" w:fill="auto"/>
            <w:noWrap/>
            <w:vAlign w:val="bottom"/>
            <w:hideMark/>
          </w:tcPr>
          <w:p w14:paraId="0152D85E"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0.3</w:t>
            </w:r>
          </w:p>
        </w:tc>
        <w:tc>
          <w:tcPr>
            <w:tcW w:w="788" w:type="dxa"/>
            <w:tcBorders>
              <w:top w:val="nil"/>
              <w:left w:val="nil"/>
              <w:bottom w:val="nil"/>
              <w:right w:val="nil"/>
            </w:tcBorders>
            <w:shd w:val="clear" w:color="auto" w:fill="auto"/>
            <w:noWrap/>
            <w:vAlign w:val="bottom"/>
            <w:hideMark/>
          </w:tcPr>
          <w:p w14:paraId="62432D8B"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0.8</w:t>
            </w:r>
          </w:p>
        </w:tc>
        <w:tc>
          <w:tcPr>
            <w:tcW w:w="788" w:type="dxa"/>
            <w:tcBorders>
              <w:top w:val="nil"/>
              <w:left w:val="nil"/>
              <w:bottom w:val="nil"/>
              <w:right w:val="nil"/>
            </w:tcBorders>
            <w:shd w:val="clear" w:color="auto" w:fill="auto"/>
            <w:noWrap/>
            <w:vAlign w:val="bottom"/>
            <w:hideMark/>
          </w:tcPr>
          <w:p w14:paraId="46370B75"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1.6</w:t>
            </w:r>
          </w:p>
        </w:tc>
        <w:tc>
          <w:tcPr>
            <w:tcW w:w="788" w:type="dxa"/>
            <w:tcBorders>
              <w:top w:val="nil"/>
              <w:left w:val="nil"/>
              <w:bottom w:val="nil"/>
              <w:right w:val="single" w:sz="4" w:space="0" w:color="auto"/>
            </w:tcBorders>
            <w:shd w:val="clear" w:color="auto" w:fill="auto"/>
            <w:noWrap/>
            <w:vAlign w:val="bottom"/>
            <w:hideMark/>
          </w:tcPr>
          <w:p w14:paraId="48BF6444"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1.9</w:t>
            </w:r>
          </w:p>
        </w:tc>
      </w:tr>
      <w:tr w:rsidR="00316AFE" w:rsidRPr="00477D8F" w14:paraId="5E483EE2" w14:textId="77777777" w:rsidTr="00316AFE">
        <w:trPr>
          <w:trHeight w:val="290"/>
        </w:trPr>
        <w:tc>
          <w:tcPr>
            <w:tcW w:w="984" w:type="dxa"/>
            <w:vMerge/>
            <w:tcBorders>
              <w:left w:val="single" w:sz="4" w:space="0" w:color="auto"/>
              <w:bottom w:val="single" w:sz="4" w:space="0" w:color="auto"/>
              <w:right w:val="nil"/>
            </w:tcBorders>
            <w:shd w:val="clear" w:color="auto" w:fill="auto"/>
            <w:noWrap/>
            <w:vAlign w:val="bottom"/>
            <w:hideMark/>
          </w:tcPr>
          <w:p w14:paraId="645814B4" w14:textId="1E33A07E"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single" w:sz="4" w:space="0" w:color="auto"/>
              <w:right w:val="nil"/>
            </w:tcBorders>
            <w:shd w:val="clear" w:color="auto" w:fill="auto"/>
            <w:noWrap/>
            <w:vAlign w:val="bottom"/>
            <w:hideMark/>
          </w:tcPr>
          <w:p w14:paraId="221F1A3B" w14:textId="714B708D"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Education Financing gap contribution to Debt (%)</w:t>
            </w:r>
          </w:p>
        </w:tc>
        <w:tc>
          <w:tcPr>
            <w:tcW w:w="663" w:type="dxa"/>
            <w:tcBorders>
              <w:top w:val="nil"/>
              <w:left w:val="nil"/>
              <w:bottom w:val="single" w:sz="4" w:space="0" w:color="auto"/>
              <w:right w:val="nil"/>
            </w:tcBorders>
            <w:shd w:val="clear" w:color="auto" w:fill="auto"/>
            <w:noWrap/>
            <w:vAlign w:val="bottom"/>
            <w:hideMark/>
          </w:tcPr>
          <w:p w14:paraId="1E3DFEEF"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0.0</w:t>
            </w:r>
          </w:p>
        </w:tc>
        <w:tc>
          <w:tcPr>
            <w:tcW w:w="788" w:type="dxa"/>
            <w:tcBorders>
              <w:top w:val="nil"/>
              <w:left w:val="nil"/>
              <w:bottom w:val="single" w:sz="4" w:space="0" w:color="auto"/>
              <w:right w:val="nil"/>
            </w:tcBorders>
            <w:shd w:val="clear" w:color="auto" w:fill="auto"/>
            <w:noWrap/>
            <w:vAlign w:val="bottom"/>
            <w:hideMark/>
          </w:tcPr>
          <w:p w14:paraId="4B69E4D3"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0.5</w:t>
            </w:r>
          </w:p>
        </w:tc>
        <w:tc>
          <w:tcPr>
            <w:tcW w:w="788" w:type="dxa"/>
            <w:tcBorders>
              <w:top w:val="nil"/>
              <w:left w:val="nil"/>
              <w:bottom w:val="single" w:sz="4" w:space="0" w:color="auto"/>
              <w:right w:val="nil"/>
            </w:tcBorders>
            <w:shd w:val="clear" w:color="auto" w:fill="auto"/>
            <w:noWrap/>
            <w:vAlign w:val="bottom"/>
            <w:hideMark/>
          </w:tcPr>
          <w:p w14:paraId="387C4FDD"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0.8</w:t>
            </w:r>
          </w:p>
        </w:tc>
        <w:tc>
          <w:tcPr>
            <w:tcW w:w="788" w:type="dxa"/>
            <w:tcBorders>
              <w:top w:val="nil"/>
              <w:left w:val="nil"/>
              <w:bottom w:val="single" w:sz="4" w:space="0" w:color="auto"/>
              <w:right w:val="single" w:sz="4" w:space="0" w:color="auto"/>
            </w:tcBorders>
            <w:shd w:val="clear" w:color="auto" w:fill="auto"/>
            <w:noWrap/>
            <w:vAlign w:val="bottom"/>
            <w:hideMark/>
          </w:tcPr>
          <w:p w14:paraId="1410A9A1"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0.7</w:t>
            </w:r>
          </w:p>
        </w:tc>
      </w:tr>
      <w:tr w:rsidR="00510EA5" w:rsidRPr="00477D8F" w14:paraId="13CA4F8B" w14:textId="77777777" w:rsidTr="00316AFE">
        <w:trPr>
          <w:trHeight w:val="290"/>
        </w:trPr>
        <w:tc>
          <w:tcPr>
            <w:tcW w:w="984" w:type="dxa"/>
            <w:tcBorders>
              <w:top w:val="nil"/>
              <w:left w:val="single" w:sz="4" w:space="0" w:color="auto"/>
              <w:bottom w:val="nil"/>
              <w:right w:val="nil"/>
            </w:tcBorders>
            <w:shd w:val="clear" w:color="auto" w:fill="auto"/>
            <w:noWrap/>
            <w:vAlign w:val="bottom"/>
            <w:hideMark/>
          </w:tcPr>
          <w:p w14:paraId="14A14330"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4771" w:type="dxa"/>
            <w:tcBorders>
              <w:top w:val="nil"/>
              <w:left w:val="nil"/>
              <w:bottom w:val="nil"/>
              <w:right w:val="nil"/>
            </w:tcBorders>
            <w:shd w:val="clear" w:color="auto" w:fill="auto"/>
            <w:noWrap/>
            <w:vAlign w:val="bottom"/>
            <w:hideMark/>
          </w:tcPr>
          <w:p w14:paraId="099B4F2C"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663" w:type="dxa"/>
            <w:tcBorders>
              <w:top w:val="nil"/>
              <w:left w:val="nil"/>
              <w:bottom w:val="nil"/>
              <w:right w:val="nil"/>
            </w:tcBorders>
            <w:shd w:val="clear" w:color="auto" w:fill="auto"/>
            <w:noWrap/>
            <w:vAlign w:val="bottom"/>
            <w:hideMark/>
          </w:tcPr>
          <w:p w14:paraId="26391072"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8" w:type="dxa"/>
            <w:tcBorders>
              <w:top w:val="nil"/>
              <w:left w:val="nil"/>
              <w:bottom w:val="nil"/>
              <w:right w:val="nil"/>
            </w:tcBorders>
            <w:shd w:val="clear" w:color="auto" w:fill="auto"/>
            <w:noWrap/>
            <w:vAlign w:val="bottom"/>
            <w:hideMark/>
          </w:tcPr>
          <w:p w14:paraId="7638A77F"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8" w:type="dxa"/>
            <w:tcBorders>
              <w:top w:val="nil"/>
              <w:left w:val="nil"/>
              <w:bottom w:val="nil"/>
              <w:right w:val="nil"/>
            </w:tcBorders>
            <w:shd w:val="clear" w:color="auto" w:fill="auto"/>
            <w:noWrap/>
            <w:vAlign w:val="bottom"/>
            <w:hideMark/>
          </w:tcPr>
          <w:p w14:paraId="767EBB47"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788" w:type="dxa"/>
            <w:tcBorders>
              <w:top w:val="nil"/>
              <w:left w:val="nil"/>
              <w:bottom w:val="nil"/>
              <w:right w:val="single" w:sz="4" w:space="0" w:color="auto"/>
            </w:tcBorders>
            <w:shd w:val="clear" w:color="auto" w:fill="auto"/>
            <w:noWrap/>
            <w:vAlign w:val="bottom"/>
            <w:hideMark/>
          </w:tcPr>
          <w:p w14:paraId="76E394A4"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r>
      <w:tr w:rsidR="00316AFE" w:rsidRPr="00477D8F" w14:paraId="10FB6B4D" w14:textId="77777777" w:rsidTr="00305B32">
        <w:trPr>
          <w:trHeight w:val="290"/>
        </w:trPr>
        <w:tc>
          <w:tcPr>
            <w:tcW w:w="984" w:type="dxa"/>
            <w:vMerge w:val="restart"/>
            <w:tcBorders>
              <w:top w:val="nil"/>
              <w:left w:val="single" w:sz="4" w:space="0" w:color="auto"/>
              <w:right w:val="nil"/>
            </w:tcBorders>
            <w:shd w:val="clear" w:color="auto" w:fill="auto"/>
            <w:noWrap/>
            <w:vAlign w:val="bottom"/>
            <w:hideMark/>
          </w:tcPr>
          <w:p w14:paraId="0980F0F6"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Medium</w:t>
            </w:r>
          </w:p>
          <w:p w14:paraId="32A8B828"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0DAD9624"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57658F79"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6E3DF37A"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59B281A9"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3025116E"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535A33A1" w14:textId="191A650E"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4771" w:type="dxa"/>
            <w:tcBorders>
              <w:top w:val="nil"/>
              <w:left w:val="nil"/>
              <w:bottom w:val="nil"/>
              <w:right w:val="nil"/>
            </w:tcBorders>
            <w:shd w:val="clear" w:color="auto" w:fill="auto"/>
            <w:noWrap/>
            <w:vAlign w:val="bottom"/>
            <w:hideMark/>
          </w:tcPr>
          <w:p w14:paraId="467B80CE"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Nominal GDP (US$, millions)</w:t>
            </w:r>
          </w:p>
        </w:tc>
        <w:tc>
          <w:tcPr>
            <w:tcW w:w="663" w:type="dxa"/>
            <w:tcBorders>
              <w:top w:val="nil"/>
              <w:left w:val="nil"/>
              <w:bottom w:val="nil"/>
              <w:right w:val="nil"/>
            </w:tcBorders>
            <w:shd w:val="clear" w:color="auto" w:fill="auto"/>
            <w:noWrap/>
            <w:vAlign w:val="bottom"/>
            <w:hideMark/>
          </w:tcPr>
          <w:p w14:paraId="0B092619"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893</w:t>
            </w:r>
          </w:p>
        </w:tc>
        <w:tc>
          <w:tcPr>
            <w:tcW w:w="788" w:type="dxa"/>
            <w:tcBorders>
              <w:top w:val="nil"/>
              <w:left w:val="nil"/>
              <w:bottom w:val="nil"/>
              <w:right w:val="nil"/>
            </w:tcBorders>
            <w:shd w:val="clear" w:color="auto" w:fill="auto"/>
            <w:noWrap/>
            <w:vAlign w:val="bottom"/>
            <w:hideMark/>
          </w:tcPr>
          <w:p w14:paraId="79073697"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1,058</w:t>
            </w:r>
          </w:p>
        </w:tc>
        <w:tc>
          <w:tcPr>
            <w:tcW w:w="788" w:type="dxa"/>
            <w:tcBorders>
              <w:top w:val="nil"/>
              <w:left w:val="nil"/>
              <w:bottom w:val="nil"/>
              <w:right w:val="nil"/>
            </w:tcBorders>
            <w:shd w:val="clear" w:color="auto" w:fill="auto"/>
            <w:noWrap/>
            <w:vAlign w:val="bottom"/>
            <w:hideMark/>
          </w:tcPr>
          <w:p w14:paraId="24C630D3"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1,252</w:t>
            </w:r>
          </w:p>
        </w:tc>
        <w:tc>
          <w:tcPr>
            <w:tcW w:w="788" w:type="dxa"/>
            <w:tcBorders>
              <w:top w:val="nil"/>
              <w:left w:val="nil"/>
              <w:bottom w:val="nil"/>
              <w:right w:val="single" w:sz="4" w:space="0" w:color="auto"/>
            </w:tcBorders>
            <w:shd w:val="clear" w:color="auto" w:fill="auto"/>
            <w:noWrap/>
            <w:vAlign w:val="bottom"/>
            <w:hideMark/>
          </w:tcPr>
          <w:p w14:paraId="624BCCC4"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1,483</w:t>
            </w:r>
          </w:p>
        </w:tc>
      </w:tr>
      <w:tr w:rsidR="00316AFE" w:rsidRPr="00477D8F" w14:paraId="2B7F0A58" w14:textId="77777777" w:rsidTr="00305B32">
        <w:trPr>
          <w:trHeight w:val="290"/>
        </w:trPr>
        <w:tc>
          <w:tcPr>
            <w:tcW w:w="984" w:type="dxa"/>
            <w:vMerge/>
            <w:tcBorders>
              <w:left w:val="single" w:sz="4" w:space="0" w:color="auto"/>
              <w:right w:val="nil"/>
            </w:tcBorders>
            <w:shd w:val="clear" w:color="auto" w:fill="auto"/>
            <w:noWrap/>
            <w:vAlign w:val="bottom"/>
            <w:hideMark/>
          </w:tcPr>
          <w:p w14:paraId="18501243" w14:textId="02476F2E"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52D94B09"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GDP per capita</w:t>
            </w:r>
          </w:p>
        </w:tc>
        <w:tc>
          <w:tcPr>
            <w:tcW w:w="663" w:type="dxa"/>
            <w:tcBorders>
              <w:top w:val="nil"/>
              <w:left w:val="nil"/>
              <w:bottom w:val="nil"/>
              <w:right w:val="nil"/>
            </w:tcBorders>
            <w:shd w:val="clear" w:color="auto" w:fill="auto"/>
            <w:noWrap/>
            <w:vAlign w:val="bottom"/>
            <w:hideMark/>
          </w:tcPr>
          <w:p w14:paraId="75208909"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449</w:t>
            </w:r>
          </w:p>
        </w:tc>
        <w:tc>
          <w:tcPr>
            <w:tcW w:w="788" w:type="dxa"/>
            <w:tcBorders>
              <w:top w:val="nil"/>
              <w:left w:val="nil"/>
              <w:bottom w:val="nil"/>
              <w:right w:val="nil"/>
            </w:tcBorders>
            <w:shd w:val="clear" w:color="auto" w:fill="auto"/>
            <w:noWrap/>
            <w:vAlign w:val="bottom"/>
            <w:hideMark/>
          </w:tcPr>
          <w:p w14:paraId="7C360644"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455</w:t>
            </w:r>
          </w:p>
        </w:tc>
        <w:tc>
          <w:tcPr>
            <w:tcW w:w="788" w:type="dxa"/>
            <w:tcBorders>
              <w:top w:val="nil"/>
              <w:left w:val="nil"/>
              <w:bottom w:val="nil"/>
              <w:right w:val="nil"/>
            </w:tcBorders>
            <w:shd w:val="clear" w:color="auto" w:fill="auto"/>
            <w:noWrap/>
            <w:vAlign w:val="bottom"/>
            <w:hideMark/>
          </w:tcPr>
          <w:p w14:paraId="3F9B6367"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464</w:t>
            </w:r>
          </w:p>
        </w:tc>
        <w:tc>
          <w:tcPr>
            <w:tcW w:w="788" w:type="dxa"/>
            <w:tcBorders>
              <w:top w:val="nil"/>
              <w:left w:val="nil"/>
              <w:bottom w:val="nil"/>
              <w:right w:val="single" w:sz="4" w:space="0" w:color="auto"/>
            </w:tcBorders>
            <w:shd w:val="clear" w:color="auto" w:fill="auto"/>
            <w:noWrap/>
            <w:vAlign w:val="bottom"/>
            <w:hideMark/>
          </w:tcPr>
          <w:p w14:paraId="47413445"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478</w:t>
            </w:r>
          </w:p>
        </w:tc>
      </w:tr>
      <w:tr w:rsidR="00316AFE" w:rsidRPr="00477D8F" w14:paraId="67311E26" w14:textId="77777777" w:rsidTr="00305B32">
        <w:trPr>
          <w:trHeight w:val="290"/>
        </w:trPr>
        <w:tc>
          <w:tcPr>
            <w:tcW w:w="984" w:type="dxa"/>
            <w:vMerge/>
            <w:tcBorders>
              <w:left w:val="single" w:sz="4" w:space="0" w:color="auto"/>
              <w:right w:val="nil"/>
            </w:tcBorders>
            <w:shd w:val="clear" w:color="auto" w:fill="auto"/>
            <w:noWrap/>
            <w:vAlign w:val="bottom"/>
            <w:hideMark/>
          </w:tcPr>
          <w:p w14:paraId="43BC8C30" w14:textId="3CD63A4A"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335AEC73"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Revenue and grant share of GDP</w:t>
            </w:r>
          </w:p>
        </w:tc>
        <w:tc>
          <w:tcPr>
            <w:tcW w:w="663" w:type="dxa"/>
            <w:tcBorders>
              <w:top w:val="nil"/>
              <w:left w:val="nil"/>
              <w:bottom w:val="nil"/>
              <w:right w:val="nil"/>
            </w:tcBorders>
            <w:shd w:val="clear" w:color="auto" w:fill="auto"/>
            <w:noWrap/>
            <w:vAlign w:val="bottom"/>
            <w:hideMark/>
          </w:tcPr>
          <w:p w14:paraId="422DB78B"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21.6</w:t>
            </w:r>
          </w:p>
        </w:tc>
        <w:tc>
          <w:tcPr>
            <w:tcW w:w="788" w:type="dxa"/>
            <w:tcBorders>
              <w:top w:val="nil"/>
              <w:left w:val="nil"/>
              <w:bottom w:val="nil"/>
              <w:right w:val="nil"/>
            </w:tcBorders>
            <w:shd w:val="clear" w:color="auto" w:fill="auto"/>
            <w:noWrap/>
            <w:vAlign w:val="bottom"/>
            <w:hideMark/>
          </w:tcPr>
          <w:p w14:paraId="6EE71913"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23.6</w:t>
            </w:r>
          </w:p>
        </w:tc>
        <w:tc>
          <w:tcPr>
            <w:tcW w:w="788" w:type="dxa"/>
            <w:tcBorders>
              <w:top w:val="nil"/>
              <w:left w:val="nil"/>
              <w:bottom w:val="nil"/>
              <w:right w:val="nil"/>
            </w:tcBorders>
            <w:shd w:val="clear" w:color="auto" w:fill="auto"/>
            <w:noWrap/>
            <w:vAlign w:val="bottom"/>
            <w:hideMark/>
          </w:tcPr>
          <w:p w14:paraId="32B9D5FB"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27.9</w:t>
            </w:r>
          </w:p>
        </w:tc>
        <w:tc>
          <w:tcPr>
            <w:tcW w:w="788" w:type="dxa"/>
            <w:tcBorders>
              <w:top w:val="nil"/>
              <w:left w:val="nil"/>
              <w:bottom w:val="nil"/>
              <w:right w:val="single" w:sz="4" w:space="0" w:color="auto"/>
            </w:tcBorders>
            <w:shd w:val="clear" w:color="auto" w:fill="auto"/>
            <w:noWrap/>
            <w:vAlign w:val="bottom"/>
            <w:hideMark/>
          </w:tcPr>
          <w:p w14:paraId="1E52BD33"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33.1</w:t>
            </w:r>
          </w:p>
        </w:tc>
      </w:tr>
      <w:tr w:rsidR="00316AFE" w:rsidRPr="00477D8F" w14:paraId="28965494" w14:textId="77777777" w:rsidTr="00305B32">
        <w:trPr>
          <w:trHeight w:val="290"/>
        </w:trPr>
        <w:tc>
          <w:tcPr>
            <w:tcW w:w="984" w:type="dxa"/>
            <w:vMerge/>
            <w:tcBorders>
              <w:left w:val="single" w:sz="4" w:space="0" w:color="auto"/>
              <w:right w:val="nil"/>
            </w:tcBorders>
            <w:shd w:val="clear" w:color="auto" w:fill="auto"/>
            <w:noWrap/>
            <w:vAlign w:val="bottom"/>
            <w:hideMark/>
          </w:tcPr>
          <w:p w14:paraId="625E82BA" w14:textId="2A95CC7E"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5EC9FB20" w14:textId="29E10136"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Expenditure share of GDP (%)</w:t>
            </w:r>
          </w:p>
        </w:tc>
        <w:tc>
          <w:tcPr>
            <w:tcW w:w="663" w:type="dxa"/>
            <w:tcBorders>
              <w:top w:val="nil"/>
              <w:left w:val="nil"/>
              <w:bottom w:val="nil"/>
              <w:right w:val="nil"/>
            </w:tcBorders>
            <w:shd w:val="clear" w:color="auto" w:fill="auto"/>
            <w:noWrap/>
            <w:vAlign w:val="bottom"/>
            <w:hideMark/>
          </w:tcPr>
          <w:p w14:paraId="05B3E780"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29.7</w:t>
            </w:r>
          </w:p>
        </w:tc>
        <w:tc>
          <w:tcPr>
            <w:tcW w:w="788" w:type="dxa"/>
            <w:tcBorders>
              <w:top w:val="nil"/>
              <w:left w:val="nil"/>
              <w:bottom w:val="nil"/>
              <w:right w:val="nil"/>
            </w:tcBorders>
            <w:shd w:val="clear" w:color="auto" w:fill="auto"/>
            <w:noWrap/>
            <w:vAlign w:val="bottom"/>
            <w:hideMark/>
          </w:tcPr>
          <w:p w14:paraId="61C4CA0D"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25.4</w:t>
            </w:r>
          </w:p>
        </w:tc>
        <w:tc>
          <w:tcPr>
            <w:tcW w:w="788" w:type="dxa"/>
            <w:tcBorders>
              <w:top w:val="nil"/>
              <w:left w:val="nil"/>
              <w:bottom w:val="nil"/>
              <w:right w:val="nil"/>
            </w:tcBorders>
            <w:shd w:val="clear" w:color="auto" w:fill="auto"/>
            <w:noWrap/>
            <w:vAlign w:val="bottom"/>
            <w:hideMark/>
          </w:tcPr>
          <w:p w14:paraId="55884989"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30.1</w:t>
            </w:r>
          </w:p>
        </w:tc>
        <w:tc>
          <w:tcPr>
            <w:tcW w:w="788" w:type="dxa"/>
            <w:tcBorders>
              <w:top w:val="nil"/>
              <w:left w:val="nil"/>
              <w:bottom w:val="nil"/>
              <w:right w:val="single" w:sz="4" w:space="0" w:color="auto"/>
            </w:tcBorders>
            <w:shd w:val="clear" w:color="auto" w:fill="auto"/>
            <w:noWrap/>
            <w:vAlign w:val="bottom"/>
            <w:hideMark/>
          </w:tcPr>
          <w:p w14:paraId="6879ED6D"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35.6</w:t>
            </w:r>
          </w:p>
        </w:tc>
      </w:tr>
      <w:tr w:rsidR="00316AFE" w:rsidRPr="00477D8F" w14:paraId="368A1C23" w14:textId="77777777" w:rsidTr="00305B32">
        <w:trPr>
          <w:trHeight w:val="290"/>
        </w:trPr>
        <w:tc>
          <w:tcPr>
            <w:tcW w:w="984" w:type="dxa"/>
            <w:vMerge/>
            <w:tcBorders>
              <w:left w:val="single" w:sz="4" w:space="0" w:color="auto"/>
              <w:right w:val="nil"/>
            </w:tcBorders>
            <w:shd w:val="clear" w:color="auto" w:fill="auto"/>
            <w:noWrap/>
            <w:vAlign w:val="bottom"/>
            <w:hideMark/>
          </w:tcPr>
          <w:p w14:paraId="2A376D69" w14:textId="57368C25"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2B6D1F1A" w14:textId="0112DA54"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Debt as share of GDP (%)</w:t>
            </w:r>
          </w:p>
        </w:tc>
        <w:tc>
          <w:tcPr>
            <w:tcW w:w="663" w:type="dxa"/>
            <w:tcBorders>
              <w:top w:val="nil"/>
              <w:left w:val="nil"/>
              <w:bottom w:val="nil"/>
              <w:right w:val="nil"/>
            </w:tcBorders>
            <w:shd w:val="clear" w:color="auto" w:fill="auto"/>
            <w:noWrap/>
            <w:vAlign w:val="bottom"/>
            <w:hideMark/>
          </w:tcPr>
          <w:p w14:paraId="144EE6A4"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8.1</w:t>
            </w:r>
          </w:p>
        </w:tc>
        <w:tc>
          <w:tcPr>
            <w:tcW w:w="788" w:type="dxa"/>
            <w:tcBorders>
              <w:top w:val="nil"/>
              <w:left w:val="nil"/>
              <w:bottom w:val="nil"/>
              <w:right w:val="nil"/>
            </w:tcBorders>
            <w:shd w:val="clear" w:color="auto" w:fill="auto"/>
            <w:noWrap/>
            <w:vAlign w:val="bottom"/>
            <w:hideMark/>
          </w:tcPr>
          <w:p w14:paraId="31F2CBEA"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1.8</w:t>
            </w:r>
          </w:p>
        </w:tc>
        <w:tc>
          <w:tcPr>
            <w:tcW w:w="788" w:type="dxa"/>
            <w:tcBorders>
              <w:top w:val="nil"/>
              <w:left w:val="nil"/>
              <w:bottom w:val="nil"/>
              <w:right w:val="nil"/>
            </w:tcBorders>
            <w:shd w:val="clear" w:color="auto" w:fill="auto"/>
            <w:noWrap/>
            <w:vAlign w:val="bottom"/>
            <w:hideMark/>
          </w:tcPr>
          <w:p w14:paraId="4A859B89"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2.1</w:t>
            </w:r>
          </w:p>
        </w:tc>
        <w:tc>
          <w:tcPr>
            <w:tcW w:w="788" w:type="dxa"/>
            <w:tcBorders>
              <w:top w:val="nil"/>
              <w:left w:val="nil"/>
              <w:bottom w:val="nil"/>
              <w:right w:val="single" w:sz="4" w:space="0" w:color="auto"/>
            </w:tcBorders>
            <w:shd w:val="clear" w:color="auto" w:fill="auto"/>
            <w:noWrap/>
            <w:vAlign w:val="bottom"/>
            <w:hideMark/>
          </w:tcPr>
          <w:p w14:paraId="02ACB436"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r>
      <w:tr w:rsidR="00316AFE" w:rsidRPr="00477D8F" w14:paraId="0693A07B" w14:textId="77777777" w:rsidTr="00305B32">
        <w:trPr>
          <w:trHeight w:val="290"/>
        </w:trPr>
        <w:tc>
          <w:tcPr>
            <w:tcW w:w="984" w:type="dxa"/>
            <w:vMerge/>
            <w:tcBorders>
              <w:left w:val="single" w:sz="4" w:space="0" w:color="auto"/>
              <w:right w:val="nil"/>
            </w:tcBorders>
            <w:shd w:val="clear" w:color="auto" w:fill="auto"/>
            <w:noWrap/>
            <w:vAlign w:val="bottom"/>
            <w:hideMark/>
          </w:tcPr>
          <w:p w14:paraId="6B663E1C" w14:textId="4C3484F2"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4C69AF62" w14:textId="70137086"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Education spending as share of GDP (%)</w:t>
            </w:r>
          </w:p>
        </w:tc>
        <w:tc>
          <w:tcPr>
            <w:tcW w:w="663" w:type="dxa"/>
            <w:tcBorders>
              <w:top w:val="nil"/>
              <w:left w:val="nil"/>
              <w:bottom w:val="nil"/>
              <w:right w:val="nil"/>
            </w:tcBorders>
            <w:shd w:val="clear" w:color="auto" w:fill="auto"/>
            <w:noWrap/>
            <w:vAlign w:val="bottom"/>
            <w:hideMark/>
          </w:tcPr>
          <w:p w14:paraId="0D7A1C25"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3.2</w:t>
            </w:r>
          </w:p>
        </w:tc>
        <w:tc>
          <w:tcPr>
            <w:tcW w:w="788" w:type="dxa"/>
            <w:tcBorders>
              <w:top w:val="nil"/>
              <w:left w:val="nil"/>
              <w:bottom w:val="nil"/>
              <w:right w:val="nil"/>
            </w:tcBorders>
            <w:shd w:val="clear" w:color="auto" w:fill="auto"/>
            <w:noWrap/>
            <w:vAlign w:val="bottom"/>
            <w:hideMark/>
          </w:tcPr>
          <w:p w14:paraId="20966D3E"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3.2</w:t>
            </w:r>
          </w:p>
        </w:tc>
        <w:tc>
          <w:tcPr>
            <w:tcW w:w="788" w:type="dxa"/>
            <w:tcBorders>
              <w:top w:val="nil"/>
              <w:left w:val="nil"/>
              <w:bottom w:val="nil"/>
              <w:right w:val="nil"/>
            </w:tcBorders>
            <w:shd w:val="clear" w:color="auto" w:fill="auto"/>
            <w:noWrap/>
            <w:vAlign w:val="bottom"/>
            <w:hideMark/>
          </w:tcPr>
          <w:p w14:paraId="45E9A709"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3.4</w:t>
            </w:r>
          </w:p>
        </w:tc>
        <w:tc>
          <w:tcPr>
            <w:tcW w:w="788" w:type="dxa"/>
            <w:tcBorders>
              <w:top w:val="nil"/>
              <w:left w:val="nil"/>
              <w:bottom w:val="nil"/>
              <w:right w:val="single" w:sz="4" w:space="0" w:color="auto"/>
            </w:tcBorders>
            <w:shd w:val="clear" w:color="auto" w:fill="auto"/>
            <w:noWrap/>
            <w:vAlign w:val="bottom"/>
            <w:hideMark/>
          </w:tcPr>
          <w:p w14:paraId="2FB9D0FF"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3.4</w:t>
            </w:r>
          </w:p>
        </w:tc>
      </w:tr>
      <w:tr w:rsidR="00316AFE" w:rsidRPr="00477D8F" w14:paraId="3991FD7D" w14:textId="77777777" w:rsidTr="00305B32">
        <w:trPr>
          <w:trHeight w:val="290"/>
        </w:trPr>
        <w:tc>
          <w:tcPr>
            <w:tcW w:w="984" w:type="dxa"/>
            <w:vMerge/>
            <w:tcBorders>
              <w:left w:val="single" w:sz="4" w:space="0" w:color="auto"/>
              <w:right w:val="nil"/>
            </w:tcBorders>
            <w:shd w:val="clear" w:color="auto" w:fill="auto"/>
            <w:noWrap/>
            <w:vAlign w:val="bottom"/>
            <w:hideMark/>
          </w:tcPr>
          <w:p w14:paraId="688039FD" w14:textId="51D53C29"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1A3D9EAA" w14:textId="1288D74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Education financing gap as share of GDP (%)</w:t>
            </w:r>
          </w:p>
        </w:tc>
        <w:tc>
          <w:tcPr>
            <w:tcW w:w="663" w:type="dxa"/>
            <w:tcBorders>
              <w:top w:val="nil"/>
              <w:left w:val="nil"/>
              <w:bottom w:val="nil"/>
              <w:right w:val="nil"/>
            </w:tcBorders>
            <w:shd w:val="clear" w:color="auto" w:fill="auto"/>
            <w:noWrap/>
            <w:vAlign w:val="bottom"/>
            <w:hideMark/>
          </w:tcPr>
          <w:p w14:paraId="48FCADFC"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0.3</w:t>
            </w:r>
          </w:p>
        </w:tc>
        <w:tc>
          <w:tcPr>
            <w:tcW w:w="788" w:type="dxa"/>
            <w:tcBorders>
              <w:top w:val="nil"/>
              <w:left w:val="nil"/>
              <w:bottom w:val="nil"/>
              <w:right w:val="nil"/>
            </w:tcBorders>
            <w:shd w:val="clear" w:color="auto" w:fill="auto"/>
            <w:noWrap/>
            <w:vAlign w:val="bottom"/>
            <w:hideMark/>
          </w:tcPr>
          <w:p w14:paraId="20AB684D"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0.4</w:t>
            </w:r>
          </w:p>
        </w:tc>
        <w:tc>
          <w:tcPr>
            <w:tcW w:w="788" w:type="dxa"/>
            <w:tcBorders>
              <w:top w:val="nil"/>
              <w:left w:val="nil"/>
              <w:bottom w:val="nil"/>
              <w:right w:val="nil"/>
            </w:tcBorders>
            <w:shd w:val="clear" w:color="auto" w:fill="auto"/>
            <w:noWrap/>
            <w:vAlign w:val="bottom"/>
            <w:hideMark/>
          </w:tcPr>
          <w:p w14:paraId="6ACD1DF3"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0.7</w:t>
            </w:r>
          </w:p>
        </w:tc>
        <w:tc>
          <w:tcPr>
            <w:tcW w:w="788" w:type="dxa"/>
            <w:tcBorders>
              <w:top w:val="nil"/>
              <w:left w:val="nil"/>
              <w:bottom w:val="nil"/>
              <w:right w:val="single" w:sz="4" w:space="0" w:color="auto"/>
            </w:tcBorders>
            <w:shd w:val="clear" w:color="auto" w:fill="auto"/>
            <w:noWrap/>
            <w:vAlign w:val="bottom"/>
            <w:hideMark/>
          </w:tcPr>
          <w:p w14:paraId="5A02D429"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0.7</w:t>
            </w:r>
          </w:p>
        </w:tc>
      </w:tr>
      <w:tr w:rsidR="00316AFE" w:rsidRPr="00477D8F" w14:paraId="15792237" w14:textId="77777777" w:rsidTr="00305B32">
        <w:trPr>
          <w:trHeight w:val="290"/>
        </w:trPr>
        <w:tc>
          <w:tcPr>
            <w:tcW w:w="984" w:type="dxa"/>
            <w:vMerge/>
            <w:tcBorders>
              <w:left w:val="single" w:sz="4" w:space="0" w:color="auto"/>
              <w:bottom w:val="single" w:sz="4" w:space="0" w:color="auto"/>
              <w:right w:val="nil"/>
            </w:tcBorders>
            <w:shd w:val="clear" w:color="auto" w:fill="auto"/>
            <w:noWrap/>
            <w:vAlign w:val="bottom"/>
            <w:hideMark/>
          </w:tcPr>
          <w:p w14:paraId="30B68106" w14:textId="64D1D460"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single" w:sz="4" w:space="0" w:color="auto"/>
              <w:right w:val="nil"/>
            </w:tcBorders>
            <w:shd w:val="clear" w:color="auto" w:fill="auto"/>
            <w:noWrap/>
            <w:vAlign w:val="bottom"/>
            <w:hideMark/>
          </w:tcPr>
          <w:p w14:paraId="64808A23" w14:textId="419C10ED"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Education Financing gap contribution to Debt (%)</w:t>
            </w:r>
          </w:p>
        </w:tc>
        <w:tc>
          <w:tcPr>
            <w:tcW w:w="663" w:type="dxa"/>
            <w:tcBorders>
              <w:top w:val="nil"/>
              <w:left w:val="nil"/>
              <w:bottom w:val="single" w:sz="4" w:space="0" w:color="auto"/>
              <w:right w:val="nil"/>
            </w:tcBorders>
            <w:shd w:val="clear" w:color="auto" w:fill="auto"/>
            <w:noWrap/>
            <w:vAlign w:val="bottom"/>
            <w:hideMark/>
          </w:tcPr>
          <w:p w14:paraId="32403B14"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0.0</w:t>
            </w:r>
          </w:p>
        </w:tc>
        <w:tc>
          <w:tcPr>
            <w:tcW w:w="788" w:type="dxa"/>
            <w:tcBorders>
              <w:top w:val="nil"/>
              <w:left w:val="nil"/>
              <w:bottom w:val="single" w:sz="4" w:space="0" w:color="auto"/>
              <w:right w:val="nil"/>
            </w:tcBorders>
            <w:shd w:val="clear" w:color="auto" w:fill="auto"/>
            <w:noWrap/>
            <w:vAlign w:val="bottom"/>
            <w:hideMark/>
          </w:tcPr>
          <w:p w14:paraId="65274A5A"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0.2</w:t>
            </w:r>
          </w:p>
        </w:tc>
        <w:tc>
          <w:tcPr>
            <w:tcW w:w="788" w:type="dxa"/>
            <w:tcBorders>
              <w:top w:val="nil"/>
              <w:left w:val="nil"/>
              <w:bottom w:val="single" w:sz="4" w:space="0" w:color="auto"/>
              <w:right w:val="nil"/>
            </w:tcBorders>
            <w:shd w:val="clear" w:color="auto" w:fill="auto"/>
            <w:noWrap/>
            <w:vAlign w:val="bottom"/>
            <w:hideMark/>
          </w:tcPr>
          <w:p w14:paraId="2F5C419A"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0.3</w:t>
            </w:r>
          </w:p>
        </w:tc>
        <w:tc>
          <w:tcPr>
            <w:tcW w:w="788" w:type="dxa"/>
            <w:tcBorders>
              <w:top w:val="nil"/>
              <w:left w:val="nil"/>
              <w:bottom w:val="single" w:sz="4" w:space="0" w:color="auto"/>
              <w:right w:val="single" w:sz="4" w:space="0" w:color="auto"/>
            </w:tcBorders>
            <w:shd w:val="clear" w:color="auto" w:fill="auto"/>
            <w:noWrap/>
            <w:vAlign w:val="bottom"/>
            <w:hideMark/>
          </w:tcPr>
          <w:p w14:paraId="014D81CC"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0.3</w:t>
            </w:r>
          </w:p>
        </w:tc>
      </w:tr>
      <w:tr w:rsidR="00510EA5" w:rsidRPr="00477D8F" w14:paraId="3E3E9F8D" w14:textId="77777777" w:rsidTr="00316AFE">
        <w:trPr>
          <w:trHeight w:val="290"/>
        </w:trPr>
        <w:tc>
          <w:tcPr>
            <w:tcW w:w="984" w:type="dxa"/>
            <w:tcBorders>
              <w:top w:val="nil"/>
              <w:left w:val="single" w:sz="4" w:space="0" w:color="auto"/>
              <w:bottom w:val="nil"/>
              <w:right w:val="nil"/>
            </w:tcBorders>
            <w:shd w:val="clear" w:color="auto" w:fill="auto"/>
            <w:noWrap/>
            <w:vAlign w:val="bottom"/>
            <w:hideMark/>
          </w:tcPr>
          <w:p w14:paraId="632246CF"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4771" w:type="dxa"/>
            <w:tcBorders>
              <w:top w:val="nil"/>
              <w:left w:val="nil"/>
              <w:bottom w:val="nil"/>
              <w:right w:val="nil"/>
            </w:tcBorders>
            <w:shd w:val="clear" w:color="auto" w:fill="auto"/>
            <w:noWrap/>
            <w:vAlign w:val="bottom"/>
            <w:hideMark/>
          </w:tcPr>
          <w:p w14:paraId="35036CB2" w14:textId="77777777" w:rsidR="00510EA5" w:rsidRPr="00477D8F" w:rsidRDefault="00510EA5" w:rsidP="00510EA5">
            <w:pPr>
              <w:spacing w:after="0" w:line="240" w:lineRule="auto"/>
              <w:rPr>
                <w:rFonts w:ascii="Calibri" w:eastAsia="Times New Roman" w:hAnsi="Calibri" w:cs="Calibri"/>
                <w:color w:val="000000"/>
              </w:rPr>
            </w:pPr>
          </w:p>
        </w:tc>
        <w:tc>
          <w:tcPr>
            <w:tcW w:w="663" w:type="dxa"/>
            <w:tcBorders>
              <w:top w:val="nil"/>
              <w:left w:val="nil"/>
              <w:bottom w:val="nil"/>
              <w:right w:val="nil"/>
            </w:tcBorders>
            <w:shd w:val="clear" w:color="auto" w:fill="auto"/>
            <w:noWrap/>
            <w:vAlign w:val="bottom"/>
            <w:hideMark/>
          </w:tcPr>
          <w:p w14:paraId="5F6DC3A0" w14:textId="77777777" w:rsidR="00510EA5" w:rsidRPr="00477D8F" w:rsidRDefault="00510EA5" w:rsidP="00510EA5">
            <w:pPr>
              <w:spacing w:after="0" w:line="240" w:lineRule="auto"/>
              <w:rPr>
                <w:rFonts w:ascii="Times New Roman" w:eastAsia="Times New Roman" w:hAnsi="Times New Roman" w:cs="Times New Roman"/>
                <w:sz w:val="20"/>
                <w:szCs w:val="20"/>
              </w:rPr>
            </w:pPr>
          </w:p>
        </w:tc>
        <w:tc>
          <w:tcPr>
            <w:tcW w:w="788" w:type="dxa"/>
            <w:tcBorders>
              <w:top w:val="nil"/>
              <w:left w:val="nil"/>
              <w:bottom w:val="nil"/>
              <w:right w:val="nil"/>
            </w:tcBorders>
            <w:shd w:val="clear" w:color="auto" w:fill="auto"/>
            <w:noWrap/>
            <w:vAlign w:val="bottom"/>
            <w:hideMark/>
          </w:tcPr>
          <w:p w14:paraId="10F6BE99" w14:textId="77777777" w:rsidR="00510EA5" w:rsidRPr="00477D8F" w:rsidRDefault="00510EA5" w:rsidP="00510EA5">
            <w:pPr>
              <w:spacing w:after="0" w:line="240" w:lineRule="auto"/>
              <w:rPr>
                <w:rFonts w:ascii="Times New Roman" w:eastAsia="Times New Roman" w:hAnsi="Times New Roman" w:cs="Times New Roman"/>
                <w:sz w:val="20"/>
                <w:szCs w:val="20"/>
              </w:rPr>
            </w:pPr>
          </w:p>
        </w:tc>
        <w:tc>
          <w:tcPr>
            <w:tcW w:w="788" w:type="dxa"/>
            <w:tcBorders>
              <w:top w:val="nil"/>
              <w:left w:val="nil"/>
              <w:bottom w:val="nil"/>
              <w:right w:val="nil"/>
            </w:tcBorders>
            <w:shd w:val="clear" w:color="auto" w:fill="auto"/>
            <w:noWrap/>
            <w:vAlign w:val="bottom"/>
            <w:hideMark/>
          </w:tcPr>
          <w:p w14:paraId="64FAB584" w14:textId="77777777" w:rsidR="00510EA5" w:rsidRPr="00477D8F" w:rsidRDefault="00510EA5" w:rsidP="00510EA5">
            <w:pPr>
              <w:spacing w:after="0" w:line="240" w:lineRule="auto"/>
              <w:rPr>
                <w:rFonts w:ascii="Times New Roman" w:eastAsia="Times New Roman" w:hAnsi="Times New Roman" w:cs="Times New Roman"/>
                <w:sz w:val="20"/>
                <w:szCs w:val="20"/>
              </w:rPr>
            </w:pPr>
          </w:p>
        </w:tc>
        <w:tc>
          <w:tcPr>
            <w:tcW w:w="788" w:type="dxa"/>
            <w:tcBorders>
              <w:top w:val="nil"/>
              <w:left w:val="nil"/>
              <w:bottom w:val="nil"/>
              <w:right w:val="single" w:sz="4" w:space="0" w:color="auto"/>
            </w:tcBorders>
            <w:shd w:val="clear" w:color="auto" w:fill="auto"/>
            <w:noWrap/>
            <w:vAlign w:val="bottom"/>
            <w:hideMark/>
          </w:tcPr>
          <w:p w14:paraId="0112832A" w14:textId="77777777" w:rsidR="00510EA5" w:rsidRPr="00477D8F" w:rsidRDefault="00510EA5"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r>
      <w:tr w:rsidR="00316AFE" w:rsidRPr="00477D8F" w14:paraId="6D6AF383" w14:textId="77777777" w:rsidTr="00305B32">
        <w:trPr>
          <w:trHeight w:val="290"/>
        </w:trPr>
        <w:tc>
          <w:tcPr>
            <w:tcW w:w="984" w:type="dxa"/>
            <w:vMerge w:val="restart"/>
            <w:tcBorders>
              <w:top w:val="nil"/>
              <w:left w:val="single" w:sz="4" w:space="0" w:color="auto"/>
              <w:right w:val="nil"/>
            </w:tcBorders>
            <w:shd w:val="clear" w:color="auto" w:fill="auto"/>
            <w:noWrap/>
            <w:vAlign w:val="bottom"/>
            <w:hideMark/>
          </w:tcPr>
          <w:p w14:paraId="304A9E2C"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Low</w:t>
            </w:r>
          </w:p>
          <w:p w14:paraId="39A2BAFA"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32EBDD1E"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1D8E88A4"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001CACA9"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671881E5"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323C185E"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p w14:paraId="037BAE08" w14:textId="467F9EC5"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 </w:t>
            </w:r>
          </w:p>
        </w:tc>
        <w:tc>
          <w:tcPr>
            <w:tcW w:w="4771" w:type="dxa"/>
            <w:tcBorders>
              <w:top w:val="nil"/>
              <w:left w:val="nil"/>
              <w:bottom w:val="nil"/>
              <w:right w:val="nil"/>
            </w:tcBorders>
            <w:shd w:val="clear" w:color="auto" w:fill="auto"/>
            <w:noWrap/>
            <w:vAlign w:val="bottom"/>
            <w:hideMark/>
          </w:tcPr>
          <w:p w14:paraId="3AD024A0"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Nominal GDP (US$, millions)</w:t>
            </w:r>
          </w:p>
        </w:tc>
        <w:tc>
          <w:tcPr>
            <w:tcW w:w="663" w:type="dxa"/>
            <w:tcBorders>
              <w:top w:val="nil"/>
              <w:left w:val="nil"/>
              <w:bottom w:val="nil"/>
              <w:right w:val="nil"/>
            </w:tcBorders>
            <w:shd w:val="clear" w:color="auto" w:fill="auto"/>
            <w:noWrap/>
            <w:vAlign w:val="bottom"/>
            <w:hideMark/>
          </w:tcPr>
          <w:p w14:paraId="5E19DF0C"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893</w:t>
            </w:r>
          </w:p>
        </w:tc>
        <w:tc>
          <w:tcPr>
            <w:tcW w:w="788" w:type="dxa"/>
            <w:tcBorders>
              <w:top w:val="nil"/>
              <w:left w:val="nil"/>
              <w:bottom w:val="nil"/>
              <w:right w:val="nil"/>
            </w:tcBorders>
            <w:shd w:val="clear" w:color="auto" w:fill="auto"/>
            <w:noWrap/>
            <w:vAlign w:val="bottom"/>
            <w:hideMark/>
          </w:tcPr>
          <w:p w14:paraId="218EAFCB"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1,058</w:t>
            </w:r>
          </w:p>
        </w:tc>
        <w:tc>
          <w:tcPr>
            <w:tcW w:w="788" w:type="dxa"/>
            <w:tcBorders>
              <w:top w:val="nil"/>
              <w:left w:val="nil"/>
              <w:bottom w:val="nil"/>
              <w:right w:val="nil"/>
            </w:tcBorders>
            <w:shd w:val="clear" w:color="auto" w:fill="auto"/>
            <w:noWrap/>
            <w:vAlign w:val="bottom"/>
            <w:hideMark/>
          </w:tcPr>
          <w:p w14:paraId="79FACFD1"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1,252</w:t>
            </w:r>
          </w:p>
        </w:tc>
        <w:tc>
          <w:tcPr>
            <w:tcW w:w="788" w:type="dxa"/>
            <w:tcBorders>
              <w:top w:val="nil"/>
              <w:left w:val="nil"/>
              <w:bottom w:val="nil"/>
              <w:right w:val="single" w:sz="4" w:space="0" w:color="auto"/>
            </w:tcBorders>
            <w:shd w:val="clear" w:color="auto" w:fill="auto"/>
            <w:noWrap/>
            <w:vAlign w:val="bottom"/>
            <w:hideMark/>
          </w:tcPr>
          <w:p w14:paraId="2603734C"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1,483</w:t>
            </w:r>
          </w:p>
        </w:tc>
      </w:tr>
      <w:tr w:rsidR="00316AFE" w:rsidRPr="00477D8F" w14:paraId="4158FFA0" w14:textId="77777777" w:rsidTr="00305B32">
        <w:trPr>
          <w:trHeight w:val="290"/>
        </w:trPr>
        <w:tc>
          <w:tcPr>
            <w:tcW w:w="984" w:type="dxa"/>
            <w:vMerge/>
            <w:tcBorders>
              <w:left w:val="single" w:sz="4" w:space="0" w:color="auto"/>
              <w:right w:val="nil"/>
            </w:tcBorders>
            <w:shd w:val="clear" w:color="auto" w:fill="auto"/>
            <w:noWrap/>
            <w:vAlign w:val="bottom"/>
            <w:hideMark/>
          </w:tcPr>
          <w:p w14:paraId="3B0CDEAD" w14:textId="5B1784B3"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77C776E0"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GDP per capita</w:t>
            </w:r>
          </w:p>
        </w:tc>
        <w:tc>
          <w:tcPr>
            <w:tcW w:w="663" w:type="dxa"/>
            <w:tcBorders>
              <w:top w:val="nil"/>
              <w:left w:val="nil"/>
              <w:bottom w:val="nil"/>
              <w:right w:val="nil"/>
            </w:tcBorders>
            <w:shd w:val="clear" w:color="auto" w:fill="auto"/>
            <w:noWrap/>
            <w:vAlign w:val="bottom"/>
            <w:hideMark/>
          </w:tcPr>
          <w:p w14:paraId="3A285C06"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449</w:t>
            </w:r>
          </w:p>
        </w:tc>
        <w:tc>
          <w:tcPr>
            <w:tcW w:w="788" w:type="dxa"/>
            <w:tcBorders>
              <w:top w:val="nil"/>
              <w:left w:val="nil"/>
              <w:bottom w:val="nil"/>
              <w:right w:val="nil"/>
            </w:tcBorders>
            <w:shd w:val="clear" w:color="auto" w:fill="auto"/>
            <w:noWrap/>
            <w:vAlign w:val="bottom"/>
            <w:hideMark/>
          </w:tcPr>
          <w:p w14:paraId="395F1458"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455</w:t>
            </w:r>
          </w:p>
        </w:tc>
        <w:tc>
          <w:tcPr>
            <w:tcW w:w="788" w:type="dxa"/>
            <w:tcBorders>
              <w:top w:val="nil"/>
              <w:left w:val="nil"/>
              <w:bottom w:val="nil"/>
              <w:right w:val="nil"/>
            </w:tcBorders>
            <w:shd w:val="clear" w:color="auto" w:fill="auto"/>
            <w:noWrap/>
            <w:vAlign w:val="bottom"/>
            <w:hideMark/>
          </w:tcPr>
          <w:p w14:paraId="0F9C365C"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464</w:t>
            </w:r>
          </w:p>
        </w:tc>
        <w:tc>
          <w:tcPr>
            <w:tcW w:w="788" w:type="dxa"/>
            <w:tcBorders>
              <w:top w:val="nil"/>
              <w:left w:val="nil"/>
              <w:bottom w:val="nil"/>
              <w:right w:val="single" w:sz="4" w:space="0" w:color="auto"/>
            </w:tcBorders>
            <w:shd w:val="clear" w:color="auto" w:fill="auto"/>
            <w:noWrap/>
            <w:vAlign w:val="bottom"/>
            <w:hideMark/>
          </w:tcPr>
          <w:p w14:paraId="76DE1859"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478</w:t>
            </w:r>
          </w:p>
        </w:tc>
      </w:tr>
      <w:tr w:rsidR="00316AFE" w:rsidRPr="00477D8F" w14:paraId="0E0B39F3" w14:textId="77777777" w:rsidTr="00305B32">
        <w:trPr>
          <w:trHeight w:val="290"/>
        </w:trPr>
        <w:tc>
          <w:tcPr>
            <w:tcW w:w="984" w:type="dxa"/>
            <w:vMerge/>
            <w:tcBorders>
              <w:left w:val="single" w:sz="4" w:space="0" w:color="auto"/>
              <w:right w:val="nil"/>
            </w:tcBorders>
            <w:shd w:val="clear" w:color="auto" w:fill="auto"/>
            <w:noWrap/>
            <w:vAlign w:val="bottom"/>
            <w:hideMark/>
          </w:tcPr>
          <w:p w14:paraId="0E53692E" w14:textId="1E545B88"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30F6CB33" w14:textId="77777777"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Revenue and grant share of GDP</w:t>
            </w:r>
          </w:p>
        </w:tc>
        <w:tc>
          <w:tcPr>
            <w:tcW w:w="663" w:type="dxa"/>
            <w:tcBorders>
              <w:top w:val="nil"/>
              <w:left w:val="nil"/>
              <w:bottom w:val="nil"/>
              <w:right w:val="nil"/>
            </w:tcBorders>
            <w:shd w:val="clear" w:color="auto" w:fill="auto"/>
            <w:noWrap/>
            <w:vAlign w:val="bottom"/>
            <w:hideMark/>
          </w:tcPr>
          <w:p w14:paraId="06DE33EE"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21.6</w:t>
            </w:r>
          </w:p>
        </w:tc>
        <w:tc>
          <w:tcPr>
            <w:tcW w:w="788" w:type="dxa"/>
            <w:tcBorders>
              <w:top w:val="nil"/>
              <w:left w:val="nil"/>
              <w:bottom w:val="nil"/>
              <w:right w:val="nil"/>
            </w:tcBorders>
            <w:shd w:val="clear" w:color="auto" w:fill="auto"/>
            <w:noWrap/>
            <w:vAlign w:val="bottom"/>
            <w:hideMark/>
          </w:tcPr>
          <w:p w14:paraId="157AE11E"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23.6</w:t>
            </w:r>
          </w:p>
        </w:tc>
        <w:tc>
          <w:tcPr>
            <w:tcW w:w="788" w:type="dxa"/>
            <w:tcBorders>
              <w:top w:val="nil"/>
              <w:left w:val="nil"/>
              <w:bottom w:val="nil"/>
              <w:right w:val="nil"/>
            </w:tcBorders>
            <w:shd w:val="clear" w:color="auto" w:fill="auto"/>
            <w:noWrap/>
            <w:vAlign w:val="bottom"/>
            <w:hideMark/>
          </w:tcPr>
          <w:p w14:paraId="261B0375"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27.9</w:t>
            </w:r>
          </w:p>
        </w:tc>
        <w:tc>
          <w:tcPr>
            <w:tcW w:w="788" w:type="dxa"/>
            <w:tcBorders>
              <w:top w:val="nil"/>
              <w:left w:val="nil"/>
              <w:bottom w:val="nil"/>
              <w:right w:val="single" w:sz="4" w:space="0" w:color="auto"/>
            </w:tcBorders>
            <w:shd w:val="clear" w:color="auto" w:fill="auto"/>
            <w:noWrap/>
            <w:vAlign w:val="bottom"/>
            <w:hideMark/>
          </w:tcPr>
          <w:p w14:paraId="756064E2"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33.1</w:t>
            </w:r>
          </w:p>
        </w:tc>
      </w:tr>
      <w:tr w:rsidR="00316AFE" w:rsidRPr="00477D8F" w14:paraId="7DB511A7" w14:textId="77777777" w:rsidTr="00305B32">
        <w:trPr>
          <w:trHeight w:val="290"/>
        </w:trPr>
        <w:tc>
          <w:tcPr>
            <w:tcW w:w="984" w:type="dxa"/>
            <w:vMerge/>
            <w:tcBorders>
              <w:left w:val="single" w:sz="4" w:space="0" w:color="auto"/>
              <w:right w:val="nil"/>
            </w:tcBorders>
            <w:shd w:val="clear" w:color="auto" w:fill="auto"/>
            <w:noWrap/>
            <w:vAlign w:val="bottom"/>
            <w:hideMark/>
          </w:tcPr>
          <w:p w14:paraId="5FBADEE4" w14:textId="5548D887"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1F05B2D6" w14:textId="51A03003"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Expenditure share of GDP (%)</w:t>
            </w:r>
          </w:p>
        </w:tc>
        <w:tc>
          <w:tcPr>
            <w:tcW w:w="663" w:type="dxa"/>
            <w:tcBorders>
              <w:top w:val="nil"/>
              <w:left w:val="nil"/>
              <w:bottom w:val="nil"/>
              <w:right w:val="nil"/>
            </w:tcBorders>
            <w:shd w:val="clear" w:color="auto" w:fill="auto"/>
            <w:noWrap/>
            <w:vAlign w:val="bottom"/>
            <w:hideMark/>
          </w:tcPr>
          <w:p w14:paraId="38AA85B2"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29.7</w:t>
            </w:r>
          </w:p>
        </w:tc>
        <w:tc>
          <w:tcPr>
            <w:tcW w:w="788" w:type="dxa"/>
            <w:tcBorders>
              <w:top w:val="nil"/>
              <w:left w:val="nil"/>
              <w:bottom w:val="nil"/>
              <w:right w:val="nil"/>
            </w:tcBorders>
            <w:shd w:val="clear" w:color="auto" w:fill="auto"/>
            <w:noWrap/>
            <w:vAlign w:val="bottom"/>
            <w:hideMark/>
          </w:tcPr>
          <w:p w14:paraId="00D7E239"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25.4</w:t>
            </w:r>
          </w:p>
        </w:tc>
        <w:tc>
          <w:tcPr>
            <w:tcW w:w="788" w:type="dxa"/>
            <w:tcBorders>
              <w:top w:val="nil"/>
              <w:left w:val="nil"/>
              <w:bottom w:val="nil"/>
              <w:right w:val="nil"/>
            </w:tcBorders>
            <w:shd w:val="clear" w:color="auto" w:fill="auto"/>
            <w:noWrap/>
            <w:vAlign w:val="bottom"/>
            <w:hideMark/>
          </w:tcPr>
          <w:p w14:paraId="750E4F0A"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30.1</w:t>
            </w:r>
          </w:p>
        </w:tc>
        <w:tc>
          <w:tcPr>
            <w:tcW w:w="788" w:type="dxa"/>
            <w:tcBorders>
              <w:top w:val="nil"/>
              <w:left w:val="nil"/>
              <w:bottom w:val="nil"/>
              <w:right w:val="single" w:sz="4" w:space="0" w:color="auto"/>
            </w:tcBorders>
            <w:shd w:val="clear" w:color="auto" w:fill="auto"/>
            <w:noWrap/>
            <w:vAlign w:val="bottom"/>
            <w:hideMark/>
          </w:tcPr>
          <w:p w14:paraId="40FB2486"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35.6</w:t>
            </w:r>
          </w:p>
        </w:tc>
      </w:tr>
      <w:tr w:rsidR="00316AFE" w:rsidRPr="00477D8F" w14:paraId="4F6EDFC8" w14:textId="77777777" w:rsidTr="00305B32">
        <w:trPr>
          <w:trHeight w:val="290"/>
        </w:trPr>
        <w:tc>
          <w:tcPr>
            <w:tcW w:w="984" w:type="dxa"/>
            <w:vMerge/>
            <w:tcBorders>
              <w:left w:val="single" w:sz="4" w:space="0" w:color="auto"/>
              <w:right w:val="nil"/>
            </w:tcBorders>
            <w:shd w:val="clear" w:color="auto" w:fill="auto"/>
            <w:noWrap/>
            <w:vAlign w:val="bottom"/>
            <w:hideMark/>
          </w:tcPr>
          <w:p w14:paraId="26731FDE" w14:textId="0AD10E00"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299A4637" w14:textId="6F27CC70"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Debt as share of GDP (%)</w:t>
            </w:r>
          </w:p>
        </w:tc>
        <w:tc>
          <w:tcPr>
            <w:tcW w:w="663" w:type="dxa"/>
            <w:tcBorders>
              <w:top w:val="nil"/>
              <w:left w:val="nil"/>
              <w:bottom w:val="nil"/>
              <w:right w:val="nil"/>
            </w:tcBorders>
            <w:shd w:val="clear" w:color="auto" w:fill="auto"/>
            <w:noWrap/>
            <w:vAlign w:val="bottom"/>
            <w:hideMark/>
          </w:tcPr>
          <w:p w14:paraId="1E847929"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8.1</w:t>
            </w:r>
          </w:p>
        </w:tc>
        <w:tc>
          <w:tcPr>
            <w:tcW w:w="788" w:type="dxa"/>
            <w:tcBorders>
              <w:top w:val="nil"/>
              <w:left w:val="nil"/>
              <w:bottom w:val="nil"/>
              <w:right w:val="nil"/>
            </w:tcBorders>
            <w:shd w:val="clear" w:color="auto" w:fill="auto"/>
            <w:noWrap/>
            <w:vAlign w:val="bottom"/>
            <w:hideMark/>
          </w:tcPr>
          <w:p w14:paraId="5B28D0D1"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1.8</w:t>
            </w:r>
          </w:p>
        </w:tc>
        <w:tc>
          <w:tcPr>
            <w:tcW w:w="788" w:type="dxa"/>
            <w:tcBorders>
              <w:top w:val="nil"/>
              <w:left w:val="nil"/>
              <w:bottom w:val="nil"/>
              <w:right w:val="nil"/>
            </w:tcBorders>
            <w:shd w:val="clear" w:color="auto" w:fill="auto"/>
            <w:noWrap/>
            <w:vAlign w:val="bottom"/>
            <w:hideMark/>
          </w:tcPr>
          <w:p w14:paraId="47DFC13C"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2.1</w:t>
            </w:r>
          </w:p>
        </w:tc>
        <w:tc>
          <w:tcPr>
            <w:tcW w:w="788" w:type="dxa"/>
            <w:tcBorders>
              <w:top w:val="nil"/>
              <w:left w:val="nil"/>
              <w:bottom w:val="nil"/>
              <w:right w:val="single" w:sz="4" w:space="0" w:color="auto"/>
            </w:tcBorders>
            <w:shd w:val="clear" w:color="auto" w:fill="auto"/>
            <w:noWrap/>
            <w:vAlign w:val="bottom"/>
            <w:hideMark/>
          </w:tcPr>
          <w:p w14:paraId="6E04F66F"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2.5</w:t>
            </w:r>
          </w:p>
        </w:tc>
      </w:tr>
      <w:tr w:rsidR="00316AFE" w:rsidRPr="00477D8F" w14:paraId="66AA3155" w14:textId="77777777" w:rsidTr="00305B32">
        <w:trPr>
          <w:trHeight w:val="290"/>
        </w:trPr>
        <w:tc>
          <w:tcPr>
            <w:tcW w:w="984" w:type="dxa"/>
            <w:vMerge/>
            <w:tcBorders>
              <w:left w:val="single" w:sz="4" w:space="0" w:color="auto"/>
              <w:right w:val="nil"/>
            </w:tcBorders>
            <w:shd w:val="clear" w:color="auto" w:fill="auto"/>
            <w:noWrap/>
            <w:vAlign w:val="bottom"/>
            <w:hideMark/>
          </w:tcPr>
          <w:p w14:paraId="6B8BE561" w14:textId="37B6EDEE"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70EB9F64" w14:textId="327724FB"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Education spending as share of GDP (%)</w:t>
            </w:r>
          </w:p>
        </w:tc>
        <w:tc>
          <w:tcPr>
            <w:tcW w:w="663" w:type="dxa"/>
            <w:tcBorders>
              <w:top w:val="nil"/>
              <w:left w:val="nil"/>
              <w:bottom w:val="nil"/>
              <w:right w:val="nil"/>
            </w:tcBorders>
            <w:shd w:val="clear" w:color="auto" w:fill="auto"/>
            <w:noWrap/>
            <w:vAlign w:val="bottom"/>
            <w:hideMark/>
          </w:tcPr>
          <w:p w14:paraId="1A4EA190"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3.2</w:t>
            </w:r>
          </w:p>
        </w:tc>
        <w:tc>
          <w:tcPr>
            <w:tcW w:w="788" w:type="dxa"/>
            <w:tcBorders>
              <w:top w:val="nil"/>
              <w:left w:val="nil"/>
              <w:bottom w:val="nil"/>
              <w:right w:val="nil"/>
            </w:tcBorders>
            <w:shd w:val="clear" w:color="auto" w:fill="auto"/>
            <w:noWrap/>
            <w:vAlign w:val="bottom"/>
            <w:hideMark/>
          </w:tcPr>
          <w:p w14:paraId="5598C9E2"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3.2</w:t>
            </w:r>
          </w:p>
        </w:tc>
        <w:tc>
          <w:tcPr>
            <w:tcW w:w="788" w:type="dxa"/>
            <w:tcBorders>
              <w:top w:val="nil"/>
              <w:left w:val="nil"/>
              <w:bottom w:val="nil"/>
              <w:right w:val="nil"/>
            </w:tcBorders>
            <w:shd w:val="clear" w:color="auto" w:fill="auto"/>
            <w:noWrap/>
            <w:vAlign w:val="bottom"/>
            <w:hideMark/>
          </w:tcPr>
          <w:p w14:paraId="6185C242"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3.2</w:t>
            </w:r>
          </w:p>
        </w:tc>
        <w:tc>
          <w:tcPr>
            <w:tcW w:w="788" w:type="dxa"/>
            <w:tcBorders>
              <w:top w:val="nil"/>
              <w:left w:val="nil"/>
              <w:bottom w:val="nil"/>
              <w:right w:val="single" w:sz="4" w:space="0" w:color="auto"/>
            </w:tcBorders>
            <w:shd w:val="clear" w:color="auto" w:fill="auto"/>
            <w:noWrap/>
            <w:vAlign w:val="bottom"/>
            <w:hideMark/>
          </w:tcPr>
          <w:p w14:paraId="637A520A"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3.2</w:t>
            </w:r>
          </w:p>
        </w:tc>
      </w:tr>
      <w:tr w:rsidR="00316AFE" w:rsidRPr="00477D8F" w14:paraId="22AB641C" w14:textId="77777777" w:rsidTr="00305B32">
        <w:trPr>
          <w:trHeight w:val="290"/>
        </w:trPr>
        <w:tc>
          <w:tcPr>
            <w:tcW w:w="984" w:type="dxa"/>
            <w:vMerge/>
            <w:tcBorders>
              <w:left w:val="single" w:sz="4" w:space="0" w:color="auto"/>
              <w:right w:val="nil"/>
            </w:tcBorders>
            <w:shd w:val="clear" w:color="auto" w:fill="auto"/>
            <w:noWrap/>
            <w:vAlign w:val="bottom"/>
            <w:hideMark/>
          </w:tcPr>
          <w:p w14:paraId="2A3372B5" w14:textId="3FD0B347"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nil"/>
              <w:right w:val="nil"/>
            </w:tcBorders>
            <w:shd w:val="clear" w:color="auto" w:fill="auto"/>
            <w:noWrap/>
            <w:vAlign w:val="bottom"/>
            <w:hideMark/>
          </w:tcPr>
          <w:p w14:paraId="12C441A7" w14:textId="207A7851"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Education financing gap as share of GDP (%)</w:t>
            </w:r>
          </w:p>
        </w:tc>
        <w:tc>
          <w:tcPr>
            <w:tcW w:w="663" w:type="dxa"/>
            <w:tcBorders>
              <w:top w:val="nil"/>
              <w:left w:val="nil"/>
              <w:bottom w:val="nil"/>
              <w:right w:val="nil"/>
            </w:tcBorders>
            <w:shd w:val="clear" w:color="auto" w:fill="auto"/>
            <w:noWrap/>
            <w:vAlign w:val="bottom"/>
            <w:hideMark/>
          </w:tcPr>
          <w:p w14:paraId="0E176A7B"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0.3</w:t>
            </w:r>
          </w:p>
        </w:tc>
        <w:tc>
          <w:tcPr>
            <w:tcW w:w="788" w:type="dxa"/>
            <w:tcBorders>
              <w:top w:val="nil"/>
              <w:left w:val="nil"/>
              <w:bottom w:val="nil"/>
              <w:right w:val="nil"/>
            </w:tcBorders>
            <w:shd w:val="clear" w:color="auto" w:fill="auto"/>
            <w:noWrap/>
            <w:vAlign w:val="bottom"/>
            <w:hideMark/>
          </w:tcPr>
          <w:p w14:paraId="335C96C0"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0.3</w:t>
            </w:r>
          </w:p>
        </w:tc>
        <w:tc>
          <w:tcPr>
            <w:tcW w:w="788" w:type="dxa"/>
            <w:tcBorders>
              <w:top w:val="nil"/>
              <w:left w:val="nil"/>
              <w:bottom w:val="nil"/>
              <w:right w:val="nil"/>
            </w:tcBorders>
            <w:shd w:val="clear" w:color="auto" w:fill="auto"/>
            <w:noWrap/>
            <w:vAlign w:val="bottom"/>
            <w:hideMark/>
          </w:tcPr>
          <w:p w14:paraId="021001B8"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0.5</w:t>
            </w:r>
          </w:p>
        </w:tc>
        <w:tc>
          <w:tcPr>
            <w:tcW w:w="788" w:type="dxa"/>
            <w:tcBorders>
              <w:top w:val="nil"/>
              <w:left w:val="nil"/>
              <w:bottom w:val="nil"/>
              <w:right w:val="single" w:sz="4" w:space="0" w:color="auto"/>
            </w:tcBorders>
            <w:shd w:val="clear" w:color="auto" w:fill="auto"/>
            <w:noWrap/>
            <w:vAlign w:val="bottom"/>
            <w:hideMark/>
          </w:tcPr>
          <w:p w14:paraId="3B1EABA3"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0.4</w:t>
            </w:r>
          </w:p>
        </w:tc>
      </w:tr>
      <w:tr w:rsidR="00316AFE" w:rsidRPr="00477D8F" w14:paraId="55C8BDF9" w14:textId="77777777" w:rsidTr="00305B32">
        <w:trPr>
          <w:trHeight w:val="290"/>
        </w:trPr>
        <w:tc>
          <w:tcPr>
            <w:tcW w:w="984" w:type="dxa"/>
            <w:vMerge/>
            <w:tcBorders>
              <w:left w:val="single" w:sz="4" w:space="0" w:color="auto"/>
              <w:bottom w:val="single" w:sz="4" w:space="0" w:color="auto"/>
              <w:right w:val="nil"/>
            </w:tcBorders>
            <w:shd w:val="clear" w:color="auto" w:fill="auto"/>
            <w:noWrap/>
            <w:vAlign w:val="bottom"/>
            <w:hideMark/>
          </w:tcPr>
          <w:p w14:paraId="242C5320" w14:textId="05D062B1" w:rsidR="00316AFE" w:rsidRPr="00477D8F" w:rsidRDefault="00316AFE" w:rsidP="00510EA5">
            <w:pPr>
              <w:spacing w:after="0" w:line="240" w:lineRule="auto"/>
              <w:rPr>
                <w:rFonts w:ascii="Calibri" w:eastAsia="Times New Roman" w:hAnsi="Calibri" w:cs="Calibri"/>
                <w:color w:val="000000"/>
              </w:rPr>
            </w:pPr>
          </w:p>
        </w:tc>
        <w:tc>
          <w:tcPr>
            <w:tcW w:w="4771" w:type="dxa"/>
            <w:tcBorders>
              <w:top w:val="nil"/>
              <w:left w:val="nil"/>
              <w:bottom w:val="single" w:sz="4" w:space="0" w:color="auto"/>
              <w:right w:val="nil"/>
            </w:tcBorders>
            <w:shd w:val="clear" w:color="auto" w:fill="auto"/>
            <w:noWrap/>
            <w:vAlign w:val="bottom"/>
            <w:hideMark/>
          </w:tcPr>
          <w:p w14:paraId="537DBB01" w14:textId="083D6512" w:rsidR="00316AFE" w:rsidRPr="00477D8F" w:rsidRDefault="00316AFE" w:rsidP="00510EA5">
            <w:pPr>
              <w:spacing w:after="0" w:line="240" w:lineRule="auto"/>
              <w:rPr>
                <w:rFonts w:ascii="Calibri" w:eastAsia="Times New Roman" w:hAnsi="Calibri" w:cs="Calibri"/>
                <w:color w:val="000000"/>
              </w:rPr>
            </w:pPr>
            <w:r w:rsidRPr="00477D8F">
              <w:rPr>
                <w:rFonts w:ascii="Calibri" w:eastAsia="Times New Roman" w:hAnsi="Calibri" w:cs="Calibri"/>
                <w:color w:val="000000"/>
              </w:rPr>
              <w:t>Education Financing gap contribution to Debt (%)</w:t>
            </w:r>
          </w:p>
        </w:tc>
        <w:tc>
          <w:tcPr>
            <w:tcW w:w="663" w:type="dxa"/>
            <w:tcBorders>
              <w:top w:val="nil"/>
              <w:left w:val="nil"/>
              <w:bottom w:val="single" w:sz="4" w:space="0" w:color="auto"/>
              <w:right w:val="nil"/>
            </w:tcBorders>
            <w:shd w:val="clear" w:color="auto" w:fill="auto"/>
            <w:noWrap/>
            <w:vAlign w:val="bottom"/>
            <w:hideMark/>
          </w:tcPr>
          <w:p w14:paraId="197C010A"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0.0</w:t>
            </w:r>
          </w:p>
        </w:tc>
        <w:tc>
          <w:tcPr>
            <w:tcW w:w="788" w:type="dxa"/>
            <w:tcBorders>
              <w:top w:val="nil"/>
              <w:left w:val="nil"/>
              <w:bottom w:val="single" w:sz="4" w:space="0" w:color="auto"/>
              <w:right w:val="nil"/>
            </w:tcBorders>
            <w:shd w:val="clear" w:color="auto" w:fill="auto"/>
            <w:noWrap/>
            <w:vAlign w:val="bottom"/>
            <w:hideMark/>
          </w:tcPr>
          <w:p w14:paraId="454090C8"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0.2</w:t>
            </w:r>
          </w:p>
        </w:tc>
        <w:tc>
          <w:tcPr>
            <w:tcW w:w="788" w:type="dxa"/>
            <w:tcBorders>
              <w:top w:val="nil"/>
              <w:left w:val="nil"/>
              <w:bottom w:val="single" w:sz="4" w:space="0" w:color="auto"/>
              <w:right w:val="nil"/>
            </w:tcBorders>
            <w:shd w:val="clear" w:color="auto" w:fill="auto"/>
            <w:noWrap/>
            <w:vAlign w:val="bottom"/>
            <w:hideMark/>
          </w:tcPr>
          <w:p w14:paraId="58FF32AE"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0.2</w:t>
            </w:r>
          </w:p>
        </w:tc>
        <w:tc>
          <w:tcPr>
            <w:tcW w:w="788" w:type="dxa"/>
            <w:tcBorders>
              <w:top w:val="nil"/>
              <w:left w:val="nil"/>
              <w:bottom w:val="single" w:sz="4" w:space="0" w:color="auto"/>
              <w:right w:val="single" w:sz="4" w:space="0" w:color="auto"/>
            </w:tcBorders>
            <w:shd w:val="clear" w:color="auto" w:fill="auto"/>
            <w:noWrap/>
            <w:vAlign w:val="bottom"/>
            <w:hideMark/>
          </w:tcPr>
          <w:p w14:paraId="514817E0" w14:textId="77777777" w:rsidR="00316AFE" w:rsidRPr="00477D8F" w:rsidRDefault="00316AFE" w:rsidP="00510EA5">
            <w:pPr>
              <w:spacing w:after="0" w:line="240" w:lineRule="auto"/>
              <w:jc w:val="right"/>
              <w:rPr>
                <w:rFonts w:ascii="Calibri" w:eastAsia="Times New Roman" w:hAnsi="Calibri" w:cs="Calibri"/>
                <w:color w:val="000000"/>
              </w:rPr>
            </w:pPr>
            <w:r w:rsidRPr="00477D8F">
              <w:rPr>
                <w:rFonts w:ascii="Calibri" w:eastAsia="Times New Roman" w:hAnsi="Calibri" w:cs="Calibri"/>
                <w:color w:val="000000"/>
              </w:rPr>
              <w:t>0.1</w:t>
            </w:r>
          </w:p>
        </w:tc>
      </w:tr>
    </w:tbl>
    <w:p w14:paraId="4DE5ADEE" w14:textId="77777777" w:rsidR="00510EA5" w:rsidRPr="00477D8F" w:rsidRDefault="00510EA5" w:rsidP="00480421">
      <w:pPr>
        <w:jc w:val="both"/>
        <w:rPr>
          <w:rFonts w:ascii="Sylfaen" w:eastAsiaTheme="majorEastAsia" w:hAnsi="Sylfaen" w:cstheme="majorBidi"/>
          <w:bCs/>
        </w:rPr>
      </w:pPr>
    </w:p>
    <w:p w14:paraId="68F50D98" w14:textId="77777777" w:rsidR="00510EA5" w:rsidRPr="00477D8F" w:rsidRDefault="00510EA5" w:rsidP="00480421">
      <w:pPr>
        <w:jc w:val="both"/>
        <w:rPr>
          <w:rFonts w:ascii="Sylfaen" w:eastAsiaTheme="majorEastAsia" w:hAnsi="Sylfaen" w:cstheme="majorBidi"/>
          <w:bCs/>
        </w:rPr>
      </w:pPr>
    </w:p>
    <w:p w14:paraId="6CEC1ADD" w14:textId="77777777" w:rsidR="00510EA5" w:rsidRPr="00477D8F" w:rsidRDefault="00510EA5" w:rsidP="00480421">
      <w:pPr>
        <w:jc w:val="both"/>
        <w:rPr>
          <w:rFonts w:ascii="Sylfaen" w:eastAsiaTheme="majorEastAsia" w:hAnsi="Sylfaen" w:cstheme="majorBidi"/>
          <w:bCs/>
        </w:rPr>
      </w:pPr>
    </w:p>
    <w:p w14:paraId="714CE46E" w14:textId="76043077" w:rsidR="00510EA5" w:rsidRPr="00477D8F" w:rsidRDefault="00480421" w:rsidP="00480421">
      <w:pPr>
        <w:jc w:val="both"/>
        <w:rPr>
          <w:rFonts w:ascii="Sylfaen" w:eastAsiaTheme="majorEastAsia" w:hAnsi="Sylfaen" w:cstheme="majorBidi"/>
          <w:bCs/>
        </w:rPr>
      </w:pPr>
      <w:r w:rsidRPr="00477D8F">
        <w:rPr>
          <w:rFonts w:ascii="Sylfaen" w:eastAsiaTheme="majorEastAsia" w:hAnsi="Sylfaen" w:cstheme="majorBidi"/>
          <w:bCs/>
        </w:rPr>
        <w:br w:type="page"/>
      </w:r>
    </w:p>
    <w:p w14:paraId="32C72B68" w14:textId="77777777" w:rsidR="00480421" w:rsidRPr="00477D8F" w:rsidRDefault="00480421" w:rsidP="00480421">
      <w:pPr>
        <w:pStyle w:val="Heading2"/>
      </w:pPr>
      <w:bookmarkStart w:id="400" w:name="_Toc496603226"/>
      <w:bookmarkStart w:id="401" w:name="_Toc497171895"/>
      <w:r w:rsidRPr="00477D8F">
        <w:lastRenderedPageBreak/>
        <w:t>Annex C. Figures</w:t>
      </w:r>
      <w:bookmarkEnd w:id="400"/>
      <w:bookmarkEnd w:id="401"/>
    </w:p>
    <w:p w14:paraId="1DD8FBE4" w14:textId="273085A6" w:rsidR="00480421" w:rsidRPr="00477D8F" w:rsidRDefault="00480421" w:rsidP="00CB2E08">
      <w:pPr>
        <w:pStyle w:val="Caption1"/>
      </w:pPr>
      <w:bookmarkStart w:id="402" w:name="_Ref496879733"/>
      <w:bookmarkStart w:id="403" w:name="_Toc497170673"/>
      <w:r w:rsidRPr="00477D8F">
        <w:t>Figure C</w:t>
      </w:r>
      <w:r w:rsidR="002E5BDF" w:rsidRPr="00477D8F">
        <w:fldChar w:fldCharType="begin"/>
      </w:r>
      <w:r w:rsidR="002E5BDF" w:rsidRPr="00477D8F">
        <w:instrText xml:space="preserve"> SEQ Figure_C \* ARABIC </w:instrText>
      </w:r>
      <w:r w:rsidR="002E5BDF" w:rsidRPr="00477D8F">
        <w:fldChar w:fldCharType="separate"/>
      </w:r>
      <w:r w:rsidRPr="00477D8F">
        <w:rPr>
          <w:noProof/>
        </w:rPr>
        <w:t>1</w:t>
      </w:r>
      <w:r w:rsidR="002E5BDF" w:rsidRPr="00477D8F">
        <w:rPr>
          <w:noProof/>
        </w:rPr>
        <w:fldChar w:fldCharType="end"/>
      </w:r>
      <w:bookmarkEnd w:id="402"/>
      <w:r w:rsidRPr="00477D8F">
        <w:t>: Average monthly earning by years of teaching experience (left, in GMD) and distribution of teachers, by years of teaching experience, by region, public LBS only (right), 2015</w:t>
      </w:r>
      <w:bookmarkEnd w:id="403"/>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8"/>
      </w:tblGrid>
      <w:tr w:rsidR="00480421" w:rsidRPr="00477D8F" w14:paraId="57EA020C" w14:textId="77777777" w:rsidTr="001A041F">
        <w:trPr>
          <w:trHeight w:val="18"/>
          <w:jc w:val="center"/>
        </w:trPr>
        <w:tc>
          <w:tcPr>
            <w:tcW w:w="0" w:type="auto"/>
            <w:hideMark/>
          </w:tcPr>
          <w:p w14:paraId="28441BC4" w14:textId="77777777" w:rsidR="00480421" w:rsidRPr="00477D8F" w:rsidRDefault="00480421" w:rsidP="001A041F">
            <w:pPr>
              <w:keepNext/>
              <w:jc w:val="center"/>
              <w:rPr>
                <w:rFonts w:ascii="Sylfaen" w:hAnsi="Sylfaen" w:cs="Times New Roman"/>
                <w:bCs/>
              </w:rPr>
            </w:pPr>
            <w:r w:rsidRPr="00477D8F">
              <w:rPr>
                <w:rFonts w:ascii="Sylfaen" w:hAnsi="Sylfaen" w:cs="Times New Roman"/>
                <w:bCs/>
                <w:noProof/>
              </w:rPr>
              <w:drawing>
                <wp:inline distT="0" distB="0" distL="0" distR="0" wp14:anchorId="2F4E23E1" wp14:editId="63C33D69">
                  <wp:extent cx="5113020" cy="374523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113020" cy="3745230"/>
                          </a:xfrm>
                          <a:prstGeom prst="rect">
                            <a:avLst/>
                          </a:prstGeom>
                          <a:noFill/>
                          <a:ln>
                            <a:noFill/>
                          </a:ln>
                        </pic:spPr>
                      </pic:pic>
                    </a:graphicData>
                  </a:graphic>
                </wp:inline>
              </w:drawing>
            </w:r>
          </w:p>
        </w:tc>
      </w:tr>
      <w:tr w:rsidR="00480421" w:rsidRPr="00477D8F" w14:paraId="65B8E541" w14:textId="77777777" w:rsidTr="001A041F">
        <w:trPr>
          <w:trHeight w:val="18"/>
          <w:jc w:val="center"/>
        </w:trPr>
        <w:tc>
          <w:tcPr>
            <w:tcW w:w="0" w:type="auto"/>
            <w:hideMark/>
          </w:tcPr>
          <w:p w14:paraId="475D6A04" w14:textId="77777777" w:rsidR="00480421" w:rsidRPr="00477D8F" w:rsidRDefault="00480421" w:rsidP="001A041F">
            <w:pPr>
              <w:pStyle w:val="Source"/>
            </w:pPr>
            <w:r w:rsidRPr="00477D8F">
              <w:rPr>
                <w:rFonts w:eastAsia="Times New Roman"/>
                <w:i/>
              </w:rPr>
              <w:t>Source:</w:t>
            </w:r>
            <w:r w:rsidRPr="00477D8F">
              <w:rPr>
                <w:rFonts w:eastAsia="Times New Roman"/>
              </w:rPr>
              <w:t xml:space="preserve"> Authors’ estimations</w:t>
            </w:r>
            <w:r w:rsidRPr="00477D8F">
              <w:t xml:space="preserve"> based on payroll data and EMIS.</w:t>
            </w:r>
          </w:p>
        </w:tc>
      </w:tr>
    </w:tbl>
    <w:p w14:paraId="0C3DFF2A" w14:textId="77777777" w:rsidR="00480421" w:rsidRPr="00477D8F" w:rsidRDefault="00480421" w:rsidP="00CB2E08">
      <w:pPr>
        <w:pStyle w:val="Caption1"/>
      </w:pPr>
      <w:bookmarkStart w:id="404" w:name="_Ref496881479"/>
      <w:bookmarkStart w:id="405" w:name="_Toc497170674"/>
      <w:r w:rsidRPr="00477D8F">
        <w:t>Figure C</w:t>
      </w:r>
      <w:r w:rsidR="002E5BDF" w:rsidRPr="00477D8F">
        <w:fldChar w:fldCharType="begin"/>
      </w:r>
      <w:r w:rsidR="002E5BDF" w:rsidRPr="00477D8F">
        <w:instrText xml:space="preserve"> SEQ Figure_C \* ARABIC </w:instrText>
      </w:r>
      <w:r w:rsidR="002E5BDF" w:rsidRPr="00477D8F">
        <w:fldChar w:fldCharType="separate"/>
      </w:r>
      <w:r w:rsidRPr="00477D8F">
        <w:rPr>
          <w:noProof/>
        </w:rPr>
        <w:t>2</w:t>
      </w:r>
      <w:r w:rsidR="002E5BDF" w:rsidRPr="00477D8F">
        <w:rPr>
          <w:noProof/>
        </w:rPr>
        <w:fldChar w:fldCharType="end"/>
      </w:r>
      <w:bookmarkEnd w:id="404"/>
      <w:r w:rsidRPr="00477D8F">
        <w:t>: Percentage of classrooms with permanent structures, public schools, 2016</w:t>
      </w:r>
      <w:bookmarkEnd w:id="405"/>
    </w:p>
    <w:p w14:paraId="417292AD" w14:textId="77777777" w:rsidR="00480421" w:rsidRPr="00477D8F" w:rsidRDefault="00480421" w:rsidP="00CB2E08">
      <w:pPr>
        <w:spacing w:after="0" w:line="240" w:lineRule="auto"/>
        <w:jc w:val="center"/>
        <w:rPr>
          <w:rFonts w:ascii="Sylfaen" w:hAnsi="Sylfaen"/>
        </w:rPr>
      </w:pPr>
      <w:r w:rsidRPr="00477D8F">
        <w:rPr>
          <w:rFonts w:ascii="Sylfaen" w:hAnsi="Sylfaen"/>
          <w:noProof/>
        </w:rPr>
        <w:drawing>
          <wp:inline distT="0" distB="0" distL="0" distR="0" wp14:anchorId="5417DAB5" wp14:editId="322E2B5F">
            <wp:extent cx="5514321" cy="2743200"/>
            <wp:effectExtent l="0" t="0" r="10795" b="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6371C076" w14:textId="16FAA669" w:rsidR="00480421" w:rsidRPr="00477D8F" w:rsidRDefault="00480421" w:rsidP="00CB2E08">
      <w:pPr>
        <w:spacing w:after="0" w:line="240" w:lineRule="auto"/>
        <w:ind w:left="360"/>
        <w:contextualSpacing/>
        <w:jc w:val="both"/>
        <w:rPr>
          <w:rFonts w:ascii="Sylfaen" w:hAnsi="Sylfaen"/>
          <w:sz w:val="20"/>
          <w:szCs w:val="20"/>
        </w:rPr>
      </w:pPr>
      <w:r w:rsidRPr="00477D8F">
        <w:rPr>
          <w:rFonts w:ascii="Sylfaen" w:hAnsi="Sylfaen"/>
          <w:i/>
          <w:sz w:val="20"/>
          <w:szCs w:val="20"/>
        </w:rPr>
        <w:t>Source:</w:t>
      </w:r>
      <w:r w:rsidR="00AD5D06" w:rsidRPr="00477D8F">
        <w:rPr>
          <w:rFonts w:ascii="Sylfaen" w:hAnsi="Sylfaen"/>
          <w:i/>
          <w:sz w:val="20"/>
          <w:szCs w:val="20"/>
        </w:rPr>
        <w:t xml:space="preserve"> EMIS 2016</w:t>
      </w:r>
    </w:p>
    <w:tbl>
      <w:tblPr>
        <w:tblStyle w:val="TableGrid2"/>
        <w:tblW w:w="92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6"/>
      </w:tblGrid>
      <w:tr w:rsidR="00480421" w:rsidRPr="00477D8F" w14:paraId="2FD6831A" w14:textId="77777777" w:rsidTr="001A041F">
        <w:trPr>
          <w:trHeight w:val="18"/>
          <w:jc w:val="center"/>
        </w:trPr>
        <w:tc>
          <w:tcPr>
            <w:tcW w:w="9246" w:type="dxa"/>
            <w:hideMark/>
          </w:tcPr>
          <w:p w14:paraId="1DF16DA6" w14:textId="77777777" w:rsidR="00480421" w:rsidRPr="00477D8F" w:rsidRDefault="00480421" w:rsidP="001A041F">
            <w:pPr>
              <w:pStyle w:val="Caption1"/>
            </w:pPr>
            <w:bookmarkStart w:id="406" w:name="_Toc497170675"/>
            <w:r w:rsidRPr="00477D8F">
              <w:lastRenderedPageBreak/>
              <w:t>Figure C</w:t>
            </w:r>
            <w:r w:rsidR="002E5BDF" w:rsidRPr="00477D8F">
              <w:fldChar w:fldCharType="begin"/>
            </w:r>
            <w:r w:rsidR="002E5BDF" w:rsidRPr="00477D8F">
              <w:instrText xml:space="preserve"> SEQ Figure_C \* ARABIC </w:instrText>
            </w:r>
            <w:r w:rsidR="002E5BDF" w:rsidRPr="00477D8F">
              <w:fldChar w:fldCharType="separate"/>
            </w:r>
            <w:r w:rsidRPr="00477D8F">
              <w:rPr>
                <w:noProof/>
              </w:rPr>
              <w:t>3</w:t>
            </w:r>
            <w:r w:rsidR="002E5BDF" w:rsidRPr="00477D8F">
              <w:rPr>
                <w:noProof/>
              </w:rPr>
              <w:fldChar w:fldCharType="end"/>
            </w:r>
            <w:r w:rsidRPr="00477D8F">
              <w:t>: Pupil class size ratio in public schools, taking into account of morning and afternoon shifts, 2016</w:t>
            </w:r>
            <w:bookmarkEnd w:id="406"/>
          </w:p>
          <w:p w14:paraId="520839AB" w14:textId="77777777" w:rsidR="00480421" w:rsidRPr="00477D8F" w:rsidRDefault="00480421" w:rsidP="001A041F">
            <w:pPr>
              <w:keepNext/>
              <w:jc w:val="both"/>
              <w:rPr>
                <w:rFonts w:ascii="Sylfaen" w:hAnsi="Sylfaen" w:cs="Times New Roman"/>
                <w:bCs/>
              </w:rPr>
            </w:pPr>
            <w:r w:rsidRPr="00477D8F">
              <w:rPr>
                <w:rFonts w:ascii="Sylfaen" w:hAnsi="Sylfaen"/>
                <w:noProof/>
              </w:rPr>
              <w:drawing>
                <wp:inline distT="0" distB="0" distL="0" distR="0" wp14:anchorId="30429848" wp14:editId="05D8C18D">
                  <wp:extent cx="5625389" cy="2743200"/>
                  <wp:effectExtent l="0" t="0" r="13970" b="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20993016" w14:textId="77777777" w:rsidR="00480421" w:rsidRPr="00477D8F" w:rsidRDefault="00480421" w:rsidP="001A041F">
            <w:pPr>
              <w:keepNext/>
              <w:jc w:val="both"/>
              <w:rPr>
                <w:rFonts w:ascii="Sylfaen" w:hAnsi="Sylfaen" w:cs="Times New Roman"/>
                <w:bCs/>
              </w:rPr>
            </w:pPr>
          </w:p>
        </w:tc>
      </w:tr>
      <w:tr w:rsidR="00480421" w:rsidRPr="00477D8F" w14:paraId="14160973" w14:textId="77777777" w:rsidTr="001A041F">
        <w:trPr>
          <w:trHeight w:val="18"/>
          <w:jc w:val="center"/>
        </w:trPr>
        <w:tc>
          <w:tcPr>
            <w:tcW w:w="9246" w:type="dxa"/>
            <w:hideMark/>
          </w:tcPr>
          <w:p w14:paraId="53703E62" w14:textId="77777777" w:rsidR="00480421" w:rsidRPr="00477D8F" w:rsidRDefault="00480421" w:rsidP="001A041F">
            <w:pPr>
              <w:pStyle w:val="Source"/>
            </w:pPr>
            <w:r w:rsidRPr="00477D8F">
              <w:rPr>
                <w:rFonts w:eastAsia="Times New Roman"/>
                <w:i/>
              </w:rPr>
              <w:t>Source:</w:t>
            </w:r>
            <w:r w:rsidRPr="00477D8F">
              <w:rPr>
                <w:rFonts w:eastAsia="Times New Roman"/>
              </w:rPr>
              <w:t xml:space="preserve"> Authors’ estimations</w:t>
            </w:r>
            <w:r w:rsidRPr="00477D8F">
              <w:t xml:space="preserve"> based on administrative data, EMIS.</w:t>
            </w:r>
          </w:p>
        </w:tc>
      </w:tr>
    </w:tbl>
    <w:p w14:paraId="2C753E12" w14:textId="77777777" w:rsidR="00480421" w:rsidRPr="00477D8F" w:rsidRDefault="00480421" w:rsidP="00480421">
      <w:pPr>
        <w:jc w:val="both"/>
        <w:rPr>
          <w:rFonts w:ascii="Sylfaen" w:hAnsi="Sylfaen" w:cs="Times New Roman"/>
          <w:sz w:val="24"/>
          <w:szCs w:val="24"/>
        </w:rPr>
      </w:pPr>
    </w:p>
    <w:tbl>
      <w:tblPr>
        <w:tblStyle w:val="TableGrid2"/>
        <w:tblW w:w="92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480421" w:rsidRPr="00477D8F" w14:paraId="12EA136F" w14:textId="77777777" w:rsidTr="001A041F">
        <w:trPr>
          <w:trHeight w:val="18"/>
          <w:jc w:val="center"/>
        </w:trPr>
        <w:tc>
          <w:tcPr>
            <w:tcW w:w="9276" w:type="dxa"/>
          </w:tcPr>
          <w:p w14:paraId="28DB0258" w14:textId="139A9D0F" w:rsidR="00480421" w:rsidRPr="00477D8F" w:rsidRDefault="00480421" w:rsidP="001A041F">
            <w:pPr>
              <w:pStyle w:val="Caption1"/>
            </w:pPr>
            <w:bookmarkStart w:id="407" w:name="_Toc497170676"/>
            <w:r w:rsidRPr="00477D8F">
              <w:t>Figure C</w:t>
            </w:r>
            <w:r w:rsidR="002E5BDF" w:rsidRPr="00477D8F">
              <w:fldChar w:fldCharType="begin"/>
            </w:r>
            <w:r w:rsidR="002E5BDF" w:rsidRPr="00477D8F">
              <w:instrText xml:space="preserve"> SEQ Figure_C \* ARABIC </w:instrText>
            </w:r>
            <w:r w:rsidR="002E5BDF" w:rsidRPr="00477D8F">
              <w:fldChar w:fldCharType="separate"/>
            </w:r>
            <w:r w:rsidRPr="00477D8F">
              <w:rPr>
                <w:noProof/>
              </w:rPr>
              <w:t>4</w:t>
            </w:r>
            <w:r w:rsidR="002E5BDF" w:rsidRPr="00477D8F">
              <w:rPr>
                <w:noProof/>
              </w:rPr>
              <w:fldChar w:fldCharType="end"/>
            </w:r>
            <w:r w:rsidRPr="00477D8F">
              <w:t>: Pupil textbook ratio, LBS, BCS, UBS, public schools only, 2016 (no SSS textbook data available in EMIS)</w:t>
            </w:r>
            <w:bookmarkEnd w:id="407"/>
          </w:p>
          <w:p w14:paraId="74F5C095" w14:textId="77777777" w:rsidR="00480421" w:rsidRPr="00477D8F" w:rsidRDefault="00480421" w:rsidP="001A041F">
            <w:pPr>
              <w:keepNext/>
              <w:jc w:val="both"/>
              <w:rPr>
                <w:rFonts w:ascii="Sylfaen" w:hAnsi="Sylfaen" w:cs="Times New Roman"/>
                <w:bCs/>
              </w:rPr>
            </w:pPr>
            <w:r w:rsidRPr="00477D8F">
              <w:rPr>
                <w:rFonts w:ascii="Sylfaen" w:hAnsi="Sylfaen"/>
                <w:noProof/>
              </w:rPr>
              <w:drawing>
                <wp:inline distT="0" distB="0" distL="0" distR="0" wp14:anchorId="6785E4F5" wp14:editId="16AD87B0">
                  <wp:extent cx="5741773" cy="2677297"/>
                  <wp:effectExtent l="0" t="0" r="11430" b="889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tc>
      </w:tr>
      <w:tr w:rsidR="00480421" w:rsidRPr="00477D8F" w14:paraId="29C22DCC" w14:textId="77777777" w:rsidTr="001A041F">
        <w:trPr>
          <w:trHeight w:val="18"/>
          <w:jc w:val="center"/>
        </w:trPr>
        <w:tc>
          <w:tcPr>
            <w:tcW w:w="9276" w:type="dxa"/>
          </w:tcPr>
          <w:p w14:paraId="38F8542E" w14:textId="77777777" w:rsidR="00480421" w:rsidRPr="00477D8F" w:rsidRDefault="00480421" w:rsidP="001A041F">
            <w:pPr>
              <w:pStyle w:val="Source"/>
            </w:pPr>
            <w:r w:rsidRPr="00477D8F">
              <w:rPr>
                <w:i/>
              </w:rPr>
              <w:t>Source:</w:t>
            </w:r>
            <w:r w:rsidRPr="00477D8F">
              <w:t xml:space="preserve"> EMIS 2016.</w:t>
            </w:r>
          </w:p>
        </w:tc>
      </w:tr>
    </w:tbl>
    <w:p w14:paraId="207F52DF" w14:textId="348451A2" w:rsidR="00480421" w:rsidRPr="00477D8F" w:rsidRDefault="00480421" w:rsidP="00CB2E08">
      <w:pPr>
        <w:pStyle w:val="Caption1"/>
      </w:pPr>
      <w:bookmarkStart w:id="408" w:name="_Toc497170677"/>
      <w:r w:rsidRPr="00477D8F">
        <w:lastRenderedPageBreak/>
        <w:t>Figure C</w:t>
      </w:r>
      <w:r w:rsidR="002E5BDF" w:rsidRPr="00477D8F">
        <w:fldChar w:fldCharType="begin"/>
      </w:r>
      <w:r w:rsidR="002E5BDF" w:rsidRPr="00477D8F">
        <w:instrText xml:space="preserve"> SEQ Figure_C \* ARABIC </w:instrText>
      </w:r>
      <w:r w:rsidR="002E5BDF" w:rsidRPr="00477D8F">
        <w:fldChar w:fldCharType="separate"/>
      </w:r>
      <w:r w:rsidRPr="00477D8F">
        <w:rPr>
          <w:noProof/>
        </w:rPr>
        <w:t>5</w:t>
      </w:r>
      <w:r w:rsidR="002E5BDF" w:rsidRPr="00477D8F">
        <w:rPr>
          <w:noProof/>
        </w:rPr>
        <w:fldChar w:fldCharType="end"/>
      </w:r>
      <w:r w:rsidRPr="00477D8F">
        <w:t>: Resource index in public LBS and performance on NAT 5 (left) and average monthly total earnings (GMD) in public LBS teachers with PTC and years of experience, 2010–16 (right)</w:t>
      </w:r>
      <w:bookmarkEnd w:id="408"/>
    </w:p>
    <w:tbl>
      <w:tblPr>
        <w:tblStyle w:val="TableGrid2"/>
        <w:tblW w:w="92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6"/>
      </w:tblGrid>
      <w:tr w:rsidR="00480421" w:rsidRPr="00477D8F" w14:paraId="04CA559A" w14:textId="77777777" w:rsidTr="001A041F">
        <w:trPr>
          <w:trHeight w:val="18"/>
          <w:jc w:val="center"/>
        </w:trPr>
        <w:tc>
          <w:tcPr>
            <w:tcW w:w="9246" w:type="dxa"/>
            <w:hideMark/>
          </w:tcPr>
          <w:p w14:paraId="4F9AE830" w14:textId="77777777" w:rsidR="00480421" w:rsidRPr="00477D8F" w:rsidRDefault="00480421" w:rsidP="001A041F">
            <w:pPr>
              <w:keepNext/>
              <w:jc w:val="both"/>
              <w:rPr>
                <w:rFonts w:ascii="Sylfaen" w:hAnsi="Sylfaen" w:cs="Times New Roman"/>
                <w:bCs/>
              </w:rPr>
            </w:pPr>
            <w:r w:rsidRPr="00477D8F">
              <w:rPr>
                <w:rFonts w:ascii="Sylfaen" w:hAnsi="Sylfaen" w:cs="Times New Roman"/>
                <w:noProof/>
                <w:sz w:val="24"/>
                <w:szCs w:val="24"/>
              </w:rPr>
              <w:drawing>
                <wp:inline distT="0" distB="0" distL="0" distR="0" wp14:anchorId="1A3B2802" wp14:editId="6A7A89A0">
                  <wp:extent cx="2727960" cy="2931752"/>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47076" cy="2952296"/>
                          </a:xfrm>
                          <a:prstGeom prst="rect">
                            <a:avLst/>
                          </a:prstGeom>
                          <a:noFill/>
                          <a:ln>
                            <a:noFill/>
                          </a:ln>
                        </pic:spPr>
                      </pic:pic>
                    </a:graphicData>
                  </a:graphic>
                </wp:inline>
              </w:drawing>
            </w:r>
            <w:r w:rsidRPr="00477D8F">
              <w:rPr>
                <w:rFonts w:ascii="Sylfaen" w:hAnsi="Sylfaen" w:cs="Times New Roman"/>
                <w:sz w:val="24"/>
                <w:szCs w:val="24"/>
                <w:lang w:eastAsia="ja-JP"/>
              </w:rPr>
              <w:t xml:space="preserve"> </w:t>
            </w:r>
            <w:r w:rsidRPr="00477D8F">
              <w:rPr>
                <w:rFonts w:ascii="Sylfaen" w:hAnsi="Sylfaen" w:cs="Times New Roman"/>
                <w:noProof/>
                <w:sz w:val="24"/>
                <w:szCs w:val="24"/>
              </w:rPr>
              <w:drawing>
                <wp:inline distT="0" distB="0" distL="0" distR="0" wp14:anchorId="79FEA21A" wp14:editId="389DBDA0">
                  <wp:extent cx="2926080" cy="2926080"/>
                  <wp:effectExtent l="0" t="0" r="762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33645" cy="2933645"/>
                          </a:xfrm>
                          <a:prstGeom prst="rect">
                            <a:avLst/>
                          </a:prstGeom>
                          <a:noFill/>
                          <a:ln>
                            <a:noFill/>
                          </a:ln>
                        </pic:spPr>
                      </pic:pic>
                    </a:graphicData>
                  </a:graphic>
                </wp:inline>
              </w:drawing>
            </w:r>
          </w:p>
        </w:tc>
      </w:tr>
      <w:tr w:rsidR="00480421" w:rsidRPr="00477D8F" w14:paraId="57AB2D3B" w14:textId="77777777" w:rsidTr="001A041F">
        <w:trPr>
          <w:trHeight w:val="18"/>
          <w:jc w:val="center"/>
        </w:trPr>
        <w:tc>
          <w:tcPr>
            <w:tcW w:w="9246" w:type="dxa"/>
            <w:hideMark/>
          </w:tcPr>
          <w:p w14:paraId="6142B874" w14:textId="77777777" w:rsidR="00480421" w:rsidRPr="00477D8F" w:rsidRDefault="00480421" w:rsidP="001A041F">
            <w:pPr>
              <w:pStyle w:val="Source"/>
            </w:pPr>
            <w:r w:rsidRPr="00477D8F">
              <w:rPr>
                <w:rFonts w:eastAsia="Times New Roman"/>
                <w:i/>
              </w:rPr>
              <w:t>Source:</w:t>
            </w:r>
            <w:r w:rsidRPr="00477D8F">
              <w:rPr>
                <w:rFonts w:eastAsia="Times New Roman"/>
              </w:rPr>
              <w:t xml:space="preserve"> Authors’ estimations</w:t>
            </w:r>
            <w:r w:rsidRPr="00477D8F">
              <w:t xml:space="preserve"> based on administrative data, EMIS.</w:t>
            </w:r>
          </w:p>
        </w:tc>
      </w:tr>
    </w:tbl>
    <w:p w14:paraId="72DDF119" w14:textId="070144E6" w:rsidR="00480421" w:rsidRPr="00477D8F" w:rsidRDefault="00480421" w:rsidP="00CB2E08">
      <w:pPr>
        <w:pStyle w:val="Caption1"/>
      </w:pPr>
      <w:bookmarkStart w:id="409" w:name="_Toc497170678"/>
      <w:r w:rsidRPr="00477D8F">
        <w:lastRenderedPageBreak/>
        <w:t>Figure C</w:t>
      </w:r>
      <w:r w:rsidR="002E5BDF" w:rsidRPr="00477D8F">
        <w:fldChar w:fldCharType="begin"/>
      </w:r>
      <w:r w:rsidR="002E5BDF" w:rsidRPr="00477D8F">
        <w:instrText xml:space="preserve"> SEQ Figure_C \* ARABIC </w:instrText>
      </w:r>
      <w:r w:rsidR="002E5BDF" w:rsidRPr="00477D8F">
        <w:fldChar w:fldCharType="separate"/>
      </w:r>
      <w:r w:rsidRPr="00477D8F">
        <w:rPr>
          <w:noProof/>
        </w:rPr>
        <w:t>6</w:t>
      </w:r>
      <w:r w:rsidR="002E5BDF" w:rsidRPr="00477D8F">
        <w:rPr>
          <w:noProof/>
        </w:rPr>
        <w:fldChar w:fldCharType="end"/>
      </w:r>
      <w:r w:rsidRPr="00477D8F">
        <w:t>: Equity in GER at district level, UBS and SSS</w:t>
      </w:r>
      <w:bookmarkEnd w:id="409"/>
    </w:p>
    <w:p w14:paraId="47774BD6" w14:textId="77777777" w:rsidR="00480421" w:rsidRPr="00477D8F" w:rsidRDefault="00480421" w:rsidP="00480421">
      <w:pPr>
        <w:pStyle w:val="ListParagraph"/>
        <w:tabs>
          <w:tab w:val="left" w:pos="540"/>
        </w:tabs>
        <w:spacing w:after="0"/>
        <w:ind w:left="0"/>
        <w:contextualSpacing w:val="0"/>
        <w:jc w:val="center"/>
        <w:rPr>
          <w:rFonts w:ascii="Sylfaen" w:hAnsi="Sylfaen"/>
          <w:bCs/>
        </w:rPr>
      </w:pPr>
      <w:r w:rsidRPr="00477D8F">
        <w:rPr>
          <w:rFonts w:ascii="Sylfaen" w:hAnsi="Sylfaen"/>
          <w:noProof/>
        </w:rPr>
        <w:drawing>
          <wp:inline distT="0" distB="0" distL="0" distR="0" wp14:anchorId="16807879" wp14:editId="599A6929">
            <wp:extent cx="5943600" cy="6789513"/>
            <wp:effectExtent l="0" t="0" r="0" b="0"/>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46A51F0B" w14:textId="77777777" w:rsidR="00480421" w:rsidRPr="00477D8F" w:rsidRDefault="00480421" w:rsidP="00480421">
      <w:pPr>
        <w:pStyle w:val="ListParagraph"/>
        <w:tabs>
          <w:tab w:val="left" w:pos="540"/>
        </w:tabs>
        <w:spacing w:after="0"/>
        <w:ind w:left="0"/>
        <w:contextualSpacing w:val="0"/>
        <w:jc w:val="both"/>
        <w:rPr>
          <w:rFonts w:ascii="Sylfaen" w:hAnsi="Sylfaen"/>
          <w:bCs/>
          <w:sz w:val="20"/>
          <w:szCs w:val="20"/>
        </w:rPr>
      </w:pPr>
      <w:r w:rsidRPr="00477D8F">
        <w:rPr>
          <w:rFonts w:ascii="Sylfaen" w:hAnsi="Sylfaen"/>
          <w:bCs/>
          <w:i/>
          <w:sz w:val="20"/>
          <w:szCs w:val="20"/>
        </w:rPr>
        <w:t>Source:</w:t>
      </w:r>
      <w:r w:rsidRPr="00477D8F">
        <w:rPr>
          <w:rFonts w:ascii="Sylfaen" w:hAnsi="Sylfaen"/>
          <w:bCs/>
          <w:sz w:val="20"/>
          <w:szCs w:val="20"/>
        </w:rPr>
        <w:t xml:space="preserve"> Estimations based on IHS 2015.</w:t>
      </w:r>
    </w:p>
    <w:p w14:paraId="15C249B4" w14:textId="77777777" w:rsidR="00480421" w:rsidRPr="00477D8F" w:rsidRDefault="00480421" w:rsidP="00CB2E08">
      <w:pPr>
        <w:pStyle w:val="Caption1"/>
      </w:pPr>
      <w:bookmarkStart w:id="410" w:name="_Toc439852334"/>
      <w:bookmarkStart w:id="411" w:name="_Toc448349253"/>
      <w:bookmarkStart w:id="412" w:name="_Toc497170679"/>
      <w:r w:rsidRPr="00477D8F">
        <w:lastRenderedPageBreak/>
        <w:t>Figure C</w:t>
      </w:r>
      <w:r w:rsidR="002E5BDF" w:rsidRPr="00477D8F">
        <w:fldChar w:fldCharType="begin"/>
      </w:r>
      <w:r w:rsidR="002E5BDF" w:rsidRPr="00477D8F">
        <w:instrText xml:space="preserve"> SEQ Figure_C \* ARABIC </w:instrText>
      </w:r>
      <w:r w:rsidR="002E5BDF" w:rsidRPr="00477D8F">
        <w:fldChar w:fldCharType="separate"/>
      </w:r>
      <w:r w:rsidRPr="00477D8F">
        <w:rPr>
          <w:noProof/>
        </w:rPr>
        <w:t>7</w:t>
      </w:r>
      <w:r w:rsidR="002E5BDF" w:rsidRPr="00477D8F">
        <w:rPr>
          <w:noProof/>
        </w:rPr>
        <w:fldChar w:fldCharType="end"/>
      </w:r>
      <w:r w:rsidRPr="00477D8F">
        <w:t xml:space="preserve">: </w:t>
      </w:r>
      <w:r w:rsidRPr="00477D8F">
        <w:rPr>
          <w:rStyle w:val="captionChar0"/>
          <w:b/>
        </w:rPr>
        <w:t>Breakdown of household education payment by level of education and quintile</w:t>
      </w:r>
      <w:bookmarkEnd w:id="412"/>
    </w:p>
    <w:tbl>
      <w:tblPr>
        <w:tblStyle w:val="TableGrid11"/>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480421" w:rsidRPr="00477D8F" w14:paraId="59AC7684" w14:textId="77777777" w:rsidTr="001A041F">
        <w:trPr>
          <w:trHeight w:val="4461"/>
          <w:jc w:val="center"/>
        </w:trPr>
        <w:tc>
          <w:tcPr>
            <w:tcW w:w="9360" w:type="dxa"/>
            <w:hideMark/>
          </w:tcPr>
          <w:p w14:paraId="59923948" w14:textId="77777777" w:rsidR="00480421" w:rsidRPr="00477D8F" w:rsidRDefault="00480421" w:rsidP="001A041F">
            <w:pPr>
              <w:shd w:val="clear" w:color="auto" w:fill="FFFFFF" w:themeFill="background1"/>
              <w:ind w:hanging="113"/>
              <w:jc w:val="both"/>
              <w:rPr>
                <w:rFonts w:ascii="Sylfaen" w:hAnsi="Sylfaen" w:cs="Times New Roman"/>
                <w:bCs/>
              </w:rPr>
            </w:pPr>
            <w:r w:rsidRPr="00477D8F">
              <w:rPr>
                <w:rFonts w:ascii="Sylfaen" w:hAnsi="Sylfaen"/>
                <w:noProof/>
              </w:rPr>
              <w:drawing>
                <wp:inline distT="0" distB="0" distL="0" distR="0" wp14:anchorId="13C1345F" wp14:editId="7602D841">
                  <wp:extent cx="5902960" cy="2866390"/>
                  <wp:effectExtent l="0" t="0" r="2540" b="10160"/>
                  <wp:docPr id="582" name="Chart 5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tc>
      </w:tr>
      <w:tr w:rsidR="00480421" w:rsidRPr="00477D8F" w14:paraId="157AA903" w14:textId="77777777" w:rsidTr="001A041F">
        <w:trPr>
          <w:trHeight w:val="17"/>
          <w:jc w:val="center"/>
        </w:trPr>
        <w:tc>
          <w:tcPr>
            <w:tcW w:w="9360" w:type="dxa"/>
            <w:hideMark/>
          </w:tcPr>
          <w:p w14:paraId="484B8D5B" w14:textId="4E91A240" w:rsidR="00480421" w:rsidRPr="00477D8F" w:rsidRDefault="00480421" w:rsidP="001A041F">
            <w:pPr>
              <w:pStyle w:val="Source"/>
            </w:pPr>
            <w:r w:rsidRPr="00477D8F">
              <w:rPr>
                <w:i/>
              </w:rPr>
              <w:t>Source:</w:t>
            </w:r>
            <w:r w:rsidRPr="00477D8F">
              <w:t xml:space="preserve"> Authors’ estimations based on IHS 2015.</w:t>
            </w:r>
          </w:p>
        </w:tc>
      </w:tr>
    </w:tbl>
    <w:tbl>
      <w:tblPr>
        <w:tblStyle w:val="TableGrid1"/>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480421" w:rsidRPr="00477D8F" w14:paraId="5461A601" w14:textId="77777777" w:rsidTr="001A041F">
        <w:trPr>
          <w:trHeight w:val="231"/>
          <w:jc w:val="center"/>
        </w:trPr>
        <w:tc>
          <w:tcPr>
            <w:tcW w:w="9360" w:type="dxa"/>
            <w:hideMark/>
          </w:tcPr>
          <w:p w14:paraId="68C30743" w14:textId="30B1F965" w:rsidR="00480421" w:rsidRPr="00477D8F" w:rsidRDefault="00480421" w:rsidP="001A041F">
            <w:pPr>
              <w:pStyle w:val="Caption1"/>
            </w:pPr>
            <w:bookmarkStart w:id="413" w:name="_Ref496882099"/>
            <w:bookmarkStart w:id="414" w:name="_Toc497170680"/>
            <w:r w:rsidRPr="00477D8F">
              <w:lastRenderedPageBreak/>
              <w:t>Figure C</w:t>
            </w:r>
            <w:r w:rsidR="002E5BDF" w:rsidRPr="00477D8F">
              <w:fldChar w:fldCharType="begin"/>
            </w:r>
            <w:r w:rsidR="002E5BDF" w:rsidRPr="00477D8F">
              <w:instrText xml:space="preserve"> SEQ Figure_C \* ARABIC </w:instrText>
            </w:r>
            <w:r w:rsidR="002E5BDF" w:rsidRPr="00477D8F">
              <w:fldChar w:fldCharType="separate"/>
            </w:r>
            <w:r w:rsidRPr="00477D8F">
              <w:rPr>
                <w:noProof/>
              </w:rPr>
              <w:t>8</w:t>
            </w:r>
            <w:r w:rsidR="002E5BDF" w:rsidRPr="00477D8F">
              <w:rPr>
                <w:noProof/>
              </w:rPr>
              <w:fldChar w:fldCharType="end"/>
            </w:r>
            <w:bookmarkEnd w:id="413"/>
            <w:r w:rsidRPr="00477D8F">
              <w:t>: Reason for being out of school, by district</w:t>
            </w:r>
            <w:bookmarkEnd w:id="414"/>
          </w:p>
          <w:p w14:paraId="1CFA9638" w14:textId="77777777" w:rsidR="00480421" w:rsidRPr="00477D8F" w:rsidRDefault="00480421" w:rsidP="001A041F">
            <w:pPr>
              <w:jc w:val="center"/>
              <w:rPr>
                <w:rFonts w:ascii="Sylfaen" w:hAnsi="Sylfaen"/>
                <w:bCs/>
              </w:rPr>
            </w:pPr>
            <w:r w:rsidRPr="00477D8F">
              <w:rPr>
                <w:rFonts w:ascii="Sylfaen" w:hAnsi="Sylfaen"/>
                <w:noProof/>
              </w:rPr>
              <w:drawing>
                <wp:inline distT="0" distB="0" distL="0" distR="0" wp14:anchorId="662F3B35" wp14:editId="3CFF5B5D">
                  <wp:extent cx="5943600" cy="6478270"/>
                  <wp:effectExtent l="0" t="0" r="0" b="17780"/>
                  <wp:docPr id="278" name="Chart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tc>
      </w:tr>
      <w:tr w:rsidR="00480421" w:rsidRPr="00477D8F" w14:paraId="0F269125" w14:textId="77777777" w:rsidTr="001A041F">
        <w:trPr>
          <w:trHeight w:val="296"/>
          <w:jc w:val="center"/>
        </w:trPr>
        <w:tc>
          <w:tcPr>
            <w:tcW w:w="9360" w:type="dxa"/>
            <w:hideMark/>
          </w:tcPr>
          <w:p w14:paraId="412A4F07" w14:textId="77777777" w:rsidR="00480421" w:rsidRPr="00477D8F" w:rsidRDefault="00480421" w:rsidP="001A041F">
            <w:pPr>
              <w:pStyle w:val="Source"/>
            </w:pPr>
            <w:r w:rsidRPr="00477D8F">
              <w:rPr>
                <w:i/>
              </w:rPr>
              <w:t>Source:</w:t>
            </w:r>
            <w:r w:rsidRPr="00477D8F">
              <w:t xml:space="preserve"> Estimations based on IHS 2015.</w:t>
            </w:r>
          </w:p>
        </w:tc>
      </w:tr>
    </w:tbl>
    <w:p w14:paraId="559AE480" w14:textId="5E375A12" w:rsidR="00480421" w:rsidRPr="00477D8F" w:rsidRDefault="00480421" w:rsidP="00480421"/>
    <w:tbl>
      <w:tblPr>
        <w:tblStyle w:val="TableGrid1"/>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480421" w:rsidRPr="00477D8F" w14:paraId="3AB16B1E" w14:textId="77777777" w:rsidTr="005365D6">
        <w:trPr>
          <w:trHeight w:val="231"/>
          <w:jc w:val="center"/>
        </w:trPr>
        <w:tc>
          <w:tcPr>
            <w:tcW w:w="9350" w:type="dxa"/>
            <w:hideMark/>
          </w:tcPr>
          <w:p w14:paraId="323CD4D9" w14:textId="77777777" w:rsidR="00480421" w:rsidRPr="00477D8F" w:rsidRDefault="00480421" w:rsidP="001A041F">
            <w:pPr>
              <w:pStyle w:val="Caption1"/>
            </w:pPr>
            <w:bookmarkStart w:id="415" w:name="_Ref496881620"/>
            <w:bookmarkStart w:id="416" w:name="_Toc497170681"/>
            <w:r w:rsidRPr="00477D8F">
              <w:lastRenderedPageBreak/>
              <w:t>Figure C</w:t>
            </w:r>
            <w:r w:rsidR="002E5BDF" w:rsidRPr="00477D8F">
              <w:fldChar w:fldCharType="begin"/>
            </w:r>
            <w:r w:rsidR="002E5BDF" w:rsidRPr="00477D8F">
              <w:instrText xml:space="preserve"> SEQ Figure_C \* ARABIC </w:instrText>
            </w:r>
            <w:r w:rsidR="002E5BDF" w:rsidRPr="00477D8F">
              <w:fldChar w:fldCharType="separate"/>
            </w:r>
            <w:r w:rsidRPr="00477D8F">
              <w:rPr>
                <w:noProof/>
              </w:rPr>
              <w:t>9</w:t>
            </w:r>
            <w:r w:rsidR="002E5BDF" w:rsidRPr="00477D8F">
              <w:rPr>
                <w:noProof/>
              </w:rPr>
              <w:fldChar w:fldCharType="end"/>
            </w:r>
            <w:bookmarkEnd w:id="415"/>
            <w:r w:rsidRPr="00477D8F">
              <w:t>: Out-of-school rate by household head education level, employment status and sector of employment by level of education</w:t>
            </w:r>
            <w:bookmarkEnd w:id="416"/>
          </w:p>
          <w:p w14:paraId="62BE5435" w14:textId="2E269627" w:rsidR="00480421" w:rsidRPr="00477D8F" w:rsidRDefault="005365D6" w:rsidP="001A041F">
            <w:pPr>
              <w:jc w:val="center"/>
              <w:rPr>
                <w:rFonts w:ascii="Sylfaen" w:hAnsi="Sylfaen"/>
                <w:bCs/>
              </w:rPr>
            </w:pPr>
            <w:r w:rsidRPr="00477D8F">
              <w:rPr>
                <w:noProof/>
              </w:rPr>
              <w:drawing>
                <wp:inline distT="0" distB="0" distL="0" distR="0" wp14:anchorId="195B114A" wp14:editId="39128707">
                  <wp:extent cx="5943600" cy="2984500"/>
                  <wp:effectExtent l="0" t="0" r="0" b="6350"/>
                  <wp:docPr id="123" name="Chart 123">
                    <a:extLst xmlns:a="http://schemas.openxmlformats.org/drawingml/2006/main">
                      <a:ext uri="{FF2B5EF4-FFF2-40B4-BE49-F238E27FC236}">
                        <a16:creationId xmlns:a16="http://schemas.microsoft.com/office/drawing/2014/main" id="{00000000-0008-0000-3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tc>
      </w:tr>
      <w:tr w:rsidR="00480421" w:rsidRPr="00477D8F" w14:paraId="683711D3" w14:textId="77777777" w:rsidTr="001A041F">
        <w:trPr>
          <w:trHeight w:val="296"/>
          <w:jc w:val="center"/>
        </w:trPr>
        <w:tc>
          <w:tcPr>
            <w:tcW w:w="9350" w:type="dxa"/>
            <w:hideMark/>
          </w:tcPr>
          <w:p w14:paraId="43672D06" w14:textId="77777777" w:rsidR="00480421" w:rsidRPr="00477D8F" w:rsidRDefault="00480421" w:rsidP="001A041F">
            <w:pPr>
              <w:pStyle w:val="Source"/>
            </w:pPr>
            <w:r w:rsidRPr="00477D8F">
              <w:rPr>
                <w:i/>
              </w:rPr>
              <w:t>Source:</w:t>
            </w:r>
            <w:r w:rsidRPr="00477D8F">
              <w:t xml:space="preserve"> Estimations based on IHS 2015.</w:t>
            </w:r>
          </w:p>
        </w:tc>
      </w:tr>
    </w:tbl>
    <w:p w14:paraId="23B3B2E8" w14:textId="77777777" w:rsidR="00480421" w:rsidRPr="00477D8F" w:rsidRDefault="00480421" w:rsidP="00480421">
      <w:pPr>
        <w:rPr>
          <w:rStyle w:val="Heading2Char"/>
          <w:b/>
          <w:color w:val="auto"/>
        </w:rPr>
      </w:pPr>
      <w:r w:rsidRPr="00477D8F">
        <w:rPr>
          <w:rStyle w:val="Heading2Char"/>
          <w:i/>
          <w:iCs/>
          <w:color w:val="auto"/>
        </w:rPr>
        <w:br w:type="page"/>
      </w:r>
    </w:p>
    <w:p w14:paraId="3FE32D4C" w14:textId="19848CA5" w:rsidR="00480421" w:rsidRPr="00477D8F" w:rsidRDefault="00480421" w:rsidP="00480421">
      <w:pPr>
        <w:pStyle w:val="Heading2"/>
        <w:rPr>
          <w:rStyle w:val="Heading2Char"/>
          <w:bCs/>
        </w:rPr>
      </w:pPr>
      <w:bookmarkStart w:id="417" w:name="_Toc496603227"/>
      <w:bookmarkStart w:id="418" w:name="_Toc497171896"/>
      <w:r w:rsidRPr="00477D8F">
        <w:rPr>
          <w:rStyle w:val="Heading2Char"/>
          <w:bCs/>
        </w:rPr>
        <w:lastRenderedPageBreak/>
        <w:t>Annex D. Examples of evaluated interventions or programs and lessons learned</w:t>
      </w:r>
      <w:bookmarkEnd w:id="410"/>
      <w:bookmarkEnd w:id="411"/>
      <w:bookmarkEnd w:id="417"/>
      <w:bookmarkEnd w:id="418"/>
      <w:r w:rsidRPr="00477D8F">
        <w:rPr>
          <w:rStyle w:val="Heading2Char"/>
          <w:bCs/>
        </w:rPr>
        <w:t xml:space="preserve"> </w:t>
      </w:r>
    </w:p>
    <w:p w14:paraId="094D8D3C" w14:textId="11A03F76" w:rsidR="00480421" w:rsidRPr="00477D8F" w:rsidRDefault="00480421" w:rsidP="00480421">
      <w:pPr>
        <w:pStyle w:val="ListParagraph"/>
        <w:numPr>
          <w:ilvl w:val="0"/>
          <w:numId w:val="6"/>
        </w:numPr>
        <w:spacing w:after="240" w:line="240" w:lineRule="auto"/>
        <w:ind w:left="0" w:firstLine="0"/>
        <w:contextualSpacing w:val="0"/>
        <w:jc w:val="both"/>
        <w:rPr>
          <w:rFonts w:ascii="Sylfaen" w:hAnsi="Sylfaen" w:cs="Times New Roman"/>
        </w:rPr>
      </w:pPr>
      <w:r w:rsidRPr="00477D8F">
        <w:rPr>
          <w:rFonts w:ascii="Sylfaen" w:hAnsi="Sylfaen"/>
        </w:rPr>
        <w:t>Each interv</w:t>
      </w:r>
      <w:r w:rsidR="00393822" w:rsidRPr="00477D8F">
        <w:rPr>
          <w:rFonts w:ascii="Sylfaen" w:hAnsi="Sylfaen"/>
        </w:rPr>
        <w:t>en</w:t>
      </w:r>
      <w:r w:rsidRPr="00477D8F">
        <w:rPr>
          <w:rFonts w:ascii="Sylfaen" w:hAnsi="Sylfaen"/>
        </w:rPr>
        <w:t>tion/program presented includes a topic or section identified as having potential interest for policy makers. The note is summarized under the following eight interventions/programs: CCT programs, school meals program,</w:t>
      </w:r>
      <w:r w:rsidRPr="00477D8F">
        <w:rPr>
          <w:rFonts w:ascii="Sylfaen" w:hAnsi="Sylfaen" w:cs="Times New Roman"/>
        </w:rPr>
        <w:t xml:space="preserve"> PPP, community participation, </w:t>
      </w:r>
      <w:r w:rsidRPr="00477D8F">
        <w:rPr>
          <w:rFonts w:ascii="Sylfaen" w:hAnsi="Sylfaen"/>
        </w:rPr>
        <w:t xml:space="preserve">school-based management, </w:t>
      </w:r>
      <w:r w:rsidRPr="00477D8F">
        <w:rPr>
          <w:rFonts w:ascii="Sylfaen" w:hAnsi="Sylfaen" w:cs="Times New Roman"/>
        </w:rPr>
        <w:t xml:space="preserve">incentives for quality improvement, and learning assessment and </w:t>
      </w:r>
      <w:r w:rsidR="005365D6" w:rsidRPr="00477D8F">
        <w:rPr>
          <w:rFonts w:ascii="Sylfaen" w:hAnsi="Sylfaen" w:cs="Times New Roman"/>
        </w:rPr>
        <w:t>M&amp;E</w:t>
      </w:r>
      <w:r w:rsidRPr="00477D8F">
        <w:rPr>
          <w:rFonts w:ascii="Sylfaen" w:hAnsi="Sylfaen" w:cs="Times New Roman"/>
        </w:rPr>
        <w:t xml:space="preserve"> system. </w:t>
      </w:r>
    </w:p>
    <w:p w14:paraId="7F2FFB5A" w14:textId="4373698F" w:rsidR="00480421" w:rsidRPr="00477D8F" w:rsidRDefault="00480421" w:rsidP="00480421">
      <w:pPr>
        <w:pStyle w:val="Heading3"/>
      </w:pPr>
      <w:bookmarkStart w:id="419" w:name="_Toc448349254"/>
      <w:r w:rsidRPr="00477D8F">
        <w:t>CCT programs</w:t>
      </w:r>
      <w:bookmarkEnd w:id="419"/>
      <w:r w:rsidRPr="00477D8F">
        <w:t xml:space="preserve"> </w:t>
      </w:r>
    </w:p>
    <w:p w14:paraId="6ECAB39D" w14:textId="2B5FD885" w:rsidR="00480421" w:rsidRPr="00477D8F" w:rsidRDefault="00480421" w:rsidP="00480421">
      <w:pPr>
        <w:pStyle w:val="ListParagraph"/>
        <w:numPr>
          <w:ilvl w:val="0"/>
          <w:numId w:val="6"/>
        </w:numPr>
        <w:spacing w:after="240" w:line="240" w:lineRule="auto"/>
        <w:ind w:left="0" w:firstLine="0"/>
        <w:contextualSpacing w:val="0"/>
        <w:jc w:val="both"/>
        <w:rPr>
          <w:rFonts w:ascii="Sylfaen" w:hAnsi="Sylfaen" w:cs="Times New Roman"/>
        </w:rPr>
      </w:pPr>
      <w:r w:rsidRPr="00477D8F">
        <w:rPr>
          <w:rFonts w:ascii="Sylfaen" w:hAnsi="Sylfaen" w:cs="Times New Roman"/>
          <w:b/>
        </w:rPr>
        <w:t>Mexico Conditional Cash Transfers: School Subsidies for the Poor: Evaluating the Mexican Progresa Poverty Program.</w:t>
      </w:r>
      <w:r w:rsidRPr="00477D8F">
        <w:rPr>
          <w:rFonts w:ascii="Sylfaen" w:hAnsi="Sylfaen" w:cs="Times New Roman"/>
        </w:rPr>
        <w:t xml:space="preserve"> The Progresa program provides poor mothers in rural Mexico with </w:t>
      </w:r>
      <w:r w:rsidRPr="00477D8F">
        <w:rPr>
          <w:rFonts w:ascii="Sylfaen" w:hAnsi="Sylfaen"/>
        </w:rPr>
        <w:t>education</w:t>
      </w:r>
      <w:r w:rsidRPr="00477D8F">
        <w:rPr>
          <w:rFonts w:ascii="Sylfaen" w:hAnsi="Sylfaen" w:cs="Times New Roman"/>
        </w:rPr>
        <w:t xml:space="preserve"> grants to boost enrollment. Poor children who reside in communities randomly selected to participate in the initial phase of the Progresa are compared to those who reside in other (control) communities. Pre-program comparisons check the randomized design, and double difference estimators of the program’s effect on the treated are calculated by grade and sex. Probit models are also estimated for the probability a child is enrolled, controlling for additional characteristics of the child, their parents, local schools, and community, and for sample attrition, to evaluate the sensitivity of the program estimates. These estimates of program short-run effects on enrollment are extrapolated to the lifetime schooling and the earnings of adults to approximate the internal rate of return on the public schooling subsidies as they increase expected private wages (Schultz 2004).</w:t>
      </w:r>
    </w:p>
    <w:p w14:paraId="71597B0E" w14:textId="56B8F1D1" w:rsidR="00480421" w:rsidRPr="00477D8F" w:rsidRDefault="00480421" w:rsidP="00480421">
      <w:pPr>
        <w:pStyle w:val="ListParagraph"/>
        <w:numPr>
          <w:ilvl w:val="0"/>
          <w:numId w:val="6"/>
        </w:numPr>
        <w:spacing w:after="240" w:line="240" w:lineRule="auto"/>
        <w:ind w:left="0" w:firstLine="0"/>
        <w:contextualSpacing w:val="0"/>
        <w:jc w:val="both"/>
        <w:rPr>
          <w:rFonts w:ascii="Sylfaen" w:hAnsi="Sylfaen" w:cs="Times New Roman"/>
        </w:rPr>
      </w:pPr>
      <w:r w:rsidRPr="00477D8F">
        <w:rPr>
          <w:rFonts w:ascii="Sylfaen" w:hAnsi="Sylfaen" w:cs="Times New Roman"/>
          <w:b/>
        </w:rPr>
        <w:t xml:space="preserve">Indonesia Student Scholarships and Incentives: Protecting Education for the Poor in Times of Crisis: An Evaluation of a Scholarship Program in Indonesia. </w:t>
      </w:r>
      <w:r w:rsidRPr="00477D8F">
        <w:rPr>
          <w:rFonts w:ascii="Sylfaen" w:hAnsi="Sylfaen" w:cs="Times New Roman"/>
        </w:rPr>
        <w:t xml:space="preserve">This paper analyzes the impact of an </w:t>
      </w:r>
      <w:r w:rsidRPr="00477D8F">
        <w:rPr>
          <w:rFonts w:ascii="Sylfaen" w:hAnsi="Sylfaen"/>
        </w:rPr>
        <w:t>Indonesian</w:t>
      </w:r>
      <w:r w:rsidRPr="00477D8F">
        <w:rPr>
          <w:rFonts w:ascii="Sylfaen" w:hAnsi="Sylfaen" w:cs="Times New Roman"/>
        </w:rPr>
        <w:t xml:space="preserve"> scholarship program, which was implemented in 1998 to preserve access to education for the poor during the economic crisis. Scholarships were pro-poor targeted and the allocation process followed a decentralized design, involving both geographic and individual targeting. The identification strategy exploits this decentralized structure, relying on instrumental variables constructed from regional mistargeting at the initial phase of allocation. The program has increased enrollment, especially for primary school-age children from poor rural households. Moreover, the scholarships seem to have assisted households in smoothing consumption during the crisis, relieving pressure on households’ investments in education and utilization of child labor (</w:t>
      </w:r>
      <w:hyperlink r:id="rId149" w:history="1">
        <w:r w:rsidRPr="00477D8F">
          <w:rPr>
            <w:rFonts w:ascii="Sylfaen" w:hAnsi="Sylfaen" w:cs="Times New Roman"/>
          </w:rPr>
          <w:t>Sparrow</w:t>
        </w:r>
      </w:hyperlink>
      <w:r w:rsidRPr="00477D8F">
        <w:rPr>
          <w:rFonts w:ascii="Sylfaen" w:hAnsi="Sylfaen" w:cs="Times New Roman"/>
        </w:rPr>
        <w:t xml:space="preserve"> 2007).</w:t>
      </w:r>
    </w:p>
    <w:p w14:paraId="10D2AD04" w14:textId="48E1DAE1" w:rsidR="00480421" w:rsidRPr="00477D8F" w:rsidRDefault="00480421" w:rsidP="00480421">
      <w:pPr>
        <w:pStyle w:val="ListParagraph"/>
        <w:numPr>
          <w:ilvl w:val="0"/>
          <w:numId w:val="6"/>
        </w:numPr>
        <w:spacing w:after="240" w:line="240" w:lineRule="auto"/>
        <w:ind w:left="0" w:firstLine="0"/>
        <w:contextualSpacing w:val="0"/>
        <w:jc w:val="both"/>
        <w:rPr>
          <w:rFonts w:ascii="Sylfaen" w:hAnsi="Sylfaen" w:cs="Times New Roman"/>
        </w:rPr>
      </w:pPr>
      <w:r w:rsidRPr="00477D8F">
        <w:rPr>
          <w:rFonts w:ascii="Sylfaen" w:hAnsi="Sylfaen" w:cs="Times New Roman"/>
          <w:b/>
        </w:rPr>
        <w:t>Brazil Conditional Cash Transfers</w:t>
      </w:r>
      <w:r w:rsidRPr="00477D8F">
        <w:rPr>
          <w:rFonts w:ascii="Sylfaen" w:hAnsi="Sylfaen" w:cs="Times New Roman"/>
        </w:rPr>
        <w:t xml:space="preserve">: </w:t>
      </w:r>
      <w:r w:rsidRPr="00477D8F">
        <w:rPr>
          <w:rFonts w:ascii="Sylfaen" w:hAnsi="Sylfaen" w:cs="Times New Roman"/>
          <w:b/>
        </w:rPr>
        <w:t xml:space="preserve">The Impact of the Bolsa Escola/Familia Conditional Cash Transfer Program on Enrollment, Drop Out Rates and Grade Promotion in Brazil. </w:t>
      </w:r>
      <w:r w:rsidRPr="00477D8F">
        <w:rPr>
          <w:rFonts w:ascii="Sylfaen" w:hAnsi="Sylfaen" w:cs="Times New Roman"/>
        </w:rPr>
        <w:t xml:space="preserve">The Bolsa program </w:t>
      </w:r>
      <w:r w:rsidRPr="00477D8F">
        <w:rPr>
          <w:rFonts w:ascii="Sylfaen" w:hAnsi="Sylfaen"/>
        </w:rPr>
        <w:t>provides</w:t>
      </w:r>
      <w:r w:rsidRPr="00477D8F">
        <w:rPr>
          <w:rFonts w:ascii="Sylfaen" w:hAnsi="Sylfaen" w:cs="Times New Roman"/>
        </w:rPr>
        <w:t xml:space="preserve"> monthly cash payments to poor households with children between the ages of 6 and 15 who are enrolled in school. Using eight years of school census data (from 1998 to 2005), the study compares changes in enrollment and in dropout and grade advancement rates across schools that adopted the Bolsa program at different times. After accounting for cumulative effects, the Bolsa program has increased enrollment in Brazil by about 5.5 percent in grades 1–4 and by about 6.5 percent in grades 5–8. The program has also lowered dropout rates by about 0.5 percentage points and raised grade promotion rates by about 0.9 percentage points for children in grades 1–4 and reduced dropout rates by about 0.4 percentage points and increased grade promotion rates by about 0.3 percentage points for children in grades 5–8 (Glewwe and Kassouf 2012).</w:t>
      </w:r>
    </w:p>
    <w:p w14:paraId="7D443FB3" w14:textId="77777777" w:rsidR="00480421" w:rsidRPr="00477D8F" w:rsidRDefault="00480421" w:rsidP="00480421">
      <w:pPr>
        <w:pStyle w:val="Heading3"/>
      </w:pPr>
      <w:bookmarkStart w:id="420" w:name="_Toc448349255"/>
      <w:r w:rsidRPr="00477D8F">
        <w:lastRenderedPageBreak/>
        <w:t>School Meals Program</w:t>
      </w:r>
      <w:bookmarkEnd w:id="420"/>
    </w:p>
    <w:p w14:paraId="3E4CC0A5" w14:textId="77777777" w:rsidR="00480421" w:rsidRPr="00477D8F" w:rsidRDefault="00480421" w:rsidP="00480421">
      <w:pPr>
        <w:pStyle w:val="ListParagraph"/>
        <w:numPr>
          <w:ilvl w:val="0"/>
          <w:numId w:val="6"/>
        </w:numPr>
        <w:spacing w:after="240" w:line="240" w:lineRule="auto"/>
        <w:ind w:left="0" w:firstLine="0"/>
        <w:contextualSpacing w:val="0"/>
        <w:jc w:val="both"/>
        <w:rPr>
          <w:rFonts w:ascii="Sylfaen" w:hAnsi="Sylfaen" w:cs="Times New Roman"/>
        </w:rPr>
      </w:pPr>
      <w:r w:rsidRPr="00477D8F">
        <w:rPr>
          <w:rFonts w:ascii="Sylfaen" w:hAnsi="Sylfaen" w:cs="Times New Roman"/>
          <w:b/>
        </w:rPr>
        <w:t xml:space="preserve">India School Meals Program: The Impact of School Meals on School Participation: Evidence from Rural India. </w:t>
      </w:r>
      <w:r w:rsidRPr="00477D8F">
        <w:rPr>
          <w:rFonts w:ascii="Sylfaen" w:hAnsi="Sylfaen" w:cs="Times New Roman"/>
        </w:rPr>
        <w:t>This paper assesses the effect of transition from monthly distribution of free food grains to the daily provision of free cooked meals to school children on enrollments and attendance in a rural area of India. School panel data allow a difference-in-differences estimation strategy to address possible endogeneity of program placement. The results suggest that program transition had a significant impact on improving the daily participation rates of children in lower grades. The average monthly attendance rate of girls in grade 1 was more than 12 percentage points higher while there was a positive but insignificant effect on grade 1 boys’ attendance rate. The impact on enrollment levels was insignificant (Afridi 2007).</w:t>
      </w:r>
    </w:p>
    <w:p w14:paraId="21875548" w14:textId="54372393" w:rsidR="00480421" w:rsidRPr="00477D8F" w:rsidRDefault="00480421" w:rsidP="00480421">
      <w:pPr>
        <w:pStyle w:val="ListParagraph"/>
        <w:numPr>
          <w:ilvl w:val="0"/>
          <w:numId w:val="6"/>
        </w:numPr>
        <w:spacing w:after="240" w:line="240" w:lineRule="auto"/>
        <w:ind w:left="0" w:firstLine="0"/>
        <w:contextualSpacing w:val="0"/>
        <w:jc w:val="both"/>
        <w:rPr>
          <w:rFonts w:ascii="Sylfaen" w:hAnsi="Sylfaen" w:cs="Times New Roman"/>
        </w:rPr>
      </w:pPr>
      <w:r w:rsidRPr="00477D8F">
        <w:rPr>
          <w:rFonts w:ascii="Sylfaen" w:hAnsi="Sylfaen" w:cs="Times New Roman"/>
          <w:b/>
        </w:rPr>
        <w:t>Kenya School Meals: School Meals, Educational Achievement and School Competition: Evidence from a Randomized Evaluation.</w:t>
      </w:r>
      <w:r w:rsidRPr="00477D8F">
        <w:rPr>
          <w:rFonts w:ascii="Sylfaen" w:hAnsi="Sylfaen" w:cs="Times New Roman"/>
        </w:rPr>
        <w:t xml:space="preserve"> The program was implemented in Western Kenya in 25 randomly chosen preschools from a pool of 50. It provided a fully subsidized in-school breakfast on every school day to all students attending preschool. School participation was 30 percent higher in the treatment group than in the comparison group. The breakfast program led to higher curriculum test scores but only in schools where the teacher was relatively experienced before the program. The school meals displaced teaching time and led to larger class sizes. Despite improved incentives, teacher absenteeism remained at a high level of 30 percent (Vermeersch and Kremer 2005).</w:t>
      </w:r>
    </w:p>
    <w:p w14:paraId="5FDF6EBD" w14:textId="1717243B" w:rsidR="00480421" w:rsidRPr="00477D8F" w:rsidRDefault="00480421" w:rsidP="00480421">
      <w:pPr>
        <w:pStyle w:val="Heading3"/>
      </w:pPr>
      <w:bookmarkStart w:id="421" w:name="_Toc448349256"/>
      <w:r w:rsidRPr="00477D8F">
        <w:t>Child</w:t>
      </w:r>
      <w:r w:rsidR="005A5DBF" w:rsidRPr="00477D8F">
        <w:t xml:space="preserve"> </w:t>
      </w:r>
      <w:r w:rsidRPr="00477D8F">
        <w:t>friendly schools</w:t>
      </w:r>
      <w:bookmarkEnd w:id="421"/>
    </w:p>
    <w:p w14:paraId="19A842B9" w14:textId="4B2B24A5" w:rsidR="00480421" w:rsidRPr="00477D8F" w:rsidRDefault="00480421" w:rsidP="00480421">
      <w:pPr>
        <w:pStyle w:val="ListParagraph"/>
        <w:numPr>
          <w:ilvl w:val="0"/>
          <w:numId w:val="6"/>
        </w:numPr>
        <w:spacing w:after="240" w:line="240" w:lineRule="auto"/>
        <w:ind w:left="0" w:firstLine="0"/>
        <w:contextualSpacing w:val="0"/>
        <w:jc w:val="both"/>
        <w:rPr>
          <w:rFonts w:ascii="Sylfaen" w:hAnsi="Sylfaen"/>
        </w:rPr>
      </w:pPr>
      <w:r w:rsidRPr="00477D8F">
        <w:rPr>
          <w:rFonts w:ascii="Sylfaen" w:hAnsi="Sylfaen" w:cs="Times New Roman"/>
          <w:b/>
        </w:rPr>
        <w:t>Ethiopia</w:t>
      </w:r>
      <w:r w:rsidRPr="00477D8F">
        <w:rPr>
          <w:rFonts w:ascii="Sylfaen" w:eastAsia="Times New Roman" w:hAnsi="Sylfaen" w:cs="Times New Roman"/>
          <w:b/>
          <w:bCs/>
          <w:kern w:val="36"/>
        </w:rPr>
        <w:t xml:space="preserve"> </w:t>
      </w:r>
      <w:r w:rsidRPr="00477D8F">
        <w:rPr>
          <w:rFonts w:ascii="Sylfaen" w:hAnsi="Sylfaen"/>
          <w:b/>
        </w:rPr>
        <w:t>CFS:</w:t>
      </w:r>
      <w:r w:rsidRPr="00477D8F">
        <w:rPr>
          <w:rFonts w:ascii="Sylfaen" w:hAnsi="Sylfaen"/>
        </w:rPr>
        <w:t xml:space="preserve"> With assistance from UNICEF, Ethiopia began implementing the </w:t>
      </w:r>
      <w:r w:rsidR="005A5DBF" w:rsidRPr="00477D8F">
        <w:rPr>
          <w:rFonts w:ascii="Sylfaen" w:hAnsi="Sylfaen"/>
        </w:rPr>
        <w:t>child friendly school (</w:t>
      </w:r>
      <w:r w:rsidRPr="00477D8F">
        <w:rPr>
          <w:rFonts w:ascii="Sylfaen" w:hAnsi="Sylfaen"/>
        </w:rPr>
        <w:t>CFS</w:t>
      </w:r>
      <w:r w:rsidR="005A5DBF" w:rsidRPr="00477D8F">
        <w:rPr>
          <w:rFonts w:ascii="Sylfaen" w:hAnsi="Sylfaen"/>
        </w:rPr>
        <w:t>)</w:t>
      </w:r>
      <w:r w:rsidRPr="00477D8F">
        <w:rPr>
          <w:rFonts w:ascii="Sylfaen" w:hAnsi="Sylfaen"/>
        </w:rPr>
        <w:t xml:space="preserve"> program in 2007 in 51 selected primary schools with an estimated reach of more than 80,000 students. The program sought to improve education quality, outcomes, and childhood development by addressing perceived school-based barriers that limit access to education and participation in school. Interventions include renovation or construction of classrooms, teaching and ECD centers, libraries, and water and sanitation facilities and provision of furniture, education materials, equipment, and uniforms. The CFS program had a positive and significant effect on enrollment, especially in favor of girls, and community participation. However, the CFS program did not reduce dropout and repetition rates over the program period (UNICEF 2010).</w:t>
      </w:r>
    </w:p>
    <w:p w14:paraId="6714628F" w14:textId="5129A42F" w:rsidR="00480421" w:rsidRPr="00477D8F" w:rsidRDefault="00480421" w:rsidP="00480421">
      <w:pPr>
        <w:pStyle w:val="Heading3"/>
      </w:pPr>
      <w:r w:rsidRPr="00477D8F">
        <w:t xml:space="preserve">Community participation </w:t>
      </w:r>
    </w:p>
    <w:p w14:paraId="1416005D" w14:textId="3F5810CF" w:rsidR="00480421" w:rsidRPr="00477D8F" w:rsidRDefault="00480421" w:rsidP="00480421">
      <w:pPr>
        <w:pStyle w:val="ListParagraph"/>
        <w:numPr>
          <w:ilvl w:val="0"/>
          <w:numId w:val="6"/>
        </w:numPr>
        <w:spacing w:after="240" w:line="240" w:lineRule="auto"/>
        <w:ind w:left="0" w:firstLine="0"/>
        <w:contextualSpacing w:val="0"/>
        <w:jc w:val="both"/>
        <w:rPr>
          <w:rFonts w:ascii="Sylfaen" w:hAnsi="Sylfaen" w:cs="Times New Roman"/>
        </w:rPr>
      </w:pPr>
      <w:r w:rsidRPr="00477D8F">
        <w:rPr>
          <w:rFonts w:ascii="Sylfaen" w:hAnsi="Sylfaen" w:cs="Times New Roman"/>
          <w:b/>
        </w:rPr>
        <w:t>Indonesia Community Participation: Improving Educational Quality through Enhancing Community Participation: Results from a Randomized Field Experiment in Indonesia.</w:t>
      </w:r>
      <w:r w:rsidRPr="00477D8F">
        <w:rPr>
          <w:rFonts w:ascii="Sylfaen" w:hAnsi="Sylfaen" w:cs="Times New Roman"/>
        </w:rPr>
        <w:t xml:space="preserve"> Education ministries worldwide have promoted community engagement through school committees. This paper presents results from a large field experiment testing alternative approaches to strengthen school committees in public schools in Indonesia. Two novel treatments focus on institutional reforms. First, some schools were randomly assigned to implement elections of school committee members. Another treatment facilitated joint-planning meetings between the school committee and the village council. Two more common treatments, grants and training, provided resources to existing school committees. We find that institutional reforms, particularly links and elections combined with links, are the most cost-effective at improving learning (Pradhan et al. 2013).</w:t>
      </w:r>
    </w:p>
    <w:p w14:paraId="2B189F4B" w14:textId="683AFA5B" w:rsidR="00480421" w:rsidRPr="00477D8F" w:rsidRDefault="00480421" w:rsidP="00480421">
      <w:pPr>
        <w:pStyle w:val="Heading3"/>
      </w:pPr>
      <w:bookmarkStart w:id="422" w:name="_Toc448349258"/>
      <w:r w:rsidRPr="00477D8F">
        <w:lastRenderedPageBreak/>
        <w:t>School-based management</w:t>
      </w:r>
      <w:bookmarkEnd w:id="422"/>
    </w:p>
    <w:p w14:paraId="6AA3B9DD" w14:textId="6C04E1AC" w:rsidR="00480421" w:rsidRPr="00477D8F" w:rsidRDefault="00480421" w:rsidP="00480421">
      <w:pPr>
        <w:pStyle w:val="ListParagraph"/>
        <w:numPr>
          <w:ilvl w:val="0"/>
          <w:numId w:val="6"/>
        </w:numPr>
        <w:spacing w:after="240" w:line="240" w:lineRule="auto"/>
        <w:ind w:left="0" w:firstLine="0"/>
        <w:contextualSpacing w:val="0"/>
        <w:jc w:val="both"/>
        <w:rPr>
          <w:rFonts w:ascii="Sylfaen" w:hAnsi="Sylfaen" w:cs="Times New Roman"/>
        </w:rPr>
      </w:pPr>
      <w:r w:rsidRPr="00477D8F">
        <w:rPr>
          <w:rFonts w:ascii="Sylfaen" w:hAnsi="Sylfaen" w:cs="Times New Roman"/>
          <w:b/>
        </w:rPr>
        <w:t>Mexico School-Based Management: Empowering Parents to Improve Education: Evidence from Rural Mexico.</w:t>
      </w:r>
      <w:r w:rsidRPr="00477D8F">
        <w:rPr>
          <w:rFonts w:ascii="Sylfaen" w:hAnsi="Sylfaen" w:cs="Times New Roman"/>
        </w:rPr>
        <w:t xml:space="preserve"> The authors examine a program that involves parents directly in the management of schools located in highly disadvantaged rural communities. The program, known as AGE, finances parent associations and motivates parental participation by involving them in the management of the school grants. Using a combination of quantitative and qualitative methods, we show that the AGE greatly increased the participation of parents in monitoring school performance and decision making. Further, the authors find that the AGE improved intermediate school quality indicators, namely grade failure and grade repetition, controlling for the presence of a CCT program and other educational interventions (Gertler, </w:t>
      </w:r>
      <w:r w:rsidRPr="00477D8F">
        <w:rPr>
          <w:rFonts w:ascii="Sylfaen" w:hAnsi="Sylfaen" w:cs="Times New Roman"/>
          <w:bCs/>
        </w:rPr>
        <w:t>Rubio-Codina, and Patrinos</w:t>
      </w:r>
      <w:r w:rsidRPr="00477D8F" w:rsidDel="005C0511">
        <w:rPr>
          <w:rFonts w:ascii="Sylfaen" w:hAnsi="Sylfaen" w:cs="Times New Roman"/>
        </w:rPr>
        <w:t xml:space="preserve"> </w:t>
      </w:r>
      <w:r w:rsidRPr="00477D8F">
        <w:rPr>
          <w:rFonts w:ascii="Sylfaen" w:hAnsi="Sylfaen" w:cs="Times New Roman"/>
        </w:rPr>
        <w:t>2006).</w:t>
      </w:r>
    </w:p>
    <w:p w14:paraId="261E4747" w14:textId="77777777" w:rsidR="00480421" w:rsidRPr="00477D8F" w:rsidRDefault="00480421" w:rsidP="00480421">
      <w:pPr>
        <w:pStyle w:val="ListParagraph"/>
        <w:numPr>
          <w:ilvl w:val="0"/>
          <w:numId w:val="6"/>
        </w:numPr>
        <w:spacing w:after="240" w:line="240" w:lineRule="auto"/>
        <w:ind w:left="0" w:firstLine="0"/>
        <w:contextualSpacing w:val="0"/>
        <w:jc w:val="both"/>
        <w:rPr>
          <w:rFonts w:ascii="Sylfaen" w:hAnsi="Sylfaen" w:cs="Times New Roman"/>
        </w:rPr>
      </w:pPr>
      <w:r w:rsidRPr="00477D8F">
        <w:rPr>
          <w:rFonts w:ascii="Sylfaen" w:hAnsi="Sylfaen" w:cs="Times New Roman"/>
          <w:b/>
        </w:rPr>
        <w:t xml:space="preserve">Latin America Countries School-Based Management: Does School Decentralization Raise Student Outcomes? Theory and Evidence on the Roles of School Autonomy and Community Participation. </w:t>
      </w:r>
      <w:r w:rsidRPr="00477D8F">
        <w:rPr>
          <w:rFonts w:ascii="Sylfaen" w:hAnsi="Sylfaen" w:cs="Times New Roman"/>
        </w:rPr>
        <w:t>Using data on primary schools in 10 Latin American countries, the study evaluates the impact of decentralized school decision making on student performance. The model developed shows that local autonomous effort will be jointly determined with student academic performance. The model predicts that least-squares estimates are biased toward finding a positive impact of school autonomy on student performance. Empirical tests confirm these predictions. Least-squares estimates show a strong positive effect of decentralized decision making on test scores, but these results are reversed after correcting for the endogeneity of school autonomy. However, results support the role of parental participation in the schools as a positive influence on student achievement (Gunnarsson et al. 2004).</w:t>
      </w:r>
    </w:p>
    <w:p w14:paraId="72A12929" w14:textId="2C671F4B" w:rsidR="00480421" w:rsidRPr="00477D8F" w:rsidRDefault="00480421" w:rsidP="00480421">
      <w:pPr>
        <w:pStyle w:val="ListParagraph"/>
        <w:numPr>
          <w:ilvl w:val="0"/>
          <w:numId w:val="6"/>
        </w:numPr>
        <w:spacing w:after="240" w:line="240" w:lineRule="auto"/>
        <w:ind w:left="0" w:firstLine="0"/>
        <w:contextualSpacing w:val="0"/>
        <w:jc w:val="both"/>
        <w:rPr>
          <w:rFonts w:ascii="Sylfaen" w:hAnsi="Sylfaen" w:cs="Times New Roman"/>
        </w:rPr>
      </w:pPr>
      <w:r w:rsidRPr="00477D8F">
        <w:rPr>
          <w:rFonts w:ascii="Sylfaen" w:hAnsi="Sylfaen" w:cs="Times New Roman"/>
          <w:b/>
        </w:rPr>
        <w:t xml:space="preserve">Kenya School Resource Provision: Many Children Left Behind? Textbooks and Test Scores in Kenya. </w:t>
      </w:r>
      <w:r w:rsidRPr="00477D8F">
        <w:rPr>
          <w:rFonts w:ascii="Sylfaen" w:hAnsi="Sylfaen" w:cs="Times New Roman"/>
        </w:rPr>
        <w:t>A randomized evaluation in rural Kenya finds, contrary to the previous literature, that providing textbooks did not raise average test scores. Textbooks did increase the scores of the best students (ones with high pretest scores) but had little effect on other students. Textbooks are written in English, most students’ third language, and many students could not use them effectively. More generally, the curriculum in Kenya and in many other developing countries, tends to be oriented toward academically strong students, leaving many students behind in societies that combine a centralized educational system; the heterogeneity in student preparation associated with rapid educational expansion; and disproportionate elite power (Glewwe, Kremer, and Moulin 2009).</w:t>
      </w:r>
    </w:p>
    <w:p w14:paraId="35D9655E" w14:textId="0ED86980" w:rsidR="00ED5728" w:rsidRPr="00F81556" w:rsidRDefault="00ED5728" w:rsidP="00F81556"/>
    <w:sectPr w:rsidR="00ED5728" w:rsidRPr="00F81556" w:rsidSect="00172EE5">
      <w:footerReference w:type="default" r:id="rId15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2DE6DA" w14:textId="77777777" w:rsidR="00251C4D" w:rsidRDefault="00251C4D" w:rsidP="00A768C2">
      <w:pPr>
        <w:spacing w:after="0" w:line="240" w:lineRule="auto"/>
      </w:pPr>
      <w:r>
        <w:separator/>
      </w:r>
    </w:p>
  </w:endnote>
  <w:endnote w:type="continuationSeparator" w:id="0">
    <w:p w14:paraId="43C30DBF" w14:textId="77777777" w:rsidR="00251C4D" w:rsidRDefault="00251C4D" w:rsidP="00A768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OIKAF+TimesNewRoman">
    <w:altName w:val="Times New Roman"/>
    <w:panose1 w:val="00000000000000000000"/>
    <w:charset w:val="00"/>
    <w:family w:val="roman"/>
    <w:notTrueType/>
    <w:pitch w:val="default"/>
    <w:sig w:usb0="00000003" w:usb1="00000000" w:usb2="00000000" w:usb3="00000000" w:csb0="00000001" w:csb1="00000000"/>
  </w:font>
  <w:font w:name="HelveticaNeue-Light">
    <w:altName w:val="Arial"/>
    <w:panose1 w:val="00000000000000000000"/>
    <w:charset w:val="00"/>
    <w:family w:val="swiss"/>
    <w:notTrueType/>
    <w:pitch w:val="default"/>
    <w:sig w:usb0="00000003" w:usb1="00000000" w:usb2="00000000" w:usb3="00000000" w:csb0="00000001" w:csb1="00000000"/>
  </w:font>
  <w:font w:name="Times-Italic">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97E1CF" w14:textId="5BE5D8DC" w:rsidR="00305B32" w:rsidRDefault="00305B32">
    <w:pPr>
      <w:pStyle w:val="Footer"/>
      <w:jc w:val="right"/>
    </w:pPr>
  </w:p>
  <w:p w14:paraId="75DA4D55" w14:textId="77777777" w:rsidR="00305B32" w:rsidRDefault="00305B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2685163"/>
      <w:docPartObj>
        <w:docPartGallery w:val="Page Numbers (Bottom of Page)"/>
        <w:docPartUnique/>
      </w:docPartObj>
    </w:sdtPr>
    <w:sdtEndPr>
      <w:rPr>
        <w:noProof/>
      </w:rPr>
    </w:sdtEndPr>
    <w:sdtContent>
      <w:p w14:paraId="6D76B7BD" w14:textId="5A447FA1" w:rsidR="00305B32" w:rsidRDefault="00305B32">
        <w:pPr>
          <w:pStyle w:val="Footer"/>
          <w:jc w:val="right"/>
        </w:pPr>
        <w:r>
          <w:fldChar w:fldCharType="begin"/>
        </w:r>
        <w:r>
          <w:instrText xml:space="preserve"> PAGE   \* MERGEFORMAT </w:instrText>
        </w:r>
        <w:r>
          <w:fldChar w:fldCharType="separate"/>
        </w:r>
        <w:r w:rsidR="00945650">
          <w:rPr>
            <w:noProof/>
          </w:rPr>
          <w:t>vi</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4578004"/>
      <w:docPartObj>
        <w:docPartGallery w:val="Page Numbers (Bottom of Page)"/>
        <w:docPartUnique/>
      </w:docPartObj>
    </w:sdtPr>
    <w:sdtEndPr>
      <w:rPr>
        <w:noProof/>
      </w:rPr>
    </w:sdtEndPr>
    <w:sdtContent>
      <w:p w14:paraId="4B133C18" w14:textId="1E9A3E1B" w:rsidR="00305B32" w:rsidRDefault="00305B32">
        <w:pPr>
          <w:pStyle w:val="Footer"/>
          <w:jc w:val="right"/>
        </w:pPr>
        <w:r>
          <w:fldChar w:fldCharType="begin"/>
        </w:r>
        <w:r>
          <w:instrText xml:space="preserve"> PAGE   \* MERGEFORMAT </w:instrText>
        </w:r>
        <w:r>
          <w:fldChar w:fldCharType="separate"/>
        </w:r>
        <w:r w:rsidR="00945650">
          <w:rPr>
            <w:noProof/>
          </w:rPr>
          <w:t>12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DC62D6" w14:textId="77777777" w:rsidR="00251C4D" w:rsidRDefault="00251C4D" w:rsidP="00A768C2">
      <w:pPr>
        <w:spacing w:after="0" w:line="240" w:lineRule="auto"/>
      </w:pPr>
      <w:r>
        <w:separator/>
      </w:r>
    </w:p>
  </w:footnote>
  <w:footnote w:type="continuationSeparator" w:id="0">
    <w:p w14:paraId="3E3CD774" w14:textId="77777777" w:rsidR="00251C4D" w:rsidRDefault="00251C4D" w:rsidP="00A768C2">
      <w:pPr>
        <w:spacing w:after="0" w:line="240" w:lineRule="auto"/>
      </w:pPr>
      <w:r>
        <w:continuationSeparator/>
      </w:r>
    </w:p>
  </w:footnote>
  <w:footnote w:id="1">
    <w:p w14:paraId="315E1D3A" w14:textId="432002C7"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2015 rates show an average of 5.7 births per woman compared with 4.9 births per woman on average in SSA. This has not seen any significant decrease since 2000. </w:t>
      </w:r>
    </w:p>
  </w:footnote>
  <w:footnote w:id="2">
    <w:p w14:paraId="0293FF29" w14:textId="3E177412" w:rsidR="00305B32" w:rsidRPr="00414803" w:rsidRDefault="00305B32" w:rsidP="00414803">
      <w:pPr>
        <w:pStyle w:val="NormalWeb"/>
        <w:spacing w:before="0" w:beforeAutospacing="0" w:after="0" w:afterAutospacing="0"/>
        <w:rPr>
          <w:rFonts w:ascii="Sylfaen" w:hAnsi="Sylfaen"/>
          <w:sz w:val="18"/>
          <w:szCs w:val="18"/>
        </w:rPr>
      </w:pPr>
      <w:r w:rsidRPr="00414803">
        <w:rPr>
          <w:rStyle w:val="FootnoteReference"/>
          <w:rFonts w:ascii="Sylfaen" w:hAnsi="Sylfaen"/>
          <w:sz w:val="18"/>
          <w:szCs w:val="18"/>
          <w:vertAlign w:val="baseline"/>
        </w:rPr>
        <w:footnoteRef/>
      </w:r>
      <w:r w:rsidRPr="00414803">
        <w:rPr>
          <w:rFonts w:ascii="Sylfaen" w:hAnsi="Sylfaen"/>
          <w:sz w:val="18"/>
          <w:szCs w:val="18"/>
        </w:rPr>
        <w:t xml:space="preserve"> </w:t>
      </w:r>
      <w:r w:rsidRPr="00414803">
        <w:rPr>
          <w:rFonts w:ascii="Sylfaen" w:hAnsi="Sylfaen"/>
          <w:color w:val="000000"/>
          <w:sz w:val="18"/>
          <w:szCs w:val="18"/>
        </w:rPr>
        <w:t xml:space="preserve">There are two general methods of budget recording: cash and accrual. The cash method focuses on the inflows and outflows of cash, that is, records when budget allocations are received and expenses are paid. Under the budget ceiling, the ministries request for funding based on spending plan once the actual amount is identified. </w:t>
      </w:r>
    </w:p>
  </w:footnote>
  <w:footnote w:id="3">
    <w:p w14:paraId="02B06725" w14:textId="250A19C9" w:rsidR="00305B32" w:rsidRPr="00414803" w:rsidRDefault="00305B32" w:rsidP="00414803">
      <w:pPr>
        <w:spacing w:after="0" w:line="240" w:lineRule="auto"/>
        <w:rPr>
          <w:rFonts w:ascii="Sylfaen" w:hAnsi="Sylfaen"/>
          <w:sz w:val="18"/>
          <w:szCs w:val="18"/>
        </w:rPr>
      </w:pPr>
      <w:r w:rsidRPr="00414803">
        <w:rPr>
          <w:rStyle w:val="FootnoteReference"/>
          <w:rFonts w:ascii="Sylfaen" w:hAnsi="Sylfaen"/>
          <w:sz w:val="18"/>
          <w:szCs w:val="18"/>
          <w:vertAlign w:val="baseline"/>
        </w:rPr>
        <w:footnoteRef/>
      </w:r>
      <w:r w:rsidRPr="00414803">
        <w:rPr>
          <w:rFonts w:ascii="Sylfaen" w:hAnsi="Sylfaen"/>
          <w:sz w:val="18"/>
          <w:szCs w:val="18"/>
        </w:rPr>
        <w:t xml:space="preserve"> The efficiency score is calculated based on data envelopment analysis (DEA) and it measures how different schools use resources to produce outcome. It measures a relative efficiency and ranges from 0 to 1, where 0 is the most inefficient school and 1 is the most efficient school. The higher the efficiency score, the better is the resources utilization efficiency. </w:t>
      </w:r>
    </w:p>
  </w:footnote>
  <w:footnote w:id="4">
    <w:p w14:paraId="4471A01B" w14:textId="24427A9E"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The actual recommended level is based on the country’s situation.</w:t>
      </w:r>
    </w:p>
  </w:footnote>
  <w:footnote w:id="5">
    <w:p w14:paraId="5617F5FB" w14:textId="77777777"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Private schools in the Gambia are classified under two—conventional private schools and Madrassah private schools. </w:t>
      </w:r>
    </w:p>
  </w:footnote>
  <w:footnote w:id="6">
    <w:p w14:paraId="62CF8FC2" w14:textId="401362D5"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The Public Expenditure Review (PER) covers 2010 to 2015 because the actual budget data are available for 2015 and latest integrated household survey (IHS) is also for 2015.</w:t>
      </w:r>
    </w:p>
  </w:footnote>
  <w:footnote w:id="7">
    <w:p w14:paraId="3644A852" w14:textId="5BF3C65C"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Gender parity has been achieved in all levels except higher education.</w:t>
      </w:r>
    </w:p>
  </w:footnote>
  <w:footnote w:id="8">
    <w:p w14:paraId="5BC05A6C" w14:textId="0C722F81"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EMIS data from school year from 2009–2010 to 2015–2016. </w:t>
      </w:r>
    </w:p>
  </w:footnote>
  <w:footnote w:id="9">
    <w:p w14:paraId="5E2F16A4" w14:textId="3C5E222F" w:rsidR="00305B32" w:rsidRPr="00414803" w:rsidRDefault="00305B32" w:rsidP="00414803">
      <w:pPr>
        <w:pStyle w:val="FootnoteText"/>
        <w:rPr>
          <w:rFonts w:cs="Times New Roman"/>
          <w:sz w:val="18"/>
          <w:szCs w:val="18"/>
        </w:rPr>
      </w:pPr>
      <w:r w:rsidRPr="00414803">
        <w:rPr>
          <w:rStyle w:val="FootnoteReference"/>
          <w:rFonts w:cs="Times New Roman"/>
          <w:sz w:val="18"/>
          <w:szCs w:val="18"/>
          <w:vertAlign w:val="baseline"/>
        </w:rPr>
        <w:footnoteRef/>
      </w:r>
      <w:r w:rsidRPr="00414803">
        <w:rPr>
          <w:rFonts w:cs="Times New Roman"/>
          <w:sz w:val="18"/>
          <w:szCs w:val="18"/>
        </w:rPr>
        <w:t xml:space="preserve"> Headcount ratio, IHS 2010 (WDI).</w:t>
      </w:r>
    </w:p>
  </w:footnote>
  <w:footnote w:id="10">
    <w:p w14:paraId="4F848B1C" w14:textId="22CCFAB7" w:rsidR="00305B32" w:rsidRPr="00414803" w:rsidRDefault="00305B32" w:rsidP="00414803">
      <w:pPr>
        <w:pStyle w:val="FootnoteText"/>
        <w:rPr>
          <w:rFonts w:cs="Times New Roman"/>
          <w:sz w:val="18"/>
          <w:szCs w:val="18"/>
        </w:rPr>
      </w:pPr>
      <w:r w:rsidRPr="00414803">
        <w:rPr>
          <w:rStyle w:val="FootnoteReference"/>
          <w:rFonts w:cs="Times New Roman"/>
          <w:sz w:val="18"/>
          <w:szCs w:val="18"/>
          <w:vertAlign w:val="baseline"/>
        </w:rPr>
        <w:footnoteRef/>
      </w:r>
      <w:r w:rsidRPr="00414803">
        <w:rPr>
          <w:rFonts w:cs="Times New Roman"/>
          <w:sz w:val="18"/>
          <w:szCs w:val="18"/>
        </w:rPr>
        <w:t xml:space="preserve"> </w:t>
      </w:r>
      <w:r w:rsidRPr="002E5BDF">
        <w:rPr>
          <w:rFonts w:cs="Times New Roman"/>
          <w:i/>
          <w:sz w:val="18"/>
          <w:szCs w:val="18"/>
        </w:rPr>
        <w:t>Source:</w:t>
      </w:r>
      <w:r w:rsidRPr="00414803">
        <w:rPr>
          <w:rFonts w:cs="Times New Roman"/>
          <w:sz w:val="18"/>
          <w:szCs w:val="18"/>
        </w:rPr>
        <w:t xml:space="preserve"> IMF Country Report No. 15/104.</w:t>
      </w:r>
    </w:p>
  </w:footnote>
  <w:footnote w:id="11">
    <w:p w14:paraId="3814D9D9" w14:textId="77777777" w:rsidR="00305B32" w:rsidRPr="00414803" w:rsidRDefault="00305B32" w:rsidP="00414803">
      <w:pPr>
        <w:pStyle w:val="FootnoteText"/>
        <w:rPr>
          <w:rFonts w:cs="Times New Roman"/>
          <w:sz w:val="18"/>
          <w:szCs w:val="18"/>
        </w:rPr>
      </w:pPr>
      <w:r w:rsidRPr="00414803">
        <w:rPr>
          <w:rStyle w:val="FootnoteReference"/>
          <w:rFonts w:cs="Times New Roman"/>
          <w:sz w:val="18"/>
          <w:szCs w:val="18"/>
          <w:vertAlign w:val="baseline"/>
        </w:rPr>
        <w:footnoteRef/>
      </w:r>
      <w:r w:rsidRPr="00414803">
        <w:rPr>
          <w:rFonts w:cs="Times New Roman"/>
          <w:sz w:val="18"/>
          <w:szCs w:val="18"/>
        </w:rPr>
        <w:t xml:space="preserve"> As per UNDP Population Division of the Department of Economic and Social Affairs of the United Nations Secretariat projections. Gambia Bureau of Statistics (GBoS) is currently working on providing revised 2013 population data. </w:t>
      </w:r>
    </w:p>
  </w:footnote>
  <w:footnote w:id="12">
    <w:p w14:paraId="7D13D1F7" w14:textId="3C89C786" w:rsidR="00305B32" w:rsidRPr="00414803" w:rsidRDefault="00305B32" w:rsidP="00414803">
      <w:pPr>
        <w:autoSpaceDE w:val="0"/>
        <w:autoSpaceDN w:val="0"/>
        <w:adjustRightInd w:val="0"/>
        <w:spacing w:after="0" w:line="240" w:lineRule="auto"/>
        <w:rPr>
          <w:rFonts w:ascii="Sylfaen" w:hAnsi="Sylfaen"/>
          <w:sz w:val="18"/>
          <w:szCs w:val="18"/>
        </w:rPr>
      </w:pPr>
      <w:r w:rsidRPr="00414803">
        <w:rPr>
          <w:rStyle w:val="FootnoteReference"/>
          <w:rFonts w:ascii="Sylfaen" w:hAnsi="Sylfaen"/>
          <w:sz w:val="18"/>
          <w:szCs w:val="18"/>
          <w:vertAlign w:val="baseline"/>
        </w:rPr>
        <w:footnoteRef/>
      </w:r>
      <w:r w:rsidRPr="00414803">
        <w:rPr>
          <w:rFonts w:ascii="Sylfaen" w:hAnsi="Sylfaen"/>
          <w:sz w:val="18"/>
          <w:szCs w:val="18"/>
        </w:rPr>
        <w:t xml:space="preserve"> </w:t>
      </w:r>
      <w:r w:rsidRPr="00414803">
        <w:rPr>
          <w:rFonts w:ascii="Sylfaen" w:hAnsi="Sylfaen" w:cs="Times New Roman"/>
          <w:sz w:val="18"/>
          <w:szCs w:val="18"/>
        </w:rPr>
        <w:t xml:space="preserve">The nutritional status of children under age 5, as measured by stunting (low height for age), shows, nationally, 25 percent of children under age 5 are stunted, and 8 percent are severely stunted (DHS 2013). The corresponding figures for Senegal are 21 percent and 5 percent, respectively (DHS 2015). </w:t>
      </w:r>
    </w:p>
  </w:footnote>
  <w:footnote w:id="13">
    <w:p w14:paraId="12F62896" w14:textId="0CB82512" w:rsidR="00305B32" w:rsidRPr="00414803" w:rsidRDefault="00305B32" w:rsidP="00414803">
      <w:pPr>
        <w:pStyle w:val="FootnoteText"/>
        <w:rPr>
          <w:rFonts w:cs="Times New Roman"/>
          <w:sz w:val="18"/>
          <w:szCs w:val="18"/>
        </w:rPr>
      </w:pPr>
      <w:r w:rsidRPr="00414803">
        <w:rPr>
          <w:rStyle w:val="FootnoteReference"/>
          <w:rFonts w:cs="Times New Roman"/>
          <w:sz w:val="18"/>
          <w:szCs w:val="18"/>
          <w:vertAlign w:val="baseline"/>
        </w:rPr>
        <w:footnoteRef/>
      </w:r>
      <w:r w:rsidRPr="00414803">
        <w:rPr>
          <w:rFonts w:cs="Times New Roman"/>
          <w:sz w:val="18"/>
          <w:szCs w:val="18"/>
        </w:rPr>
        <w:t xml:space="preserve"> Higher education refers to degree awarding institutions whereas tertiary tends to refer to nondegree or diploma awarding institutions.</w:t>
      </w:r>
    </w:p>
  </w:footnote>
  <w:footnote w:id="14">
    <w:p w14:paraId="1D8DDA14" w14:textId="7384CFFA" w:rsidR="00305B32" w:rsidRPr="00414803" w:rsidRDefault="00305B32" w:rsidP="00414803">
      <w:pPr>
        <w:pStyle w:val="FootnoteText"/>
        <w:rPr>
          <w:rFonts w:cs="Times New Roman"/>
          <w:sz w:val="18"/>
          <w:szCs w:val="18"/>
        </w:rPr>
      </w:pPr>
      <w:r w:rsidRPr="00414803">
        <w:rPr>
          <w:rStyle w:val="FootnoteReference"/>
          <w:rFonts w:cs="Times New Roman"/>
          <w:sz w:val="18"/>
          <w:szCs w:val="18"/>
          <w:vertAlign w:val="baseline"/>
        </w:rPr>
        <w:footnoteRef/>
      </w:r>
      <w:r w:rsidRPr="00414803">
        <w:rPr>
          <w:rFonts w:cs="Times New Roman"/>
          <w:sz w:val="18"/>
          <w:szCs w:val="18"/>
        </w:rPr>
        <w:t xml:space="preserve"> </w:t>
      </w:r>
      <w:r w:rsidRPr="00414803">
        <w:rPr>
          <w:rFonts w:cs="Times New Roman"/>
          <w:sz w:val="18"/>
          <w:szCs w:val="18"/>
          <w:shd w:val="clear" w:color="auto" w:fill="FFFFFF"/>
        </w:rPr>
        <w:t>Four of which are compulsory for all candidates—English, mathematics, science, and social and environmental studies. In addition, candidates opt for one, two, or three general subjects out of seven and one, two, or three prevocational skills subject out of five prevocational subjects (WAEC).</w:t>
      </w:r>
    </w:p>
  </w:footnote>
  <w:footnote w:id="15">
    <w:p w14:paraId="70052EDC" w14:textId="24B0FDF7"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Mission finding from head of Madrassah school management interview.</w:t>
      </w:r>
    </w:p>
  </w:footnote>
  <w:footnote w:id="16">
    <w:p w14:paraId="2458178B" w14:textId="02101E91"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Project No. 2014/337137/1. It was funded by the European Union and implemented by ACE International Consultants. PEFA is a tool for assessing the status of PFM. Although the PEFA indicators assess the expenditure and financial accountability of not specific sectors but overall of all the ministries, the PEFA Framework is helpful in identifying common PFM issues across sectors.</w:t>
      </w:r>
    </w:p>
  </w:footnote>
  <w:footnote w:id="17">
    <w:p w14:paraId="4C003FF3" w14:textId="77777777"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w:t>
      </w:r>
      <w:r w:rsidRPr="00414803">
        <w:rPr>
          <w:rFonts w:cs="COIKAF+TimesNewRoman"/>
          <w:color w:val="000000"/>
          <w:sz w:val="18"/>
          <w:szCs w:val="18"/>
        </w:rPr>
        <w:t>Under the cash method, income is not counted until cash is actually received, and expenses are not counted until actually paid. Under the cash basis, revenues and expenses are recognized when payment is made or received.</w:t>
      </w:r>
    </w:p>
  </w:footnote>
  <w:footnote w:id="18">
    <w:p w14:paraId="29056D16" w14:textId="77210B96" w:rsidR="00305B32" w:rsidRPr="00414803" w:rsidRDefault="00305B32" w:rsidP="00414803">
      <w:pPr>
        <w:autoSpaceDE w:val="0"/>
        <w:autoSpaceDN w:val="0"/>
        <w:adjustRightInd w:val="0"/>
        <w:spacing w:after="0" w:line="240" w:lineRule="auto"/>
        <w:rPr>
          <w:rFonts w:ascii="Sylfaen" w:hAnsi="Sylfaen"/>
          <w:sz w:val="18"/>
          <w:szCs w:val="18"/>
        </w:rPr>
      </w:pPr>
      <w:r w:rsidRPr="00414803">
        <w:rPr>
          <w:rStyle w:val="FootnoteReference"/>
          <w:rFonts w:ascii="Sylfaen" w:hAnsi="Sylfaen"/>
          <w:sz w:val="18"/>
          <w:szCs w:val="18"/>
          <w:vertAlign w:val="baseline"/>
        </w:rPr>
        <w:footnoteRef/>
      </w:r>
      <w:r w:rsidRPr="00414803">
        <w:rPr>
          <w:rFonts w:ascii="Sylfaen" w:hAnsi="Sylfaen"/>
          <w:sz w:val="18"/>
          <w:szCs w:val="18"/>
        </w:rPr>
        <w:t xml:space="preserve"> </w:t>
      </w:r>
      <w:r w:rsidRPr="00414803">
        <w:rPr>
          <w:rFonts w:ascii="Sylfaen" w:hAnsi="Sylfaen" w:cs="HelveticaNeue-Light"/>
          <w:sz w:val="18"/>
          <w:szCs w:val="18"/>
        </w:rPr>
        <w:t xml:space="preserve">The indicative framework of the Education for All Fast-Track Initiative (EFA FTI) recommended that one-third of recurrent spending on primary education be devoted to non-teacher salaries to achieve </w:t>
      </w:r>
      <w:r>
        <w:rPr>
          <w:rFonts w:ascii="Sylfaen" w:hAnsi="Sylfaen" w:cs="HelveticaNeue-Light"/>
          <w:sz w:val="18"/>
          <w:szCs w:val="18"/>
        </w:rPr>
        <w:t>Universal Primary Education</w:t>
      </w:r>
      <w:r w:rsidRPr="00414803">
        <w:rPr>
          <w:rFonts w:ascii="Sylfaen" w:hAnsi="Sylfaen" w:cs="HelveticaNeue-Light"/>
          <w:sz w:val="18"/>
          <w:szCs w:val="18"/>
        </w:rPr>
        <w:t xml:space="preserve"> (Bruns,</w:t>
      </w:r>
      <w:r w:rsidRPr="00414803">
        <w:rPr>
          <w:rFonts w:ascii="Sylfaen" w:hAnsi="Sylfaen" w:cs="Times New Roman"/>
          <w:bCs/>
          <w:sz w:val="18"/>
          <w:szCs w:val="18"/>
        </w:rPr>
        <w:t xml:space="preserve"> </w:t>
      </w:r>
      <w:r w:rsidRPr="00414803">
        <w:rPr>
          <w:rFonts w:ascii="Sylfaen" w:hAnsi="Sylfaen" w:cs="HelveticaNeue-Light"/>
          <w:bCs/>
          <w:sz w:val="18"/>
          <w:szCs w:val="18"/>
        </w:rPr>
        <w:t>Mingat, and Rakotomalala</w:t>
      </w:r>
      <w:r w:rsidRPr="00414803">
        <w:rPr>
          <w:rFonts w:ascii="Sylfaen" w:hAnsi="Sylfaen" w:cs="HelveticaNeue-Light"/>
          <w:sz w:val="18"/>
          <w:szCs w:val="18"/>
        </w:rPr>
        <w:t xml:space="preserve"> 2003). </w:t>
      </w:r>
      <w:r w:rsidRPr="00414803">
        <w:rPr>
          <w:rFonts w:ascii="Sylfaen" w:hAnsi="Sylfaen"/>
          <w:sz w:val="18"/>
          <w:szCs w:val="18"/>
        </w:rPr>
        <w:t>http://uis.unesco.org/sites/default/files/documents/financing-education-in-sub-saharan-africameeting-the-challenges-of-expansion-equity-and-quality-en_0.pdf.</w:t>
      </w:r>
    </w:p>
  </w:footnote>
  <w:footnote w:id="19">
    <w:p w14:paraId="5036BD2F" w14:textId="77777777"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w:t>
      </w:r>
      <w:r w:rsidRPr="00414803">
        <w:rPr>
          <w:rFonts w:cs="Times New Roman"/>
          <w:sz w:val="18"/>
          <w:szCs w:val="18"/>
        </w:rPr>
        <w:t>Public expenditure per student is the public current spending on education divided by the total number of students by level, as a percentage of GDP per capita. Public expenditure (current and capital) includes government spending on educational institutions, education administration, and subsidies for private entities (students/households and other private entities).</w:t>
      </w:r>
    </w:p>
  </w:footnote>
  <w:footnote w:id="20">
    <w:p w14:paraId="5F0485E5" w14:textId="7756523E" w:rsidR="00305B32" w:rsidRPr="00414803" w:rsidRDefault="00305B32" w:rsidP="00414803">
      <w:pPr>
        <w:pStyle w:val="FootnoteText"/>
        <w:rPr>
          <w:rStyle w:val="FootnoteReference"/>
          <w:rFonts w:cs="Times New Roman"/>
          <w:sz w:val="18"/>
          <w:szCs w:val="18"/>
          <w:vertAlign w:val="baseline"/>
        </w:rPr>
      </w:pPr>
      <w:r w:rsidRPr="00414803">
        <w:rPr>
          <w:rStyle w:val="FootnoteReference"/>
          <w:rFonts w:cs="Times New Roman"/>
          <w:sz w:val="18"/>
          <w:szCs w:val="18"/>
          <w:vertAlign w:val="baseline"/>
        </w:rPr>
        <w:footnoteRef/>
      </w:r>
      <w:r w:rsidRPr="00414803">
        <w:rPr>
          <w:rFonts w:cs="Times New Roman"/>
          <w:sz w:val="18"/>
          <w:szCs w:val="18"/>
        </w:rPr>
        <w:t xml:space="preserve"> </w:t>
      </w:r>
      <w:r w:rsidRPr="00414803">
        <w:rPr>
          <w:rStyle w:val="FootnoteReference"/>
          <w:rFonts w:cs="Times New Roman"/>
          <w:sz w:val="18"/>
          <w:szCs w:val="18"/>
          <w:vertAlign w:val="baseline"/>
        </w:rPr>
        <w:t>Allowances include travel home to office allowance, cost of living allowance, civil servants special allowance, special skills allowance, and double shift allowance</w:t>
      </w:r>
      <w:r w:rsidRPr="00414803">
        <w:rPr>
          <w:rFonts w:cs="Times New Roman"/>
          <w:sz w:val="18"/>
          <w:szCs w:val="18"/>
        </w:rPr>
        <w:t>.</w:t>
      </w:r>
    </w:p>
  </w:footnote>
  <w:footnote w:id="21">
    <w:p w14:paraId="4B918984" w14:textId="0F0AF0D9" w:rsidR="00305B32" w:rsidRPr="00414803" w:rsidRDefault="00305B32" w:rsidP="00414803">
      <w:pPr>
        <w:pStyle w:val="FootnoteText"/>
        <w:rPr>
          <w:rStyle w:val="FootnoteReference"/>
          <w:sz w:val="18"/>
          <w:szCs w:val="18"/>
          <w:vertAlign w:val="baseline"/>
        </w:rPr>
      </w:pPr>
      <w:r w:rsidRPr="00414803">
        <w:rPr>
          <w:rStyle w:val="FootnoteReference"/>
          <w:rFonts w:cs="Times New Roman"/>
          <w:sz w:val="18"/>
          <w:szCs w:val="18"/>
          <w:vertAlign w:val="baseline"/>
        </w:rPr>
        <w:footnoteRef/>
      </w:r>
      <w:r w:rsidRPr="00414803">
        <w:rPr>
          <w:rStyle w:val="FootnoteReference"/>
          <w:rFonts w:cs="Times New Roman"/>
          <w:sz w:val="18"/>
          <w:szCs w:val="18"/>
          <w:vertAlign w:val="baseline"/>
        </w:rPr>
        <w:t xml:space="preserve"> EMIS data do not capture staff qualification although the line item </w:t>
      </w:r>
      <w:r w:rsidRPr="00414803">
        <w:rPr>
          <w:rFonts w:cs="Times New Roman"/>
          <w:sz w:val="18"/>
          <w:szCs w:val="18"/>
        </w:rPr>
        <w:t xml:space="preserve">is </w:t>
      </w:r>
      <w:r w:rsidRPr="00414803">
        <w:rPr>
          <w:rStyle w:val="FootnoteReference"/>
          <w:rFonts w:cs="Times New Roman"/>
          <w:sz w:val="18"/>
          <w:szCs w:val="18"/>
          <w:vertAlign w:val="baseline"/>
        </w:rPr>
        <w:t xml:space="preserve">available on the census questionnaire and </w:t>
      </w:r>
      <w:r w:rsidRPr="00414803">
        <w:rPr>
          <w:rFonts w:cs="Times New Roman"/>
          <w:sz w:val="18"/>
          <w:szCs w:val="18"/>
        </w:rPr>
        <w:t xml:space="preserve">is </w:t>
      </w:r>
      <w:r w:rsidRPr="00414803">
        <w:rPr>
          <w:rStyle w:val="FootnoteReference"/>
          <w:rFonts w:cs="Times New Roman"/>
          <w:sz w:val="18"/>
          <w:szCs w:val="18"/>
          <w:vertAlign w:val="baseline"/>
        </w:rPr>
        <w:t>expected to emphasize the next census</w:t>
      </w:r>
      <w:r w:rsidRPr="00414803">
        <w:rPr>
          <w:rFonts w:cs="Times New Roman"/>
          <w:sz w:val="18"/>
          <w:szCs w:val="18"/>
        </w:rPr>
        <w:t>.</w:t>
      </w:r>
      <w:r w:rsidRPr="00414803">
        <w:rPr>
          <w:rStyle w:val="FootnoteReference"/>
          <w:sz w:val="18"/>
          <w:szCs w:val="18"/>
          <w:vertAlign w:val="baseline"/>
        </w:rPr>
        <w:t xml:space="preserve"> </w:t>
      </w:r>
    </w:p>
  </w:footnote>
  <w:footnote w:id="22">
    <w:p w14:paraId="2955794D" w14:textId="77777777" w:rsidR="00305B32" w:rsidRPr="00414803" w:rsidRDefault="00305B32" w:rsidP="00414803">
      <w:pPr>
        <w:pStyle w:val="Footnote"/>
        <w:spacing w:before="0" w:after="0"/>
        <w:jc w:val="left"/>
        <w:rPr>
          <w:rFonts w:ascii="Sylfaen" w:hAnsi="Sylfaen"/>
          <w:sz w:val="18"/>
          <w:szCs w:val="18"/>
        </w:rPr>
      </w:pPr>
      <w:r w:rsidRPr="00414803">
        <w:rPr>
          <w:rStyle w:val="FootnoteReference"/>
          <w:rFonts w:ascii="Sylfaen" w:hAnsi="Sylfaen"/>
          <w:sz w:val="18"/>
          <w:szCs w:val="18"/>
          <w:vertAlign w:val="baseline"/>
        </w:rPr>
        <w:footnoteRef/>
      </w:r>
      <w:r w:rsidRPr="00414803">
        <w:rPr>
          <w:rFonts w:ascii="Sylfaen" w:hAnsi="Sylfaen"/>
          <w:sz w:val="18"/>
          <w:szCs w:val="18"/>
        </w:rPr>
        <w:t xml:space="preserve"> This efficiency analysis is a relative and not an absolute efficiency analysis—it does not consider whether it is theoretically possible for schools to be more efficient or effective than the most efficient and effective schools in </w:t>
      </w:r>
      <w:r w:rsidRPr="00414803">
        <w:rPr>
          <w:rFonts w:ascii="Sylfaen" w:hAnsi="Sylfaen"/>
          <w:sz w:val="18"/>
          <w:szCs w:val="18"/>
          <w:lang w:val="en-US"/>
        </w:rPr>
        <w:t>The Gambia</w:t>
      </w:r>
      <w:r w:rsidRPr="00414803">
        <w:rPr>
          <w:rFonts w:ascii="Sylfaen" w:hAnsi="Sylfaen"/>
          <w:sz w:val="18"/>
          <w:szCs w:val="18"/>
        </w:rPr>
        <w:t xml:space="preserve">. </w:t>
      </w:r>
    </w:p>
  </w:footnote>
  <w:footnote w:id="23">
    <w:p w14:paraId="4F1B4B79" w14:textId="235D3338"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rFonts w:cstheme="majorBidi"/>
          <w:sz w:val="18"/>
          <w:szCs w:val="18"/>
        </w:rPr>
        <w:t xml:space="preserve"> Learning for All, investing in people’s knowledge and skills to promote development - World Bank Education Strategy 2020, 2011.</w:t>
      </w:r>
    </w:p>
  </w:footnote>
  <w:footnote w:id="24">
    <w:p w14:paraId="79950654" w14:textId="1ED4BE14"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The regression analysis referred to in this section determines whether individual and household characteristics have a statistically significant effect on school attendance and whether this effect is positive or negative and its magnitude.</w:t>
      </w:r>
    </w:p>
  </w:footnote>
  <w:footnote w:id="25">
    <w:p w14:paraId="6520AD0A" w14:textId="628CCA33" w:rsidR="00305B32" w:rsidRPr="00414803" w:rsidRDefault="00305B32" w:rsidP="00414803">
      <w:pPr>
        <w:pStyle w:val="NormalWeb"/>
        <w:spacing w:before="0" w:beforeAutospacing="0" w:after="0" w:afterAutospacing="0"/>
        <w:rPr>
          <w:rFonts w:ascii="Sylfaen" w:hAnsi="Sylfaen"/>
          <w:color w:val="000000"/>
          <w:sz w:val="18"/>
          <w:szCs w:val="18"/>
        </w:rPr>
      </w:pPr>
      <w:r w:rsidRPr="00414803">
        <w:rPr>
          <w:rStyle w:val="FootnoteReference"/>
          <w:rFonts w:ascii="Sylfaen" w:hAnsi="Sylfaen"/>
          <w:sz w:val="18"/>
          <w:szCs w:val="18"/>
          <w:vertAlign w:val="baseline"/>
        </w:rPr>
        <w:footnoteRef/>
      </w:r>
      <w:r w:rsidRPr="00414803">
        <w:rPr>
          <w:rFonts w:ascii="Sylfaen" w:hAnsi="Sylfaen"/>
          <w:sz w:val="18"/>
          <w:szCs w:val="18"/>
        </w:rPr>
        <w:t xml:space="preserve"> </w:t>
      </w:r>
      <w:r w:rsidRPr="00414803">
        <w:rPr>
          <w:rFonts w:ascii="Sylfaen" w:hAnsi="Sylfaen"/>
          <w:color w:val="000000"/>
          <w:sz w:val="18"/>
          <w:szCs w:val="18"/>
        </w:rPr>
        <w:t xml:space="preserve">There are two general methods of budget recording cash and accrual. The cash method focuses on the inflows and outflows of cash, that is, records when budget allocations are received and expenses are paid. Under the budget ceiling, the ministries request for funding based on spending plan once the actual amount identified. </w:t>
      </w:r>
    </w:p>
  </w:footnote>
  <w:footnote w:id="26">
    <w:p w14:paraId="319B4175" w14:textId="77777777"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The actual recommended level is based on the country’s situation.</w:t>
      </w:r>
    </w:p>
  </w:footnote>
  <w:footnote w:id="27">
    <w:p w14:paraId="2C2B03C4" w14:textId="7AC27113" w:rsidR="00305B32" w:rsidRPr="00414803" w:rsidRDefault="00305B32" w:rsidP="00414803">
      <w:pPr>
        <w:spacing w:after="0" w:line="240" w:lineRule="auto"/>
        <w:rPr>
          <w:rFonts w:ascii="Sylfaen" w:hAnsi="Sylfaen"/>
          <w:sz w:val="18"/>
          <w:szCs w:val="18"/>
        </w:rPr>
      </w:pPr>
      <w:r w:rsidRPr="00414803">
        <w:rPr>
          <w:rStyle w:val="FootnoteReference"/>
          <w:rFonts w:ascii="Sylfaen" w:hAnsi="Sylfaen"/>
          <w:sz w:val="18"/>
          <w:szCs w:val="18"/>
          <w:vertAlign w:val="baseline"/>
        </w:rPr>
        <w:footnoteRef/>
      </w:r>
      <w:r w:rsidRPr="00414803">
        <w:rPr>
          <w:rFonts w:ascii="Sylfaen" w:hAnsi="Sylfaen"/>
          <w:sz w:val="18"/>
          <w:szCs w:val="18"/>
        </w:rPr>
        <w:t xml:space="preserve"> The efficiency score is calculated based on DEA and it measures how different schools use resources to produce outcome. It measures a relative efficiency and ranges from 0 to 1, where 0 is the most inefficient school and 1 is the most efficient school. The higher the efficiency score, the better is the resources utilization efficiency. </w:t>
      </w:r>
    </w:p>
  </w:footnote>
  <w:footnote w:id="28">
    <w:p w14:paraId="093C3D04" w14:textId="77777777"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Private schools in the Gambia are classified under two—conventional private schools and Madrassah private schools. </w:t>
      </w:r>
    </w:p>
  </w:footnote>
  <w:footnote w:id="29">
    <w:p w14:paraId="60135692" w14:textId="72E9B3E8"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w:t>
      </w:r>
      <w:r w:rsidRPr="00414803">
        <w:rPr>
          <w:rFonts w:cs="Times New Roman"/>
          <w:sz w:val="18"/>
          <w:szCs w:val="18"/>
        </w:rPr>
        <w:t>The concept of BIA was originally pioneered by studies by Gillespie on Canada 1965 and extended to developing countries context by Meerman (1979) on Columbia and Seloswski (1979) on Malaysia and in its modern stage, by Selden and Wasylenko (1992), Sahn and Yonger (1999) on Africa, and Demery (2000).</w:t>
      </w:r>
    </w:p>
  </w:footnote>
  <w:footnote w:id="30">
    <w:p w14:paraId="60ED016B" w14:textId="77777777" w:rsidR="00305B32" w:rsidRPr="00414803" w:rsidRDefault="00305B32" w:rsidP="00414803">
      <w:pPr>
        <w:pStyle w:val="FootnoteText"/>
        <w:rPr>
          <w:rFonts w:cs="Times New Roman"/>
          <w:sz w:val="18"/>
          <w:szCs w:val="18"/>
        </w:rPr>
      </w:pPr>
      <w:r w:rsidRPr="00414803">
        <w:rPr>
          <w:rStyle w:val="FootnoteReference"/>
          <w:rFonts w:cs="Times New Roman"/>
          <w:sz w:val="18"/>
          <w:szCs w:val="18"/>
          <w:vertAlign w:val="baseline"/>
        </w:rPr>
        <w:footnoteRef/>
      </w:r>
      <w:r w:rsidRPr="00414803">
        <w:rPr>
          <w:rFonts w:cs="Times New Roman"/>
          <w:sz w:val="18"/>
          <w:szCs w:val="18"/>
        </w:rPr>
        <w:t xml:space="preserve"> This regression model is also known under a variety of names, such as Sequential Response Model (Maddala 1983), Continuation Ratio logit (Agresti 2002), Model for Nested Dichotomies (Fox 1997), and Mare model (Mare 1981; Shavit and Blossfeld 1993). For an extended discussion, see also Buis (2010).</w:t>
      </w:r>
    </w:p>
  </w:footnote>
  <w:footnote w:id="31">
    <w:p w14:paraId="7F5C52AA" w14:textId="6B764902" w:rsidR="00305B32" w:rsidRPr="00414803" w:rsidRDefault="00305B32" w:rsidP="00414803">
      <w:pPr>
        <w:pStyle w:val="FootnoteText"/>
        <w:rPr>
          <w:rFonts w:cs="Times New Roman"/>
          <w:sz w:val="18"/>
          <w:szCs w:val="18"/>
        </w:rPr>
      </w:pPr>
      <w:r w:rsidRPr="00414803">
        <w:rPr>
          <w:rStyle w:val="FootnoteReference"/>
          <w:rFonts w:cs="Times New Roman"/>
          <w:sz w:val="18"/>
          <w:szCs w:val="18"/>
          <w:vertAlign w:val="baseline"/>
        </w:rPr>
        <w:footnoteRef/>
      </w:r>
      <w:r w:rsidRPr="00414803">
        <w:rPr>
          <w:rFonts w:cs="Times New Roman"/>
          <w:sz w:val="18"/>
          <w:szCs w:val="18"/>
        </w:rPr>
        <w:t xml:space="preserve"> For this, one can use the Stata command Seqlogitde</w:t>
      </w:r>
      <w:r>
        <w:rPr>
          <w:rFonts w:cs="Times New Roman"/>
          <w:sz w:val="18"/>
          <w:szCs w:val="18"/>
        </w:rPr>
        <w:t xml:space="preserve"> </w:t>
      </w:r>
      <w:r w:rsidRPr="00414803">
        <w:rPr>
          <w:rFonts w:cs="Times New Roman"/>
          <w:sz w:val="18"/>
          <w:szCs w:val="18"/>
        </w:rPr>
        <w:t>comp.</w:t>
      </w:r>
    </w:p>
  </w:footnote>
  <w:footnote w:id="32">
    <w:p w14:paraId="13DC3A13" w14:textId="77777777"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https://knoema.com/atlas/Gambia/topics/Demographics/Population/Net-migration-rate.</w:t>
      </w:r>
    </w:p>
  </w:footnote>
  <w:footnote w:id="33">
    <w:p w14:paraId="02AC9730" w14:textId="77777777" w:rsidR="00305B32" w:rsidRPr="00414803" w:rsidRDefault="00305B32" w:rsidP="00414803">
      <w:pPr>
        <w:pStyle w:val="FootnoteText"/>
        <w:rPr>
          <w:sz w:val="18"/>
          <w:szCs w:val="18"/>
        </w:rPr>
      </w:pPr>
      <w:r w:rsidRPr="00414803">
        <w:rPr>
          <w:rStyle w:val="FootnoteReference"/>
          <w:sz w:val="18"/>
          <w:szCs w:val="18"/>
          <w:vertAlign w:val="baseline"/>
        </w:rPr>
        <w:footnoteRef/>
      </w:r>
      <w:r w:rsidRPr="00414803">
        <w:rPr>
          <w:sz w:val="18"/>
          <w:szCs w:val="18"/>
        </w:rPr>
        <w:t xml:space="preserve"> https://www.iom.int/countries/gambia.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B876FC7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F4335E"/>
    <w:multiLevelType w:val="hybridMultilevel"/>
    <w:tmpl w:val="AF9A58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0" w:hanging="360"/>
      </w:pPr>
      <w:rPr>
        <w:rFonts w:ascii="Symbol" w:hAnsi="Symbol" w:hint="default"/>
      </w:rPr>
    </w:lvl>
    <w:lvl w:ilvl="4" w:tplc="04090003" w:tentative="1">
      <w:start w:val="1"/>
      <w:numFmt w:val="bullet"/>
      <w:lvlText w:val="o"/>
      <w:lvlJc w:val="left"/>
      <w:pPr>
        <w:ind w:left="720" w:hanging="360"/>
      </w:pPr>
      <w:rPr>
        <w:rFonts w:ascii="Courier New" w:hAnsi="Courier New" w:cs="Courier New" w:hint="default"/>
      </w:rPr>
    </w:lvl>
    <w:lvl w:ilvl="5" w:tplc="04090005" w:tentative="1">
      <w:start w:val="1"/>
      <w:numFmt w:val="bullet"/>
      <w:lvlText w:val=""/>
      <w:lvlJc w:val="left"/>
      <w:pPr>
        <w:ind w:left="1440" w:hanging="360"/>
      </w:pPr>
      <w:rPr>
        <w:rFonts w:ascii="Wingdings" w:hAnsi="Wingdings" w:hint="default"/>
      </w:rPr>
    </w:lvl>
    <w:lvl w:ilvl="6" w:tplc="04090001" w:tentative="1">
      <w:start w:val="1"/>
      <w:numFmt w:val="bullet"/>
      <w:lvlText w:val=""/>
      <w:lvlJc w:val="left"/>
      <w:pPr>
        <w:ind w:left="2160" w:hanging="360"/>
      </w:pPr>
      <w:rPr>
        <w:rFonts w:ascii="Symbol" w:hAnsi="Symbol" w:hint="default"/>
      </w:rPr>
    </w:lvl>
    <w:lvl w:ilvl="7" w:tplc="04090003" w:tentative="1">
      <w:start w:val="1"/>
      <w:numFmt w:val="bullet"/>
      <w:lvlText w:val="o"/>
      <w:lvlJc w:val="left"/>
      <w:pPr>
        <w:ind w:left="2880" w:hanging="360"/>
      </w:pPr>
      <w:rPr>
        <w:rFonts w:ascii="Courier New" w:hAnsi="Courier New" w:cs="Courier New" w:hint="default"/>
      </w:rPr>
    </w:lvl>
    <w:lvl w:ilvl="8" w:tplc="04090005" w:tentative="1">
      <w:start w:val="1"/>
      <w:numFmt w:val="bullet"/>
      <w:lvlText w:val=""/>
      <w:lvlJc w:val="left"/>
      <w:pPr>
        <w:ind w:left="3600" w:hanging="360"/>
      </w:pPr>
      <w:rPr>
        <w:rFonts w:ascii="Wingdings" w:hAnsi="Wingdings" w:hint="default"/>
      </w:rPr>
    </w:lvl>
  </w:abstractNum>
  <w:abstractNum w:abstractNumId="2" w15:restartNumberingAfterBreak="0">
    <w:nsid w:val="01A82D83"/>
    <w:multiLevelType w:val="multilevel"/>
    <w:tmpl w:val="6B8C63E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2E11837"/>
    <w:multiLevelType w:val="hybridMultilevel"/>
    <w:tmpl w:val="52445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FE4CE0"/>
    <w:multiLevelType w:val="hybridMultilevel"/>
    <w:tmpl w:val="D13A47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4142DD2"/>
    <w:multiLevelType w:val="hybridMultilevel"/>
    <w:tmpl w:val="36FE0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164DC4"/>
    <w:multiLevelType w:val="hybridMultilevel"/>
    <w:tmpl w:val="19760790"/>
    <w:lvl w:ilvl="0" w:tplc="9B0C9988">
      <w:start w:val="1"/>
      <w:numFmt w:val="upperRoman"/>
      <w:pStyle w:val="Heading1"/>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D1221EF"/>
    <w:multiLevelType w:val="multilevel"/>
    <w:tmpl w:val="EC2E1DD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11C2766B"/>
    <w:multiLevelType w:val="hybridMultilevel"/>
    <w:tmpl w:val="91F28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545B88"/>
    <w:multiLevelType w:val="multilevel"/>
    <w:tmpl w:val="314476E2"/>
    <w:lvl w:ilvl="0">
      <w:start w:val="1"/>
      <w:numFmt w:val="decimal"/>
      <w:lvlText w:val="%1."/>
      <w:lvlJc w:val="left"/>
      <w:pPr>
        <w:ind w:left="720" w:hanging="360"/>
      </w:pPr>
      <w:rPr>
        <w:rFonts w:hint="default"/>
        <w:b w:val="0"/>
        <w:bCs/>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82E4B84"/>
    <w:multiLevelType w:val="hybridMultilevel"/>
    <w:tmpl w:val="B1905404"/>
    <w:lvl w:ilvl="0" w:tplc="5178D9F6">
      <w:start w:val="1"/>
      <w:numFmt w:val="decimal"/>
      <w:lvlText w:val="%1."/>
      <w:lvlJc w:val="left"/>
      <w:pPr>
        <w:ind w:left="450" w:hanging="360"/>
      </w:pPr>
      <w:rPr>
        <w:rFonts w:hint="default"/>
        <w:color w:val="000000" w:themeColor="text1"/>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97D7991"/>
    <w:multiLevelType w:val="hybridMultilevel"/>
    <w:tmpl w:val="AF4C67DE"/>
    <w:lvl w:ilvl="0" w:tplc="51048674">
      <w:start w:val="1"/>
      <w:numFmt w:val="decimal"/>
      <w:lvlText w:val="%1."/>
      <w:lvlJc w:val="left"/>
      <w:pPr>
        <w:ind w:left="360" w:hanging="360"/>
      </w:pPr>
      <w:rPr>
        <w:rFonts w:ascii="Sylfaen" w:hAnsi="Sylfaen"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50272D"/>
    <w:multiLevelType w:val="hybridMultilevel"/>
    <w:tmpl w:val="EF065A38"/>
    <w:lvl w:ilvl="0" w:tplc="81E8496C">
      <w:start w:val="1"/>
      <w:numFmt w:val="decimal"/>
      <w:lvlText w:val="%1."/>
      <w:lvlJc w:val="left"/>
      <w:pPr>
        <w:ind w:left="360" w:hanging="360"/>
      </w:pPr>
      <w:rPr>
        <w:rFonts w:ascii="Sylfaen" w:hAnsi="Sylfaen" w:hint="default"/>
        <w:i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3035323"/>
    <w:multiLevelType w:val="hybridMultilevel"/>
    <w:tmpl w:val="52341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974B83"/>
    <w:multiLevelType w:val="hybridMultilevel"/>
    <w:tmpl w:val="4428356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D4F3686"/>
    <w:multiLevelType w:val="hybridMultilevel"/>
    <w:tmpl w:val="D6E6D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D593D85"/>
    <w:multiLevelType w:val="hybridMultilevel"/>
    <w:tmpl w:val="EF0A19C8"/>
    <w:numStyleLink w:val="ImportedStyle5"/>
  </w:abstractNum>
  <w:abstractNum w:abstractNumId="17" w15:restartNumberingAfterBreak="0">
    <w:nsid w:val="42766FBA"/>
    <w:multiLevelType w:val="hybridMultilevel"/>
    <w:tmpl w:val="0444DC8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6457BE2"/>
    <w:multiLevelType w:val="multilevel"/>
    <w:tmpl w:val="BEDC940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4810462E"/>
    <w:multiLevelType w:val="hybridMultilevel"/>
    <w:tmpl w:val="BBBA5BB4"/>
    <w:lvl w:ilvl="0" w:tplc="92D8CCC2">
      <w:start w:val="1"/>
      <w:numFmt w:val="decimal"/>
      <w:lvlText w:val="%1."/>
      <w:lvlJc w:val="left"/>
      <w:pPr>
        <w:ind w:left="360" w:hanging="360"/>
      </w:pPr>
      <w:rPr>
        <w:b w:val="0"/>
        <w:i w:val="0"/>
        <w:color w:val="262626" w:themeColor="text1" w:themeTint="D9"/>
        <w:sz w:val="22"/>
        <w:szCs w:val="22"/>
      </w:r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49FF10BB"/>
    <w:multiLevelType w:val="hybridMultilevel"/>
    <w:tmpl w:val="26BA3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B885CA0"/>
    <w:multiLevelType w:val="hybridMultilevel"/>
    <w:tmpl w:val="7450C07C"/>
    <w:lvl w:ilvl="0" w:tplc="996C4CB8">
      <w:start w:val="1"/>
      <w:numFmt w:val="decimal"/>
      <w:lvlText w:val="%1."/>
      <w:lvlJc w:val="left"/>
      <w:pPr>
        <w:ind w:left="36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D1772BE"/>
    <w:multiLevelType w:val="hybridMultilevel"/>
    <w:tmpl w:val="7EE204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DC7755D"/>
    <w:multiLevelType w:val="hybridMultilevel"/>
    <w:tmpl w:val="F9221C38"/>
    <w:lvl w:ilvl="0" w:tplc="05222E58">
      <w:start w:val="1"/>
      <w:numFmt w:val="decimal"/>
      <w:pStyle w:val="Maintext"/>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07E1080"/>
    <w:multiLevelType w:val="hybridMultilevel"/>
    <w:tmpl w:val="85D81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4F7338"/>
    <w:multiLevelType w:val="hybridMultilevel"/>
    <w:tmpl w:val="ED464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6756FDB"/>
    <w:multiLevelType w:val="hybridMultilevel"/>
    <w:tmpl w:val="F4563678"/>
    <w:lvl w:ilvl="0" w:tplc="A9AE09D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6E2354E"/>
    <w:multiLevelType w:val="hybridMultilevel"/>
    <w:tmpl w:val="84E851C6"/>
    <w:lvl w:ilvl="0" w:tplc="92D8CCC2">
      <w:start w:val="1"/>
      <w:numFmt w:val="decimal"/>
      <w:lvlText w:val="%1."/>
      <w:lvlJc w:val="left"/>
      <w:pPr>
        <w:ind w:left="360" w:hanging="360"/>
      </w:pPr>
      <w:rPr>
        <w:b w:val="0"/>
        <w:i w:val="0"/>
        <w:color w:val="262626" w:themeColor="text1" w:themeTint="D9"/>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67AF6D39"/>
    <w:multiLevelType w:val="hybridMultilevel"/>
    <w:tmpl w:val="EF0A19C8"/>
    <w:styleLink w:val="ImportedStyle5"/>
    <w:lvl w:ilvl="0" w:tplc="63622EFE">
      <w:start w:val="1"/>
      <w:numFmt w:val="decimal"/>
      <w:lvlText w:val="%1."/>
      <w:lvlJc w:val="left"/>
      <w:pPr>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 w:ilvl="1" w:tplc="1D90A676">
      <w:start w:val="1"/>
      <w:numFmt w:val="lowerLetter"/>
      <w:lvlText w:val="%2."/>
      <w:lvlJc w:val="left"/>
      <w:pPr>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 w:ilvl="2" w:tplc="7D1E4390">
      <w:start w:val="1"/>
      <w:numFmt w:val="lowerRoman"/>
      <w:lvlText w:val="%3."/>
      <w:lvlJc w:val="left"/>
      <w:pPr>
        <w:ind w:left="1440" w:hanging="638"/>
      </w:pPr>
      <w:rPr>
        <w:rFonts w:hAnsi="Arial Unicode MS"/>
        <w:caps w:val="0"/>
        <w:smallCaps w:val="0"/>
        <w:strike w:val="0"/>
        <w:dstrike w:val="0"/>
        <w:outline w:val="0"/>
        <w:emboss w:val="0"/>
        <w:imprint w:val="0"/>
        <w:spacing w:val="0"/>
        <w:w w:val="100"/>
        <w:kern w:val="0"/>
        <w:position w:val="0"/>
        <w:highlight w:val="none"/>
        <w:vertAlign w:val="baseline"/>
      </w:rPr>
    </w:lvl>
    <w:lvl w:ilvl="3" w:tplc="3BFA6CD6">
      <w:start w:val="1"/>
      <w:numFmt w:val="decimal"/>
      <w:lvlText w:val="%4."/>
      <w:lvlJc w:val="left"/>
      <w:pPr>
        <w:ind w:left="2160" w:hanging="720"/>
      </w:pPr>
      <w:rPr>
        <w:rFonts w:hAnsi="Arial Unicode MS"/>
        <w:caps w:val="0"/>
        <w:smallCaps w:val="0"/>
        <w:strike w:val="0"/>
        <w:dstrike w:val="0"/>
        <w:outline w:val="0"/>
        <w:emboss w:val="0"/>
        <w:imprint w:val="0"/>
        <w:spacing w:val="0"/>
        <w:w w:val="100"/>
        <w:kern w:val="0"/>
        <w:position w:val="0"/>
        <w:highlight w:val="none"/>
        <w:vertAlign w:val="baseline"/>
      </w:rPr>
    </w:lvl>
    <w:lvl w:ilvl="4" w:tplc="DCB6F688">
      <w:start w:val="1"/>
      <w:numFmt w:val="lowerLetter"/>
      <w:lvlText w:val="%5."/>
      <w:lvlJc w:val="left"/>
      <w:pPr>
        <w:ind w:left="2880" w:hanging="720"/>
      </w:pPr>
      <w:rPr>
        <w:rFonts w:hAnsi="Arial Unicode MS"/>
        <w:caps w:val="0"/>
        <w:smallCaps w:val="0"/>
        <w:strike w:val="0"/>
        <w:dstrike w:val="0"/>
        <w:outline w:val="0"/>
        <w:emboss w:val="0"/>
        <w:imprint w:val="0"/>
        <w:spacing w:val="0"/>
        <w:w w:val="100"/>
        <w:kern w:val="0"/>
        <w:position w:val="0"/>
        <w:highlight w:val="none"/>
        <w:vertAlign w:val="baseline"/>
      </w:rPr>
    </w:lvl>
    <w:lvl w:ilvl="5" w:tplc="790C47E8">
      <w:start w:val="1"/>
      <w:numFmt w:val="lowerRoman"/>
      <w:lvlText w:val="%6."/>
      <w:lvlJc w:val="left"/>
      <w:pPr>
        <w:ind w:left="3600" w:hanging="638"/>
      </w:pPr>
      <w:rPr>
        <w:rFonts w:hAnsi="Arial Unicode MS"/>
        <w:caps w:val="0"/>
        <w:smallCaps w:val="0"/>
        <w:strike w:val="0"/>
        <w:dstrike w:val="0"/>
        <w:outline w:val="0"/>
        <w:emboss w:val="0"/>
        <w:imprint w:val="0"/>
        <w:spacing w:val="0"/>
        <w:w w:val="100"/>
        <w:kern w:val="0"/>
        <w:position w:val="0"/>
        <w:highlight w:val="none"/>
        <w:vertAlign w:val="baseline"/>
      </w:rPr>
    </w:lvl>
    <w:lvl w:ilvl="6" w:tplc="23000E54">
      <w:start w:val="1"/>
      <w:numFmt w:val="decimal"/>
      <w:lvlText w:val="%7."/>
      <w:lvlJc w:val="left"/>
      <w:pPr>
        <w:ind w:left="4320" w:hanging="720"/>
      </w:pPr>
      <w:rPr>
        <w:rFonts w:hAnsi="Arial Unicode MS"/>
        <w:caps w:val="0"/>
        <w:smallCaps w:val="0"/>
        <w:strike w:val="0"/>
        <w:dstrike w:val="0"/>
        <w:outline w:val="0"/>
        <w:emboss w:val="0"/>
        <w:imprint w:val="0"/>
        <w:spacing w:val="0"/>
        <w:w w:val="100"/>
        <w:kern w:val="0"/>
        <w:position w:val="0"/>
        <w:highlight w:val="none"/>
        <w:vertAlign w:val="baseline"/>
      </w:rPr>
    </w:lvl>
    <w:lvl w:ilvl="7" w:tplc="006C8E52">
      <w:start w:val="1"/>
      <w:numFmt w:val="lowerLetter"/>
      <w:lvlText w:val="%8."/>
      <w:lvlJc w:val="left"/>
      <w:pPr>
        <w:ind w:left="5040" w:hanging="720"/>
      </w:pPr>
      <w:rPr>
        <w:rFonts w:hAnsi="Arial Unicode MS"/>
        <w:caps w:val="0"/>
        <w:smallCaps w:val="0"/>
        <w:strike w:val="0"/>
        <w:dstrike w:val="0"/>
        <w:outline w:val="0"/>
        <w:emboss w:val="0"/>
        <w:imprint w:val="0"/>
        <w:spacing w:val="0"/>
        <w:w w:val="100"/>
        <w:kern w:val="0"/>
        <w:position w:val="0"/>
        <w:highlight w:val="none"/>
        <w:vertAlign w:val="baseline"/>
      </w:rPr>
    </w:lvl>
    <w:lvl w:ilvl="8" w:tplc="5A747086">
      <w:start w:val="1"/>
      <w:numFmt w:val="lowerRoman"/>
      <w:lvlText w:val="%9."/>
      <w:lvlJc w:val="left"/>
      <w:pPr>
        <w:ind w:left="5760" w:hanging="63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6B7A62A7"/>
    <w:multiLevelType w:val="hybridMultilevel"/>
    <w:tmpl w:val="D890A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C80357C"/>
    <w:multiLevelType w:val="hybridMultilevel"/>
    <w:tmpl w:val="E11EDE9A"/>
    <w:lvl w:ilvl="0" w:tplc="6590C11E">
      <w:start w:val="1"/>
      <w:numFmt w:val="decimal"/>
      <w:lvlText w:val="%1."/>
      <w:lvlJc w:val="left"/>
      <w:pPr>
        <w:ind w:left="360" w:hanging="360"/>
      </w:pPr>
      <w:rPr>
        <w:b w:val="0"/>
        <w:i w:val="0"/>
        <w:sz w:val="22"/>
        <w:szCs w:val="22"/>
      </w:rPr>
    </w:lvl>
    <w:lvl w:ilvl="1" w:tplc="04090019">
      <w:start w:val="1"/>
      <w:numFmt w:val="lowerLetter"/>
      <w:lvlText w:val="%2."/>
      <w:lvlJc w:val="left"/>
      <w:pPr>
        <w:ind w:left="1440" w:hanging="360"/>
      </w:pPr>
    </w:lvl>
    <w:lvl w:ilvl="2" w:tplc="82D6C9A4">
      <w:start w:val="1"/>
      <w:numFmt w:val="decimal"/>
      <w:lvlText w:val="%3)"/>
      <w:lvlJc w:val="left"/>
      <w:pPr>
        <w:ind w:left="234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6F81650D"/>
    <w:multiLevelType w:val="hybridMultilevel"/>
    <w:tmpl w:val="94C85A5C"/>
    <w:lvl w:ilvl="0" w:tplc="EB9EBFB2">
      <w:start w:val="1"/>
      <w:numFmt w:val="decimal"/>
      <w:lvlText w:val="%1."/>
      <w:lvlJc w:val="left"/>
      <w:pPr>
        <w:ind w:left="360" w:hanging="360"/>
      </w:pPr>
      <w:rPr>
        <w:rFonts w:cs="Times New Roman" w:hint="default"/>
        <w:b w:val="0"/>
        <w:i w:val="0"/>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2" w15:restartNumberingAfterBreak="0">
    <w:nsid w:val="75231CD2"/>
    <w:multiLevelType w:val="hybridMultilevel"/>
    <w:tmpl w:val="804EC718"/>
    <w:lvl w:ilvl="0" w:tplc="92F8D38E">
      <w:start w:val="1"/>
      <w:numFmt w:val="lowerLetter"/>
      <w:lvlText w:val="(%1)"/>
      <w:lvlJc w:val="left"/>
      <w:pPr>
        <w:ind w:left="720" w:hanging="360"/>
      </w:pPr>
      <w:rPr>
        <w:rFonts w:ascii="Sylfaen" w:hAnsi="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AE85707"/>
    <w:multiLevelType w:val="hybridMultilevel"/>
    <w:tmpl w:val="57D27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C8712F9"/>
    <w:multiLevelType w:val="hybridMultilevel"/>
    <w:tmpl w:val="888A7ECE"/>
    <w:lvl w:ilvl="0" w:tplc="F948CEC6">
      <w:start w:val="7"/>
      <w:numFmt w:val="decimal"/>
      <w:lvlText w:val="%1."/>
      <w:lvlJc w:val="left"/>
      <w:pPr>
        <w:ind w:left="720" w:hanging="360"/>
      </w:pPr>
      <w:rPr>
        <w:rFonts w:hint="default"/>
        <w:color w:val="000000" w:themeColor="text1"/>
        <w:sz w:val="22"/>
        <w:szCs w:val="22"/>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E6C4D"/>
    <w:multiLevelType w:val="hybridMultilevel"/>
    <w:tmpl w:val="2E3AC45E"/>
    <w:lvl w:ilvl="0" w:tplc="A9AE09D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19"/>
  </w:num>
  <w:num w:numId="3">
    <w:abstractNumId w:val="0"/>
  </w:num>
  <w:num w:numId="4">
    <w:abstractNumId w:val="34"/>
  </w:num>
  <w:num w:numId="5">
    <w:abstractNumId w:val="10"/>
  </w:num>
  <w:num w:numId="6">
    <w:abstractNumId w:val="21"/>
  </w:num>
  <w:num w:numId="7">
    <w:abstractNumId w:val="17"/>
  </w:num>
  <w:num w:numId="8">
    <w:abstractNumId w:val="24"/>
  </w:num>
  <w:num w:numId="9">
    <w:abstractNumId w:val="9"/>
  </w:num>
  <w:num w:numId="10">
    <w:abstractNumId w:val="7"/>
  </w:num>
  <w:num w:numId="11">
    <w:abstractNumId w:val="2"/>
  </w:num>
  <w:num w:numId="12">
    <w:abstractNumId w:val="18"/>
  </w:num>
  <w:num w:numId="13">
    <w:abstractNumId w:val="27"/>
  </w:num>
  <w:num w:numId="1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8"/>
  </w:num>
  <w:num w:numId="17">
    <w:abstractNumId w:val="15"/>
  </w:num>
  <w:num w:numId="18">
    <w:abstractNumId w:val="13"/>
  </w:num>
  <w:num w:numId="19">
    <w:abstractNumId w:val="3"/>
  </w:num>
  <w:num w:numId="20">
    <w:abstractNumId w:val="22"/>
  </w:num>
  <w:num w:numId="21">
    <w:abstractNumId w:val="4"/>
  </w:num>
  <w:num w:numId="22">
    <w:abstractNumId w:val="20"/>
  </w:num>
  <w:num w:numId="23">
    <w:abstractNumId w:val="5"/>
  </w:num>
  <w:num w:numId="24">
    <w:abstractNumId w:val="12"/>
  </w:num>
  <w:num w:numId="25">
    <w:abstractNumId w:val="6"/>
  </w:num>
  <w:num w:numId="26">
    <w:abstractNumId w:val="31"/>
  </w:num>
  <w:num w:numId="27">
    <w:abstractNumId w:val="14"/>
  </w:num>
  <w:num w:numId="28">
    <w:abstractNumId w:val="29"/>
  </w:num>
  <w:num w:numId="29">
    <w:abstractNumId w:val="25"/>
  </w:num>
  <w:num w:numId="30">
    <w:abstractNumId w:val="1"/>
  </w:num>
  <w:num w:numId="31">
    <w:abstractNumId w:val="33"/>
  </w:num>
  <w:num w:numId="32">
    <w:abstractNumId w:val="28"/>
  </w:num>
  <w:num w:numId="33">
    <w:abstractNumId w:val="16"/>
  </w:num>
  <w:num w:numId="34">
    <w:abstractNumId w:val="16"/>
    <w:lvlOverride w:ilvl="0">
      <w:startOverride w:val="31"/>
    </w:lvlOverride>
  </w:num>
  <w:num w:numId="35">
    <w:abstractNumId w:val="35"/>
  </w:num>
  <w:num w:numId="36">
    <w:abstractNumId w:val="26"/>
  </w:num>
  <w:num w:numId="37">
    <w:abstractNumId w:val="3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68C2"/>
    <w:rsid w:val="00000017"/>
    <w:rsid w:val="00000144"/>
    <w:rsid w:val="00000262"/>
    <w:rsid w:val="000002CB"/>
    <w:rsid w:val="00000985"/>
    <w:rsid w:val="00000C94"/>
    <w:rsid w:val="00001056"/>
    <w:rsid w:val="00001232"/>
    <w:rsid w:val="0000148A"/>
    <w:rsid w:val="000015FC"/>
    <w:rsid w:val="000017FE"/>
    <w:rsid w:val="000019E9"/>
    <w:rsid w:val="00001DE4"/>
    <w:rsid w:val="00001E95"/>
    <w:rsid w:val="0000216E"/>
    <w:rsid w:val="0000247D"/>
    <w:rsid w:val="00002B94"/>
    <w:rsid w:val="00003215"/>
    <w:rsid w:val="000037FF"/>
    <w:rsid w:val="00003BB9"/>
    <w:rsid w:val="00003D85"/>
    <w:rsid w:val="00004874"/>
    <w:rsid w:val="00005037"/>
    <w:rsid w:val="00005056"/>
    <w:rsid w:val="000051C8"/>
    <w:rsid w:val="0000592D"/>
    <w:rsid w:val="000070C4"/>
    <w:rsid w:val="00007187"/>
    <w:rsid w:val="00007B70"/>
    <w:rsid w:val="00007BA1"/>
    <w:rsid w:val="00007D40"/>
    <w:rsid w:val="000107A4"/>
    <w:rsid w:val="000108C6"/>
    <w:rsid w:val="000108CC"/>
    <w:rsid w:val="00011503"/>
    <w:rsid w:val="00012A69"/>
    <w:rsid w:val="00012B54"/>
    <w:rsid w:val="000135DD"/>
    <w:rsid w:val="00013A9C"/>
    <w:rsid w:val="00013F62"/>
    <w:rsid w:val="00014097"/>
    <w:rsid w:val="0001432B"/>
    <w:rsid w:val="00014455"/>
    <w:rsid w:val="00014F1D"/>
    <w:rsid w:val="0001504E"/>
    <w:rsid w:val="000150FC"/>
    <w:rsid w:val="0001526D"/>
    <w:rsid w:val="000158AA"/>
    <w:rsid w:val="00015DB0"/>
    <w:rsid w:val="00015EEC"/>
    <w:rsid w:val="00015F02"/>
    <w:rsid w:val="00016220"/>
    <w:rsid w:val="000162AB"/>
    <w:rsid w:val="0001654D"/>
    <w:rsid w:val="00017530"/>
    <w:rsid w:val="00020944"/>
    <w:rsid w:val="00020DDB"/>
    <w:rsid w:val="00020E3B"/>
    <w:rsid w:val="0002111A"/>
    <w:rsid w:val="00021182"/>
    <w:rsid w:val="00021647"/>
    <w:rsid w:val="000217D4"/>
    <w:rsid w:val="00021CF0"/>
    <w:rsid w:val="0002232A"/>
    <w:rsid w:val="000224AA"/>
    <w:rsid w:val="000224B1"/>
    <w:rsid w:val="00022B08"/>
    <w:rsid w:val="00023396"/>
    <w:rsid w:val="0002380D"/>
    <w:rsid w:val="00023FCD"/>
    <w:rsid w:val="00024221"/>
    <w:rsid w:val="0002426A"/>
    <w:rsid w:val="00024744"/>
    <w:rsid w:val="00024D9D"/>
    <w:rsid w:val="00025166"/>
    <w:rsid w:val="00025180"/>
    <w:rsid w:val="0002552B"/>
    <w:rsid w:val="00025C29"/>
    <w:rsid w:val="000260A5"/>
    <w:rsid w:val="00026172"/>
    <w:rsid w:val="0002617E"/>
    <w:rsid w:val="000261F1"/>
    <w:rsid w:val="00026B79"/>
    <w:rsid w:val="0002744C"/>
    <w:rsid w:val="000276CD"/>
    <w:rsid w:val="0002789A"/>
    <w:rsid w:val="00027C17"/>
    <w:rsid w:val="00027D6C"/>
    <w:rsid w:val="00027E7B"/>
    <w:rsid w:val="000301A1"/>
    <w:rsid w:val="00030367"/>
    <w:rsid w:val="0003078D"/>
    <w:rsid w:val="0003084F"/>
    <w:rsid w:val="000309B1"/>
    <w:rsid w:val="00030B78"/>
    <w:rsid w:val="00030FBE"/>
    <w:rsid w:val="0003138F"/>
    <w:rsid w:val="000313E8"/>
    <w:rsid w:val="00031F0B"/>
    <w:rsid w:val="0003250E"/>
    <w:rsid w:val="000329F2"/>
    <w:rsid w:val="000336ED"/>
    <w:rsid w:val="00033C05"/>
    <w:rsid w:val="00033FCB"/>
    <w:rsid w:val="000344D3"/>
    <w:rsid w:val="000349AF"/>
    <w:rsid w:val="00034A6C"/>
    <w:rsid w:val="0003512A"/>
    <w:rsid w:val="0003528D"/>
    <w:rsid w:val="00035503"/>
    <w:rsid w:val="00035931"/>
    <w:rsid w:val="00035F19"/>
    <w:rsid w:val="00036186"/>
    <w:rsid w:val="00036A8C"/>
    <w:rsid w:val="00036F5D"/>
    <w:rsid w:val="000370AE"/>
    <w:rsid w:val="00037215"/>
    <w:rsid w:val="0003730E"/>
    <w:rsid w:val="000374FA"/>
    <w:rsid w:val="000378DC"/>
    <w:rsid w:val="00037A1E"/>
    <w:rsid w:val="00037A53"/>
    <w:rsid w:val="00037B46"/>
    <w:rsid w:val="00037BD7"/>
    <w:rsid w:val="00037C39"/>
    <w:rsid w:val="00041140"/>
    <w:rsid w:val="00041F6A"/>
    <w:rsid w:val="0004243C"/>
    <w:rsid w:val="00042665"/>
    <w:rsid w:val="0004294B"/>
    <w:rsid w:val="00042A26"/>
    <w:rsid w:val="0004346F"/>
    <w:rsid w:val="0004388D"/>
    <w:rsid w:val="0004430A"/>
    <w:rsid w:val="00044F61"/>
    <w:rsid w:val="000452F0"/>
    <w:rsid w:val="000455F5"/>
    <w:rsid w:val="0004583D"/>
    <w:rsid w:val="0004641E"/>
    <w:rsid w:val="0004654A"/>
    <w:rsid w:val="00046A90"/>
    <w:rsid w:val="0004739D"/>
    <w:rsid w:val="00047FA5"/>
    <w:rsid w:val="00050513"/>
    <w:rsid w:val="000507BB"/>
    <w:rsid w:val="00050F7C"/>
    <w:rsid w:val="00051349"/>
    <w:rsid w:val="000515B4"/>
    <w:rsid w:val="0005166E"/>
    <w:rsid w:val="00051840"/>
    <w:rsid w:val="00051B79"/>
    <w:rsid w:val="00051C70"/>
    <w:rsid w:val="00051D31"/>
    <w:rsid w:val="00052639"/>
    <w:rsid w:val="000526F5"/>
    <w:rsid w:val="00052A65"/>
    <w:rsid w:val="00052B01"/>
    <w:rsid w:val="00052D15"/>
    <w:rsid w:val="00053C37"/>
    <w:rsid w:val="000553AD"/>
    <w:rsid w:val="00056438"/>
    <w:rsid w:val="000568D9"/>
    <w:rsid w:val="00056E7E"/>
    <w:rsid w:val="000571AD"/>
    <w:rsid w:val="000578FF"/>
    <w:rsid w:val="00057D17"/>
    <w:rsid w:val="00057FC3"/>
    <w:rsid w:val="00060A37"/>
    <w:rsid w:val="000614B7"/>
    <w:rsid w:val="00061734"/>
    <w:rsid w:val="000618E4"/>
    <w:rsid w:val="00061A30"/>
    <w:rsid w:val="00062107"/>
    <w:rsid w:val="00062AC3"/>
    <w:rsid w:val="00062F8A"/>
    <w:rsid w:val="00063080"/>
    <w:rsid w:val="00063139"/>
    <w:rsid w:val="00063326"/>
    <w:rsid w:val="00063981"/>
    <w:rsid w:val="00064476"/>
    <w:rsid w:val="0006451A"/>
    <w:rsid w:val="00064D06"/>
    <w:rsid w:val="00064EE7"/>
    <w:rsid w:val="00065012"/>
    <w:rsid w:val="000652E6"/>
    <w:rsid w:val="000655E0"/>
    <w:rsid w:val="000658C3"/>
    <w:rsid w:val="00065CA4"/>
    <w:rsid w:val="00066A82"/>
    <w:rsid w:val="00066F77"/>
    <w:rsid w:val="00067202"/>
    <w:rsid w:val="00067208"/>
    <w:rsid w:val="00067C55"/>
    <w:rsid w:val="000700EC"/>
    <w:rsid w:val="000704AA"/>
    <w:rsid w:val="00070D32"/>
    <w:rsid w:val="00071031"/>
    <w:rsid w:val="000712D5"/>
    <w:rsid w:val="000718CF"/>
    <w:rsid w:val="00071BEA"/>
    <w:rsid w:val="00071D21"/>
    <w:rsid w:val="00071DE1"/>
    <w:rsid w:val="00071FAA"/>
    <w:rsid w:val="00072036"/>
    <w:rsid w:val="00072121"/>
    <w:rsid w:val="00072777"/>
    <w:rsid w:val="00072960"/>
    <w:rsid w:val="00072A72"/>
    <w:rsid w:val="000731C6"/>
    <w:rsid w:val="0007394B"/>
    <w:rsid w:val="00073B5F"/>
    <w:rsid w:val="00073C7D"/>
    <w:rsid w:val="00073E3D"/>
    <w:rsid w:val="00074000"/>
    <w:rsid w:val="00074706"/>
    <w:rsid w:val="00074831"/>
    <w:rsid w:val="00074A7D"/>
    <w:rsid w:val="00074DEE"/>
    <w:rsid w:val="00075769"/>
    <w:rsid w:val="00075788"/>
    <w:rsid w:val="00076377"/>
    <w:rsid w:val="00076BA1"/>
    <w:rsid w:val="000778E8"/>
    <w:rsid w:val="00077C00"/>
    <w:rsid w:val="00080006"/>
    <w:rsid w:val="00080525"/>
    <w:rsid w:val="00080EC1"/>
    <w:rsid w:val="00080ED9"/>
    <w:rsid w:val="000817C9"/>
    <w:rsid w:val="000817EA"/>
    <w:rsid w:val="00081CAB"/>
    <w:rsid w:val="0008220C"/>
    <w:rsid w:val="000822D7"/>
    <w:rsid w:val="0008278B"/>
    <w:rsid w:val="00083049"/>
    <w:rsid w:val="0008316A"/>
    <w:rsid w:val="000837CB"/>
    <w:rsid w:val="00083825"/>
    <w:rsid w:val="00083AFD"/>
    <w:rsid w:val="00083D35"/>
    <w:rsid w:val="0008450A"/>
    <w:rsid w:val="00084592"/>
    <w:rsid w:val="00084603"/>
    <w:rsid w:val="00084923"/>
    <w:rsid w:val="00085110"/>
    <w:rsid w:val="000851DE"/>
    <w:rsid w:val="0008539C"/>
    <w:rsid w:val="00085CB4"/>
    <w:rsid w:val="00085EF7"/>
    <w:rsid w:val="000864B4"/>
    <w:rsid w:val="000865DB"/>
    <w:rsid w:val="00086892"/>
    <w:rsid w:val="00086D3F"/>
    <w:rsid w:val="00087206"/>
    <w:rsid w:val="00087434"/>
    <w:rsid w:val="0008749E"/>
    <w:rsid w:val="000874F6"/>
    <w:rsid w:val="00087B79"/>
    <w:rsid w:val="00087D06"/>
    <w:rsid w:val="00087E21"/>
    <w:rsid w:val="0009021C"/>
    <w:rsid w:val="00090414"/>
    <w:rsid w:val="00090820"/>
    <w:rsid w:val="00090FE6"/>
    <w:rsid w:val="0009103C"/>
    <w:rsid w:val="000912CE"/>
    <w:rsid w:val="00092424"/>
    <w:rsid w:val="000926F9"/>
    <w:rsid w:val="0009281A"/>
    <w:rsid w:val="00092A85"/>
    <w:rsid w:val="00092FA9"/>
    <w:rsid w:val="00093023"/>
    <w:rsid w:val="000933E0"/>
    <w:rsid w:val="000935F2"/>
    <w:rsid w:val="00093B49"/>
    <w:rsid w:val="000941D8"/>
    <w:rsid w:val="00094204"/>
    <w:rsid w:val="00094467"/>
    <w:rsid w:val="00094914"/>
    <w:rsid w:val="00094BE9"/>
    <w:rsid w:val="00094C18"/>
    <w:rsid w:val="00095719"/>
    <w:rsid w:val="00095A60"/>
    <w:rsid w:val="00095D2C"/>
    <w:rsid w:val="00095E69"/>
    <w:rsid w:val="00096ACA"/>
    <w:rsid w:val="00096B34"/>
    <w:rsid w:val="00096DB7"/>
    <w:rsid w:val="00097254"/>
    <w:rsid w:val="000974E3"/>
    <w:rsid w:val="000A036F"/>
    <w:rsid w:val="000A08AA"/>
    <w:rsid w:val="000A0998"/>
    <w:rsid w:val="000A0A18"/>
    <w:rsid w:val="000A0DFD"/>
    <w:rsid w:val="000A1159"/>
    <w:rsid w:val="000A1C9A"/>
    <w:rsid w:val="000A1DC3"/>
    <w:rsid w:val="000A2009"/>
    <w:rsid w:val="000A2036"/>
    <w:rsid w:val="000A21DE"/>
    <w:rsid w:val="000A249E"/>
    <w:rsid w:val="000A2789"/>
    <w:rsid w:val="000A2814"/>
    <w:rsid w:val="000A2C4A"/>
    <w:rsid w:val="000A3B63"/>
    <w:rsid w:val="000A4302"/>
    <w:rsid w:val="000A463A"/>
    <w:rsid w:val="000A5050"/>
    <w:rsid w:val="000A5259"/>
    <w:rsid w:val="000A5849"/>
    <w:rsid w:val="000A639E"/>
    <w:rsid w:val="000A6A1E"/>
    <w:rsid w:val="000A6DBD"/>
    <w:rsid w:val="000A7509"/>
    <w:rsid w:val="000A7A06"/>
    <w:rsid w:val="000A7D6D"/>
    <w:rsid w:val="000A7E6A"/>
    <w:rsid w:val="000B0A1C"/>
    <w:rsid w:val="000B0ADA"/>
    <w:rsid w:val="000B0ADB"/>
    <w:rsid w:val="000B0E10"/>
    <w:rsid w:val="000B0FA2"/>
    <w:rsid w:val="000B0FFC"/>
    <w:rsid w:val="000B11AE"/>
    <w:rsid w:val="000B1869"/>
    <w:rsid w:val="000B1E33"/>
    <w:rsid w:val="000B1FE0"/>
    <w:rsid w:val="000B288F"/>
    <w:rsid w:val="000B2B15"/>
    <w:rsid w:val="000B2D86"/>
    <w:rsid w:val="000B2F40"/>
    <w:rsid w:val="000B2FCD"/>
    <w:rsid w:val="000B3367"/>
    <w:rsid w:val="000B3463"/>
    <w:rsid w:val="000B36B9"/>
    <w:rsid w:val="000B3A2F"/>
    <w:rsid w:val="000B3CBE"/>
    <w:rsid w:val="000B4791"/>
    <w:rsid w:val="000B4806"/>
    <w:rsid w:val="000B4CCF"/>
    <w:rsid w:val="000B4F87"/>
    <w:rsid w:val="000B538B"/>
    <w:rsid w:val="000B615F"/>
    <w:rsid w:val="000B66C1"/>
    <w:rsid w:val="000B73F9"/>
    <w:rsid w:val="000B76D2"/>
    <w:rsid w:val="000C0242"/>
    <w:rsid w:val="000C04C5"/>
    <w:rsid w:val="000C0578"/>
    <w:rsid w:val="000C139F"/>
    <w:rsid w:val="000C13CF"/>
    <w:rsid w:val="000C1BE1"/>
    <w:rsid w:val="000C1DCE"/>
    <w:rsid w:val="000C1F66"/>
    <w:rsid w:val="000C20E8"/>
    <w:rsid w:val="000C2331"/>
    <w:rsid w:val="000C29D6"/>
    <w:rsid w:val="000C3206"/>
    <w:rsid w:val="000C3987"/>
    <w:rsid w:val="000C3E44"/>
    <w:rsid w:val="000C43C2"/>
    <w:rsid w:val="000C464D"/>
    <w:rsid w:val="000C4822"/>
    <w:rsid w:val="000C4C19"/>
    <w:rsid w:val="000C54E6"/>
    <w:rsid w:val="000C5750"/>
    <w:rsid w:val="000C609C"/>
    <w:rsid w:val="000C64AA"/>
    <w:rsid w:val="000C667B"/>
    <w:rsid w:val="000C74F9"/>
    <w:rsid w:val="000C7BDB"/>
    <w:rsid w:val="000C7C2A"/>
    <w:rsid w:val="000C7FBA"/>
    <w:rsid w:val="000D0366"/>
    <w:rsid w:val="000D05AC"/>
    <w:rsid w:val="000D09EE"/>
    <w:rsid w:val="000D0CC4"/>
    <w:rsid w:val="000D0F6C"/>
    <w:rsid w:val="000D108A"/>
    <w:rsid w:val="000D1684"/>
    <w:rsid w:val="000D1F88"/>
    <w:rsid w:val="000D2CEE"/>
    <w:rsid w:val="000D2D54"/>
    <w:rsid w:val="000D3608"/>
    <w:rsid w:val="000D435A"/>
    <w:rsid w:val="000D484D"/>
    <w:rsid w:val="000D4880"/>
    <w:rsid w:val="000D539C"/>
    <w:rsid w:val="000D59B1"/>
    <w:rsid w:val="000D5C92"/>
    <w:rsid w:val="000D5CEE"/>
    <w:rsid w:val="000D634F"/>
    <w:rsid w:val="000D64DD"/>
    <w:rsid w:val="000D67AE"/>
    <w:rsid w:val="000D6B2A"/>
    <w:rsid w:val="000D7192"/>
    <w:rsid w:val="000D76CA"/>
    <w:rsid w:val="000E068F"/>
    <w:rsid w:val="000E096A"/>
    <w:rsid w:val="000E1CD8"/>
    <w:rsid w:val="000E206B"/>
    <w:rsid w:val="000E20C6"/>
    <w:rsid w:val="000E25CF"/>
    <w:rsid w:val="000E26B4"/>
    <w:rsid w:val="000E2703"/>
    <w:rsid w:val="000E2933"/>
    <w:rsid w:val="000E2AF3"/>
    <w:rsid w:val="000E334D"/>
    <w:rsid w:val="000E3471"/>
    <w:rsid w:val="000E35FF"/>
    <w:rsid w:val="000E455D"/>
    <w:rsid w:val="000E4683"/>
    <w:rsid w:val="000E4694"/>
    <w:rsid w:val="000E519C"/>
    <w:rsid w:val="000E597E"/>
    <w:rsid w:val="000E5C8F"/>
    <w:rsid w:val="000E5DEC"/>
    <w:rsid w:val="000E5F41"/>
    <w:rsid w:val="000E649E"/>
    <w:rsid w:val="000E69C9"/>
    <w:rsid w:val="000E7A05"/>
    <w:rsid w:val="000E7B65"/>
    <w:rsid w:val="000E7D19"/>
    <w:rsid w:val="000E7D74"/>
    <w:rsid w:val="000F0538"/>
    <w:rsid w:val="000F0742"/>
    <w:rsid w:val="000F0F60"/>
    <w:rsid w:val="000F1619"/>
    <w:rsid w:val="000F191B"/>
    <w:rsid w:val="000F19EA"/>
    <w:rsid w:val="000F1CC7"/>
    <w:rsid w:val="000F26FF"/>
    <w:rsid w:val="000F2754"/>
    <w:rsid w:val="000F2911"/>
    <w:rsid w:val="000F291D"/>
    <w:rsid w:val="000F2B72"/>
    <w:rsid w:val="000F3682"/>
    <w:rsid w:val="000F4581"/>
    <w:rsid w:val="000F47AC"/>
    <w:rsid w:val="000F49AA"/>
    <w:rsid w:val="000F4A1B"/>
    <w:rsid w:val="000F4F6A"/>
    <w:rsid w:val="000F5035"/>
    <w:rsid w:val="000F53F5"/>
    <w:rsid w:val="000F54C4"/>
    <w:rsid w:val="000F558D"/>
    <w:rsid w:val="000F55A6"/>
    <w:rsid w:val="000F574A"/>
    <w:rsid w:val="000F6243"/>
    <w:rsid w:val="000F6F66"/>
    <w:rsid w:val="000F701D"/>
    <w:rsid w:val="000F7040"/>
    <w:rsid w:val="000F733B"/>
    <w:rsid w:val="000F73EE"/>
    <w:rsid w:val="000F7800"/>
    <w:rsid w:val="000F78AE"/>
    <w:rsid w:val="000F79D6"/>
    <w:rsid w:val="000F7CB2"/>
    <w:rsid w:val="000F7D35"/>
    <w:rsid w:val="001004C7"/>
    <w:rsid w:val="00100569"/>
    <w:rsid w:val="001009F4"/>
    <w:rsid w:val="00100A8C"/>
    <w:rsid w:val="00100ECD"/>
    <w:rsid w:val="00101B1F"/>
    <w:rsid w:val="00101B52"/>
    <w:rsid w:val="001022FA"/>
    <w:rsid w:val="001023D9"/>
    <w:rsid w:val="001023FA"/>
    <w:rsid w:val="00102D43"/>
    <w:rsid w:val="00102D97"/>
    <w:rsid w:val="00103324"/>
    <w:rsid w:val="001034D7"/>
    <w:rsid w:val="0010364D"/>
    <w:rsid w:val="00103673"/>
    <w:rsid w:val="001038F4"/>
    <w:rsid w:val="00103982"/>
    <w:rsid w:val="00103B02"/>
    <w:rsid w:val="00103BA5"/>
    <w:rsid w:val="00103EA3"/>
    <w:rsid w:val="00104056"/>
    <w:rsid w:val="00104410"/>
    <w:rsid w:val="00104ACC"/>
    <w:rsid w:val="00104D58"/>
    <w:rsid w:val="00104D98"/>
    <w:rsid w:val="00105724"/>
    <w:rsid w:val="001058ED"/>
    <w:rsid w:val="00105ACC"/>
    <w:rsid w:val="00105BB0"/>
    <w:rsid w:val="00105E10"/>
    <w:rsid w:val="0010609C"/>
    <w:rsid w:val="001066DC"/>
    <w:rsid w:val="00106B1F"/>
    <w:rsid w:val="00107487"/>
    <w:rsid w:val="00107805"/>
    <w:rsid w:val="0010780E"/>
    <w:rsid w:val="00107C59"/>
    <w:rsid w:val="00107CAB"/>
    <w:rsid w:val="0011007C"/>
    <w:rsid w:val="001105F1"/>
    <w:rsid w:val="001115E2"/>
    <w:rsid w:val="0011217B"/>
    <w:rsid w:val="001125F6"/>
    <w:rsid w:val="00112E3A"/>
    <w:rsid w:val="00113033"/>
    <w:rsid w:val="0011337B"/>
    <w:rsid w:val="00113D20"/>
    <w:rsid w:val="0011428E"/>
    <w:rsid w:val="00114422"/>
    <w:rsid w:val="001147D8"/>
    <w:rsid w:val="00114B4C"/>
    <w:rsid w:val="00114EDF"/>
    <w:rsid w:val="00114F58"/>
    <w:rsid w:val="00114FFC"/>
    <w:rsid w:val="00115700"/>
    <w:rsid w:val="00115BB5"/>
    <w:rsid w:val="00115C1D"/>
    <w:rsid w:val="00115D3A"/>
    <w:rsid w:val="001161F8"/>
    <w:rsid w:val="00116310"/>
    <w:rsid w:val="001168E1"/>
    <w:rsid w:val="00116CBA"/>
    <w:rsid w:val="0011725D"/>
    <w:rsid w:val="001174C4"/>
    <w:rsid w:val="0011767B"/>
    <w:rsid w:val="001177D5"/>
    <w:rsid w:val="00117B6F"/>
    <w:rsid w:val="001201F6"/>
    <w:rsid w:val="00120266"/>
    <w:rsid w:val="00120381"/>
    <w:rsid w:val="00120A25"/>
    <w:rsid w:val="00120C4D"/>
    <w:rsid w:val="00121309"/>
    <w:rsid w:val="0012161A"/>
    <w:rsid w:val="00121941"/>
    <w:rsid w:val="001219C7"/>
    <w:rsid w:val="00121EED"/>
    <w:rsid w:val="001226CA"/>
    <w:rsid w:val="00122D43"/>
    <w:rsid w:val="00123199"/>
    <w:rsid w:val="00123326"/>
    <w:rsid w:val="0012339F"/>
    <w:rsid w:val="00123720"/>
    <w:rsid w:val="001238DC"/>
    <w:rsid w:val="00123993"/>
    <w:rsid w:val="00124244"/>
    <w:rsid w:val="001242E7"/>
    <w:rsid w:val="00124583"/>
    <w:rsid w:val="001256ED"/>
    <w:rsid w:val="001259A1"/>
    <w:rsid w:val="00125BB2"/>
    <w:rsid w:val="00125EA6"/>
    <w:rsid w:val="00125EB4"/>
    <w:rsid w:val="001265A9"/>
    <w:rsid w:val="00127095"/>
    <w:rsid w:val="00127711"/>
    <w:rsid w:val="00127840"/>
    <w:rsid w:val="0012790E"/>
    <w:rsid w:val="0013029F"/>
    <w:rsid w:val="001308C3"/>
    <w:rsid w:val="001310CE"/>
    <w:rsid w:val="001312B9"/>
    <w:rsid w:val="00131365"/>
    <w:rsid w:val="00131950"/>
    <w:rsid w:val="00131994"/>
    <w:rsid w:val="00131BAD"/>
    <w:rsid w:val="0013253F"/>
    <w:rsid w:val="001325FD"/>
    <w:rsid w:val="001326BA"/>
    <w:rsid w:val="00132A7D"/>
    <w:rsid w:val="00132FD8"/>
    <w:rsid w:val="00133241"/>
    <w:rsid w:val="001338D4"/>
    <w:rsid w:val="00133E81"/>
    <w:rsid w:val="0013436D"/>
    <w:rsid w:val="0013458B"/>
    <w:rsid w:val="001347FF"/>
    <w:rsid w:val="00134B64"/>
    <w:rsid w:val="00134EF1"/>
    <w:rsid w:val="00134F02"/>
    <w:rsid w:val="0013513E"/>
    <w:rsid w:val="0013531C"/>
    <w:rsid w:val="001354F8"/>
    <w:rsid w:val="00135777"/>
    <w:rsid w:val="001359B4"/>
    <w:rsid w:val="00135B65"/>
    <w:rsid w:val="0013609A"/>
    <w:rsid w:val="00136466"/>
    <w:rsid w:val="001364EF"/>
    <w:rsid w:val="00136B02"/>
    <w:rsid w:val="00136F86"/>
    <w:rsid w:val="0013707D"/>
    <w:rsid w:val="00137107"/>
    <w:rsid w:val="001375E0"/>
    <w:rsid w:val="00137678"/>
    <w:rsid w:val="001404D1"/>
    <w:rsid w:val="00140724"/>
    <w:rsid w:val="00140CC9"/>
    <w:rsid w:val="001414A1"/>
    <w:rsid w:val="001414E0"/>
    <w:rsid w:val="00141957"/>
    <w:rsid w:val="00142121"/>
    <w:rsid w:val="0014228A"/>
    <w:rsid w:val="00142729"/>
    <w:rsid w:val="00142C3C"/>
    <w:rsid w:val="00142F09"/>
    <w:rsid w:val="00142F83"/>
    <w:rsid w:val="00143C28"/>
    <w:rsid w:val="0014411E"/>
    <w:rsid w:val="001442DA"/>
    <w:rsid w:val="001446D0"/>
    <w:rsid w:val="00144A70"/>
    <w:rsid w:val="00144B8F"/>
    <w:rsid w:val="00144C91"/>
    <w:rsid w:val="00144F21"/>
    <w:rsid w:val="00144FEB"/>
    <w:rsid w:val="001451C7"/>
    <w:rsid w:val="001457BF"/>
    <w:rsid w:val="001457DA"/>
    <w:rsid w:val="001457E1"/>
    <w:rsid w:val="00145825"/>
    <w:rsid w:val="00145B76"/>
    <w:rsid w:val="00145EFF"/>
    <w:rsid w:val="00145F8E"/>
    <w:rsid w:val="001461AF"/>
    <w:rsid w:val="00146655"/>
    <w:rsid w:val="00146A91"/>
    <w:rsid w:val="00146D2C"/>
    <w:rsid w:val="00146F57"/>
    <w:rsid w:val="00147137"/>
    <w:rsid w:val="00147643"/>
    <w:rsid w:val="001504D4"/>
    <w:rsid w:val="00150601"/>
    <w:rsid w:val="00150E07"/>
    <w:rsid w:val="001510D4"/>
    <w:rsid w:val="00151576"/>
    <w:rsid w:val="00151816"/>
    <w:rsid w:val="0015198D"/>
    <w:rsid w:val="00151C80"/>
    <w:rsid w:val="00152505"/>
    <w:rsid w:val="00152E5F"/>
    <w:rsid w:val="001531AC"/>
    <w:rsid w:val="0015358D"/>
    <w:rsid w:val="00153B30"/>
    <w:rsid w:val="00154B3F"/>
    <w:rsid w:val="00155348"/>
    <w:rsid w:val="00155663"/>
    <w:rsid w:val="001559F7"/>
    <w:rsid w:val="00156323"/>
    <w:rsid w:val="00156432"/>
    <w:rsid w:val="001564B1"/>
    <w:rsid w:val="001566A4"/>
    <w:rsid w:val="00156A96"/>
    <w:rsid w:val="0015766D"/>
    <w:rsid w:val="00157D9F"/>
    <w:rsid w:val="00157DA3"/>
    <w:rsid w:val="00160F21"/>
    <w:rsid w:val="001618B9"/>
    <w:rsid w:val="00162104"/>
    <w:rsid w:val="00162225"/>
    <w:rsid w:val="00162AD2"/>
    <w:rsid w:val="001631A5"/>
    <w:rsid w:val="001634F0"/>
    <w:rsid w:val="0016354C"/>
    <w:rsid w:val="001636F6"/>
    <w:rsid w:val="0016370B"/>
    <w:rsid w:val="00163850"/>
    <w:rsid w:val="001640ED"/>
    <w:rsid w:val="00164265"/>
    <w:rsid w:val="0016443F"/>
    <w:rsid w:val="00164E44"/>
    <w:rsid w:val="00164F47"/>
    <w:rsid w:val="001651CC"/>
    <w:rsid w:val="0016599A"/>
    <w:rsid w:val="00165A18"/>
    <w:rsid w:val="00165A99"/>
    <w:rsid w:val="00165C9C"/>
    <w:rsid w:val="00165E05"/>
    <w:rsid w:val="00166329"/>
    <w:rsid w:val="0016639C"/>
    <w:rsid w:val="00166491"/>
    <w:rsid w:val="00166A59"/>
    <w:rsid w:val="00166A61"/>
    <w:rsid w:val="001674CF"/>
    <w:rsid w:val="00167D99"/>
    <w:rsid w:val="00167FB5"/>
    <w:rsid w:val="001700DF"/>
    <w:rsid w:val="0017050E"/>
    <w:rsid w:val="00170840"/>
    <w:rsid w:val="00171C1B"/>
    <w:rsid w:val="00171DF5"/>
    <w:rsid w:val="00172634"/>
    <w:rsid w:val="00172B02"/>
    <w:rsid w:val="00172EE5"/>
    <w:rsid w:val="0017432F"/>
    <w:rsid w:val="00174900"/>
    <w:rsid w:val="00175A6F"/>
    <w:rsid w:val="00175BB1"/>
    <w:rsid w:val="00175FA3"/>
    <w:rsid w:val="00176004"/>
    <w:rsid w:val="0017605B"/>
    <w:rsid w:val="00176453"/>
    <w:rsid w:val="0017647A"/>
    <w:rsid w:val="00176E09"/>
    <w:rsid w:val="00177A44"/>
    <w:rsid w:val="00177AEB"/>
    <w:rsid w:val="00180287"/>
    <w:rsid w:val="001806A9"/>
    <w:rsid w:val="0018097F"/>
    <w:rsid w:val="00181329"/>
    <w:rsid w:val="00181A3D"/>
    <w:rsid w:val="001821DC"/>
    <w:rsid w:val="00182BE2"/>
    <w:rsid w:val="00182D0A"/>
    <w:rsid w:val="00182F92"/>
    <w:rsid w:val="0018340A"/>
    <w:rsid w:val="001835C9"/>
    <w:rsid w:val="00183600"/>
    <w:rsid w:val="00183676"/>
    <w:rsid w:val="00183CC7"/>
    <w:rsid w:val="0018414A"/>
    <w:rsid w:val="0018522D"/>
    <w:rsid w:val="00185CFC"/>
    <w:rsid w:val="00186011"/>
    <w:rsid w:val="001862D0"/>
    <w:rsid w:val="001867C0"/>
    <w:rsid w:val="00187A7C"/>
    <w:rsid w:val="00187BFD"/>
    <w:rsid w:val="00187C3C"/>
    <w:rsid w:val="00187DBE"/>
    <w:rsid w:val="001905DB"/>
    <w:rsid w:val="001908BB"/>
    <w:rsid w:val="00190D89"/>
    <w:rsid w:val="00191046"/>
    <w:rsid w:val="00191243"/>
    <w:rsid w:val="0019143A"/>
    <w:rsid w:val="00191745"/>
    <w:rsid w:val="00191C59"/>
    <w:rsid w:val="00191E7E"/>
    <w:rsid w:val="00192149"/>
    <w:rsid w:val="001922A1"/>
    <w:rsid w:val="001924A7"/>
    <w:rsid w:val="001929CD"/>
    <w:rsid w:val="00192CF7"/>
    <w:rsid w:val="00193125"/>
    <w:rsid w:val="001931C5"/>
    <w:rsid w:val="00193992"/>
    <w:rsid w:val="00193A3B"/>
    <w:rsid w:val="001940F5"/>
    <w:rsid w:val="001941C1"/>
    <w:rsid w:val="001946FC"/>
    <w:rsid w:val="001949F7"/>
    <w:rsid w:val="00194AC0"/>
    <w:rsid w:val="00194C47"/>
    <w:rsid w:val="00194FB6"/>
    <w:rsid w:val="00195562"/>
    <w:rsid w:val="00195702"/>
    <w:rsid w:val="00195BEB"/>
    <w:rsid w:val="00195FCF"/>
    <w:rsid w:val="00196063"/>
    <w:rsid w:val="00196157"/>
    <w:rsid w:val="00196B69"/>
    <w:rsid w:val="00196E91"/>
    <w:rsid w:val="0019702A"/>
    <w:rsid w:val="001974F0"/>
    <w:rsid w:val="00197A2B"/>
    <w:rsid w:val="00197B26"/>
    <w:rsid w:val="001A0301"/>
    <w:rsid w:val="001A03BA"/>
    <w:rsid w:val="001A041F"/>
    <w:rsid w:val="001A06D7"/>
    <w:rsid w:val="001A118F"/>
    <w:rsid w:val="001A1555"/>
    <w:rsid w:val="001A171B"/>
    <w:rsid w:val="001A1928"/>
    <w:rsid w:val="001A1F19"/>
    <w:rsid w:val="001A237D"/>
    <w:rsid w:val="001A2BDE"/>
    <w:rsid w:val="001A3B83"/>
    <w:rsid w:val="001A3DDE"/>
    <w:rsid w:val="001A4599"/>
    <w:rsid w:val="001A46BF"/>
    <w:rsid w:val="001A471A"/>
    <w:rsid w:val="001A4EEF"/>
    <w:rsid w:val="001A550D"/>
    <w:rsid w:val="001A5F79"/>
    <w:rsid w:val="001A60CF"/>
    <w:rsid w:val="001A62E5"/>
    <w:rsid w:val="001A63B9"/>
    <w:rsid w:val="001A64D8"/>
    <w:rsid w:val="001A6A49"/>
    <w:rsid w:val="001A6A7C"/>
    <w:rsid w:val="001A79A4"/>
    <w:rsid w:val="001A7F2C"/>
    <w:rsid w:val="001B1723"/>
    <w:rsid w:val="001B2008"/>
    <w:rsid w:val="001B2111"/>
    <w:rsid w:val="001B220F"/>
    <w:rsid w:val="001B2366"/>
    <w:rsid w:val="001B265A"/>
    <w:rsid w:val="001B2C9B"/>
    <w:rsid w:val="001B32EE"/>
    <w:rsid w:val="001B3AB7"/>
    <w:rsid w:val="001B406B"/>
    <w:rsid w:val="001B4979"/>
    <w:rsid w:val="001B4F44"/>
    <w:rsid w:val="001B52FC"/>
    <w:rsid w:val="001B5327"/>
    <w:rsid w:val="001B555D"/>
    <w:rsid w:val="001B5DFF"/>
    <w:rsid w:val="001B6166"/>
    <w:rsid w:val="001B68CD"/>
    <w:rsid w:val="001B6B5C"/>
    <w:rsid w:val="001B6C40"/>
    <w:rsid w:val="001B76B5"/>
    <w:rsid w:val="001B7EBB"/>
    <w:rsid w:val="001B7FDA"/>
    <w:rsid w:val="001C00BC"/>
    <w:rsid w:val="001C02B4"/>
    <w:rsid w:val="001C02EE"/>
    <w:rsid w:val="001C097A"/>
    <w:rsid w:val="001C0B98"/>
    <w:rsid w:val="001C0BA1"/>
    <w:rsid w:val="001C0DF5"/>
    <w:rsid w:val="001C1145"/>
    <w:rsid w:val="001C167E"/>
    <w:rsid w:val="001C1860"/>
    <w:rsid w:val="001C1C3A"/>
    <w:rsid w:val="001C265C"/>
    <w:rsid w:val="001C2675"/>
    <w:rsid w:val="001C2901"/>
    <w:rsid w:val="001C2CE8"/>
    <w:rsid w:val="001C2E88"/>
    <w:rsid w:val="001C2FF6"/>
    <w:rsid w:val="001C392D"/>
    <w:rsid w:val="001C39AC"/>
    <w:rsid w:val="001C3BC2"/>
    <w:rsid w:val="001C3F5D"/>
    <w:rsid w:val="001C405A"/>
    <w:rsid w:val="001C48FD"/>
    <w:rsid w:val="001C4A63"/>
    <w:rsid w:val="001C4CE2"/>
    <w:rsid w:val="001C4FA9"/>
    <w:rsid w:val="001C54CD"/>
    <w:rsid w:val="001C5ED3"/>
    <w:rsid w:val="001C65C6"/>
    <w:rsid w:val="001C6916"/>
    <w:rsid w:val="001C6DDB"/>
    <w:rsid w:val="001C709E"/>
    <w:rsid w:val="001C71EE"/>
    <w:rsid w:val="001C7201"/>
    <w:rsid w:val="001C729E"/>
    <w:rsid w:val="001C7B08"/>
    <w:rsid w:val="001C7CBB"/>
    <w:rsid w:val="001C7D2E"/>
    <w:rsid w:val="001D02DF"/>
    <w:rsid w:val="001D02F5"/>
    <w:rsid w:val="001D0384"/>
    <w:rsid w:val="001D0518"/>
    <w:rsid w:val="001D0C27"/>
    <w:rsid w:val="001D0C53"/>
    <w:rsid w:val="001D11CF"/>
    <w:rsid w:val="001D19F5"/>
    <w:rsid w:val="001D1DE0"/>
    <w:rsid w:val="001D1E29"/>
    <w:rsid w:val="001D1EF0"/>
    <w:rsid w:val="001D272B"/>
    <w:rsid w:val="001D29A3"/>
    <w:rsid w:val="001D35B5"/>
    <w:rsid w:val="001D3BD8"/>
    <w:rsid w:val="001D3BF0"/>
    <w:rsid w:val="001D3F4A"/>
    <w:rsid w:val="001D4783"/>
    <w:rsid w:val="001D4AF1"/>
    <w:rsid w:val="001D4E0B"/>
    <w:rsid w:val="001D55B1"/>
    <w:rsid w:val="001D5B61"/>
    <w:rsid w:val="001D6017"/>
    <w:rsid w:val="001D62CB"/>
    <w:rsid w:val="001D69D4"/>
    <w:rsid w:val="001D735D"/>
    <w:rsid w:val="001E064D"/>
    <w:rsid w:val="001E0664"/>
    <w:rsid w:val="001E0C20"/>
    <w:rsid w:val="001E0CF7"/>
    <w:rsid w:val="001E13BB"/>
    <w:rsid w:val="001E1966"/>
    <w:rsid w:val="001E1A60"/>
    <w:rsid w:val="001E1CDA"/>
    <w:rsid w:val="001E1D7D"/>
    <w:rsid w:val="001E1F70"/>
    <w:rsid w:val="001E2757"/>
    <w:rsid w:val="001E2D8E"/>
    <w:rsid w:val="001E2DB5"/>
    <w:rsid w:val="001E398D"/>
    <w:rsid w:val="001E3B1E"/>
    <w:rsid w:val="001E3BC3"/>
    <w:rsid w:val="001E4566"/>
    <w:rsid w:val="001E47FB"/>
    <w:rsid w:val="001E48F9"/>
    <w:rsid w:val="001E521C"/>
    <w:rsid w:val="001E532E"/>
    <w:rsid w:val="001E576B"/>
    <w:rsid w:val="001E5940"/>
    <w:rsid w:val="001E5E32"/>
    <w:rsid w:val="001E6A63"/>
    <w:rsid w:val="001E71D5"/>
    <w:rsid w:val="001F00E1"/>
    <w:rsid w:val="001F01AB"/>
    <w:rsid w:val="001F0723"/>
    <w:rsid w:val="001F0815"/>
    <w:rsid w:val="001F08F1"/>
    <w:rsid w:val="001F091C"/>
    <w:rsid w:val="001F0A6E"/>
    <w:rsid w:val="001F1260"/>
    <w:rsid w:val="001F1621"/>
    <w:rsid w:val="001F18FC"/>
    <w:rsid w:val="001F264F"/>
    <w:rsid w:val="001F2757"/>
    <w:rsid w:val="001F2772"/>
    <w:rsid w:val="001F281A"/>
    <w:rsid w:val="001F2881"/>
    <w:rsid w:val="001F28AE"/>
    <w:rsid w:val="001F2AA5"/>
    <w:rsid w:val="001F2D53"/>
    <w:rsid w:val="001F3255"/>
    <w:rsid w:val="001F3DBC"/>
    <w:rsid w:val="001F3F71"/>
    <w:rsid w:val="001F4AE6"/>
    <w:rsid w:val="001F4CB8"/>
    <w:rsid w:val="001F4F89"/>
    <w:rsid w:val="001F50CB"/>
    <w:rsid w:val="001F52E5"/>
    <w:rsid w:val="001F6016"/>
    <w:rsid w:val="001F6A75"/>
    <w:rsid w:val="001F6D60"/>
    <w:rsid w:val="001F6F48"/>
    <w:rsid w:val="001F73D1"/>
    <w:rsid w:val="001F7490"/>
    <w:rsid w:val="001F7C31"/>
    <w:rsid w:val="001F7E13"/>
    <w:rsid w:val="002000E9"/>
    <w:rsid w:val="002003D7"/>
    <w:rsid w:val="00200B19"/>
    <w:rsid w:val="002012BA"/>
    <w:rsid w:val="0020190C"/>
    <w:rsid w:val="00202783"/>
    <w:rsid w:val="00203395"/>
    <w:rsid w:val="002038A7"/>
    <w:rsid w:val="00203902"/>
    <w:rsid w:val="002042EF"/>
    <w:rsid w:val="002044B0"/>
    <w:rsid w:val="002048B1"/>
    <w:rsid w:val="00204968"/>
    <w:rsid w:val="00204FDA"/>
    <w:rsid w:val="00205A3B"/>
    <w:rsid w:val="00205E64"/>
    <w:rsid w:val="00205EBC"/>
    <w:rsid w:val="00206057"/>
    <w:rsid w:val="002062B7"/>
    <w:rsid w:val="00206429"/>
    <w:rsid w:val="00206C2A"/>
    <w:rsid w:val="00206D93"/>
    <w:rsid w:val="0020707D"/>
    <w:rsid w:val="002070C5"/>
    <w:rsid w:val="00207B2C"/>
    <w:rsid w:val="00210361"/>
    <w:rsid w:val="00210AA4"/>
    <w:rsid w:val="00210D77"/>
    <w:rsid w:val="00211121"/>
    <w:rsid w:val="002113EE"/>
    <w:rsid w:val="00211809"/>
    <w:rsid w:val="0021181A"/>
    <w:rsid w:val="00211F17"/>
    <w:rsid w:val="00212082"/>
    <w:rsid w:val="00212304"/>
    <w:rsid w:val="0021247E"/>
    <w:rsid w:val="00212830"/>
    <w:rsid w:val="00212BE2"/>
    <w:rsid w:val="0021307D"/>
    <w:rsid w:val="00213AE0"/>
    <w:rsid w:val="00213D1C"/>
    <w:rsid w:val="00214468"/>
    <w:rsid w:val="00214646"/>
    <w:rsid w:val="00214A46"/>
    <w:rsid w:val="00214F85"/>
    <w:rsid w:val="00216192"/>
    <w:rsid w:val="002164EE"/>
    <w:rsid w:val="002167BF"/>
    <w:rsid w:val="00216A1A"/>
    <w:rsid w:val="00216F83"/>
    <w:rsid w:val="00217BD8"/>
    <w:rsid w:val="00217C65"/>
    <w:rsid w:val="00217C7D"/>
    <w:rsid w:val="002205F9"/>
    <w:rsid w:val="00220704"/>
    <w:rsid w:val="0022076F"/>
    <w:rsid w:val="0022085D"/>
    <w:rsid w:val="00220C2A"/>
    <w:rsid w:val="0022164D"/>
    <w:rsid w:val="00221D51"/>
    <w:rsid w:val="00222587"/>
    <w:rsid w:val="00222937"/>
    <w:rsid w:val="002233B9"/>
    <w:rsid w:val="00223492"/>
    <w:rsid w:val="002235A1"/>
    <w:rsid w:val="00223988"/>
    <w:rsid w:val="00223E1F"/>
    <w:rsid w:val="00223F1F"/>
    <w:rsid w:val="00224A57"/>
    <w:rsid w:val="00224CF0"/>
    <w:rsid w:val="00225862"/>
    <w:rsid w:val="00226835"/>
    <w:rsid w:val="00226921"/>
    <w:rsid w:val="00226F7D"/>
    <w:rsid w:val="00227290"/>
    <w:rsid w:val="002274F8"/>
    <w:rsid w:val="002301A8"/>
    <w:rsid w:val="002305BE"/>
    <w:rsid w:val="00230766"/>
    <w:rsid w:val="00230CB2"/>
    <w:rsid w:val="00230F40"/>
    <w:rsid w:val="0023104E"/>
    <w:rsid w:val="002312A0"/>
    <w:rsid w:val="002312F0"/>
    <w:rsid w:val="002316DC"/>
    <w:rsid w:val="002317C3"/>
    <w:rsid w:val="00231ABB"/>
    <w:rsid w:val="0023251F"/>
    <w:rsid w:val="00232691"/>
    <w:rsid w:val="00232B8B"/>
    <w:rsid w:val="002332E3"/>
    <w:rsid w:val="00233370"/>
    <w:rsid w:val="00233447"/>
    <w:rsid w:val="00233BF0"/>
    <w:rsid w:val="002340B4"/>
    <w:rsid w:val="0023488D"/>
    <w:rsid w:val="00234ED0"/>
    <w:rsid w:val="00234EFC"/>
    <w:rsid w:val="00234FBE"/>
    <w:rsid w:val="00235A23"/>
    <w:rsid w:val="00235B94"/>
    <w:rsid w:val="0023608B"/>
    <w:rsid w:val="002366F0"/>
    <w:rsid w:val="00236775"/>
    <w:rsid w:val="0023690F"/>
    <w:rsid w:val="002371D9"/>
    <w:rsid w:val="002373E5"/>
    <w:rsid w:val="002405EE"/>
    <w:rsid w:val="0024072B"/>
    <w:rsid w:val="00240743"/>
    <w:rsid w:val="00240A42"/>
    <w:rsid w:val="00240DC4"/>
    <w:rsid w:val="0024190C"/>
    <w:rsid w:val="0024206A"/>
    <w:rsid w:val="00242337"/>
    <w:rsid w:val="002423D0"/>
    <w:rsid w:val="00242583"/>
    <w:rsid w:val="002428C0"/>
    <w:rsid w:val="002428C9"/>
    <w:rsid w:val="00242C32"/>
    <w:rsid w:val="00243E72"/>
    <w:rsid w:val="00243FF1"/>
    <w:rsid w:val="00244117"/>
    <w:rsid w:val="0024467A"/>
    <w:rsid w:val="00244834"/>
    <w:rsid w:val="00244E7F"/>
    <w:rsid w:val="00245263"/>
    <w:rsid w:val="0024527C"/>
    <w:rsid w:val="002452C6"/>
    <w:rsid w:val="0024573D"/>
    <w:rsid w:val="002458CC"/>
    <w:rsid w:val="00245F4F"/>
    <w:rsid w:val="0024610F"/>
    <w:rsid w:val="00247279"/>
    <w:rsid w:val="0024741E"/>
    <w:rsid w:val="00250794"/>
    <w:rsid w:val="00250BB2"/>
    <w:rsid w:val="00250C12"/>
    <w:rsid w:val="0025169E"/>
    <w:rsid w:val="002516D4"/>
    <w:rsid w:val="00251C4D"/>
    <w:rsid w:val="002526C2"/>
    <w:rsid w:val="00253F0E"/>
    <w:rsid w:val="0025486F"/>
    <w:rsid w:val="00254EAC"/>
    <w:rsid w:val="0025505D"/>
    <w:rsid w:val="00255C6C"/>
    <w:rsid w:val="00255F42"/>
    <w:rsid w:val="00255F48"/>
    <w:rsid w:val="00255FBF"/>
    <w:rsid w:val="00256965"/>
    <w:rsid w:val="00257440"/>
    <w:rsid w:val="0025795F"/>
    <w:rsid w:val="0026010A"/>
    <w:rsid w:val="00260177"/>
    <w:rsid w:val="0026116D"/>
    <w:rsid w:val="0026153F"/>
    <w:rsid w:val="00261547"/>
    <w:rsid w:val="0026154C"/>
    <w:rsid w:val="00261600"/>
    <w:rsid w:val="00261755"/>
    <w:rsid w:val="00262823"/>
    <w:rsid w:val="0026289F"/>
    <w:rsid w:val="00262B5E"/>
    <w:rsid w:val="0026324A"/>
    <w:rsid w:val="0026346A"/>
    <w:rsid w:val="002637C5"/>
    <w:rsid w:val="00263832"/>
    <w:rsid w:val="00263C0A"/>
    <w:rsid w:val="00264A33"/>
    <w:rsid w:val="00264FDF"/>
    <w:rsid w:val="0026519C"/>
    <w:rsid w:val="00265B3B"/>
    <w:rsid w:val="00265E44"/>
    <w:rsid w:val="002660AA"/>
    <w:rsid w:val="00266430"/>
    <w:rsid w:val="00266664"/>
    <w:rsid w:val="00266670"/>
    <w:rsid w:val="0026667E"/>
    <w:rsid w:val="00266719"/>
    <w:rsid w:val="00266893"/>
    <w:rsid w:val="00266C32"/>
    <w:rsid w:val="00266CE9"/>
    <w:rsid w:val="00266D7A"/>
    <w:rsid w:val="002679DF"/>
    <w:rsid w:val="00267A51"/>
    <w:rsid w:val="0027064F"/>
    <w:rsid w:val="00270912"/>
    <w:rsid w:val="00271619"/>
    <w:rsid w:val="002719A7"/>
    <w:rsid w:val="00271AEF"/>
    <w:rsid w:val="002721CB"/>
    <w:rsid w:val="00272303"/>
    <w:rsid w:val="00272451"/>
    <w:rsid w:val="00272695"/>
    <w:rsid w:val="00272DF6"/>
    <w:rsid w:val="00272FE3"/>
    <w:rsid w:val="002740DE"/>
    <w:rsid w:val="00274A29"/>
    <w:rsid w:val="00274C51"/>
    <w:rsid w:val="00275393"/>
    <w:rsid w:val="0027571F"/>
    <w:rsid w:val="00275C2B"/>
    <w:rsid w:val="00275F75"/>
    <w:rsid w:val="002761E0"/>
    <w:rsid w:val="0027646F"/>
    <w:rsid w:val="00276892"/>
    <w:rsid w:val="00276AAC"/>
    <w:rsid w:val="00276E49"/>
    <w:rsid w:val="00276FF4"/>
    <w:rsid w:val="00277183"/>
    <w:rsid w:val="00277236"/>
    <w:rsid w:val="00277487"/>
    <w:rsid w:val="00277549"/>
    <w:rsid w:val="002776D5"/>
    <w:rsid w:val="00277752"/>
    <w:rsid w:val="00277869"/>
    <w:rsid w:val="00280074"/>
    <w:rsid w:val="002800AE"/>
    <w:rsid w:val="002804C1"/>
    <w:rsid w:val="0028056E"/>
    <w:rsid w:val="00280BA0"/>
    <w:rsid w:val="00280D8E"/>
    <w:rsid w:val="00280DDD"/>
    <w:rsid w:val="002814EE"/>
    <w:rsid w:val="00281722"/>
    <w:rsid w:val="00281970"/>
    <w:rsid w:val="00281A06"/>
    <w:rsid w:val="002820A0"/>
    <w:rsid w:val="002820D6"/>
    <w:rsid w:val="002821B3"/>
    <w:rsid w:val="00282298"/>
    <w:rsid w:val="00282785"/>
    <w:rsid w:val="002828F4"/>
    <w:rsid w:val="00283E8D"/>
    <w:rsid w:val="002843F9"/>
    <w:rsid w:val="002847E5"/>
    <w:rsid w:val="00284D60"/>
    <w:rsid w:val="00284D85"/>
    <w:rsid w:val="00284EA3"/>
    <w:rsid w:val="00285827"/>
    <w:rsid w:val="00285E14"/>
    <w:rsid w:val="00285F17"/>
    <w:rsid w:val="00285FDC"/>
    <w:rsid w:val="00286040"/>
    <w:rsid w:val="00286878"/>
    <w:rsid w:val="00286F11"/>
    <w:rsid w:val="0028763A"/>
    <w:rsid w:val="00287821"/>
    <w:rsid w:val="00287969"/>
    <w:rsid w:val="00287F65"/>
    <w:rsid w:val="00290305"/>
    <w:rsid w:val="00290A7E"/>
    <w:rsid w:val="00290BD4"/>
    <w:rsid w:val="002916BC"/>
    <w:rsid w:val="0029171D"/>
    <w:rsid w:val="00291C15"/>
    <w:rsid w:val="00291D40"/>
    <w:rsid w:val="00291D88"/>
    <w:rsid w:val="00291DC1"/>
    <w:rsid w:val="0029217F"/>
    <w:rsid w:val="002926E0"/>
    <w:rsid w:val="00292AA5"/>
    <w:rsid w:val="00292D43"/>
    <w:rsid w:val="00293125"/>
    <w:rsid w:val="002932CC"/>
    <w:rsid w:val="002938B6"/>
    <w:rsid w:val="00293C11"/>
    <w:rsid w:val="00293C35"/>
    <w:rsid w:val="00295873"/>
    <w:rsid w:val="002958AD"/>
    <w:rsid w:val="002958F9"/>
    <w:rsid w:val="00295B75"/>
    <w:rsid w:val="00295C50"/>
    <w:rsid w:val="00295CFC"/>
    <w:rsid w:val="00295E56"/>
    <w:rsid w:val="002969C2"/>
    <w:rsid w:val="002971DB"/>
    <w:rsid w:val="002976DD"/>
    <w:rsid w:val="00297762"/>
    <w:rsid w:val="00297D38"/>
    <w:rsid w:val="002A0230"/>
    <w:rsid w:val="002A1DFC"/>
    <w:rsid w:val="002A2573"/>
    <w:rsid w:val="002A28D0"/>
    <w:rsid w:val="002A3AE7"/>
    <w:rsid w:val="002A405C"/>
    <w:rsid w:val="002A4106"/>
    <w:rsid w:val="002A45B8"/>
    <w:rsid w:val="002A4651"/>
    <w:rsid w:val="002A465E"/>
    <w:rsid w:val="002A4725"/>
    <w:rsid w:val="002A4A22"/>
    <w:rsid w:val="002A51FB"/>
    <w:rsid w:val="002A53D7"/>
    <w:rsid w:val="002A5915"/>
    <w:rsid w:val="002A6585"/>
    <w:rsid w:val="002A6740"/>
    <w:rsid w:val="002A6E2E"/>
    <w:rsid w:val="002A6F10"/>
    <w:rsid w:val="002A6F69"/>
    <w:rsid w:val="002A745E"/>
    <w:rsid w:val="002A7B54"/>
    <w:rsid w:val="002A7F47"/>
    <w:rsid w:val="002B06A8"/>
    <w:rsid w:val="002B1894"/>
    <w:rsid w:val="002B1A4E"/>
    <w:rsid w:val="002B1E96"/>
    <w:rsid w:val="002B1FEC"/>
    <w:rsid w:val="002B241B"/>
    <w:rsid w:val="002B25BB"/>
    <w:rsid w:val="002B2635"/>
    <w:rsid w:val="002B2D2D"/>
    <w:rsid w:val="002B43BE"/>
    <w:rsid w:val="002B4532"/>
    <w:rsid w:val="002B496B"/>
    <w:rsid w:val="002B50A7"/>
    <w:rsid w:val="002B5127"/>
    <w:rsid w:val="002B5C7A"/>
    <w:rsid w:val="002B6324"/>
    <w:rsid w:val="002B63D3"/>
    <w:rsid w:val="002B642C"/>
    <w:rsid w:val="002B6BC2"/>
    <w:rsid w:val="002B6C3A"/>
    <w:rsid w:val="002B71D3"/>
    <w:rsid w:val="002B77FE"/>
    <w:rsid w:val="002B7C9E"/>
    <w:rsid w:val="002C0205"/>
    <w:rsid w:val="002C043C"/>
    <w:rsid w:val="002C1203"/>
    <w:rsid w:val="002C1A38"/>
    <w:rsid w:val="002C1C3F"/>
    <w:rsid w:val="002C1D07"/>
    <w:rsid w:val="002C2291"/>
    <w:rsid w:val="002C24AD"/>
    <w:rsid w:val="002C2BF7"/>
    <w:rsid w:val="002C2C19"/>
    <w:rsid w:val="002C3291"/>
    <w:rsid w:val="002C34A4"/>
    <w:rsid w:val="002C4E64"/>
    <w:rsid w:val="002C515A"/>
    <w:rsid w:val="002C554F"/>
    <w:rsid w:val="002C5593"/>
    <w:rsid w:val="002C561C"/>
    <w:rsid w:val="002C58BC"/>
    <w:rsid w:val="002C5E15"/>
    <w:rsid w:val="002C5F56"/>
    <w:rsid w:val="002C5FAC"/>
    <w:rsid w:val="002C6064"/>
    <w:rsid w:val="002C6369"/>
    <w:rsid w:val="002C6F94"/>
    <w:rsid w:val="002C7401"/>
    <w:rsid w:val="002C798E"/>
    <w:rsid w:val="002C7DC6"/>
    <w:rsid w:val="002C7E5A"/>
    <w:rsid w:val="002D082B"/>
    <w:rsid w:val="002D0A64"/>
    <w:rsid w:val="002D108B"/>
    <w:rsid w:val="002D1255"/>
    <w:rsid w:val="002D12A9"/>
    <w:rsid w:val="002D12BB"/>
    <w:rsid w:val="002D15A9"/>
    <w:rsid w:val="002D17C5"/>
    <w:rsid w:val="002D1939"/>
    <w:rsid w:val="002D1AEA"/>
    <w:rsid w:val="002D1C65"/>
    <w:rsid w:val="002D1C73"/>
    <w:rsid w:val="002D1D7D"/>
    <w:rsid w:val="002D25F5"/>
    <w:rsid w:val="002D2631"/>
    <w:rsid w:val="002D2B0B"/>
    <w:rsid w:val="002D2F26"/>
    <w:rsid w:val="002D339F"/>
    <w:rsid w:val="002D4533"/>
    <w:rsid w:val="002D45EC"/>
    <w:rsid w:val="002D47A3"/>
    <w:rsid w:val="002D4DD2"/>
    <w:rsid w:val="002D503D"/>
    <w:rsid w:val="002D51ED"/>
    <w:rsid w:val="002D5391"/>
    <w:rsid w:val="002D5595"/>
    <w:rsid w:val="002D563B"/>
    <w:rsid w:val="002D572C"/>
    <w:rsid w:val="002D58FC"/>
    <w:rsid w:val="002D5A73"/>
    <w:rsid w:val="002D60E3"/>
    <w:rsid w:val="002D6304"/>
    <w:rsid w:val="002D66D1"/>
    <w:rsid w:val="002D6C81"/>
    <w:rsid w:val="002D6CFD"/>
    <w:rsid w:val="002D6D42"/>
    <w:rsid w:val="002D6F98"/>
    <w:rsid w:val="002D703B"/>
    <w:rsid w:val="002D79BB"/>
    <w:rsid w:val="002D7BC4"/>
    <w:rsid w:val="002D7C04"/>
    <w:rsid w:val="002D7D22"/>
    <w:rsid w:val="002E0843"/>
    <w:rsid w:val="002E12FD"/>
    <w:rsid w:val="002E1386"/>
    <w:rsid w:val="002E153F"/>
    <w:rsid w:val="002E19AB"/>
    <w:rsid w:val="002E1A78"/>
    <w:rsid w:val="002E1D07"/>
    <w:rsid w:val="002E20EE"/>
    <w:rsid w:val="002E2268"/>
    <w:rsid w:val="002E2DC1"/>
    <w:rsid w:val="002E3277"/>
    <w:rsid w:val="002E3ADA"/>
    <w:rsid w:val="002E401E"/>
    <w:rsid w:val="002E4422"/>
    <w:rsid w:val="002E49A9"/>
    <w:rsid w:val="002E4CA7"/>
    <w:rsid w:val="002E4D92"/>
    <w:rsid w:val="002E5210"/>
    <w:rsid w:val="002E52BC"/>
    <w:rsid w:val="002E5374"/>
    <w:rsid w:val="002E55F1"/>
    <w:rsid w:val="002E5614"/>
    <w:rsid w:val="002E575B"/>
    <w:rsid w:val="002E59A5"/>
    <w:rsid w:val="002E5BDF"/>
    <w:rsid w:val="002E6AF3"/>
    <w:rsid w:val="002E6B14"/>
    <w:rsid w:val="002F00FD"/>
    <w:rsid w:val="002F05CB"/>
    <w:rsid w:val="002F13EF"/>
    <w:rsid w:val="002F1529"/>
    <w:rsid w:val="002F1F21"/>
    <w:rsid w:val="002F2082"/>
    <w:rsid w:val="002F24D8"/>
    <w:rsid w:val="002F2739"/>
    <w:rsid w:val="002F273A"/>
    <w:rsid w:val="002F2B64"/>
    <w:rsid w:val="002F2C94"/>
    <w:rsid w:val="002F2E6F"/>
    <w:rsid w:val="002F2F3B"/>
    <w:rsid w:val="002F30BB"/>
    <w:rsid w:val="002F356E"/>
    <w:rsid w:val="002F35FD"/>
    <w:rsid w:val="002F3B9C"/>
    <w:rsid w:val="002F4480"/>
    <w:rsid w:val="002F448E"/>
    <w:rsid w:val="002F453A"/>
    <w:rsid w:val="002F4A4E"/>
    <w:rsid w:val="002F5170"/>
    <w:rsid w:val="002F576E"/>
    <w:rsid w:val="002F583F"/>
    <w:rsid w:val="002F5B41"/>
    <w:rsid w:val="002F5DDE"/>
    <w:rsid w:val="002F5E5C"/>
    <w:rsid w:val="002F6549"/>
    <w:rsid w:val="002F66B3"/>
    <w:rsid w:val="002F6C45"/>
    <w:rsid w:val="002F7736"/>
    <w:rsid w:val="00300C25"/>
    <w:rsid w:val="0030118B"/>
    <w:rsid w:val="003019F6"/>
    <w:rsid w:val="00301B94"/>
    <w:rsid w:val="003022A0"/>
    <w:rsid w:val="00302915"/>
    <w:rsid w:val="00302D09"/>
    <w:rsid w:val="00302F6D"/>
    <w:rsid w:val="0030310E"/>
    <w:rsid w:val="00303391"/>
    <w:rsid w:val="003039D4"/>
    <w:rsid w:val="00303C3B"/>
    <w:rsid w:val="003045A3"/>
    <w:rsid w:val="003045E7"/>
    <w:rsid w:val="0030464A"/>
    <w:rsid w:val="0030553A"/>
    <w:rsid w:val="003058F5"/>
    <w:rsid w:val="00305B32"/>
    <w:rsid w:val="00305B65"/>
    <w:rsid w:val="0030614A"/>
    <w:rsid w:val="00306CFB"/>
    <w:rsid w:val="00306EB6"/>
    <w:rsid w:val="00306F8C"/>
    <w:rsid w:val="003070F1"/>
    <w:rsid w:val="0030733B"/>
    <w:rsid w:val="003078B6"/>
    <w:rsid w:val="00310594"/>
    <w:rsid w:val="00310C1A"/>
    <w:rsid w:val="00310DED"/>
    <w:rsid w:val="00311821"/>
    <w:rsid w:val="00311D5C"/>
    <w:rsid w:val="00311D6D"/>
    <w:rsid w:val="003126A8"/>
    <w:rsid w:val="003126E5"/>
    <w:rsid w:val="0031273B"/>
    <w:rsid w:val="00312B49"/>
    <w:rsid w:val="0031319E"/>
    <w:rsid w:val="00313E6D"/>
    <w:rsid w:val="00313F80"/>
    <w:rsid w:val="0031409C"/>
    <w:rsid w:val="00314AF0"/>
    <w:rsid w:val="00314BF3"/>
    <w:rsid w:val="003151AB"/>
    <w:rsid w:val="0031620E"/>
    <w:rsid w:val="003162EC"/>
    <w:rsid w:val="00316AFE"/>
    <w:rsid w:val="00316F0E"/>
    <w:rsid w:val="003171AA"/>
    <w:rsid w:val="0031726E"/>
    <w:rsid w:val="0031793B"/>
    <w:rsid w:val="00317B4E"/>
    <w:rsid w:val="00317EF6"/>
    <w:rsid w:val="0032094F"/>
    <w:rsid w:val="00320B4A"/>
    <w:rsid w:val="00320C95"/>
    <w:rsid w:val="00320DAF"/>
    <w:rsid w:val="003211A7"/>
    <w:rsid w:val="003213CA"/>
    <w:rsid w:val="003216C6"/>
    <w:rsid w:val="00321A59"/>
    <w:rsid w:val="00321B9A"/>
    <w:rsid w:val="00321E63"/>
    <w:rsid w:val="00322525"/>
    <w:rsid w:val="0032261E"/>
    <w:rsid w:val="0032291D"/>
    <w:rsid w:val="00322AC4"/>
    <w:rsid w:val="00322E0B"/>
    <w:rsid w:val="00323453"/>
    <w:rsid w:val="0032348A"/>
    <w:rsid w:val="00323570"/>
    <w:rsid w:val="00323773"/>
    <w:rsid w:val="00323FC2"/>
    <w:rsid w:val="003241E0"/>
    <w:rsid w:val="00324530"/>
    <w:rsid w:val="00324D22"/>
    <w:rsid w:val="00324D2D"/>
    <w:rsid w:val="00325031"/>
    <w:rsid w:val="0032530D"/>
    <w:rsid w:val="00325360"/>
    <w:rsid w:val="00325807"/>
    <w:rsid w:val="00325A05"/>
    <w:rsid w:val="00326265"/>
    <w:rsid w:val="003263AB"/>
    <w:rsid w:val="00326E95"/>
    <w:rsid w:val="003272AE"/>
    <w:rsid w:val="00327916"/>
    <w:rsid w:val="00327A5D"/>
    <w:rsid w:val="0033003A"/>
    <w:rsid w:val="003300ED"/>
    <w:rsid w:val="00330843"/>
    <w:rsid w:val="00330A7E"/>
    <w:rsid w:val="00330C45"/>
    <w:rsid w:val="00331939"/>
    <w:rsid w:val="00331964"/>
    <w:rsid w:val="003323E2"/>
    <w:rsid w:val="0033241A"/>
    <w:rsid w:val="003324F8"/>
    <w:rsid w:val="00332555"/>
    <w:rsid w:val="003326DE"/>
    <w:rsid w:val="00332ACC"/>
    <w:rsid w:val="0033370E"/>
    <w:rsid w:val="00333E4A"/>
    <w:rsid w:val="00333FB3"/>
    <w:rsid w:val="003340FF"/>
    <w:rsid w:val="0033427E"/>
    <w:rsid w:val="0033462E"/>
    <w:rsid w:val="00334CDA"/>
    <w:rsid w:val="003350CF"/>
    <w:rsid w:val="003354BD"/>
    <w:rsid w:val="00335843"/>
    <w:rsid w:val="00336478"/>
    <w:rsid w:val="003368CB"/>
    <w:rsid w:val="00336E64"/>
    <w:rsid w:val="00337177"/>
    <w:rsid w:val="0033787E"/>
    <w:rsid w:val="00337918"/>
    <w:rsid w:val="0033799C"/>
    <w:rsid w:val="00340135"/>
    <w:rsid w:val="00340498"/>
    <w:rsid w:val="00340854"/>
    <w:rsid w:val="00340DCF"/>
    <w:rsid w:val="00341077"/>
    <w:rsid w:val="00341406"/>
    <w:rsid w:val="0034181C"/>
    <w:rsid w:val="00341A88"/>
    <w:rsid w:val="00341B12"/>
    <w:rsid w:val="0034269B"/>
    <w:rsid w:val="003428D3"/>
    <w:rsid w:val="00342BE7"/>
    <w:rsid w:val="00342CDE"/>
    <w:rsid w:val="003430A5"/>
    <w:rsid w:val="003430C4"/>
    <w:rsid w:val="0034339D"/>
    <w:rsid w:val="00343A76"/>
    <w:rsid w:val="00343B26"/>
    <w:rsid w:val="00343C17"/>
    <w:rsid w:val="003441A0"/>
    <w:rsid w:val="0034431D"/>
    <w:rsid w:val="0034462F"/>
    <w:rsid w:val="00344984"/>
    <w:rsid w:val="00344A62"/>
    <w:rsid w:val="00344CAD"/>
    <w:rsid w:val="00344E82"/>
    <w:rsid w:val="00345106"/>
    <w:rsid w:val="00345305"/>
    <w:rsid w:val="00345D1B"/>
    <w:rsid w:val="00346025"/>
    <w:rsid w:val="003460B1"/>
    <w:rsid w:val="003465E4"/>
    <w:rsid w:val="0034670A"/>
    <w:rsid w:val="00346BB3"/>
    <w:rsid w:val="00347506"/>
    <w:rsid w:val="003478BC"/>
    <w:rsid w:val="00347E24"/>
    <w:rsid w:val="00347E8B"/>
    <w:rsid w:val="00347FB1"/>
    <w:rsid w:val="003509CF"/>
    <w:rsid w:val="00350BC4"/>
    <w:rsid w:val="00350BF1"/>
    <w:rsid w:val="00350FF9"/>
    <w:rsid w:val="0035168A"/>
    <w:rsid w:val="00351A19"/>
    <w:rsid w:val="00352BFD"/>
    <w:rsid w:val="003536C1"/>
    <w:rsid w:val="00353B7F"/>
    <w:rsid w:val="00353DF1"/>
    <w:rsid w:val="00354484"/>
    <w:rsid w:val="00355414"/>
    <w:rsid w:val="003555A9"/>
    <w:rsid w:val="0035593B"/>
    <w:rsid w:val="00355A1D"/>
    <w:rsid w:val="003561DA"/>
    <w:rsid w:val="00356872"/>
    <w:rsid w:val="003569F2"/>
    <w:rsid w:val="00356D90"/>
    <w:rsid w:val="003571D8"/>
    <w:rsid w:val="00357320"/>
    <w:rsid w:val="00357437"/>
    <w:rsid w:val="00357483"/>
    <w:rsid w:val="00360158"/>
    <w:rsid w:val="00360255"/>
    <w:rsid w:val="003602E5"/>
    <w:rsid w:val="00360584"/>
    <w:rsid w:val="00360B40"/>
    <w:rsid w:val="003612E9"/>
    <w:rsid w:val="0036149B"/>
    <w:rsid w:val="00361675"/>
    <w:rsid w:val="00361683"/>
    <w:rsid w:val="00361A1B"/>
    <w:rsid w:val="00361CFB"/>
    <w:rsid w:val="003624E5"/>
    <w:rsid w:val="00362624"/>
    <w:rsid w:val="00362789"/>
    <w:rsid w:val="0036283B"/>
    <w:rsid w:val="00362B0E"/>
    <w:rsid w:val="0036431B"/>
    <w:rsid w:val="003644DC"/>
    <w:rsid w:val="00364A7E"/>
    <w:rsid w:val="00364E77"/>
    <w:rsid w:val="00364E8A"/>
    <w:rsid w:val="0036546B"/>
    <w:rsid w:val="00365697"/>
    <w:rsid w:val="003657BC"/>
    <w:rsid w:val="0036603E"/>
    <w:rsid w:val="00366392"/>
    <w:rsid w:val="00366763"/>
    <w:rsid w:val="00366F80"/>
    <w:rsid w:val="003678A6"/>
    <w:rsid w:val="00367F21"/>
    <w:rsid w:val="00370430"/>
    <w:rsid w:val="0037054F"/>
    <w:rsid w:val="00370E71"/>
    <w:rsid w:val="00370FE5"/>
    <w:rsid w:val="003716AD"/>
    <w:rsid w:val="00371B56"/>
    <w:rsid w:val="00371C6B"/>
    <w:rsid w:val="00372009"/>
    <w:rsid w:val="00372031"/>
    <w:rsid w:val="0037287E"/>
    <w:rsid w:val="0037288D"/>
    <w:rsid w:val="00372B47"/>
    <w:rsid w:val="00372CA8"/>
    <w:rsid w:val="003730BD"/>
    <w:rsid w:val="003733D4"/>
    <w:rsid w:val="00373BFC"/>
    <w:rsid w:val="00373C3E"/>
    <w:rsid w:val="00374165"/>
    <w:rsid w:val="003744FD"/>
    <w:rsid w:val="003746E2"/>
    <w:rsid w:val="0037490C"/>
    <w:rsid w:val="00374DD8"/>
    <w:rsid w:val="00375088"/>
    <w:rsid w:val="003754E5"/>
    <w:rsid w:val="0037560E"/>
    <w:rsid w:val="0037565C"/>
    <w:rsid w:val="00375AC8"/>
    <w:rsid w:val="00375BE2"/>
    <w:rsid w:val="00375E10"/>
    <w:rsid w:val="0037669E"/>
    <w:rsid w:val="00376C60"/>
    <w:rsid w:val="00376DCF"/>
    <w:rsid w:val="003776B2"/>
    <w:rsid w:val="00377AB7"/>
    <w:rsid w:val="00377C19"/>
    <w:rsid w:val="00377CD5"/>
    <w:rsid w:val="00377D15"/>
    <w:rsid w:val="003802F9"/>
    <w:rsid w:val="00380A1E"/>
    <w:rsid w:val="00380F00"/>
    <w:rsid w:val="00380F72"/>
    <w:rsid w:val="00380F93"/>
    <w:rsid w:val="003815F6"/>
    <w:rsid w:val="00381A7E"/>
    <w:rsid w:val="00381C2B"/>
    <w:rsid w:val="00382231"/>
    <w:rsid w:val="0038261E"/>
    <w:rsid w:val="00382D28"/>
    <w:rsid w:val="00382EF0"/>
    <w:rsid w:val="0038310A"/>
    <w:rsid w:val="003837E0"/>
    <w:rsid w:val="00383E32"/>
    <w:rsid w:val="00383E85"/>
    <w:rsid w:val="00384AF4"/>
    <w:rsid w:val="00385878"/>
    <w:rsid w:val="00385CE6"/>
    <w:rsid w:val="00386358"/>
    <w:rsid w:val="0038658A"/>
    <w:rsid w:val="00386866"/>
    <w:rsid w:val="003868EF"/>
    <w:rsid w:val="00386A5C"/>
    <w:rsid w:val="00386B79"/>
    <w:rsid w:val="00386BB9"/>
    <w:rsid w:val="00387E9E"/>
    <w:rsid w:val="0039005E"/>
    <w:rsid w:val="00390125"/>
    <w:rsid w:val="00390282"/>
    <w:rsid w:val="0039039C"/>
    <w:rsid w:val="0039079D"/>
    <w:rsid w:val="0039088B"/>
    <w:rsid w:val="00390D4E"/>
    <w:rsid w:val="00390D5B"/>
    <w:rsid w:val="00390FAA"/>
    <w:rsid w:val="00390FD9"/>
    <w:rsid w:val="00391240"/>
    <w:rsid w:val="00391505"/>
    <w:rsid w:val="003919CF"/>
    <w:rsid w:val="00391A2D"/>
    <w:rsid w:val="003920F8"/>
    <w:rsid w:val="00392637"/>
    <w:rsid w:val="00393762"/>
    <w:rsid w:val="00393822"/>
    <w:rsid w:val="00393DEB"/>
    <w:rsid w:val="00394454"/>
    <w:rsid w:val="00394C8A"/>
    <w:rsid w:val="00395014"/>
    <w:rsid w:val="00395034"/>
    <w:rsid w:val="00395111"/>
    <w:rsid w:val="003955F5"/>
    <w:rsid w:val="00395638"/>
    <w:rsid w:val="00395EB5"/>
    <w:rsid w:val="00396733"/>
    <w:rsid w:val="00396A7C"/>
    <w:rsid w:val="00396BC5"/>
    <w:rsid w:val="00397357"/>
    <w:rsid w:val="00397597"/>
    <w:rsid w:val="0039773C"/>
    <w:rsid w:val="003A0104"/>
    <w:rsid w:val="003A01F8"/>
    <w:rsid w:val="003A0406"/>
    <w:rsid w:val="003A06FB"/>
    <w:rsid w:val="003A072F"/>
    <w:rsid w:val="003A0A57"/>
    <w:rsid w:val="003A0E4E"/>
    <w:rsid w:val="003A1695"/>
    <w:rsid w:val="003A1BBC"/>
    <w:rsid w:val="003A1C7D"/>
    <w:rsid w:val="003A2493"/>
    <w:rsid w:val="003A2866"/>
    <w:rsid w:val="003A3219"/>
    <w:rsid w:val="003A351D"/>
    <w:rsid w:val="003A3B4A"/>
    <w:rsid w:val="003A3B68"/>
    <w:rsid w:val="003A3D4A"/>
    <w:rsid w:val="003A458B"/>
    <w:rsid w:val="003A4E11"/>
    <w:rsid w:val="003A50E4"/>
    <w:rsid w:val="003A5599"/>
    <w:rsid w:val="003A574A"/>
    <w:rsid w:val="003A59E6"/>
    <w:rsid w:val="003A5C8F"/>
    <w:rsid w:val="003A5C9D"/>
    <w:rsid w:val="003A5E45"/>
    <w:rsid w:val="003A5EAF"/>
    <w:rsid w:val="003A6C89"/>
    <w:rsid w:val="003A75E0"/>
    <w:rsid w:val="003A76AD"/>
    <w:rsid w:val="003A77C7"/>
    <w:rsid w:val="003A77E6"/>
    <w:rsid w:val="003A7834"/>
    <w:rsid w:val="003A79E3"/>
    <w:rsid w:val="003B0173"/>
    <w:rsid w:val="003B0887"/>
    <w:rsid w:val="003B0BF3"/>
    <w:rsid w:val="003B0C53"/>
    <w:rsid w:val="003B1B1E"/>
    <w:rsid w:val="003B2422"/>
    <w:rsid w:val="003B256B"/>
    <w:rsid w:val="003B2AA0"/>
    <w:rsid w:val="003B321A"/>
    <w:rsid w:val="003B360F"/>
    <w:rsid w:val="003B3B87"/>
    <w:rsid w:val="003B3B91"/>
    <w:rsid w:val="003B3C3C"/>
    <w:rsid w:val="003B40D6"/>
    <w:rsid w:val="003B559B"/>
    <w:rsid w:val="003B5912"/>
    <w:rsid w:val="003B5CEA"/>
    <w:rsid w:val="003B600F"/>
    <w:rsid w:val="003B6422"/>
    <w:rsid w:val="003B6B43"/>
    <w:rsid w:val="003B763C"/>
    <w:rsid w:val="003B7888"/>
    <w:rsid w:val="003B788E"/>
    <w:rsid w:val="003C0771"/>
    <w:rsid w:val="003C091A"/>
    <w:rsid w:val="003C13E1"/>
    <w:rsid w:val="003C143A"/>
    <w:rsid w:val="003C164C"/>
    <w:rsid w:val="003C18E9"/>
    <w:rsid w:val="003C279F"/>
    <w:rsid w:val="003C2949"/>
    <w:rsid w:val="003C2BD7"/>
    <w:rsid w:val="003C2E85"/>
    <w:rsid w:val="003C3074"/>
    <w:rsid w:val="003C33FD"/>
    <w:rsid w:val="003C3ED8"/>
    <w:rsid w:val="003C3EE0"/>
    <w:rsid w:val="003C434B"/>
    <w:rsid w:val="003C4B34"/>
    <w:rsid w:val="003C4C3C"/>
    <w:rsid w:val="003C4C76"/>
    <w:rsid w:val="003C4EF3"/>
    <w:rsid w:val="003C4F6D"/>
    <w:rsid w:val="003C4FD9"/>
    <w:rsid w:val="003C521B"/>
    <w:rsid w:val="003C5A0F"/>
    <w:rsid w:val="003C5AD1"/>
    <w:rsid w:val="003C60A0"/>
    <w:rsid w:val="003C6AA2"/>
    <w:rsid w:val="003C6FDA"/>
    <w:rsid w:val="003C721A"/>
    <w:rsid w:val="003C735B"/>
    <w:rsid w:val="003C77B8"/>
    <w:rsid w:val="003C7964"/>
    <w:rsid w:val="003C7B89"/>
    <w:rsid w:val="003C7DB0"/>
    <w:rsid w:val="003D07F9"/>
    <w:rsid w:val="003D0A24"/>
    <w:rsid w:val="003D0BF3"/>
    <w:rsid w:val="003D0CDA"/>
    <w:rsid w:val="003D1092"/>
    <w:rsid w:val="003D132E"/>
    <w:rsid w:val="003D1395"/>
    <w:rsid w:val="003D1A6B"/>
    <w:rsid w:val="003D1BE7"/>
    <w:rsid w:val="003D205C"/>
    <w:rsid w:val="003D22E7"/>
    <w:rsid w:val="003D2818"/>
    <w:rsid w:val="003D3537"/>
    <w:rsid w:val="003D391B"/>
    <w:rsid w:val="003D3A7B"/>
    <w:rsid w:val="003D3C2E"/>
    <w:rsid w:val="003D3EC6"/>
    <w:rsid w:val="003D4353"/>
    <w:rsid w:val="003D44F7"/>
    <w:rsid w:val="003D4556"/>
    <w:rsid w:val="003D4FCC"/>
    <w:rsid w:val="003D5088"/>
    <w:rsid w:val="003D5198"/>
    <w:rsid w:val="003D5221"/>
    <w:rsid w:val="003D5522"/>
    <w:rsid w:val="003D58E2"/>
    <w:rsid w:val="003D60D4"/>
    <w:rsid w:val="003D6488"/>
    <w:rsid w:val="003D654C"/>
    <w:rsid w:val="003D6921"/>
    <w:rsid w:val="003D6A50"/>
    <w:rsid w:val="003D772C"/>
    <w:rsid w:val="003D786A"/>
    <w:rsid w:val="003D7E86"/>
    <w:rsid w:val="003D7F80"/>
    <w:rsid w:val="003E069F"/>
    <w:rsid w:val="003E071C"/>
    <w:rsid w:val="003E09F6"/>
    <w:rsid w:val="003E0DF4"/>
    <w:rsid w:val="003E1383"/>
    <w:rsid w:val="003E1425"/>
    <w:rsid w:val="003E1B1A"/>
    <w:rsid w:val="003E1CAC"/>
    <w:rsid w:val="003E1EC8"/>
    <w:rsid w:val="003E20E0"/>
    <w:rsid w:val="003E25C5"/>
    <w:rsid w:val="003E2A90"/>
    <w:rsid w:val="003E2ABA"/>
    <w:rsid w:val="003E2C02"/>
    <w:rsid w:val="003E2C12"/>
    <w:rsid w:val="003E2EA0"/>
    <w:rsid w:val="003E2FBB"/>
    <w:rsid w:val="003E363B"/>
    <w:rsid w:val="003E369F"/>
    <w:rsid w:val="003E36FC"/>
    <w:rsid w:val="003E3DFC"/>
    <w:rsid w:val="003E482A"/>
    <w:rsid w:val="003E494C"/>
    <w:rsid w:val="003E506C"/>
    <w:rsid w:val="003E51CD"/>
    <w:rsid w:val="003E55D1"/>
    <w:rsid w:val="003E5707"/>
    <w:rsid w:val="003E570C"/>
    <w:rsid w:val="003E59B9"/>
    <w:rsid w:val="003E5B0E"/>
    <w:rsid w:val="003E5BDF"/>
    <w:rsid w:val="003E5D12"/>
    <w:rsid w:val="003E6246"/>
    <w:rsid w:val="003E6617"/>
    <w:rsid w:val="003E68F3"/>
    <w:rsid w:val="003E696A"/>
    <w:rsid w:val="003E7CF8"/>
    <w:rsid w:val="003F08A7"/>
    <w:rsid w:val="003F0D1B"/>
    <w:rsid w:val="003F103F"/>
    <w:rsid w:val="003F15DA"/>
    <w:rsid w:val="003F2511"/>
    <w:rsid w:val="003F280C"/>
    <w:rsid w:val="003F2842"/>
    <w:rsid w:val="003F2935"/>
    <w:rsid w:val="003F2B58"/>
    <w:rsid w:val="003F2CA8"/>
    <w:rsid w:val="003F2DF8"/>
    <w:rsid w:val="003F33BE"/>
    <w:rsid w:val="003F3BAE"/>
    <w:rsid w:val="003F3D63"/>
    <w:rsid w:val="003F3F5C"/>
    <w:rsid w:val="003F4066"/>
    <w:rsid w:val="003F4102"/>
    <w:rsid w:val="003F440D"/>
    <w:rsid w:val="003F4BED"/>
    <w:rsid w:val="003F5196"/>
    <w:rsid w:val="003F5283"/>
    <w:rsid w:val="003F52F7"/>
    <w:rsid w:val="003F5D16"/>
    <w:rsid w:val="003F6151"/>
    <w:rsid w:val="003F683E"/>
    <w:rsid w:val="003F69B2"/>
    <w:rsid w:val="003F6D80"/>
    <w:rsid w:val="003F7435"/>
    <w:rsid w:val="003F77DF"/>
    <w:rsid w:val="003F7B76"/>
    <w:rsid w:val="00400AB1"/>
    <w:rsid w:val="00400B2A"/>
    <w:rsid w:val="0040117C"/>
    <w:rsid w:val="004012ED"/>
    <w:rsid w:val="004019A7"/>
    <w:rsid w:val="00401BE3"/>
    <w:rsid w:val="00401CC1"/>
    <w:rsid w:val="00402489"/>
    <w:rsid w:val="00402691"/>
    <w:rsid w:val="00402EA6"/>
    <w:rsid w:val="004033AE"/>
    <w:rsid w:val="004033DD"/>
    <w:rsid w:val="00403C60"/>
    <w:rsid w:val="00403EA9"/>
    <w:rsid w:val="00404084"/>
    <w:rsid w:val="00404783"/>
    <w:rsid w:val="00404EBC"/>
    <w:rsid w:val="004053CB"/>
    <w:rsid w:val="00405778"/>
    <w:rsid w:val="00405AB5"/>
    <w:rsid w:val="00405E88"/>
    <w:rsid w:val="004065A8"/>
    <w:rsid w:val="00406952"/>
    <w:rsid w:val="00406E98"/>
    <w:rsid w:val="00406EA5"/>
    <w:rsid w:val="00406FA9"/>
    <w:rsid w:val="00406FBD"/>
    <w:rsid w:val="004070D5"/>
    <w:rsid w:val="00407AD0"/>
    <w:rsid w:val="00407C67"/>
    <w:rsid w:val="00407F08"/>
    <w:rsid w:val="00410360"/>
    <w:rsid w:val="00410476"/>
    <w:rsid w:val="0041070F"/>
    <w:rsid w:val="00410E18"/>
    <w:rsid w:val="00411BE6"/>
    <w:rsid w:val="00411D50"/>
    <w:rsid w:val="004126DA"/>
    <w:rsid w:val="00412BE7"/>
    <w:rsid w:val="00412E00"/>
    <w:rsid w:val="0041325B"/>
    <w:rsid w:val="0041391A"/>
    <w:rsid w:val="00413A01"/>
    <w:rsid w:val="00413AC8"/>
    <w:rsid w:val="00413B27"/>
    <w:rsid w:val="00413E1E"/>
    <w:rsid w:val="0041428D"/>
    <w:rsid w:val="00414780"/>
    <w:rsid w:val="00414803"/>
    <w:rsid w:val="00414C95"/>
    <w:rsid w:val="00414EEA"/>
    <w:rsid w:val="00415041"/>
    <w:rsid w:val="004154AE"/>
    <w:rsid w:val="004155AA"/>
    <w:rsid w:val="00415762"/>
    <w:rsid w:val="00416329"/>
    <w:rsid w:val="004166ED"/>
    <w:rsid w:val="00416876"/>
    <w:rsid w:val="00416936"/>
    <w:rsid w:val="00416D23"/>
    <w:rsid w:val="00417376"/>
    <w:rsid w:val="004173DB"/>
    <w:rsid w:val="0041742D"/>
    <w:rsid w:val="00417436"/>
    <w:rsid w:val="004176FC"/>
    <w:rsid w:val="004177BF"/>
    <w:rsid w:val="00417C54"/>
    <w:rsid w:val="00417E21"/>
    <w:rsid w:val="0042000E"/>
    <w:rsid w:val="004202EA"/>
    <w:rsid w:val="00420A55"/>
    <w:rsid w:val="00420C7A"/>
    <w:rsid w:val="00421178"/>
    <w:rsid w:val="0042138F"/>
    <w:rsid w:val="00421B5C"/>
    <w:rsid w:val="00421BFA"/>
    <w:rsid w:val="004220B9"/>
    <w:rsid w:val="004224B3"/>
    <w:rsid w:val="004227C8"/>
    <w:rsid w:val="004230D3"/>
    <w:rsid w:val="00423674"/>
    <w:rsid w:val="00423A2B"/>
    <w:rsid w:val="00423EC8"/>
    <w:rsid w:val="00424613"/>
    <w:rsid w:val="00424636"/>
    <w:rsid w:val="00424701"/>
    <w:rsid w:val="00424731"/>
    <w:rsid w:val="00425076"/>
    <w:rsid w:val="004253A0"/>
    <w:rsid w:val="0042580C"/>
    <w:rsid w:val="00425B34"/>
    <w:rsid w:val="00425D7B"/>
    <w:rsid w:val="0042605E"/>
    <w:rsid w:val="00426169"/>
    <w:rsid w:val="00426404"/>
    <w:rsid w:val="00426A0B"/>
    <w:rsid w:val="00426AD0"/>
    <w:rsid w:val="00426C7F"/>
    <w:rsid w:val="00427D21"/>
    <w:rsid w:val="004300C9"/>
    <w:rsid w:val="004305B3"/>
    <w:rsid w:val="004307C2"/>
    <w:rsid w:val="00430973"/>
    <w:rsid w:val="00430DCF"/>
    <w:rsid w:val="0043146A"/>
    <w:rsid w:val="00431493"/>
    <w:rsid w:val="004314F1"/>
    <w:rsid w:val="00431733"/>
    <w:rsid w:val="00431DEA"/>
    <w:rsid w:val="00431FC9"/>
    <w:rsid w:val="00432033"/>
    <w:rsid w:val="0043212D"/>
    <w:rsid w:val="004322BB"/>
    <w:rsid w:val="0043242F"/>
    <w:rsid w:val="004326ED"/>
    <w:rsid w:val="004329B0"/>
    <w:rsid w:val="004329DE"/>
    <w:rsid w:val="0043311F"/>
    <w:rsid w:val="00433188"/>
    <w:rsid w:val="0043329B"/>
    <w:rsid w:val="004338DE"/>
    <w:rsid w:val="00433B9C"/>
    <w:rsid w:val="00433BCB"/>
    <w:rsid w:val="00434BFD"/>
    <w:rsid w:val="00435818"/>
    <w:rsid w:val="00436844"/>
    <w:rsid w:val="004369CF"/>
    <w:rsid w:val="00436CAC"/>
    <w:rsid w:val="00436E45"/>
    <w:rsid w:val="00437134"/>
    <w:rsid w:val="00437C67"/>
    <w:rsid w:val="0044045F"/>
    <w:rsid w:val="00440882"/>
    <w:rsid w:val="004412E2"/>
    <w:rsid w:val="004424BC"/>
    <w:rsid w:val="004425DA"/>
    <w:rsid w:val="00442C2F"/>
    <w:rsid w:val="00443679"/>
    <w:rsid w:val="004440A2"/>
    <w:rsid w:val="004445CF"/>
    <w:rsid w:val="00444E4F"/>
    <w:rsid w:val="004456F7"/>
    <w:rsid w:val="00445DC2"/>
    <w:rsid w:val="00445E6A"/>
    <w:rsid w:val="00445F19"/>
    <w:rsid w:val="00445FF4"/>
    <w:rsid w:val="00446557"/>
    <w:rsid w:val="00446CE9"/>
    <w:rsid w:val="00446FE9"/>
    <w:rsid w:val="0044755E"/>
    <w:rsid w:val="004475F4"/>
    <w:rsid w:val="004479B6"/>
    <w:rsid w:val="00450143"/>
    <w:rsid w:val="004503C0"/>
    <w:rsid w:val="00450438"/>
    <w:rsid w:val="0045076C"/>
    <w:rsid w:val="00450A57"/>
    <w:rsid w:val="0045121B"/>
    <w:rsid w:val="00451B1B"/>
    <w:rsid w:val="00451EE1"/>
    <w:rsid w:val="00451F85"/>
    <w:rsid w:val="0045224E"/>
    <w:rsid w:val="00452260"/>
    <w:rsid w:val="004523B0"/>
    <w:rsid w:val="00452613"/>
    <w:rsid w:val="00452983"/>
    <w:rsid w:val="004533D1"/>
    <w:rsid w:val="00453939"/>
    <w:rsid w:val="00453C1B"/>
    <w:rsid w:val="00453E6B"/>
    <w:rsid w:val="004543EC"/>
    <w:rsid w:val="00454A98"/>
    <w:rsid w:val="00454B9A"/>
    <w:rsid w:val="004550AD"/>
    <w:rsid w:val="004550DE"/>
    <w:rsid w:val="00455C07"/>
    <w:rsid w:val="00456B80"/>
    <w:rsid w:val="00457308"/>
    <w:rsid w:val="004574CF"/>
    <w:rsid w:val="00457D03"/>
    <w:rsid w:val="0046038D"/>
    <w:rsid w:val="00460442"/>
    <w:rsid w:val="0046057C"/>
    <w:rsid w:val="00460B86"/>
    <w:rsid w:val="00460D0E"/>
    <w:rsid w:val="00460E41"/>
    <w:rsid w:val="00460EE2"/>
    <w:rsid w:val="0046129C"/>
    <w:rsid w:val="00462109"/>
    <w:rsid w:val="00462BB1"/>
    <w:rsid w:val="00462BF7"/>
    <w:rsid w:val="00463235"/>
    <w:rsid w:val="00463504"/>
    <w:rsid w:val="00463CAE"/>
    <w:rsid w:val="00464697"/>
    <w:rsid w:val="00464955"/>
    <w:rsid w:val="00464B65"/>
    <w:rsid w:val="00465269"/>
    <w:rsid w:val="00465611"/>
    <w:rsid w:val="00465CC3"/>
    <w:rsid w:val="0046603F"/>
    <w:rsid w:val="004660FD"/>
    <w:rsid w:val="004667AA"/>
    <w:rsid w:val="0046686C"/>
    <w:rsid w:val="00467534"/>
    <w:rsid w:val="00467A6B"/>
    <w:rsid w:val="00467E5B"/>
    <w:rsid w:val="00470102"/>
    <w:rsid w:val="004707CC"/>
    <w:rsid w:val="004717E2"/>
    <w:rsid w:val="004718A5"/>
    <w:rsid w:val="004719B7"/>
    <w:rsid w:val="00471CFB"/>
    <w:rsid w:val="0047210E"/>
    <w:rsid w:val="0047292A"/>
    <w:rsid w:val="004732F8"/>
    <w:rsid w:val="0047337A"/>
    <w:rsid w:val="004733A2"/>
    <w:rsid w:val="00474108"/>
    <w:rsid w:val="00474562"/>
    <w:rsid w:val="00475076"/>
    <w:rsid w:val="0047509D"/>
    <w:rsid w:val="00475269"/>
    <w:rsid w:val="00475327"/>
    <w:rsid w:val="0047590F"/>
    <w:rsid w:val="00475F1A"/>
    <w:rsid w:val="00476167"/>
    <w:rsid w:val="004764D0"/>
    <w:rsid w:val="004772ED"/>
    <w:rsid w:val="0047757D"/>
    <w:rsid w:val="00477B38"/>
    <w:rsid w:val="00477BBB"/>
    <w:rsid w:val="00477D8F"/>
    <w:rsid w:val="00477FC1"/>
    <w:rsid w:val="00477FC7"/>
    <w:rsid w:val="004803E7"/>
    <w:rsid w:val="00480421"/>
    <w:rsid w:val="00480A88"/>
    <w:rsid w:val="00480D16"/>
    <w:rsid w:val="00481472"/>
    <w:rsid w:val="004819C4"/>
    <w:rsid w:val="00481CFA"/>
    <w:rsid w:val="004820FB"/>
    <w:rsid w:val="0048217E"/>
    <w:rsid w:val="00482343"/>
    <w:rsid w:val="004825BA"/>
    <w:rsid w:val="004827DF"/>
    <w:rsid w:val="00482A60"/>
    <w:rsid w:val="00482AFC"/>
    <w:rsid w:val="00482D06"/>
    <w:rsid w:val="00483AC7"/>
    <w:rsid w:val="00483D12"/>
    <w:rsid w:val="00483EDD"/>
    <w:rsid w:val="0048400E"/>
    <w:rsid w:val="00484494"/>
    <w:rsid w:val="00485609"/>
    <w:rsid w:val="0048591E"/>
    <w:rsid w:val="00485B96"/>
    <w:rsid w:val="00485CEA"/>
    <w:rsid w:val="004861EB"/>
    <w:rsid w:val="0048664C"/>
    <w:rsid w:val="0048668B"/>
    <w:rsid w:val="004871F8"/>
    <w:rsid w:val="004872F3"/>
    <w:rsid w:val="00487413"/>
    <w:rsid w:val="004875C2"/>
    <w:rsid w:val="00487D13"/>
    <w:rsid w:val="00490003"/>
    <w:rsid w:val="0049009A"/>
    <w:rsid w:val="004903D3"/>
    <w:rsid w:val="00490541"/>
    <w:rsid w:val="004905C2"/>
    <w:rsid w:val="004907CC"/>
    <w:rsid w:val="0049096C"/>
    <w:rsid w:val="00490A6A"/>
    <w:rsid w:val="00490F62"/>
    <w:rsid w:val="00490F91"/>
    <w:rsid w:val="00491521"/>
    <w:rsid w:val="004918E9"/>
    <w:rsid w:val="00491B2F"/>
    <w:rsid w:val="00491C78"/>
    <w:rsid w:val="00491D68"/>
    <w:rsid w:val="00491E05"/>
    <w:rsid w:val="00491E23"/>
    <w:rsid w:val="004921BD"/>
    <w:rsid w:val="0049227A"/>
    <w:rsid w:val="004922C1"/>
    <w:rsid w:val="004928B2"/>
    <w:rsid w:val="004929FF"/>
    <w:rsid w:val="00492CE1"/>
    <w:rsid w:val="004930EC"/>
    <w:rsid w:val="004931C2"/>
    <w:rsid w:val="00493256"/>
    <w:rsid w:val="00493383"/>
    <w:rsid w:val="00493DB1"/>
    <w:rsid w:val="00493E4E"/>
    <w:rsid w:val="004947B3"/>
    <w:rsid w:val="00494947"/>
    <w:rsid w:val="004949F0"/>
    <w:rsid w:val="00494BA6"/>
    <w:rsid w:val="004961AD"/>
    <w:rsid w:val="0049635E"/>
    <w:rsid w:val="00496617"/>
    <w:rsid w:val="00496AB0"/>
    <w:rsid w:val="004975F8"/>
    <w:rsid w:val="004A027F"/>
    <w:rsid w:val="004A092B"/>
    <w:rsid w:val="004A10CC"/>
    <w:rsid w:val="004A130E"/>
    <w:rsid w:val="004A15C1"/>
    <w:rsid w:val="004A2D21"/>
    <w:rsid w:val="004A343F"/>
    <w:rsid w:val="004A364F"/>
    <w:rsid w:val="004A467E"/>
    <w:rsid w:val="004A5837"/>
    <w:rsid w:val="004A5C77"/>
    <w:rsid w:val="004A5F87"/>
    <w:rsid w:val="004A6B56"/>
    <w:rsid w:val="004A6E64"/>
    <w:rsid w:val="004A73E3"/>
    <w:rsid w:val="004A76F6"/>
    <w:rsid w:val="004A7976"/>
    <w:rsid w:val="004A7BF4"/>
    <w:rsid w:val="004A7F45"/>
    <w:rsid w:val="004B00F8"/>
    <w:rsid w:val="004B0824"/>
    <w:rsid w:val="004B0948"/>
    <w:rsid w:val="004B0AAD"/>
    <w:rsid w:val="004B0BFF"/>
    <w:rsid w:val="004B0CD1"/>
    <w:rsid w:val="004B145B"/>
    <w:rsid w:val="004B1507"/>
    <w:rsid w:val="004B1A62"/>
    <w:rsid w:val="004B2216"/>
    <w:rsid w:val="004B25D5"/>
    <w:rsid w:val="004B328F"/>
    <w:rsid w:val="004B377C"/>
    <w:rsid w:val="004B42DF"/>
    <w:rsid w:val="004B436E"/>
    <w:rsid w:val="004B5C82"/>
    <w:rsid w:val="004B5F3C"/>
    <w:rsid w:val="004B674E"/>
    <w:rsid w:val="004B6AA3"/>
    <w:rsid w:val="004B6B62"/>
    <w:rsid w:val="004B6F27"/>
    <w:rsid w:val="004B71DF"/>
    <w:rsid w:val="004B7487"/>
    <w:rsid w:val="004B7CA3"/>
    <w:rsid w:val="004B7EA0"/>
    <w:rsid w:val="004C031B"/>
    <w:rsid w:val="004C0E98"/>
    <w:rsid w:val="004C0F22"/>
    <w:rsid w:val="004C11EE"/>
    <w:rsid w:val="004C23FF"/>
    <w:rsid w:val="004C2A8C"/>
    <w:rsid w:val="004C2DB1"/>
    <w:rsid w:val="004C2F89"/>
    <w:rsid w:val="004C3F72"/>
    <w:rsid w:val="004C4306"/>
    <w:rsid w:val="004C4562"/>
    <w:rsid w:val="004C4B08"/>
    <w:rsid w:val="004C507D"/>
    <w:rsid w:val="004C55AA"/>
    <w:rsid w:val="004C5964"/>
    <w:rsid w:val="004C5DF6"/>
    <w:rsid w:val="004C5EB6"/>
    <w:rsid w:val="004C5FBA"/>
    <w:rsid w:val="004C6399"/>
    <w:rsid w:val="004C64AD"/>
    <w:rsid w:val="004C6748"/>
    <w:rsid w:val="004C6BFA"/>
    <w:rsid w:val="004C6C37"/>
    <w:rsid w:val="004C6F50"/>
    <w:rsid w:val="004C6FA1"/>
    <w:rsid w:val="004C7027"/>
    <w:rsid w:val="004C7028"/>
    <w:rsid w:val="004C7A00"/>
    <w:rsid w:val="004C7EB7"/>
    <w:rsid w:val="004D0433"/>
    <w:rsid w:val="004D047F"/>
    <w:rsid w:val="004D06AD"/>
    <w:rsid w:val="004D15E8"/>
    <w:rsid w:val="004D1720"/>
    <w:rsid w:val="004D172B"/>
    <w:rsid w:val="004D189E"/>
    <w:rsid w:val="004D2469"/>
    <w:rsid w:val="004D2523"/>
    <w:rsid w:val="004D2B4B"/>
    <w:rsid w:val="004D307B"/>
    <w:rsid w:val="004D37B8"/>
    <w:rsid w:val="004D3AD1"/>
    <w:rsid w:val="004D3C72"/>
    <w:rsid w:val="004D40E5"/>
    <w:rsid w:val="004D44D4"/>
    <w:rsid w:val="004D4A13"/>
    <w:rsid w:val="004D4D86"/>
    <w:rsid w:val="004D5196"/>
    <w:rsid w:val="004D56B5"/>
    <w:rsid w:val="004D590F"/>
    <w:rsid w:val="004D5AE8"/>
    <w:rsid w:val="004D6088"/>
    <w:rsid w:val="004D6459"/>
    <w:rsid w:val="004D6552"/>
    <w:rsid w:val="004D66DE"/>
    <w:rsid w:val="004D71C3"/>
    <w:rsid w:val="004D739C"/>
    <w:rsid w:val="004D755D"/>
    <w:rsid w:val="004D76E1"/>
    <w:rsid w:val="004D7C6E"/>
    <w:rsid w:val="004E036E"/>
    <w:rsid w:val="004E03EC"/>
    <w:rsid w:val="004E0ADC"/>
    <w:rsid w:val="004E0C90"/>
    <w:rsid w:val="004E0F2B"/>
    <w:rsid w:val="004E1088"/>
    <w:rsid w:val="004E128F"/>
    <w:rsid w:val="004E292B"/>
    <w:rsid w:val="004E2DB5"/>
    <w:rsid w:val="004E3074"/>
    <w:rsid w:val="004E3BC6"/>
    <w:rsid w:val="004E3DA2"/>
    <w:rsid w:val="004E4227"/>
    <w:rsid w:val="004E478B"/>
    <w:rsid w:val="004E49DA"/>
    <w:rsid w:val="004E4D97"/>
    <w:rsid w:val="004E55D6"/>
    <w:rsid w:val="004E6035"/>
    <w:rsid w:val="004E6663"/>
    <w:rsid w:val="004E681A"/>
    <w:rsid w:val="004E6A0E"/>
    <w:rsid w:val="004E7C77"/>
    <w:rsid w:val="004F03FC"/>
    <w:rsid w:val="004F0446"/>
    <w:rsid w:val="004F09AB"/>
    <w:rsid w:val="004F0C48"/>
    <w:rsid w:val="004F1208"/>
    <w:rsid w:val="004F171F"/>
    <w:rsid w:val="004F1CAB"/>
    <w:rsid w:val="004F1DA4"/>
    <w:rsid w:val="004F2511"/>
    <w:rsid w:val="004F26FD"/>
    <w:rsid w:val="004F275D"/>
    <w:rsid w:val="004F2CE2"/>
    <w:rsid w:val="004F2DA2"/>
    <w:rsid w:val="004F3AB2"/>
    <w:rsid w:val="004F3F77"/>
    <w:rsid w:val="004F44AD"/>
    <w:rsid w:val="004F451D"/>
    <w:rsid w:val="004F4896"/>
    <w:rsid w:val="004F4A3E"/>
    <w:rsid w:val="004F5210"/>
    <w:rsid w:val="004F5427"/>
    <w:rsid w:val="004F55C7"/>
    <w:rsid w:val="004F5A18"/>
    <w:rsid w:val="004F5D4D"/>
    <w:rsid w:val="004F60E5"/>
    <w:rsid w:val="004F64D0"/>
    <w:rsid w:val="004F6C71"/>
    <w:rsid w:val="004F7515"/>
    <w:rsid w:val="004F7C6E"/>
    <w:rsid w:val="0050053E"/>
    <w:rsid w:val="00500626"/>
    <w:rsid w:val="0050097F"/>
    <w:rsid w:val="00500A77"/>
    <w:rsid w:val="00500B7F"/>
    <w:rsid w:val="00500C6C"/>
    <w:rsid w:val="005014C4"/>
    <w:rsid w:val="00501BAB"/>
    <w:rsid w:val="00501FD1"/>
    <w:rsid w:val="00502203"/>
    <w:rsid w:val="00502370"/>
    <w:rsid w:val="00502377"/>
    <w:rsid w:val="0050269E"/>
    <w:rsid w:val="0050298F"/>
    <w:rsid w:val="00502AE1"/>
    <w:rsid w:val="00502F26"/>
    <w:rsid w:val="00502F35"/>
    <w:rsid w:val="005031F4"/>
    <w:rsid w:val="00503383"/>
    <w:rsid w:val="005033CA"/>
    <w:rsid w:val="00503F22"/>
    <w:rsid w:val="005042C3"/>
    <w:rsid w:val="00504539"/>
    <w:rsid w:val="0050497F"/>
    <w:rsid w:val="005049B7"/>
    <w:rsid w:val="00504DC5"/>
    <w:rsid w:val="00504F70"/>
    <w:rsid w:val="0050585D"/>
    <w:rsid w:val="00505C0A"/>
    <w:rsid w:val="00505EB6"/>
    <w:rsid w:val="00505EF5"/>
    <w:rsid w:val="00505F44"/>
    <w:rsid w:val="00506830"/>
    <w:rsid w:val="00506A51"/>
    <w:rsid w:val="00506F53"/>
    <w:rsid w:val="005072D2"/>
    <w:rsid w:val="0050757C"/>
    <w:rsid w:val="00507B09"/>
    <w:rsid w:val="00507E75"/>
    <w:rsid w:val="00510719"/>
    <w:rsid w:val="005109F9"/>
    <w:rsid w:val="00510E18"/>
    <w:rsid w:val="00510E39"/>
    <w:rsid w:val="00510EA5"/>
    <w:rsid w:val="00510F46"/>
    <w:rsid w:val="00511388"/>
    <w:rsid w:val="00512071"/>
    <w:rsid w:val="00512296"/>
    <w:rsid w:val="005122F9"/>
    <w:rsid w:val="0051254D"/>
    <w:rsid w:val="0051255F"/>
    <w:rsid w:val="005125B0"/>
    <w:rsid w:val="00513176"/>
    <w:rsid w:val="0051369B"/>
    <w:rsid w:val="005141E7"/>
    <w:rsid w:val="0051424D"/>
    <w:rsid w:val="00514397"/>
    <w:rsid w:val="00514670"/>
    <w:rsid w:val="005153D5"/>
    <w:rsid w:val="00515C0C"/>
    <w:rsid w:val="005162DA"/>
    <w:rsid w:val="005166F8"/>
    <w:rsid w:val="00516964"/>
    <w:rsid w:val="00516AD6"/>
    <w:rsid w:val="00516CE7"/>
    <w:rsid w:val="00517250"/>
    <w:rsid w:val="005172FA"/>
    <w:rsid w:val="00517512"/>
    <w:rsid w:val="00517723"/>
    <w:rsid w:val="00517CB5"/>
    <w:rsid w:val="00517F12"/>
    <w:rsid w:val="00521BAA"/>
    <w:rsid w:val="0052275A"/>
    <w:rsid w:val="00522D0F"/>
    <w:rsid w:val="00522F49"/>
    <w:rsid w:val="00523B43"/>
    <w:rsid w:val="00524093"/>
    <w:rsid w:val="00524314"/>
    <w:rsid w:val="00524393"/>
    <w:rsid w:val="00524641"/>
    <w:rsid w:val="0052470A"/>
    <w:rsid w:val="00524A87"/>
    <w:rsid w:val="00525229"/>
    <w:rsid w:val="005258E3"/>
    <w:rsid w:val="00525A1C"/>
    <w:rsid w:val="00525CE7"/>
    <w:rsid w:val="00525CF0"/>
    <w:rsid w:val="00525F00"/>
    <w:rsid w:val="00525F35"/>
    <w:rsid w:val="0052614F"/>
    <w:rsid w:val="00526BB5"/>
    <w:rsid w:val="00526D13"/>
    <w:rsid w:val="0052768C"/>
    <w:rsid w:val="0052790A"/>
    <w:rsid w:val="0053010D"/>
    <w:rsid w:val="00530202"/>
    <w:rsid w:val="005309E0"/>
    <w:rsid w:val="00530C01"/>
    <w:rsid w:val="00531135"/>
    <w:rsid w:val="005316F7"/>
    <w:rsid w:val="00531C8E"/>
    <w:rsid w:val="005321DD"/>
    <w:rsid w:val="005324D4"/>
    <w:rsid w:val="005327EE"/>
    <w:rsid w:val="00532914"/>
    <w:rsid w:val="005333BE"/>
    <w:rsid w:val="00534292"/>
    <w:rsid w:val="005342E7"/>
    <w:rsid w:val="00535384"/>
    <w:rsid w:val="0053556B"/>
    <w:rsid w:val="00535A14"/>
    <w:rsid w:val="00536245"/>
    <w:rsid w:val="005362C1"/>
    <w:rsid w:val="0053655E"/>
    <w:rsid w:val="005365D6"/>
    <w:rsid w:val="00536775"/>
    <w:rsid w:val="00536924"/>
    <w:rsid w:val="00536F9D"/>
    <w:rsid w:val="00537466"/>
    <w:rsid w:val="005374F2"/>
    <w:rsid w:val="0053759F"/>
    <w:rsid w:val="0053783E"/>
    <w:rsid w:val="005401BB"/>
    <w:rsid w:val="00540388"/>
    <w:rsid w:val="0054072E"/>
    <w:rsid w:val="00540980"/>
    <w:rsid w:val="00540A70"/>
    <w:rsid w:val="0054118C"/>
    <w:rsid w:val="00541D6E"/>
    <w:rsid w:val="00541E81"/>
    <w:rsid w:val="00542010"/>
    <w:rsid w:val="00542421"/>
    <w:rsid w:val="0054250A"/>
    <w:rsid w:val="00542F8E"/>
    <w:rsid w:val="005432F0"/>
    <w:rsid w:val="00543ECA"/>
    <w:rsid w:val="00544410"/>
    <w:rsid w:val="00544597"/>
    <w:rsid w:val="005453AF"/>
    <w:rsid w:val="0054542B"/>
    <w:rsid w:val="0054577A"/>
    <w:rsid w:val="00545AFE"/>
    <w:rsid w:val="00546339"/>
    <w:rsid w:val="00546BFB"/>
    <w:rsid w:val="00546E9A"/>
    <w:rsid w:val="005470E9"/>
    <w:rsid w:val="005479DA"/>
    <w:rsid w:val="00547B45"/>
    <w:rsid w:val="00551158"/>
    <w:rsid w:val="00551161"/>
    <w:rsid w:val="00551262"/>
    <w:rsid w:val="0055148D"/>
    <w:rsid w:val="00552207"/>
    <w:rsid w:val="0055233B"/>
    <w:rsid w:val="00552AA6"/>
    <w:rsid w:val="00552BD7"/>
    <w:rsid w:val="00552EAB"/>
    <w:rsid w:val="00552F86"/>
    <w:rsid w:val="005534AE"/>
    <w:rsid w:val="00553B84"/>
    <w:rsid w:val="00554AB2"/>
    <w:rsid w:val="00554C21"/>
    <w:rsid w:val="00554CD5"/>
    <w:rsid w:val="00554EC3"/>
    <w:rsid w:val="00554F6C"/>
    <w:rsid w:val="00555A31"/>
    <w:rsid w:val="005566E9"/>
    <w:rsid w:val="00557113"/>
    <w:rsid w:val="005574E0"/>
    <w:rsid w:val="00557A8A"/>
    <w:rsid w:val="00557E43"/>
    <w:rsid w:val="00557F64"/>
    <w:rsid w:val="005603C8"/>
    <w:rsid w:val="00560F0C"/>
    <w:rsid w:val="0056103A"/>
    <w:rsid w:val="005616E6"/>
    <w:rsid w:val="005618D2"/>
    <w:rsid w:val="00561930"/>
    <w:rsid w:val="0056197C"/>
    <w:rsid w:val="00561D73"/>
    <w:rsid w:val="00562114"/>
    <w:rsid w:val="0056229F"/>
    <w:rsid w:val="00563266"/>
    <w:rsid w:val="005633DD"/>
    <w:rsid w:val="00563BF3"/>
    <w:rsid w:val="00563D35"/>
    <w:rsid w:val="00564A07"/>
    <w:rsid w:val="00564B78"/>
    <w:rsid w:val="00564D29"/>
    <w:rsid w:val="0056592E"/>
    <w:rsid w:val="00565F9F"/>
    <w:rsid w:val="005660C1"/>
    <w:rsid w:val="00567728"/>
    <w:rsid w:val="00570064"/>
    <w:rsid w:val="0057010A"/>
    <w:rsid w:val="00570175"/>
    <w:rsid w:val="00570306"/>
    <w:rsid w:val="00570BA5"/>
    <w:rsid w:val="00570D56"/>
    <w:rsid w:val="00570FF8"/>
    <w:rsid w:val="00571052"/>
    <w:rsid w:val="005721A8"/>
    <w:rsid w:val="005729DC"/>
    <w:rsid w:val="00572DC7"/>
    <w:rsid w:val="00573B7C"/>
    <w:rsid w:val="00573EE5"/>
    <w:rsid w:val="005743BA"/>
    <w:rsid w:val="005744E1"/>
    <w:rsid w:val="00574B69"/>
    <w:rsid w:val="00574B79"/>
    <w:rsid w:val="00574FE5"/>
    <w:rsid w:val="00575686"/>
    <w:rsid w:val="00575BF6"/>
    <w:rsid w:val="00575C6E"/>
    <w:rsid w:val="00576618"/>
    <w:rsid w:val="005767A6"/>
    <w:rsid w:val="005768C3"/>
    <w:rsid w:val="00576C88"/>
    <w:rsid w:val="00576F42"/>
    <w:rsid w:val="0057794D"/>
    <w:rsid w:val="00577FB4"/>
    <w:rsid w:val="005801FF"/>
    <w:rsid w:val="0058031F"/>
    <w:rsid w:val="0058087F"/>
    <w:rsid w:val="0058102A"/>
    <w:rsid w:val="0058121A"/>
    <w:rsid w:val="00581390"/>
    <w:rsid w:val="005815C9"/>
    <w:rsid w:val="0058175F"/>
    <w:rsid w:val="005819B8"/>
    <w:rsid w:val="00581AF1"/>
    <w:rsid w:val="00581FD2"/>
    <w:rsid w:val="005823CF"/>
    <w:rsid w:val="0058251D"/>
    <w:rsid w:val="00582575"/>
    <w:rsid w:val="00582BD0"/>
    <w:rsid w:val="00582E07"/>
    <w:rsid w:val="00583623"/>
    <w:rsid w:val="00583A37"/>
    <w:rsid w:val="00583B20"/>
    <w:rsid w:val="00583DAA"/>
    <w:rsid w:val="00583E75"/>
    <w:rsid w:val="00584059"/>
    <w:rsid w:val="0058498D"/>
    <w:rsid w:val="005850C6"/>
    <w:rsid w:val="00585398"/>
    <w:rsid w:val="0058545D"/>
    <w:rsid w:val="00585601"/>
    <w:rsid w:val="005859F4"/>
    <w:rsid w:val="00585C39"/>
    <w:rsid w:val="005860E8"/>
    <w:rsid w:val="0058624D"/>
    <w:rsid w:val="00586807"/>
    <w:rsid w:val="00586BFB"/>
    <w:rsid w:val="00586ED2"/>
    <w:rsid w:val="00586EF3"/>
    <w:rsid w:val="0059130B"/>
    <w:rsid w:val="00591524"/>
    <w:rsid w:val="005915B9"/>
    <w:rsid w:val="00591D88"/>
    <w:rsid w:val="00592424"/>
    <w:rsid w:val="00592931"/>
    <w:rsid w:val="0059332E"/>
    <w:rsid w:val="005933CB"/>
    <w:rsid w:val="00593526"/>
    <w:rsid w:val="005938F9"/>
    <w:rsid w:val="00593C3D"/>
    <w:rsid w:val="00593C88"/>
    <w:rsid w:val="00593F26"/>
    <w:rsid w:val="0059428D"/>
    <w:rsid w:val="00594529"/>
    <w:rsid w:val="005946D0"/>
    <w:rsid w:val="005949EF"/>
    <w:rsid w:val="00594E61"/>
    <w:rsid w:val="005951FA"/>
    <w:rsid w:val="00595279"/>
    <w:rsid w:val="00595387"/>
    <w:rsid w:val="00595497"/>
    <w:rsid w:val="00595A2F"/>
    <w:rsid w:val="00596A70"/>
    <w:rsid w:val="00596E8E"/>
    <w:rsid w:val="005A0569"/>
    <w:rsid w:val="005A064E"/>
    <w:rsid w:val="005A134A"/>
    <w:rsid w:val="005A143C"/>
    <w:rsid w:val="005A147D"/>
    <w:rsid w:val="005A1E99"/>
    <w:rsid w:val="005A2008"/>
    <w:rsid w:val="005A2087"/>
    <w:rsid w:val="005A266E"/>
    <w:rsid w:val="005A3E5D"/>
    <w:rsid w:val="005A4086"/>
    <w:rsid w:val="005A40FD"/>
    <w:rsid w:val="005A4520"/>
    <w:rsid w:val="005A465D"/>
    <w:rsid w:val="005A557C"/>
    <w:rsid w:val="005A5687"/>
    <w:rsid w:val="005A589F"/>
    <w:rsid w:val="005A5D9F"/>
    <w:rsid w:val="005A5DBF"/>
    <w:rsid w:val="005A5F64"/>
    <w:rsid w:val="005A5F82"/>
    <w:rsid w:val="005A62B0"/>
    <w:rsid w:val="005A668B"/>
    <w:rsid w:val="005A6E17"/>
    <w:rsid w:val="005A6E92"/>
    <w:rsid w:val="005A757E"/>
    <w:rsid w:val="005A77F9"/>
    <w:rsid w:val="005A797A"/>
    <w:rsid w:val="005A79E3"/>
    <w:rsid w:val="005A7C29"/>
    <w:rsid w:val="005A7CBF"/>
    <w:rsid w:val="005B0028"/>
    <w:rsid w:val="005B0202"/>
    <w:rsid w:val="005B062E"/>
    <w:rsid w:val="005B09AE"/>
    <w:rsid w:val="005B0AE1"/>
    <w:rsid w:val="005B0CF5"/>
    <w:rsid w:val="005B0E88"/>
    <w:rsid w:val="005B18F6"/>
    <w:rsid w:val="005B1E8A"/>
    <w:rsid w:val="005B2403"/>
    <w:rsid w:val="005B2915"/>
    <w:rsid w:val="005B41F0"/>
    <w:rsid w:val="005B4B86"/>
    <w:rsid w:val="005B4D54"/>
    <w:rsid w:val="005B4DC3"/>
    <w:rsid w:val="005B4F48"/>
    <w:rsid w:val="005B4FE2"/>
    <w:rsid w:val="005B63A2"/>
    <w:rsid w:val="005B6AF3"/>
    <w:rsid w:val="005B6F50"/>
    <w:rsid w:val="005B7457"/>
    <w:rsid w:val="005B7741"/>
    <w:rsid w:val="005B7804"/>
    <w:rsid w:val="005B7829"/>
    <w:rsid w:val="005C0116"/>
    <w:rsid w:val="005C0511"/>
    <w:rsid w:val="005C2233"/>
    <w:rsid w:val="005C236D"/>
    <w:rsid w:val="005C2934"/>
    <w:rsid w:val="005C2969"/>
    <w:rsid w:val="005C31E2"/>
    <w:rsid w:val="005C32D3"/>
    <w:rsid w:val="005C37FE"/>
    <w:rsid w:val="005C3BC1"/>
    <w:rsid w:val="005C3D10"/>
    <w:rsid w:val="005C3EA0"/>
    <w:rsid w:val="005C4C7C"/>
    <w:rsid w:val="005C4D59"/>
    <w:rsid w:val="005C4F65"/>
    <w:rsid w:val="005C50D6"/>
    <w:rsid w:val="005C5180"/>
    <w:rsid w:val="005C55A9"/>
    <w:rsid w:val="005C5978"/>
    <w:rsid w:val="005C62A3"/>
    <w:rsid w:val="005C633C"/>
    <w:rsid w:val="005C6412"/>
    <w:rsid w:val="005C64E0"/>
    <w:rsid w:val="005C65DB"/>
    <w:rsid w:val="005C6BE3"/>
    <w:rsid w:val="005C7056"/>
    <w:rsid w:val="005C710E"/>
    <w:rsid w:val="005C7171"/>
    <w:rsid w:val="005C7692"/>
    <w:rsid w:val="005C7BCE"/>
    <w:rsid w:val="005D0232"/>
    <w:rsid w:val="005D0472"/>
    <w:rsid w:val="005D0485"/>
    <w:rsid w:val="005D0A47"/>
    <w:rsid w:val="005D1242"/>
    <w:rsid w:val="005D1255"/>
    <w:rsid w:val="005D1516"/>
    <w:rsid w:val="005D1768"/>
    <w:rsid w:val="005D1EC7"/>
    <w:rsid w:val="005D1FB8"/>
    <w:rsid w:val="005D2313"/>
    <w:rsid w:val="005D23B6"/>
    <w:rsid w:val="005D2C4F"/>
    <w:rsid w:val="005D3059"/>
    <w:rsid w:val="005D30F0"/>
    <w:rsid w:val="005D329C"/>
    <w:rsid w:val="005D32AA"/>
    <w:rsid w:val="005D382C"/>
    <w:rsid w:val="005D4141"/>
    <w:rsid w:val="005D4C07"/>
    <w:rsid w:val="005D58E4"/>
    <w:rsid w:val="005D6378"/>
    <w:rsid w:val="005D64AE"/>
    <w:rsid w:val="005D678E"/>
    <w:rsid w:val="005D6AD9"/>
    <w:rsid w:val="005D76A2"/>
    <w:rsid w:val="005D77F4"/>
    <w:rsid w:val="005D79A7"/>
    <w:rsid w:val="005E0C6B"/>
    <w:rsid w:val="005E0DA7"/>
    <w:rsid w:val="005E0E54"/>
    <w:rsid w:val="005E0FD5"/>
    <w:rsid w:val="005E276A"/>
    <w:rsid w:val="005E2BEB"/>
    <w:rsid w:val="005E2EF4"/>
    <w:rsid w:val="005E338C"/>
    <w:rsid w:val="005E3423"/>
    <w:rsid w:val="005E36AD"/>
    <w:rsid w:val="005E39D7"/>
    <w:rsid w:val="005E3CA0"/>
    <w:rsid w:val="005E3DF5"/>
    <w:rsid w:val="005E423A"/>
    <w:rsid w:val="005E5004"/>
    <w:rsid w:val="005E55CD"/>
    <w:rsid w:val="005E5922"/>
    <w:rsid w:val="005E5B4B"/>
    <w:rsid w:val="005E5E54"/>
    <w:rsid w:val="005E5F24"/>
    <w:rsid w:val="005E6296"/>
    <w:rsid w:val="005E6F9D"/>
    <w:rsid w:val="005E7135"/>
    <w:rsid w:val="005E78A1"/>
    <w:rsid w:val="005E7C21"/>
    <w:rsid w:val="005E7D5B"/>
    <w:rsid w:val="005E7FC6"/>
    <w:rsid w:val="005F003D"/>
    <w:rsid w:val="005F0CA2"/>
    <w:rsid w:val="005F0FC2"/>
    <w:rsid w:val="005F168D"/>
    <w:rsid w:val="005F16B0"/>
    <w:rsid w:val="005F1B34"/>
    <w:rsid w:val="005F1C77"/>
    <w:rsid w:val="005F1E2A"/>
    <w:rsid w:val="005F250E"/>
    <w:rsid w:val="005F25C2"/>
    <w:rsid w:val="005F2F5A"/>
    <w:rsid w:val="005F2FED"/>
    <w:rsid w:val="005F31EF"/>
    <w:rsid w:val="005F39E8"/>
    <w:rsid w:val="005F4638"/>
    <w:rsid w:val="005F468A"/>
    <w:rsid w:val="005F48AD"/>
    <w:rsid w:val="005F4940"/>
    <w:rsid w:val="005F49CC"/>
    <w:rsid w:val="005F4A15"/>
    <w:rsid w:val="005F4B30"/>
    <w:rsid w:val="005F4DED"/>
    <w:rsid w:val="005F4ED8"/>
    <w:rsid w:val="005F56C2"/>
    <w:rsid w:val="005F5792"/>
    <w:rsid w:val="005F5DE0"/>
    <w:rsid w:val="005F664F"/>
    <w:rsid w:val="005F6C78"/>
    <w:rsid w:val="005F6CB4"/>
    <w:rsid w:val="005F6E2A"/>
    <w:rsid w:val="005F741A"/>
    <w:rsid w:val="00600097"/>
    <w:rsid w:val="0060044B"/>
    <w:rsid w:val="006007EB"/>
    <w:rsid w:val="00601279"/>
    <w:rsid w:val="00601619"/>
    <w:rsid w:val="00601A0A"/>
    <w:rsid w:val="00602F1A"/>
    <w:rsid w:val="0060385A"/>
    <w:rsid w:val="00603A5D"/>
    <w:rsid w:val="00603FB0"/>
    <w:rsid w:val="00604156"/>
    <w:rsid w:val="00605074"/>
    <w:rsid w:val="00605984"/>
    <w:rsid w:val="00605E57"/>
    <w:rsid w:val="00606008"/>
    <w:rsid w:val="00606599"/>
    <w:rsid w:val="006065B2"/>
    <w:rsid w:val="00606A75"/>
    <w:rsid w:val="00606AF5"/>
    <w:rsid w:val="0060740D"/>
    <w:rsid w:val="006074D1"/>
    <w:rsid w:val="00607897"/>
    <w:rsid w:val="006078D2"/>
    <w:rsid w:val="00607AF2"/>
    <w:rsid w:val="00607C4F"/>
    <w:rsid w:val="00610571"/>
    <w:rsid w:val="00610A97"/>
    <w:rsid w:val="00611101"/>
    <w:rsid w:val="00611648"/>
    <w:rsid w:val="00611709"/>
    <w:rsid w:val="00611934"/>
    <w:rsid w:val="00611956"/>
    <w:rsid w:val="00611FE0"/>
    <w:rsid w:val="0061200E"/>
    <w:rsid w:val="0061314C"/>
    <w:rsid w:val="006138EB"/>
    <w:rsid w:val="0061394B"/>
    <w:rsid w:val="006139AF"/>
    <w:rsid w:val="00613DAD"/>
    <w:rsid w:val="00614142"/>
    <w:rsid w:val="00614286"/>
    <w:rsid w:val="00614485"/>
    <w:rsid w:val="006144F2"/>
    <w:rsid w:val="00615438"/>
    <w:rsid w:val="006159F8"/>
    <w:rsid w:val="00616112"/>
    <w:rsid w:val="00616294"/>
    <w:rsid w:val="0061638F"/>
    <w:rsid w:val="0061687F"/>
    <w:rsid w:val="00616CCA"/>
    <w:rsid w:val="00616F7C"/>
    <w:rsid w:val="0061737C"/>
    <w:rsid w:val="00617737"/>
    <w:rsid w:val="00617F13"/>
    <w:rsid w:val="00620271"/>
    <w:rsid w:val="006203C5"/>
    <w:rsid w:val="006204D2"/>
    <w:rsid w:val="00620688"/>
    <w:rsid w:val="00620BA2"/>
    <w:rsid w:val="00620BC3"/>
    <w:rsid w:val="00621057"/>
    <w:rsid w:val="00621110"/>
    <w:rsid w:val="00621CA3"/>
    <w:rsid w:val="006220C7"/>
    <w:rsid w:val="00622B51"/>
    <w:rsid w:val="00622E01"/>
    <w:rsid w:val="00623302"/>
    <w:rsid w:val="00624E9A"/>
    <w:rsid w:val="00625AB5"/>
    <w:rsid w:val="00625C93"/>
    <w:rsid w:val="00626B7F"/>
    <w:rsid w:val="006273E8"/>
    <w:rsid w:val="00627827"/>
    <w:rsid w:val="00627D47"/>
    <w:rsid w:val="0063021F"/>
    <w:rsid w:val="00630478"/>
    <w:rsid w:val="006315CD"/>
    <w:rsid w:val="00631947"/>
    <w:rsid w:val="00631E5A"/>
    <w:rsid w:val="006327DF"/>
    <w:rsid w:val="00632856"/>
    <w:rsid w:val="0063299C"/>
    <w:rsid w:val="00632A04"/>
    <w:rsid w:val="00632A76"/>
    <w:rsid w:val="0063330A"/>
    <w:rsid w:val="0063370A"/>
    <w:rsid w:val="00633CE0"/>
    <w:rsid w:val="00633D17"/>
    <w:rsid w:val="006341F3"/>
    <w:rsid w:val="0063451D"/>
    <w:rsid w:val="0063475D"/>
    <w:rsid w:val="00634779"/>
    <w:rsid w:val="006347F8"/>
    <w:rsid w:val="00634809"/>
    <w:rsid w:val="00634878"/>
    <w:rsid w:val="00634B24"/>
    <w:rsid w:val="006365B5"/>
    <w:rsid w:val="0063671F"/>
    <w:rsid w:val="00636EF2"/>
    <w:rsid w:val="00637403"/>
    <w:rsid w:val="00637558"/>
    <w:rsid w:val="00637945"/>
    <w:rsid w:val="006402F0"/>
    <w:rsid w:val="0064039F"/>
    <w:rsid w:val="00640429"/>
    <w:rsid w:val="0064051B"/>
    <w:rsid w:val="00640669"/>
    <w:rsid w:val="006407BB"/>
    <w:rsid w:val="00640F10"/>
    <w:rsid w:val="00641583"/>
    <w:rsid w:val="00641C83"/>
    <w:rsid w:val="00641E6A"/>
    <w:rsid w:val="00641F45"/>
    <w:rsid w:val="00642035"/>
    <w:rsid w:val="00642214"/>
    <w:rsid w:val="00642595"/>
    <w:rsid w:val="00642827"/>
    <w:rsid w:val="00642921"/>
    <w:rsid w:val="006430E9"/>
    <w:rsid w:val="00643148"/>
    <w:rsid w:val="00643B99"/>
    <w:rsid w:val="00643EE0"/>
    <w:rsid w:val="00644484"/>
    <w:rsid w:val="0064451A"/>
    <w:rsid w:val="00644A8B"/>
    <w:rsid w:val="00644C60"/>
    <w:rsid w:val="006453B1"/>
    <w:rsid w:val="006458BF"/>
    <w:rsid w:val="006459E2"/>
    <w:rsid w:val="00645F14"/>
    <w:rsid w:val="00646426"/>
    <w:rsid w:val="00646538"/>
    <w:rsid w:val="006467D9"/>
    <w:rsid w:val="006473BE"/>
    <w:rsid w:val="006476EB"/>
    <w:rsid w:val="006477A0"/>
    <w:rsid w:val="006479C7"/>
    <w:rsid w:val="006479DB"/>
    <w:rsid w:val="00647CBF"/>
    <w:rsid w:val="00647FC0"/>
    <w:rsid w:val="006501C8"/>
    <w:rsid w:val="00650469"/>
    <w:rsid w:val="006506AF"/>
    <w:rsid w:val="006507D9"/>
    <w:rsid w:val="006508D1"/>
    <w:rsid w:val="006509ED"/>
    <w:rsid w:val="0065114F"/>
    <w:rsid w:val="006511ED"/>
    <w:rsid w:val="00651A34"/>
    <w:rsid w:val="00652410"/>
    <w:rsid w:val="0065297C"/>
    <w:rsid w:val="00652CCD"/>
    <w:rsid w:val="00652E19"/>
    <w:rsid w:val="0065323D"/>
    <w:rsid w:val="006534C5"/>
    <w:rsid w:val="00653A1B"/>
    <w:rsid w:val="00653C48"/>
    <w:rsid w:val="00653C6C"/>
    <w:rsid w:val="006548B2"/>
    <w:rsid w:val="006548C7"/>
    <w:rsid w:val="00654C1A"/>
    <w:rsid w:val="00655540"/>
    <w:rsid w:val="006556AD"/>
    <w:rsid w:val="006570B0"/>
    <w:rsid w:val="00657214"/>
    <w:rsid w:val="00657297"/>
    <w:rsid w:val="00657909"/>
    <w:rsid w:val="00657CD0"/>
    <w:rsid w:val="00657D1D"/>
    <w:rsid w:val="0066150C"/>
    <w:rsid w:val="006615CC"/>
    <w:rsid w:val="006618E1"/>
    <w:rsid w:val="00662235"/>
    <w:rsid w:val="0066224C"/>
    <w:rsid w:val="006626C0"/>
    <w:rsid w:val="0066285C"/>
    <w:rsid w:val="00662A45"/>
    <w:rsid w:val="00663029"/>
    <w:rsid w:val="0066309F"/>
    <w:rsid w:val="00663577"/>
    <w:rsid w:val="006636A4"/>
    <w:rsid w:val="00663988"/>
    <w:rsid w:val="00663E7E"/>
    <w:rsid w:val="006643FF"/>
    <w:rsid w:val="006644B3"/>
    <w:rsid w:val="00664B92"/>
    <w:rsid w:val="00664FF2"/>
    <w:rsid w:val="0066510C"/>
    <w:rsid w:val="006657E1"/>
    <w:rsid w:val="006657F9"/>
    <w:rsid w:val="00665E07"/>
    <w:rsid w:val="00665FA3"/>
    <w:rsid w:val="00666182"/>
    <w:rsid w:val="00666207"/>
    <w:rsid w:val="00666A91"/>
    <w:rsid w:val="00666AF6"/>
    <w:rsid w:val="00667C59"/>
    <w:rsid w:val="0067003A"/>
    <w:rsid w:val="006702F6"/>
    <w:rsid w:val="00670654"/>
    <w:rsid w:val="0067069C"/>
    <w:rsid w:val="006709CE"/>
    <w:rsid w:val="00670BA4"/>
    <w:rsid w:val="00670E1B"/>
    <w:rsid w:val="00670EA2"/>
    <w:rsid w:val="0067134E"/>
    <w:rsid w:val="00671575"/>
    <w:rsid w:val="00671ECE"/>
    <w:rsid w:val="00672847"/>
    <w:rsid w:val="00672F39"/>
    <w:rsid w:val="00673306"/>
    <w:rsid w:val="00673DC8"/>
    <w:rsid w:val="00673EB6"/>
    <w:rsid w:val="00674B76"/>
    <w:rsid w:val="00674E83"/>
    <w:rsid w:val="00674F0F"/>
    <w:rsid w:val="006761BC"/>
    <w:rsid w:val="00676370"/>
    <w:rsid w:val="006769E0"/>
    <w:rsid w:val="00676A0B"/>
    <w:rsid w:val="00676C04"/>
    <w:rsid w:val="00676D9B"/>
    <w:rsid w:val="00677CEF"/>
    <w:rsid w:val="00680458"/>
    <w:rsid w:val="00680484"/>
    <w:rsid w:val="00680BB2"/>
    <w:rsid w:val="00680D54"/>
    <w:rsid w:val="0068138D"/>
    <w:rsid w:val="00681390"/>
    <w:rsid w:val="00681442"/>
    <w:rsid w:val="00681916"/>
    <w:rsid w:val="00681982"/>
    <w:rsid w:val="00681FB0"/>
    <w:rsid w:val="006821AE"/>
    <w:rsid w:val="006825CD"/>
    <w:rsid w:val="00682C11"/>
    <w:rsid w:val="006830FD"/>
    <w:rsid w:val="006835AB"/>
    <w:rsid w:val="00683685"/>
    <w:rsid w:val="00684398"/>
    <w:rsid w:val="006843F3"/>
    <w:rsid w:val="00684478"/>
    <w:rsid w:val="00684A5A"/>
    <w:rsid w:val="00684C00"/>
    <w:rsid w:val="00684FB9"/>
    <w:rsid w:val="006851F8"/>
    <w:rsid w:val="0068574A"/>
    <w:rsid w:val="00685852"/>
    <w:rsid w:val="006859AD"/>
    <w:rsid w:val="006863C2"/>
    <w:rsid w:val="00686914"/>
    <w:rsid w:val="00686F59"/>
    <w:rsid w:val="0068725A"/>
    <w:rsid w:val="00687E23"/>
    <w:rsid w:val="006901A4"/>
    <w:rsid w:val="006902F2"/>
    <w:rsid w:val="006905E7"/>
    <w:rsid w:val="00690C22"/>
    <w:rsid w:val="00690E4E"/>
    <w:rsid w:val="00690E6D"/>
    <w:rsid w:val="00691269"/>
    <w:rsid w:val="006913F1"/>
    <w:rsid w:val="00691773"/>
    <w:rsid w:val="00691A1D"/>
    <w:rsid w:val="00691FE3"/>
    <w:rsid w:val="006928CD"/>
    <w:rsid w:val="00693117"/>
    <w:rsid w:val="006931E7"/>
    <w:rsid w:val="00693A73"/>
    <w:rsid w:val="00693D6C"/>
    <w:rsid w:val="00693F85"/>
    <w:rsid w:val="00694047"/>
    <w:rsid w:val="00694149"/>
    <w:rsid w:val="00694169"/>
    <w:rsid w:val="006941D2"/>
    <w:rsid w:val="0069431F"/>
    <w:rsid w:val="00695C2F"/>
    <w:rsid w:val="006964D7"/>
    <w:rsid w:val="00696537"/>
    <w:rsid w:val="006966F1"/>
    <w:rsid w:val="00696766"/>
    <w:rsid w:val="00696840"/>
    <w:rsid w:val="006969B8"/>
    <w:rsid w:val="00697B5B"/>
    <w:rsid w:val="006A0040"/>
    <w:rsid w:val="006A02BB"/>
    <w:rsid w:val="006A07A1"/>
    <w:rsid w:val="006A0E39"/>
    <w:rsid w:val="006A14D8"/>
    <w:rsid w:val="006A1A48"/>
    <w:rsid w:val="006A1EA4"/>
    <w:rsid w:val="006A1FEA"/>
    <w:rsid w:val="006A252D"/>
    <w:rsid w:val="006A25F4"/>
    <w:rsid w:val="006A2A9B"/>
    <w:rsid w:val="006A2E6D"/>
    <w:rsid w:val="006A3D9E"/>
    <w:rsid w:val="006A3EC7"/>
    <w:rsid w:val="006A4449"/>
    <w:rsid w:val="006A4556"/>
    <w:rsid w:val="006A4BFF"/>
    <w:rsid w:val="006A4CAB"/>
    <w:rsid w:val="006A508D"/>
    <w:rsid w:val="006A5A98"/>
    <w:rsid w:val="006A5BF4"/>
    <w:rsid w:val="006A63AE"/>
    <w:rsid w:val="006A6CB7"/>
    <w:rsid w:val="006A70FA"/>
    <w:rsid w:val="006A74DA"/>
    <w:rsid w:val="006A7608"/>
    <w:rsid w:val="006A7B81"/>
    <w:rsid w:val="006A7C12"/>
    <w:rsid w:val="006A7CBE"/>
    <w:rsid w:val="006A7D6B"/>
    <w:rsid w:val="006A7DAA"/>
    <w:rsid w:val="006A7FB8"/>
    <w:rsid w:val="006B00C1"/>
    <w:rsid w:val="006B05F8"/>
    <w:rsid w:val="006B0E93"/>
    <w:rsid w:val="006B10D9"/>
    <w:rsid w:val="006B1103"/>
    <w:rsid w:val="006B13DA"/>
    <w:rsid w:val="006B28EC"/>
    <w:rsid w:val="006B2C99"/>
    <w:rsid w:val="006B2EEC"/>
    <w:rsid w:val="006B3717"/>
    <w:rsid w:val="006B3BAB"/>
    <w:rsid w:val="006B3D2E"/>
    <w:rsid w:val="006B40A1"/>
    <w:rsid w:val="006B4F5E"/>
    <w:rsid w:val="006B55C3"/>
    <w:rsid w:val="006B5B93"/>
    <w:rsid w:val="006B5BAA"/>
    <w:rsid w:val="006B5C79"/>
    <w:rsid w:val="006B5DC5"/>
    <w:rsid w:val="006B5F7F"/>
    <w:rsid w:val="006B60BB"/>
    <w:rsid w:val="006B60CB"/>
    <w:rsid w:val="006B6A33"/>
    <w:rsid w:val="006B6B2D"/>
    <w:rsid w:val="006B792B"/>
    <w:rsid w:val="006B7A83"/>
    <w:rsid w:val="006B7C5F"/>
    <w:rsid w:val="006B7DEA"/>
    <w:rsid w:val="006C0B36"/>
    <w:rsid w:val="006C0D38"/>
    <w:rsid w:val="006C0DA3"/>
    <w:rsid w:val="006C1323"/>
    <w:rsid w:val="006C1A11"/>
    <w:rsid w:val="006C1A65"/>
    <w:rsid w:val="006C1A99"/>
    <w:rsid w:val="006C1FB5"/>
    <w:rsid w:val="006C1FFD"/>
    <w:rsid w:val="006C23F1"/>
    <w:rsid w:val="006C2447"/>
    <w:rsid w:val="006C2492"/>
    <w:rsid w:val="006C24F7"/>
    <w:rsid w:val="006C26E1"/>
    <w:rsid w:val="006C27E3"/>
    <w:rsid w:val="006C2BD8"/>
    <w:rsid w:val="006C2D7F"/>
    <w:rsid w:val="006C37A1"/>
    <w:rsid w:val="006C3A43"/>
    <w:rsid w:val="006C3B9F"/>
    <w:rsid w:val="006C42CC"/>
    <w:rsid w:val="006C43D2"/>
    <w:rsid w:val="006C5766"/>
    <w:rsid w:val="006C5976"/>
    <w:rsid w:val="006C6319"/>
    <w:rsid w:val="006C648E"/>
    <w:rsid w:val="006C69E4"/>
    <w:rsid w:val="006C6B66"/>
    <w:rsid w:val="006C7083"/>
    <w:rsid w:val="006C7293"/>
    <w:rsid w:val="006C759B"/>
    <w:rsid w:val="006C77A3"/>
    <w:rsid w:val="006C78E2"/>
    <w:rsid w:val="006D0732"/>
    <w:rsid w:val="006D0967"/>
    <w:rsid w:val="006D099C"/>
    <w:rsid w:val="006D13A8"/>
    <w:rsid w:val="006D2160"/>
    <w:rsid w:val="006D2505"/>
    <w:rsid w:val="006D2631"/>
    <w:rsid w:val="006D2DC3"/>
    <w:rsid w:val="006D2FB4"/>
    <w:rsid w:val="006D432C"/>
    <w:rsid w:val="006D47CA"/>
    <w:rsid w:val="006D4924"/>
    <w:rsid w:val="006D4D82"/>
    <w:rsid w:val="006D558D"/>
    <w:rsid w:val="006D56D9"/>
    <w:rsid w:val="006D5D9C"/>
    <w:rsid w:val="006D66E8"/>
    <w:rsid w:val="006D6846"/>
    <w:rsid w:val="006D6C4F"/>
    <w:rsid w:val="006D7181"/>
    <w:rsid w:val="006D753A"/>
    <w:rsid w:val="006D7DC1"/>
    <w:rsid w:val="006E0486"/>
    <w:rsid w:val="006E0509"/>
    <w:rsid w:val="006E0D48"/>
    <w:rsid w:val="006E0DAC"/>
    <w:rsid w:val="006E13CA"/>
    <w:rsid w:val="006E149B"/>
    <w:rsid w:val="006E245C"/>
    <w:rsid w:val="006E31FC"/>
    <w:rsid w:val="006E3468"/>
    <w:rsid w:val="006E3626"/>
    <w:rsid w:val="006E3AE7"/>
    <w:rsid w:val="006E3C67"/>
    <w:rsid w:val="006E3DB4"/>
    <w:rsid w:val="006E3EA6"/>
    <w:rsid w:val="006E42A6"/>
    <w:rsid w:val="006E4428"/>
    <w:rsid w:val="006E4802"/>
    <w:rsid w:val="006E4C7D"/>
    <w:rsid w:val="006E4D5C"/>
    <w:rsid w:val="006E507B"/>
    <w:rsid w:val="006E5450"/>
    <w:rsid w:val="006E58A9"/>
    <w:rsid w:val="006E5FF1"/>
    <w:rsid w:val="006E6528"/>
    <w:rsid w:val="006E68DD"/>
    <w:rsid w:val="006E71D5"/>
    <w:rsid w:val="006E7BA0"/>
    <w:rsid w:val="006E7F4B"/>
    <w:rsid w:val="006F00BD"/>
    <w:rsid w:val="006F00F5"/>
    <w:rsid w:val="006F0813"/>
    <w:rsid w:val="006F086B"/>
    <w:rsid w:val="006F16DB"/>
    <w:rsid w:val="006F1807"/>
    <w:rsid w:val="006F203D"/>
    <w:rsid w:val="006F23D7"/>
    <w:rsid w:val="006F24A4"/>
    <w:rsid w:val="006F2CA4"/>
    <w:rsid w:val="006F33F9"/>
    <w:rsid w:val="006F3F34"/>
    <w:rsid w:val="006F3FA6"/>
    <w:rsid w:val="006F432C"/>
    <w:rsid w:val="006F447B"/>
    <w:rsid w:val="006F456F"/>
    <w:rsid w:val="006F45DE"/>
    <w:rsid w:val="006F4A40"/>
    <w:rsid w:val="006F4E7D"/>
    <w:rsid w:val="006F511F"/>
    <w:rsid w:val="006F5177"/>
    <w:rsid w:val="006F549F"/>
    <w:rsid w:val="006F569F"/>
    <w:rsid w:val="006F583E"/>
    <w:rsid w:val="006F65FB"/>
    <w:rsid w:val="006F66C9"/>
    <w:rsid w:val="006F6F4A"/>
    <w:rsid w:val="006F718B"/>
    <w:rsid w:val="006F7198"/>
    <w:rsid w:val="006F7999"/>
    <w:rsid w:val="006F7BC2"/>
    <w:rsid w:val="006F7D23"/>
    <w:rsid w:val="00700098"/>
    <w:rsid w:val="00701539"/>
    <w:rsid w:val="007015AF"/>
    <w:rsid w:val="007015CA"/>
    <w:rsid w:val="007016D6"/>
    <w:rsid w:val="00701750"/>
    <w:rsid w:val="00701EC0"/>
    <w:rsid w:val="00702710"/>
    <w:rsid w:val="007037FC"/>
    <w:rsid w:val="00703C15"/>
    <w:rsid w:val="00704245"/>
    <w:rsid w:val="00704359"/>
    <w:rsid w:val="0070466B"/>
    <w:rsid w:val="0070468A"/>
    <w:rsid w:val="00704699"/>
    <w:rsid w:val="00704DBE"/>
    <w:rsid w:val="00705246"/>
    <w:rsid w:val="00705546"/>
    <w:rsid w:val="00705553"/>
    <w:rsid w:val="007058BC"/>
    <w:rsid w:val="00705A27"/>
    <w:rsid w:val="00705A38"/>
    <w:rsid w:val="00705D2D"/>
    <w:rsid w:val="00706832"/>
    <w:rsid w:val="007068D5"/>
    <w:rsid w:val="00706ADD"/>
    <w:rsid w:val="00706C1C"/>
    <w:rsid w:val="0070718C"/>
    <w:rsid w:val="007073FD"/>
    <w:rsid w:val="0070751F"/>
    <w:rsid w:val="007076D8"/>
    <w:rsid w:val="007103F7"/>
    <w:rsid w:val="00710614"/>
    <w:rsid w:val="00710A43"/>
    <w:rsid w:val="00710F2C"/>
    <w:rsid w:val="00711289"/>
    <w:rsid w:val="0071134B"/>
    <w:rsid w:val="007115BB"/>
    <w:rsid w:val="007127CB"/>
    <w:rsid w:val="0071296F"/>
    <w:rsid w:val="00712BDF"/>
    <w:rsid w:val="00712EAA"/>
    <w:rsid w:val="00713626"/>
    <w:rsid w:val="00713759"/>
    <w:rsid w:val="007138EA"/>
    <w:rsid w:val="00713957"/>
    <w:rsid w:val="00714B79"/>
    <w:rsid w:val="00714F74"/>
    <w:rsid w:val="00715AF5"/>
    <w:rsid w:val="00715F31"/>
    <w:rsid w:val="007165C1"/>
    <w:rsid w:val="00716702"/>
    <w:rsid w:val="007167D6"/>
    <w:rsid w:val="0071683C"/>
    <w:rsid w:val="00716851"/>
    <w:rsid w:val="007168A6"/>
    <w:rsid w:val="00717240"/>
    <w:rsid w:val="00717242"/>
    <w:rsid w:val="007175C6"/>
    <w:rsid w:val="00717D4F"/>
    <w:rsid w:val="00717DEA"/>
    <w:rsid w:val="0072051A"/>
    <w:rsid w:val="00720A42"/>
    <w:rsid w:val="007215F9"/>
    <w:rsid w:val="00721848"/>
    <w:rsid w:val="007221A1"/>
    <w:rsid w:val="007221C5"/>
    <w:rsid w:val="007226F5"/>
    <w:rsid w:val="00722981"/>
    <w:rsid w:val="00722994"/>
    <w:rsid w:val="00722AC6"/>
    <w:rsid w:val="00722FD1"/>
    <w:rsid w:val="0072301F"/>
    <w:rsid w:val="0072319F"/>
    <w:rsid w:val="0072485C"/>
    <w:rsid w:val="007251FA"/>
    <w:rsid w:val="007256D2"/>
    <w:rsid w:val="00725DAC"/>
    <w:rsid w:val="007260BF"/>
    <w:rsid w:val="007262B4"/>
    <w:rsid w:val="00726A43"/>
    <w:rsid w:val="00726B76"/>
    <w:rsid w:val="00726C30"/>
    <w:rsid w:val="00726E33"/>
    <w:rsid w:val="00726F2D"/>
    <w:rsid w:val="00727D5B"/>
    <w:rsid w:val="00727E02"/>
    <w:rsid w:val="00727F40"/>
    <w:rsid w:val="00727FAF"/>
    <w:rsid w:val="007302D8"/>
    <w:rsid w:val="00730358"/>
    <w:rsid w:val="007306D8"/>
    <w:rsid w:val="0073085C"/>
    <w:rsid w:val="00730948"/>
    <w:rsid w:val="00730A35"/>
    <w:rsid w:val="00730BD7"/>
    <w:rsid w:val="00730E47"/>
    <w:rsid w:val="007311C9"/>
    <w:rsid w:val="007319CB"/>
    <w:rsid w:val="00731C1A"/>
    <w:rsid w:val="00731C77"/>
    <w:rsid w:val="00731DF2"/>
    <w:rsid w:val="00731FB8"/>
    <w:rsid w:val="0073207E"/>
    <w:rsid w:val="0073215E"/>
    <w:rsid w:val="00732594"/>
    <w:rsid w:val="007328C9"/>
    <w:rsid w:val="00732F7F"/>
    <w:rsid w:val="00732FC3"/>
    <w:rsid w:val="0073394B"/>
    <w:rsid w:val="00733BCE"/>
    <w:rsid w:val="00733E55"/>
    <w:rsid w:val="0073460A"/>
    <w:rsid w:val="00734B4B"/>
    <w:rsid w:val="007355C6"/>
    <w:rsid w:val="007357C2"/>
    <w:rsid w:val="00735942"/>
    <w:rsid w:val="00735A5B"/>
    <w:rsid w:val="00735E73"/>
    <w:rsid w:val="0073616F"/>
    <w:rsid w:val="00736E04"/>
    <w:rsid w:val="00736FBF"/>
    <w:rsid w:val="00736FEA"/>
    <w:rsid w:val="007370B3"/>
    <w:rsid w:val="00737259"/>
    <w:rsid w:val="00737449"/>
    <w:rsid w:val="00737ADA"/>
    <w:rsid w:val="00737C95"/>
    <w:rsid w:val="0074034F"/>
    <w:rsid w:val="0074064A"/>
    <w:rsid w:val="007406B7"/>
    <w:rsid w:val="00740A78"/>
    <w:rsid w:val="00740A81"/>
    <w:rsid w:val="00740E3F"/>
    <w:rsid w:val="0074115B"/>
    <w:rsid w:val="007415F9"/>
    <w:rsid w:val="00741D59"/>
    <w:rsid w:val="00741EC0"/>
    <w:rsid w:val="00741F6C"/>
    <w:rsid w:val="0074247E"/>
    <w:rsid w:val="007427A8"/>
    <w:rsid w:val="00742959"/>
    <w:rsid w:val="00742A79"/>
    <w:rsid w:val="00742D57"/>
    <w:rsid w:val="007431C0"/>
    <w:rsid w:val="00743494"/>
    <w:rsid w:val="007445B8"/>
    <w:rsid w:val="00744721"/>
    <w:rsid w:val="00744BAE"/>
    <w:rsid w:val="00745117"/>
    <w:rsid w:val="00745138"/>
    <w:rsid w:val="00745178"/>
    <w:rsid w:val="00745868"/>
    <w:rsid w:val="00745A8C"/>
    <w:rsid w:val="00745D12"/>
    <w:rsid w:val="00745E92"/>
    <w:rsid w:val="00746767"/>
    <w:rsid w:val="00746F20"/>
    <w:rsid w:val="00746FFA"/>
    <w:rsid w:val="007473E0"/>
    <w:rsid w:val="0075006C"/>
    <w:rsid w:val="007508C6"/>
    <w:rsid w:val="00750910"/>
    <w:rsid w:val="00750EB0"/>
    <w:rsid w:val="0075199F"/>
    <w:rsid w:val="00752484"/>
    <w:rsid w:val="0075259D"/>
    <w:rsid w:val="007526E4"/>
    <w:rsid w:val="00752866"/>
    <w:rsid w:val="00752BEA"/>
    <w:rsid w:val="00752C3E"/>
    <w:rsid w:val="00752D74"/>
    <w:rsid w:val="00753F09"/>
    <w:rsid w:val="00754274"/>
    <w:rsid w:val="007542A8"/>
    <w:rsid w:val="007551A2"/>
    <w:rsid w:val="0075521B"/>
    <w:rsid w:val="0075585D"/>
    <w:rsid w:val="00755AA2"/>
    <w:rsid w:val="00755F13"/>
    <w:rsid w:val="00756428"/>
    <w:rsid w:val="00756441"/>
    <w:rsid w:val="00756AD9"/>
    <w:rsid w:val="00756B2C"/>
    <w:rsid w:val="00756DE9"/>
    <w:rsid w:val="00757096"/>
    <w:rsid w:val="0076023E"/>
    <w:rsid w:val="007605E7"/>
    <w:rsid w:val="007606D7"/>
    <w:rsid w:val="00760C37"/>
    <w:rsid w:val="00761149"/>
    <w:rsid w:val="007616DC"/>
    <w:rsid w:val="007618E8"/>
    <w:rsid w:val="007625FF"/>
    <w:rsid w:val="00762CFA"/>
    <w:rsid w:val="007632A7"/>
    <w:rsid w:val="007635C2"/>
    <w:rsid w:val="00763C83"/>
    <w:rsid w:val="00763D77"/>
    <w:rsid w:val="00764297"/>
    <w:rsid w:val="00764613"/>
    <w:rsid w:val="00764C32"/>
    <w:rsid w:val="00764DDC"/>
    <w:rsid w:val="0076525D"/>
    <w:rsid w:val="00765444"/>
    <w:rsid w:val="00765A8A"/>
    <w:rsid w:val="0076630C"/>
    <w:rsid w:val="0076648B"/>
    <w:rsid w:val="007664EE"/>
    <w:rsid w:val="007665D8"/>
    <w:rsid w:val="00766BD5"/>
    <w:rsid w:val="00767193"/>
    <w:rsid w:val="0076756B"/>
    <w:rsid w:val="007678DA"/>
    <w:rsid w:val="00767F9D"/>
    <w:rsid w:val="00770048"/>
    <w:rsid w:val="00770592"/>
    <w:rsid w:val="00770781"/>
    <w:rsid w:val="007715B1"/>
    <w:rsid w:val="007722F6"/>
    <w:rsid w:val="0077261B"/>
    <w:rsid w:val="007728B0"/>
    <w:rsid w:val="007737D6"/>
    <w:rsid w:val="007743A2"/>
    <w:rsid w:val="007746B8"/>
    <w:rsid w:val="007746E1"/>
    <w:rsid w:val="0077542F"/>
    <w:rsid w:val="007756A3"/>
    <w:rsid w:val="00775B3F"/>
    <w:rsid w:val="00775B50"/>
    <w:rsid w:val="00775DB6"/>
    <w:rsid w:val="0077602C"/>
    <w:rsid w:val="00776C32"/>
    <w:rsid w:val="00776DF4"/>
    <w:rsid w:val="00777C59"/>
    <w:rsid w:val="00777DEC"/>
    <w:rsid w:val="00780075"/>
    <w:rsid w:val="00780249"/>
    <w:rsid w:val="00780867"/>
    <w:rsid w:val="00780F27"/>
    <w:rsid w:val="007811F6"/>
    <w:rsid w:val="00781C18"/>
    <w:rsid w:val="00781DEB"/>
    <w:rsid w:val="00781E5E"/>
    <w:rsid w:val="007823F8"/>
    <w:rsid w:val="00782749"/>
    <w:rsid w:val="0078278A"/>
    <w:rsid w:val="00782888"/>
    <w:rsid w:val="0078297D"/>
    <w:rsid w:val="00782AD3"/>
    <w:rsid w:val="00782BF1"/>
    <w:rsid w:val="00782FED"/>
    <w:rsid w:val="00783DFD"/>
    <w:rsid w:val="00784208"/>
    <w:rsid w:val="007843CB"/>
    <w:rsid w:val="00784542"/>
    <w:rsid w:val="00784BE8"/>
    <w:rsid w:val="00784FC4"/>
    <w:rsid w:val="00785336"/>
    <w:rsid w:val="00785504"/>
    <w:rsid w:val="00785730"/>
    <w:rsid w:val="00785952"/>
    <w:rsid w:val="00785D41"/>
    <w:rsid w:val="00785F95"/>
    <w:rsid w:val="007860AF"/>
    <w:rsid w:val="0078624C"/>
    <w:rsid w:val="007867C6"/>
    <w:rsid w:val="00786DA6"/>
    <w:rsid w:val="00787322"/>
    <w:rsid w:val="007873AF"/>
    <w:rsid w:val="007874AF"/>
    <w:rsid w:val="00787915"/>
    <w:rsid w:val="007879CB"/>
    <w:rsid w:val="007906FE"/>
    <w:rsid w:val="00790F20"/>
    <w:rsid w:val="0079165E"/>
    <w:rsid w:val="00791BD0"/>
    <w:rsid w:val="00792122"/>
    <w:rsid w:val="00792502"/>
    <w:rsid w:val="0079313D"/>
    <w:rsid w:val="00793187"/>
    <w:rsid w:val="007931CC"/>
    <w:rsid w:val="0079364B"/>
    <w:rsid w:val="00793929"/>
    <w:rsid w:val="0079399F"/>
    <w:rsid w:val="00793AAA"/>
    <w:rsid w:val="00793AC3"/>
    <w:rsid w:val="00793CEE"/>
    <w:rsid w:val="007941FF"/>
    <w:rsid w:val="007944ED"/>
    <w:rsid w:val="00794D87"/>
    <w:rsid w:val="0079512C"/>
    <w:rsid w:val="00795161"/>
    <w:rsid w:val="007953D2"/>
    <w:rsid w:val="00795644"/>
    <w:rsid w:val="007963AF"/>
    <w:rsid w:val="007968E2"/>
    <w:rsid w:val="00796D67"/>
    <w:rsid w:val="0079706E"/>
    <w:rsid w:val="00797311"/>
    <w:rsid w:val="007974E0"/>
    <w:rsid w:val="00797DAB"/>
    <w:rsid w:val="00797DBB"/>
    <w:rsid w:val="007A071A"/>
    <w:rsid w:val="007A0744"/>
    <w:rsid w:val="007A074A"/>
    <w:rsid w:val="007A1142"/>
    <w:rsid w:val="007A1851"/>
    <w:rsid w:val="007A1E82"/>
    <w:rsid w:val="007A22BF"/>
    <w:rsid w:val="007A231B"/>
    <w:rsid w:val="007A23EA"/>
    <w:rsid w:val="007A255B"/>
    <w:rsid w:val="007A2BDC"/>
    <w:rsid w:val="007A2D97"/>
    <w:rsid w:val="007A34B6"/>
    <w:rsid w:val="007A3537"/>
    <w:rsid w:val="007A3637"/>
    <w:rsid w:val="007A3BF9"/>
    <w:rsid w:val="007A3DBA"/>
    <w:rsid w:val="007A481A"/>
    <w:rsid w:val="007A4CAD"/>
    <w:rsid w:val="007A52E6"/>
    <w:rsid w:val="007A568F"/>
    <w:rsid w:val="007A5D96"/>
    <w:rsid w:val="007A61B6"/>
    <w:rsid w:val="007A62DD"/>
    <w:rsid w:val="007A6755"/>
    <w:rsid w:val="007A68E3"/>
    <w:rsid w:val="007A694D"/>
    <w:rsid w:val="007A6CE7"/>
    <w:rsid w:val="007A6DEF"/>
    <w:rsid w:val="007A6E57"/>
    <w:rsid w:val="007A7033"/>
    <w:rsid w:val="007A713F"/>
    <w:rsid w:val="007A7308"/>
    <w:rsid w:val="007A734C"/>
    <w:rsid w:val="007A778A"/>
    <w:rsid w:val="007A7812"/>
    <w:rsid w:val="007A7D2D"/>
    <w:rsid w:val="007A7D8A"/>
    <w:rsid w:val="007B0180"/>
    <w:rsid w:val="007B0226"/>
    <w:rsid w:val="007B0C1F"/>
    <w:rsid w:val="007B18EE"/>
    <w:rsid w:val="007B199E"/>
    <w:rsid w:val="007B1D30"/>
    <w:rsid w:val="007B20EF"/>
    <w:rsid w:val="007B2468"/>
    <w:rsid w:val="007B29D5"/>
    <w:rsid w:val="007B2C99"/>
    <w:rsid w:val="007B2D3D"/>
    <w:rsid w:val="007B3006"/>
    <w:rsid w:val="007B30ED"/>
    <w:rsid w:val="007B3444"/>
    <w:rsid w:val="007B3741"/>
    <w:rsid w:val="007B3888"/>
    <w:rsid w:val="007B42B4"/>
    <w:rsid w:val="007B43E9"/>
    <w:rsid w:val="007B449D"/>
    <w:rsid w:val="007B4531"/>
    <w:rsid w:val="007B483B"/>
    <w:rsid w:val="007B4D89"/>
    <w:rsid w:val="007B50C1"/>
    <w:rsid w:val="007B556E"/>
    <w:rsid w:val="007B5BB7"/>
    <w:rsid w:val="007B6393"/>
    <w:rsid w:val="007B6FDB"/>
    <w:rsid w:val="007B7BFF"/>
    <w:rsid w:val="007B7F02"/>
    <w:rsid w:val="007C0023"/>
    <w:rsid w:val="007C01D8"/>
    <w:rsid w:val="007C073D"/>
    <w:rsid w:val="007C0E54"/>
    <w:rsid w:val="007C1803"/>
    <w:rsid w:val="007C19FF"/>
    <w:rsid w:val="007C1D65"/>
    <w:rsid w:val="007C1F34"/>
    <w:rsid w:val="007C2510"/>
    <w:rsid w:val="007C273C"/>
    <w:rsid w:val="007C28C8"/>
    <w:rsid w:val="007C2C60"/>
    <w:rsid w:val="007C2C80"/>
    <w:rsid w:val="007C3596"/>
    <w:rsid w:val="007C3663"/>
    <w:rsid w:val="007C368C"/>
    <w:rsid w:val="007C3785"/>
    <w:rsid w:val="007C3B1A"/>
    <w:rsid w:val="007C412E"/>
    <w:rsid w:val="007C44E0"/>
    <w:rsid w:val="007C46B5"/>
    <w:rsid w:val="007C497C"/>
    <w:rsid w:val="007C4E15"/>
    <w:rsid w:val="007C5113"/>
    <w:rsid w:val="007C5440"/>
    <w:rsid w:val="007C55B7"/>
    <w:rsid w:val="007C5666"/>
    <w:rsid w:val="007C666C"/>
    <w:rsid w:val="007C6988"/>
    <w:rsid w:val="007C6A42"/>
    <w:rsid w:val="007C6D75"/>
    <w:rsid w:val="007C7906"/>
    <w:rsid w:val="007C79D4"/>
    <w:rsid w:val="007C7B7D"/>
    <w:rsid w:val="007C7D3A"/>
    <w:rsid w:val="007D0071"/>
    <w:rsid w:val="007D0457"/>
    <w:rsid w:val="007D04F4"/>
    <w:rsid w:val="007D0DE3"/>
    <w:rsid w:val="007D1789"/>
    <w:rsid w:val="007D1823"/>
    <w:rsid w:val="007D217E"/>
    <w:rsid w:val="007D2B41"/>
    <w:rsid w:val="007D389F"/>
    <w:rsid w:val="007D3D4A"/>
    <w:rsid w:val="007D4146"/>
    <w:rsid w:val="007D4435"/>
    <w:rsid w:val="007D4495"/>
    <w:rsid w:val="007D5C30"/>
    <w:rsid w:val="007D5CCD"/>
    <w:rsid w:val="007D67E3"/>
    <w:rsid w:val="007D6F41"/>
    <w:rsid w:val="007D71B0"/>
    <w:rsid w:val="007D7732"/>
    <w:rsid w:val="007D78C5"/>
    <w:rsid w:val="007D7CD2"/>
    <w:rsid w:val="007D7E0A"/>
    <w:rsid w:val="007E0468"/>
    <w:rsid w:val="007E06A0"/>
    <w:rsid w:val="007E1082"/>
    <w:rsid w:val="007E117D"/>
    <w:rsid w:val="007E13E0"/>
    <w:rsid w:val="007E1673"/>
    <w:rsid w:val="007E1692"/>
    <w:rsid w:val="007E1F33"/>
    <w:rsid w:val="007E24B6"/>
    <w:rsid w:val="007E2CBA"/>
    <w:rsid w:val="007E318B"/>
    <w:rsid w:val="007E3530"/>
    <w:rsid w:val="007E39AC"/>
    <w:rsid w:val="007E3FB2"/>
    <w:rsid w:val="007E425A"/>
    <w:rsid w:val="007E4718"/>
    <w:rsid w:val="007E4C69"/>
    <w:rsid w:val="007E4D9F"/>
    <w:rsid w:val="007E50AC"/>
    <w:rsid w:val="007E51B4"/>
    <w:rsid w:val="007E524F"/>
    <w:rsid w:val="007E536D"/>
    <w:rsid w:val="007E5BCA"/>
    <w:rsid w:val="007E5CB9"/>
    <w:rsid w:val="007E69BB"/>
    <w:rsid w:val="007E6B65"/>
    <w:rsid w:val="007E6FF2"/>
    <w:rsid w:val="007E7368"/>
    <w:rsid w:val="007E7385"/>
    <w:rsid w:val="007E773D"/>
    <w:rsid w:val="007E7DBB"/>
    <w:rsid w:val="007F012B"/>
    <w:rsid w:val="007F0F84"/>
    <w:rsid w:val="007F1647"/>
    <w:rsid w:val="007F1B1C"/>
    <w:rsid w:val="007F1E30"/>
    <w:rsid w:val="007F1F49"/>
    <w:rsid w:val="007F25AF"/>
    <w:rsid w:val="007F2C98"/>
    <w:rsid w:val="007F2EC1"/>
    <w:rsid w:val="007F3DD1"/>
    <w:rsid w:val="007F41CC"/>
    <w:rsid w:val="007F427B"/>
    <w:rsid w:val="007F46C5"/>
    <w:rsid w:val="007F4DEE"/>
    <w:rsid w:val="007F55FE"/>
    <w:rsid w:val="007F58CC"/>
    <w:rsid w:val="007F5FE5"/>
    <w:rsid w:val="007F5FE7"/>
    <w:rsid w:val="007F605B"/>
    <w:rsid w:val="007F61CC"/>
    <w:rsid w:val="007F6901"/>
    <w:rsid w:val="007F7566"/>
    <w:rsid w:val="007F7805"/>
    <w:rsid w:val="007F79AC"/>
    <w:rsid w:val="007F7E87"/>
    <w:rsid w:val="007F7F83"/>
    <w:rsid w:val="0080013A"/>
    <w:rsid w:val="0080054A"/>
    <w:rsid w:val="008006E6"/>
    <w:rsid w:val="00800917"/>
    <w:rsid w:val="00800EC9"/>
    <w:rsid w:val="00801038"/>
    <w:rsid w:val="00802086"/>
    <w:rsid w:val="00802132"/>
    <w:rsid w:val="0080233B"/>
    <w:rsid w:val="0080266E"/>
    <w:rsid w:val="00802DB5"/>
    <w:rsid w:val="00802EDB"/>
    <w:rsid w:val="00803121"/>
    <w:rsid w:val="00803379"/>
    <w:rsid w:val="008035FC"/>
    <w:rsid w:val="0080397B"/>
    <w:rsid w:val="00803D95"/>
    <w:rsid w:val="00804029"/>
    <w:rsid w:val="00804589"/>
    <w:rsid w:val="008047CF"/>
    <w:rsid w:val="00804DD3"/>
    <w:rsid w:val="008050DB"/>
    <w:rsid w:val="008055DA"/>
    <w:rsid w:val="00805819"/>
    <w:rsid w:val="008059A5"/>
    <w:rsid w:val="00805BCB"/>
    <w:rsid w:val="008061CB"/>
    <w:rsid w:val="008064A9"/>
    <w:rsid w:val="008073BE"/>
    <w:rsid w:val="00807B8D"/>
    <w:rsid w:val="00807C1B"/>
    <w:rsid w:val="00807FA3"/>
    <w:rsid w:val="008100E9"/>
    <w:rsid w:val="0081023B"/>
    <w:rsid w:val="008107C6"/>
    <w:rsid w:val="0081081C"/>
    <w:rsid w:val="00810D67"/>
    <w:rsid w:val="00810E96"/>
    <w:rsid w:val="00811303"/>
    <w:rsid w:val="0081189E"/>
    <w:rsid w:val="008119FA"/>
    <w:rsid w:val="0081238C"/>
    <w:rsid w:val="00812575"/>
    <w:rsid w:val="00812585"/>
    <w:rsid w:val="0081271E"/>
    <w:rsid w:val="00812C4D"/>
    <w:rsid w:val="008131D3"/>
    <w:rsid w:val="0081352B"/>
    <w:rsid w:val="0081358F"/>
    <w:rsid w:val="008135E3"/>
    <w:rsid w:val="00813D08"/>
    <w:rsid w:val="00813E00"/>
    <w:rsid w:val="00814A20"/>
    <w:rsid w:val="00814B01"/>
    <w:rsid w:val="00814BC4"/>
    <w:rsid w:val="00814C2F"/>
    <w:rsid w:val="008151EB"/>
    <w:rsid w:val="00815231"/>
    <w:rsid w:val="008153CE"/>
    <w:rsid w:val="00815AA7"/>
    <w:rsid w:val="00815F29"/>
    <w:rsid w:val="008164C1"/>
    <w:rsid w:val="008168EC"/>
    <w:rsid w:val="00816B40"/>
    <w:rsid w:val="00817F05"/>
    <w:rsid w:val="008200BF"/>
    <w:rsid w:val="00820181"/>
    <w:rsid w:val="008207E9"/>
    <w:rsid w:val="008227E0"/>
    <w:rsid w:val="00823219"/>
    <w:rsid w:val="008236D2"/>
    <w:rsid w:val="00823893"/>
    <w:rsid w:val="00823943"/>
    <w:rsid w:val="00824260"/>
    <w:rsid w:val="00824303"/>
    <w:rsid w:val="008244D7"/>
    <w:rsid w:val="008244FC"/>
    <w:rsid w:val="008247BF"/>
    <w:rsid w:val="00824852"/>
    <w:rsid w:val="008254B7"/>
    <w:rsid w:val="008254D5"/>
    <w:rsid w:val="0082568E"/>
    <w:rsid w:val="00825C3A"/>
    <w:rsid w:val="00825F4A"/>
    <w:rsid w:val="008261B8"/>
    <w:rsid w:val="008265EF"/>
    <w:rsid w:val="00826AD7"/>
    <w:rsid w:val="00827169"/>
    <w:rsid w:val="00827296"/>
    <w:rsid w:val="008275F7"/>
    <w:rsid w:val="008301CA"/>
    <w:rsid w:val="00830A50"/>
    <w:rsid w:val="00831B4B"/>
    <w:rsid w:val="00831FB7"/>
    <w:rsid w:val="00832FCB"/>
    <w:rsid w:val="00833385"/>
    <w:rsid w:val="00833647"/>
    <w:rsid w:val="008336CF"/>
    <w:rsid w:val="0083386C"/>
    <w:rsid w:val="00833B56"/>
    <w:rsid w:val="00833B95"/>
    <w:rsid w:val="00833DB7"/>
    <w:rsid w:val="00833F43"/>
    <w:rsid w:val="00834070"/>
    <w:rsid w:val="00834206"/>
    <w:rsid w:val="00834520"/>
    <w:rsid w:val="00834A61"/>
    <w:rsid w:val="008351A5"/>
    <w:rsid w:val="0083599F"/>
    <w:rsid w:val="00835E55"/>
    <w:rsid w:val="00835EEB"/>
    <w:rsid w:val="00836260"/>
    <w:rsid w:val="008364C1"/>
    <w:rsid w:val="0083680C"/>
    <w:rsid w:val="00836977"/>
    <w:rsid w:val="00836CE8"/>
    <w:rsid w:val="00836DAE"/>
    <w:rsid w:val="008373F6"/>
    <w:rsid w:val="00837A37"/>
    <w:rsid w:val="00837C01"/>
    <w:rsid w:val="00841193"/>
    <w:rsid w:val="00841E2B"/>
    <w:rsid w:val="00842EC1"/>
    <w:rsid w:val="00843817"/>
    <w:rsid w:val="00843898"/>
    <w:rsid w:val="00843941"/>
    <w:rsid w:val="00843BC1"/>
    <w:rsid w:val="008447CE"/>
    <w:rsid w:val="00844BF5"/>
    <w:rsid w:val="00844F2D"/>
    <w:rsid w:val="008455E6"/>
    <w:rsid w:val="00845655"/>
    <w:rsid w:val="00845BD2"/>
    <w:rsid w:val="00845E62"/>
    <w:rsid w:val="00845F4A"/>
    <w:rsid w:val="00845FF1"/>
    <w:rsid w:val="00846406"/>
    <w:rsid w:val="00846677"/>
    <w:rsid w:val="00846AA0"/>
    <w:rsid w:val="0084713C"/>
    <w:rsid w:val="008471F7"/>
    <w:rsid w:val="00847574"/>
    <w:rsid w:val="00847DAC"/>
    <w:rsid w:val="00847FC8"/>
    <w:rsid w:val="00847FDB"/>
    <w:rsid w:val="00850593"/>
    <w:rsid w:val="00850660"/>
    <w:rsid w:val="008512B6"/>
    <w:rsid w:val="00851622"/>
    <w:rsid w:val="0085164B"/>
    <w:rsid w:val="00851833"/>
    <w:rsid w:val="00852728"/>
    <w:rsid w:val="008527F5"/>
    <w:rsid w:val="008528AE"/>
    <w:rsid w:val="008528E7"/>
    <w:rsid w:val="00852ADC"/>
    <w:rsid w:val="00852BAE"/>
    <w:rsid w:val="00853ABE"/>
    <w:rsid w:val="00853C2F"/>
    <w:rsid w:val="00853CA7"/>
    <w:rsid w:val="00853CFB"/>
    <w:rsid w:val="0085418A"/>
    <w:rsid w:val="00854201"/>
    <w:rsid w:val="008549AD"/>
    <w:rsid w:val="008549BA"/>
    <w:rsid w:val="00854AAF"/>
    <w:rsid w:val="00855140"/>
    <w:rsid w:val="0085514E"/>
    <w:rsid w:val="00855EB0"/>
    <w:rsid w:val="008566CD"/>
    <w:rsid w:val="00857C4C"/>
    <w:rsid w:val="00857C7B"/>
    <w:rsid w:val="0086016F"/>
    <w:rsid w:val="008603FD"/>
    <w:rsid w:val="00860AD7"/>
    <w:rsid w:val="00860E96"/>
    <w:rsid w:val="00860FF3"/>
    <w:rsid w:val="00861A95"/>
    <w:rsid w:val="00861D00"/>
    <w:rsid w:val="00861EEE"/>
    <w:rsid w:val="00861F40"/>
    <w:rsid w:val="00862665"/>
    <w:rsid w:val="008628A2"/>
    <w:rsid w:val="008628A3"/>
    <w:rsid w:val="00862BF9"/>
    <w:rsid w:val="00862F3C"/>
    <w:rsid w:val="0086309F"/>
    <w:rsid w:val="00863CEE"/>
    <w:rsid w:val="008640A4"/>
    <w:rsid w:val="00864637"/>
    <w:rsid w:val="00864734"/>
    <w:rsid w:val="00865273"/>
    <w:rsid w:val="00865424"/>
    <w:rsid w:val="008654B0"/>
    <w:rsid w:val="008654F6"/>
    <w:rsid w:val="00865575"/>
    <w:rsid w:val="0086584F"/>
    <w:rsid w:val="00865CED"/>
    <w:rsid w:val="00865DAD"/>
    <w:rsid w:val="0086634F"/>
    <w:rsid w:val="00866545"/>
    <w:rsid w:val="008666F2"/>
    <w:rsid w:val="00866927"/>
    <w:rsid w:val="008669B9"/>
    <w:rsid w:val="00866A3B"/>
    <w:rsid w:val="008677B2"/>
    <w:rsid w:val="00867955"/>
    <w:rsid w:val="00867B45"/>
    <w:rsid w:val="00867CCA"/>
    <w:rsid w:val="00867D6E"/>
    <w:rsid w:val="00867F1E"/>
    <w:rsid w:val="0087230E"/>
    <w:rsid w:val="008724CC"/>
    <w:rsid w:val="008730F4"/>
    <w:rsid w:val="00873100"/>
    <w:rsid w:val="00873E3F"/>
    <w:rsid w:val="00873FEB"/>
    <w:rsid w:val="00874568"/>
    <w:rsid w:val="00874A74"/>
    <w:rsid w:val="00874C71"/>
    <w:rsid w:val="008753FB"/>
    <w:rsid w:val="008759A2"/>
    <w:rsid w:val="008760CF"/>
    <w:rsid w:val="008761CE"/>
    <w:rsid w:val="0087651E"/>
    <w:rsid w:val="0087652D"/>
    <w:rsid w:val="008765F9"/>
    <w:rsid w:val="00876AF6"/>
    <w:rsid w:val="00876D1E"/>
    <w:rsid w:val="00876DFC"/>
    <w:rsid w:val="00876F7F"/>
    <w:rsid w:val="008776C0"/>
    <w:rsid w:val="00877827"/>
    <w:rsid w:val="00877B88"/>
    <w:rsid w:val="00877E59"/>
    <w:rsid w:val="00877EDD"/>
    <w:rsid w:val="00880228"/>
    <w:rsid w:val="00880861"/>
    <w:rsid w:val="00880973"/>
    <w:rsid w:val="00880CAA"/>
    <w:rsid w:val="00880D16"/>
    <w:rsid w:val="00881204"/>
    <w:rsid w:val="0088135F"/>
    <w:rsid w:val="00882065"/>
    <w:rsid w:val="00882651"/>
    <w:rsid w:val="008827EE"/>
    <w:rsid w:val="0088283B"/>
    <w:rsid w:val="008829DB"/>
    <w:rsid w:val="00883219"/>
    <w:rsid w:val="008832D5"/>
    <w:rsid w:val="008832F8"/>
    <w:rsid w:val="008839EE"/>
    <w:rsid w:val="00883CF0"/>
    <w:rsid w:val="00884357"/>
    <w:rsid w:val="00884E6A"/>
    <w:rsid w:val="0088549C"/>
    <w:rsid w:val="0088549D"/>
    <w:rsid w:val="008856D5"/>
    <w:rsid w:val="00885705"/>
    <w:rsid w:val="00885838"/>
    <w:rsid w:val="00885E41"/>
    <w:rsid w:val="008867E0"/>
    <w:rsid w:val="00886953"/>
    <w:rsid w:val="008871D6"/>
    <w:rsid w:val="0088768F"/>
    <w:rsid w:val="0088796A"/>
    <w:rsid w:val="0089010A"/>
    <w:rsid w:val="00890261"/>
    <w:rsid w:val="0089038C"/>
    <w:rsid w:val="00890417"/>
    <w:rsid w:val="0089155A"/>
    <w:rsid w:val="008917E6"/>
    <w:rsid w:val="00891DBA"/>
    <w:rsid w:val="00891F6B"/>
    <w:rsid w:val="00891FC6"/>
    <w:rsid w:val="0089286B"/>
    <w:rsid w:val="0089304A"/>
    <w:rsid w:val="00893A39"/>
    <w:rsid w:val="00893AFF"/>
    <w:rsid w:val="00893D5C"/>
    <w:rsid w:val="008940BC"/>
    <w:rsid w:val="00894748"/>
    <w:rsid w:val="00894986"/>
    <w:rsid w:val="00894E48"/>
    <w:rsid w:val="00894EAD"/>
    <w:rsid w:val="008951AD"/>
    <w:rsid w:val="0089548B"/>
    <w:rsid w:val="00895872"/>
    <w:rsid w:val="008962E1"/>
    <w:rsid w:val="00896996"/>
    <w:rsid w:val="00896DA9"/>
    <w:rsid w:val="00896F8F"/>
    <w:rsid w:val="008977E8"/>
    <w:rsid w:val="008978DA"/>
    <w:rsid w:val="008A0138"/>
    <w:rsid w:val="008A09DA"/>
    <w:rsid w:val="008A0C4B"/>
    <w:rsid w:val="008A14E5"/>
    <w:rsid w:val="008A1D3B"/>
    <w:rsid w:val="008A1EA8"/>
    <w:rsid w:val="008A1FCB"/>
    <w:rsid w:val="008A22DD"/>
    <w:rsid w:val="008A2436"/>
    <w:rsid w:val="008A2AA9"/>
    <w:rsid w:val="008A2C3E"/>
    <w:rsid w:val="008A3BD2"/>
    <w:rsid w:val="008A3DC9"/>
    <w:rsid w:val="008A412C"/>
    <w:rsid w:val="008A4545"/>
    <w:rsid w:val="008A4ED0"/>
    <w:rsid w:val="008A5429"/>
    <w:rsid w:val="008A58E4"/>
    <w:rsid w:val="008A626F"/>
    <w:rsid w:val="008A646E"/>
    <w:rsid w:val="008A6500"/>
    <w:rsid w:val="008A686A"/>
    <w:rsid w:val="008A69AB"/>
    <w:rsid w:val="008A6D6C"/>
    <w:rsid w:val="008A70AF"/>
    <w:rsid w:val="008A70CA"/>
    <w:rsid w:val="008A7FD5"/>
    <w:rsid w:val="008B0247"/>
    <w:rsid w:val="008B02A1"/>
    <w:rsid w:val="008B076B"/>
    <w:rsid w:val="008B0995"/>
    <w:rsid w:val="008B1074"/>
    <w:rsid w:val="008B1085"/>
    <w:rsid w:val="008B11F2"/>
    <w:rsid w:val="008B1746"/>
    <w:rsid w:val="008B1EE6"/>
    <w:rsid w:val="008B2155"/>
    <w:rsid w:val="008B2243"/>
    <w:rsid w:val="008B264C"/>
    <w:rsid w:val="008B29A7"/>
    <w:rsid w:val="008B2F8B"/>
    <w:rsid w:val="008B2FC3"/>
    <w:rsid w:val="008B338B"/>
    <w:rsid w:val="008B3556"/>
    <w:rsid w:val="008B36E4"/>
    <w:rsid w:val="008B3AAD"/>
    <w:rsid w:val="008B3C55"/>
    <w:rsid w:val="008B3D0F"/>
    <w:rsid w:val="008B446B"/>
    <w:rsid w:val="008B4F41"/>
    <w:rsid w:val="008B4F65"/>
    <w:rsid w:val="008B5215"/>
    <w:rsid w:val="008B5443"/>
    <w:rsid w:val="008B5EFA"/>
    <w:rsid w:val="008B5F9E"/>
    <w:rsid w:val="008B61AC"/>
    <w:rsid w:val="008B6EEC"/>
    <w:rsid w:val="008B7035"/>
    <w:rsid w:val="008B7F39"/>
    <w:rsid w:val="008C05EE"/>
    <w:rsid w:val="008C0659"/>
    <w:rsid w:val="008C08B1"/>
    <w:rsid w:val="008C0A2C"/>
    <w:rsid w:val="008C0CB4"/>
    <w:rsid w:val="008C0CE1"/>
    <w:rsid w:val="008C0D4D"/>
    <w:rsid w:val="008C0F58"/>
    <w:rsid w:val="008C1274"/>
    <w:rsid w:val="008C1A3A"/>
    <w:rsid w:val="008C1F52"/>
    <w:rsid w:val="008C21C7"/>
    <w:rsid w:val="008C2319"/>
    <w:rsid w:val="008C28EF"/>
    <w:rsid w:val="008C2C7C"/>
    <w:rsid w:val="008C30B3"/>
    <w:rsid w:val="008C3667"/>
    <w:rsid w:val="008C3CB7"/>
    <w:rsid w:val="008C3E91"/>
    <w:rsid w:val="008C44C0"/>
    <w:rsid w:val="008C44E7"/>
    <w:rsid w:val="008C47B8"/>
    <w:rsid w:val="008C49BC"/>
    <w:rsid w:val="008C5112"/>
    <w:rsid w:val="008C53DD"/>
    <w:rsid w:val="008C5F4A"/>
    <w:rsid w:val="008C67AB"/>
    <w:rsid w:val="008C6A67"/>
    <w:rsid w:val="008C6ADA"/>
    <w:rsid w:val="008C6D8E"/>
    <w:rsid w:val="008C7104"/>
    <w:rsid w:val="008C7B15"/>
    <w:rsid w:val="008C7BA3"/>
    <w:rsid w:val="008D00FE"/>
    <w:rsid w:val="008D0342"/>
    <w:rsid w:val="008D118D"/>
    <w:rsid w:val="008D1447"/>
    <w:rsid w:val="008D1D24"/>
    <w:rsid w:val="008D1FED"/>
    <w:rsid w:val="008D21D1"/>
    <w:rsid w:val="008D2998"/>
    <w:rsid w:val="008D34B5"/>
    <w:rsid w:val="008D4099"/>
    <w:rsid w:val="008D4713"/>
    <w:rsid w:val="008D4B3D"/>
    <w:rsid w:val="008D4F79"/>
    <w:rsid w:val="008D4FF4"/>
    <w:rsid w:val="008D6091"/>
    <w:rsid w:val="008D6129"/>
    <w:rsid w:val="008D63E4"/>
    <w:rsid w:val="008D6F06"/>
    <w:rsid w:val="008E0E96"/>
    <w:rsid w:val="008E0F72"/>
    <w:rsid w:val="008E1E64"/>
    <w:rsid w:val="008E2A4B"/>
    <w:rsid w:val="008E2C4F"/>
    <w:rsid w:val="008E2D8A"/>
    <w:rsid w:val="008E2FA0"/>
    <w:rsid w:val="008E30AF"/>
    <w:rsid w:val="008E30C0"/>
    <w:rsid w:val="008E3367"/>
    <w:rsid w:val="008E3466"/>
    <w:rsid w:val="008E3FE5"/>
    <w:rsid w:val="008E463F"/>
    <w:rsid w:val="008E4924"/>
    <w:rsid w:val="008E49C1"/>
    <w:rsid w:val="008E54E3"/>
    <w:rsid w:val="008E56F3"/>
    <w:rsid w:val="008E5F22"/>
    <w:rsid w:val="008E6684"/>
    <w:rsid w:val="008E6850"/>
    <w:rsid w:val="008E6A8B"/>
    <w:rsid w:val="008E704C"/>
    <w:rsid w:val="008E7674"/>
    <w:rsid w:val="008E78B5"/>
    <w:rsid w:val="008F044E"/>
    <w:rsid w:val="008F157B"/>
    <w:rsid w:val="008F189F"/>
    <w:rsid w:val="008F1D02"/>
    <w:rsid w:val="008F235B"/>
    <w:rsid w:val="008F23CD"/>
    <w:rsid w:val="008F2806"/>
    <w:rsid w:val="008F2DB8"/>
    <w:rsid w:val="008F346C"/>
    <w:rsid w:val="008F4150"/>
    <w:rsid w:val="008F4CC6"/>
    <w:rsid w:val="008F5740"/>
    <w:rsid w:val="008F5786"/>
    <w:rsid w:val="008F57CB"/>
    <w:rsid w:val="008F58A2"/>
    <w:rsid w:val="008F598A"/>
    <w:rsid w:val="008F611C"/>
    <w:rsid w:val="008F6384"/>
    <w:rsid w:val="008F6450"/>
    <w:rsid w:val="008F6523"/>
    <w:rsid w:val="008F69F0"/>
    <w:rsid w:val="008F6D0A"/>
    <w:rsid w:val="008F7A45"/>
    <w:rsid w:val="008F7EFD"/>
    <w:rsid w:val="008F7F76"/>
    <w:rsid w:val="009009AD"/>
    <w:rsid w:val="00900FEE"/>
    <w:rsid w:val="009013A9"/>
    <w:rsid w:val="0090174E"/>
    <w:rsid w:val="0090193F"/>
    <w:rsid w:val="00901AAE"/>
    <w:rsid w:val="00901C73"/>
    <w:rsid w:val="00901CB0"/>
    <w:rsid w:val="00901DD7"/>
    <w:rsid w:val="009028EC"/>
    <w:rsid w:val="00902A7A"/>
    <w:rsid w:val="00903156"/>
    <w:rsid w:val="0090338F"/>
    <w:rsid w:val="00903E47"/>
    <w:rsid w:val="00903F61"/>
    <w:rsid w:val="0090435F"/>
    <w:rsid w:val="0090443B"/>
    <w:rsid w:val="00904A36"/>
    <w:rsid w:val="00904F8B"/>
    <w:rsid w:val="00905574"/>
    <w:rsid w:val="00905671"/>
    <w:rsid w:val="009059E0"/>
    <w:rsid w:val="00905AD9"/>
    <w:rsid w:val="0090687E"/>
    <w:rsid w:val="00906A12"/>
    <w:rsid w:val="00906D62"/>
    <w:rsid w:val="00907086"/>
    <w:rsid w:val="009071FE"/>
    <w:rsid w:val="00907244"/>
    <w:rsid w:val="00907A28"/>
    <w:rsid w:val="00910966"/>
    <w:rsid w:val="009113CA"/>
    <w:rsid w:val="00911C5E"/>
    <w:rsid w:val="0091212A"/>
    <w:rsid w:val="009121D7"/>
    <w:rsid w:val="00912FDB"/>
    <w:rsid w:val="009131B1"/>
    <w:rsid w:val="00913289"/>
    <w:rsid w:val="00913FCC"/>
    <w:rsid w:val="00914842"/>
    <w:rsid w:val="00914BF3"/>
    <w:rsid w:val="00914E6D"/>
    <w:rsid w:val="00914FD4"/>
    <w:rsid w:val="009152A9"/>
    <w:rsid w:val="00916F19"/>
    <w:rsid w:val="00917514"/>
    <w:rsid w:val="009176D2"/>
    <w:rsid w:val="009179A1"/>
    <w:rsid w:val="00917A7B"/>
    <w:rsid w:val="009201E9"/>
    <w:rsid w:val="00920978"/>
    <w:rsid w:val="0092148D"/>
    <w:rsid w:val="009214C1"/>
    <w:rsid w:val="00921991"/>
    <w:rsid w:val="00921A8B"/>
    <w:rsid w:val="00921D9E"/>
    <w:rsid w:val="0092252E"/>
    <w:rsid w:val="009228D0"/>
    <w:rsid w:val="00922D58"/>
    <w:rsid w:val="00922DCC"/>
    <w:rsid w:val="0092331F"/>
    <w:rsid w:val="0092384E"/>
    <w:rsid w:val="00923C59"/>
    <w:rsid w:val="00923FDC"/>
    <w:rsid w:val="00923FE8"/>
    <w:rsid w:val="0092430C"/>
    <w:rsid w:val="009246F8"/>
    <w:rsid w:val="00924817"/>
    <w:rsid w:val="00924CCF"/>
    <w:rsid w:val="0092516D"/>
    <w:rsid w:val="00925B43"/>
    <w:rsid w:val="00925D3E"/>
    <w:rsid w:val="00925E59"/>
    <w:rsid w:val="00926671"/>
    <w:rsid w:val="0092706C"/>
    <w:rsid w:val="00927317"/>
    <w:rsid w:val="00927321"/>
    <w:rsid w:val="00927400"/>
    <w:rsid w:val="009274DC"/>
    <w:rsid w:val="0092785B"/>
    <w:rsid w:val="00927D97"/>
    <w:rsid w:val="0093002C"/>
    <w:rsid w:val="009304C2"/>
    <w:rsid w:val="0093095F"/>
    <w:rsid w:val="00931147"/>
    <w:rsid w:val="00931A6A"/>
    <w:rsid w:val="00932599"/>
    <w:rsid w:val="009326D6"/>
    <w:rsid w:val="00932701"/>
    <w:rsid w:val="00932796"/>
    <w:rsid w:val="009329C6"/>
    <w:rsid w:val="00932D6B"/>
    <w:rsid w:val="009331E5"/>
    <w:rsid w:val="009335AC"/>
    <w:rsid w:val="00933668"/>
    <w:rsid w:val="00934149"/>
    <w:rsid w:val="00934431"/>
    <w:rsid w:val="0093492A"/>
    <w:rsid w:val="0093495B"/>
    <w:rsid w:val="009349F9"/>
    <w:rsid w:val="00934D4C"/>
    <w:rsid w:val="00934FC9"/>
    <w:rsid w:val="009353A8"/>
    <w:rsid w:val="009355A2"/>
    <w:rsid w:val="009359C7"/>
    <w:rsid w:val="00935C42"/>
    <w:rsid w:val="009367DC"/>
    <w:rsid w:val="009369D1"/>
    <w:rsid w:val="00936B80"/>
    <w:rsid w:val="00937136"/>
    <w:rsid w:val="009401A6"/>
    <w:rsid w:val="00940EBE"/>
    <w:rsid w:val="00941320"/>
    <w:rsid w:val="00941387"/>
    <w:rsid w:val="00941602"/>
    <w:rsid w:val="009418CA"/>
    <w:rsid w:val="00941B2C"/>
    <w:rsid w:val="00941CE0"/>
    <w:rsid w:val="00941E31"/>
    <w:rsid w:val="0094301E"/>
    <w:rsid w:val="00943329"/>
    <w:rsid w:val="00943460"/>
    <w:rsid w:val="0094350D"/>
    <w:rsid w:val="00943926"/>
    <w:rsid w:val="00943A68"/>
    <w:rsid w:val="00943C1A"/>
    <w:rsid w:val="009442AF"/>
    <w:rsid w:val="00944DE0"/>
    <w:rsid w:val="00944E34"/>
    <w:rsid w:val="00945650"/>
    <w:rsid w:val="0094579F"/>
    <w:rsid w:val="00945DF8"/>
    <w:rsid w:val="00946454"/>
    <w:rsid w:val="00946991"/>
    <w:rsid w:val="00946A46"/>
    <w:rsid w:val="009470AA"/>
    <w:rsid w:val="00947A51"/>
    <w:rsid w:val="00947DBF"/>
    <w:rsid w:val="00950760"/>
    <w:rsid w:val="00950799"/>
    <w:rsid w:val="00950F20"/>
    <w:rsid w:val="00951052"/>
    <w:rsid w:val="00951146"/>
    <w:rsid w:val="009512A4"/>
    <w:rsid w:val="00951B61"/>
    <w:rsid w:val="00951F18"/>
    <w:rsid w:val="0095254B"/>
    <w:rsid w:val="009526AE"/>
    <w:rsid w:val="009529A6"/>
    <w:rsid w:val="00952EEB"/>
    <w:rsid w:val="00952F16"/>
    <w:rsid w:val="00953215"/>
    <w:rsid w:val="00953ADC"/>
    <w:rsid w:val="00953F66"/>
    <w:rsid w:val="00953F79"/>
    <w:rsid w:val="00954700"/>
    <w:rsid w:val="00954B92"/>
    <w:rsid w:val="00954F46"/>
    <w:rsid w:val="00954FEF"/>
    <w:rsid w:val="00955490"/>
    <w:rsid w:val="00955975"/>
    <w:rsid w:val="0095673B"/>
    <w:rsid w:val="00956865"/>
    <w:rsid w:val="0095702E"/>
    <w:rsid w:val="0095766D"/>
    <w:rsid w:val="00957781"/>
    <w:rsid w:val="00957AE6"/>
    <w:rsid w:val="00961F50"/>
    <w:rsid w:val="009620AE"/>
    <w:rsid w:val="0096223B"/>
    <w:rsid w:val="00962484"/>
    <w:rsid w:val="0096273F"/>
    <w:rsid w:val="00962BD0"/>
    <w:rsid w:val="0096387F"/>
    <w:rsid w:val="009638A3"/>
    <w:rsid w:val="0096454C"/>
    <w:rsid w:val="0096463E"/>
    <w:rsid w:val="00964758"/>
    <w:rsid w:val="009658A7"/>
    <w:rsid w:val="00965911"/>
    <w:rsid w:val="00965A40"/>
    <w:rsid w:val="00965AEE"/>
    <w:rsid w:val="00965B89"/>
    <w:rsid w:val="00965D4F"/>
    <w:rsid w:val="00966485"/>
    <w:rsid w:val="009665AA"/>
    <w:rsid w:val="00966E64"/>
    <w:rsid w:val="00967115"/>
    <w:rsid w:val="009672DD"/>
    <w:rsid w:val="0096732E"/>
    <w:rsid w:val="009676DE"/>
    <w:rsid w:val="009709D6"/>
    <w:rsid w:val="00970D96"/>
    <w:rsid w:val="0097108A"/>
    <w:rsid w:val="00972A31"/>
    <w:rsid w:val="00972CC5"/>
    <w:rsid w:val="00973AD9"/>
    <w:rsid w:val="00973D09"/>
    <w:rsid w:val="00973E6E"/>
    <w:rsid w:val="009740C9"/>
    <w:rsid w:val="00974367"/>
    <w:rsid w:val="0097491B"/>
    <w:rsid w:val="00974CEE"/>
    <w:rsid w:val="00974DE9"/>
    <w:rsid w:val="00975263"/>
    <w:rsid w:val="0097594D"/>
    <w:rsid w:val="0097624C"/>
    <w:rsid w:val="009765C8"/>
    <w:rsid w:val="00976699"/>
    <w:rsid w:val="00976E8A"/>
    <w:rsid w:val="00977394"/>
    <w:rsid w:val="00977B61"/>
    <w:rsid w:val="00977D11"/>
    <w:rsid w:val="00980638"/>
    <w:rsid w:val="00980AF4"/>
    <w:rsid w:val="009810A1"/>
    <w:rsid w:val="009813C8"/>
    <w:rsid w:val="00981689"/>
    <w:rsid w:val="00981F14"/>
    <w:rsid w:val="00982284"/>
    <w:rsid w:val="009831A5"/>
    <w:rsid w:val="009831BE"/>
    <w:rsid w:val="009836CE"/>
    <w:rsid w:val="00983754"/>
    <w:rsid w:val="00983A09"/>
    <w:rsid w:val="00983A56"/>
    <w:rsid w:val="0098407E"/>
    <w:rsid w:val="00984A5A"/>
    <w:rsid w:val="00984BBC"/>
    <w:rsid w:val="00984E1E"/>
    <w:rsid w:val="00985176"/>
    <w:rsid w:val="00985744"/>
    <w:rsid w:val="00985A65"/>
    <w:rsid w:val="00986335"/>
    <w:rsid w:val="009866AD"/>
    <w:rsid w:val="00986D32"/>
    <w:rsid w:val="0098789F"/>
    <w:rsid w:val="0099066D"/>
    <w:rsid w:val="00990C24"/>
    <w:rsid w:val="0099157A"/>
    <w:rsid w:val="009916CF"/>
    <w:rsid w:val="00991B91"/>
    <w:rsid w:val="00991CF2"/>
    <w:rsid w:val="00991DEE"/>
    <w:rsid w:val="00991FFB"/>
    <w:rsid w:val="00992351"/>
    <w:rsid w:val="00992458"/>
    <w:rsid w:val="0099269E"/>
    <w:rsid w:val="00992960"/>
    <w:rsid w:val="009931A9"/>
    <w:rsid w:val="0099340D"/>
    <w:rsid w:val="0099348B"/>
    <w:rsid w:val="00994473"/>
    <w:rsid w:val="00994564"/>
    <w:rsid w:val="00994619"/>
    <w:rsid w:val="009949F0"/>
    <w:rsid w:val="00994CF9"/>
    <w:rsid w:val="00995088"/>
    <w:rsid w:val="00995B8D"/>
    <w:rsid w:val="00995C42"/>
    <w:rsid w:val="00995E3D"/>
    <w:rsid w:val="00996832"/>
    <w:rsid w:val="00996B49"/>
    <w:rsid w:val="0099770F"/>
    <w:rsid w:val="00997B2D"/>
    <w:rsid w:val="00997BCF"/>
    <w:rsid w:val="009A056E"/>
    <w:rsid w:val="009A059F"/>
    <w:rsid w:val="009A0800"/>
    <w:rsid w:val="009A0E78"/>
    <w:rsid w:val="009A1A9D"/>
    <w:rsid w:val="009A1D04"/>
    <w:rsid w:val="009A1DA6"/>
    <w:rsid w:val="009A1F9D"/>
    <w:rsid w:val="009A2308"/>
    <w:rsid w:val="009A2538"/>
    <w:rsid w:val="009A2559"/>
    <w:rsid w:val="009A29F9"/>
    <w:rsid w:val="009A2A56"/>
    <w:rsid w:val="009A2AAB"/>
    <w:rsid w:val="009A2C82"/>
    <w:rsid w:val="009A2C8C"/>
    <w:rsid w:val="009A2D83"/>
    <w:rsid w:val="009A3242"/>
    <w:rsid w:val="009A3532"/>
    <w:rsid w:val="009A3B9C"/>
    <w:rsid w:val="009A4127"/>
    <w:rsid w:val="009A436A"/>
    <w:rsid w:val="009A4E91"/>
    <w:rsid w:val="009A4F14"/>
    <w:rsid w:val="009A4F79"/>
    <w:rsid w:val="009A5098"/>
    <w:rsid w:val="009A535B"/>
    <w:rsid w:val="009A5B5B"/>
    <w:rsid w:val="009A64FA"/>
    <w:rsid w:val="009A652C"/>
    <w:rsid w:val="009A686F"/>
    <w:rsid w:val="009A73A7"/>
    <w:rsid w:val="009A75F8"/>
    <w:rsid w:val="009A76D1"/>
    <w:rsid w:val="009B08DD"/>
    <w:rsid w:val="009B10D4"/>
    <w:rsid w:val="009B14BE"/>
    <w:rsid w:val="009B1A6F"/>
    <w:rsid w:val="009B1ABC"/>
    <w:rsid w:val="009B1DBE"/>
    <w:rsid w:val="009B1E97"/>
    <w:rsid w:val="009B1FBC"/>
    <w:rsid w:val="009B232B"/>
    <w:rsid w:val="009B23A1"/>
    <w:rsid w:val="009B255B"/>
    <w:rsid w:val="009B2693"/>
    <w:rsid w:val="009B269E"/>
    <w:rsid w:val="009B27B0"/>
    <w:rsid w:val="009B3DB4"/>
    <w:rsid w:val="009B468F"/>
    <w:rsid w:val="009B4CC6"/>
    <w:rsid w:val="009B4D9E"/>
    <w:rsid w:val="009B4F5A"/>
    <w:rsid w:val="009B51D7"/>
    <w:rsid w:val="009B59E9"/>
    <w:rsid w:val="009B5F29"/>
    <w:rsid w:val="009B66EB"/>
    <w:rsid w:val="009B69C8"/>
    <w:rsid w:val="009B7028"/>
    <w:rsid w:val="009B721E"/>
    <w:rsid w:val="009B75FB"/>
    <w:rsid w:val="009B7638"/>
    <w:rsid w:val="009B7A1B"/>
    <w:rsid w:val="009B7EEE"/>
    <w:rsid w:val="009C028D"/>
    <w:rsid w:val="009C05EE"/>
    <w:rsid w:val="009C0657"/>
    <w:rsid w:val="009C0EBF"/>
    <w:rsid w:val="009C0F6A"/>
    <w:rsid w:val="009C155F"/>
    <w:rsid w:val="009C1611"/>
    <w:rsid w:val="009C16BC"/>
    <w:rsid w:val="009C1CB9"/>
    <w:rsid w:val="009C25EB"/>
    <w:rsid w:val="009C294F"/>
    <w:rsid w:val="009C2C17"/>
    <w:rsid w:val="009C3537"/>
    <w:rsid w:val="009C3CEC"/>
    <w:rsid w:val="009C3F9E"/>
    <w:rsid w:val="009C417C"/>
    <w:rsid w:val="009C4B17"/>
    <w:rsid w:val="009C5377"/>
    <w:rsid w:val="009C5671"/>
    <w:rsid w:val="009C6092"/>
    <w:rsid w:val="009C615A"/>
    <w:rsid w:val="009C621A"/>
    <w:rsid w:val="009C6A85"/>
    <w:rsid w:val="009C6ADA"/>
    <w:rsid w:val="009C7013"/>
    <w:rsid w:val="009C71D7"/>
    <w:rsid w:val="009C7238"/>
    <w:rsid w:val="009C7409"/>
    <w:rsid w:val="009C7980"/>
    <w:rsid w:val="009C7B29"/>
    <w:rsid w:val="009C7B2D"/>
    <w:rsid w:val="009C7B89"/>
    <w:rsid w:val="009D00A6"/>
    <w:rsid w:val="009D0276"/>
    <w:rsid w:val="009D055E"/>
    <w:rsid w:val="009D0914"/>
    <w:rsid w:val="009D0CA5"/>
    <w:rsid w:val="009D0CB1"/>
    <w:rsid w:val="009D11AC"/>
    <w:rsid w:val="009D120A"/>
    <w:rsid w:val="009D14CA"/>
    <w:rsid w:val="009D1587"/>
    <w:rsid w:val="009D1884"/>
    <w:rsid w:val="009D18D0"/>
    <w:rsid w:val="009D1E99"/>
    <w:rsid w:val="009D214C"/>
    <w:rsid w:val="009D24CA"/>
    <w:rsid w:val="009D2DF3"/>
    <w:rsid w:val="009D2FA4"/>
    <w:rsid w:val="009D36D3"/>
    <w:rsid w:val="009D3C5D"/>
    <w:rsid w:val="009D4537"/>
    <w:rsid w:val="009D51C1"/>
    <w:rsid w:val="009D53B5"/>
    <w:rsid w:val="009D5910"/>
    <w:rsid w:val="009D5B76"/>
    <w:rsid w:val="009D6101"/>
    <w:rsid w:val="009D65C3"/>
    <w:rsid w:val="009D6B7E"/>
    <w:rsid w:val="009D6D66"/>
    <w:rsid w:val="009D7808"/>
    <w:rsid w:val="009D7B61"/>
    <w:rsid w:val="009D7D90"/>
    <w:rsid w:val="009E046A"/>
    <w:rsid w:val="009E0786"/>
    <w:rsid w:val="009E0BBA"/>
    <w:rsid w:val="009E1011"/>
    <w:rsid w:val="009E17ED"/>
    <w:rsid w:val="009E2108"/>
    <w:rsid w:val="009E2187"/>
    <w:rsid w:val="009E2949"/>
    <w:rsid w:val="009E2DCC"/>
    <w:rsid w:val="009E3373"/>
    <w:rsid w:val="009E3392"/>
    <w:rsid w:val="009E3568"/>
    <w:rsid w:val="009E3628"/>
    <w:rsid w:val="009E396E"/>
    <w:rsid w:val="009E4717"/>
    <w:rsid w:val="009E47D5"/>
    <w:rsid w:val="009E47E9"/>
    <w:rsid w:val="009E4A74"/>
    <w:rsid w:val="009E4F78"/>
    <w:rsid w:val="009E5430"/>
    <w:rsid w:val="009E5B0B"/>
    <w:rsid w:val="009E5FBE"/>
    <w:rsid w:val="009E66F0"/>
    <w:rsid w:val="009E6AB1"/>
    <w:rsid w:val="009E6F9F"/>
    <w:rsid w:val="009E7055"/>
    <w:rsid w:val="009E7899"/>
    <w:rsid w:val="009E7D73"/>
    <w:rsid w:val="009F02F6"/>
    <w:rsid w:val="009F0CA4"/>
    <w:rsid w:val="009F2412"/>
    <w:rsid w:val="009F2545"/>
    <w:rsid w:val="009F28A2"/>
    <w:rsid w:val="009F298E"/>
    <w:rsid w:val="009F2CEC"/>
    <w:rsid w:val="009F2E40"/>
    <w:rsid w:val="009F40ED"/>
    <w:rsid w:val="009F4A42"/>
    <w:rsid w:val="009F572E"/>
    <w:rsid w:val="009F575C"/>
    <w:rsid w:val="009F5862"/>
    <w:rsid w:val="009F6319"/>
    <w:rsid w:val="009F6699"/>
    <w:rsid w:val="009F6D35"/>
    <w:rsid w:val="009F6DD5"/>
    <w:rsid w:val="009F706F"/>
    <w:rsid w:val="009F7F3D"/>
    <w:rsid w:val="00A0000C"/>
    <w:rsid w:val="00A008FF"/>
    <w:rsid w:val="00A0090B"/>
    <w:rsid w:val="00A013C3"/>
    <w:rsid w:val="00A01649"/>
    <w:rsid w:val="00A018A8"/>
    <w:rsid w:val="00A02575"/>
    <w:rsid w:val="00A0289E"/>
    <w:rsid w:val="00A02E3D"/>
    <w:rsid w:val="00A03412"/>
    <w:rsid w:val="00A03B57"/>
    <w:rsid w:val="00A03E8B"/>
    <w:rsid w:val="00A04463"/>
    <w:rsid w:val="00A04F32"/>
    <w:rsid w:val="00A050C4"/>
    <w:rsid w:val="00A050DB"/>
    <w:rsid w:val="00A06218"/>
    <w:rsid w:val="00A06228"/>
    <w:rsid w:val="00A06699"/>
    <w:rsid w:val="00A06F8A"/>
    <w:rsid w:val="00A072A4"/>
    <w:rsid w:val="00A07321"/>
    <w:rsid w:val="00A075D2"/>
    <w:rsid w:val="00A07754"/>
    <w:rsid w:val="00A07B74"/>
    <w:rsid w:val="00A07FDB"/>
    <w:rsid w:val="00A104BB"/>
    <w:rsid w:val="00A1063A"/>
    <w:rsid w:val="00A1088A"/>
    <w:rsid w:val="00A10C87"/>
    <w:rsid w:val="00A11046"/>
    <w:rsid w:val="00A11090"/>
    <w:rsid w:val="00A1121A"/>
    <w:rsid w:val="00A113CD"/>
    <w:rsid w:val="00A113F1"/>
    <w:rsid w:val="00A11907"/>
    <w:rsid w:val="00A11E02"/>
    <w:rsid w:val="00A11E2B"/>
    <w:rsid w:val="00A12D95"/>
    <w:rsid w:val="00A12E03"/>
    <w:rsid w:val="00A1341C"/>
    <w:rsid w:val="00A13429"/>
    <w:rsid w:val="00A13458"/>
    <w:rsid w:val="00A13B35"/>
    <w:rsid w:val="00A143BF"/>
    <w:rsid w:val="00A146BE"/>
    <w:rsid w:val="00A155FB"/>
    <w:rsid w:val="00A16541"/>
    <w:rsid w:val="00A167A3"/>
    <w:rsid w:val="00A16C1C"/>
    <w:rsid w:val="00A1743F"/>
    <w:rsid w:val="00A174CC"/>
    <w:rsid w:val="00A175C0"/>
    <w:rsid w:val="00A1766A"/>
    <w:rsid w:val="00A17A00"/>
    <w:rsid w:val="00A17BAB"/>
    <w:rsid w:val="00A17FC9"/>
    <w:rsid w:val="00A204BB"/>
    <w:rsid w:val="00A2074A"/>
    <w:rsid w:val="00A20AFC"/>
    <w:rsid w:val="00A211F2"/>
    <w:rsid w:val="00A213E2"/>
    <w:rsid w:val="00A21E46"/>
    <w:rsid w:val="00A21F13"/>
    <w:rsid w:val="00A22356"/>
    <w:rsid w:val="00A2293E"/>
    <w:rsid w:val="00A22A6B"/>
    <w:rsid w:val="00A22ED8"/>
    <w:rsid w:val="00A231B3"/>
    <w:rsid w:val="00A2388B"/>
    <w:rsid w:val="00A23A92"/>
    <w:rsid w:val="00A24008"/>
    <w:rsid w:val="00A245FA"/>
    <w:rsid w:val="00A24717"/>
    <w:rsid w:val="00A260CB"/>
    <w:rsid w:val="00A26651"/>
    <w:rsid w:val="00A266E2"/>
    <w:rsid w:val="00A26728"/>
    <w:rsid w:val="00A26C6E"/>
    <w:rsid w:val="00A26FFD"/>
    <w:rsid w:val="00A27292"/>
    <w:rsid w:val="00A274E3"/>
    <w:rsid w:val="00A27AB2"/>
    <w:rsid w:val="00A30276"/>
    <w:rsid w:val="00A30689"/>
    <w:rsid w:val="00A30822"/>
    <w:rsid w:val="00A30972"/>
    <w:rsid w:val="00A30F54"/>
    <w:rsid w:val="00A312B2"/>
    <w:rsid w:val="00A317D1"/>
    <w:rsid w:val="00A31A1F"/>
    <w:rsid w:val="00A31C18"/>
    <w:rsid w:val="00A31D5D"/>
    <w:rsid w:val="00A31E41"/>
    <w:rsid w:val="00A32319"/>
    <w:rsid w:val="00A32A0D"/>
    <w:rsid w:val="00A32CDB"/>
    <w:rsid w:val="00A33AAB"/>
    <w:rsid w:val="00A33C32"/>
    <w:rsid w:val="00A33EE5"/>
    <w:rsid w:val="00A3461D"/>
    <w:rsid w:val="00A34E26"/>
    <w:rsid w:val="00A34F7D"/>
    <w:rsid w:val="00A3502F"/>
    <w:rsid w:val="00A352C2"/>
    <w:rsid w:val="00A3567D"/>
    <w:rsid w:val="00A3579D"/>
    <w:rsid w:val="00A3640A"/>
    <w:rsid w:val="00A36A3B"/>
    <w:rsid w:val="00A36F56"/>
    <w:rsid w:val="00A374D4"/>
    <w:rsid w:val="00A37606"/>
    <w:rsid w:val="00A37F6C"/>
    <w:rsid w:val="00A37F98"/>
    <w:rsid w:val="00A40116"/>
    <w:rsid w:val="00A40A81"/>
    <w:rsid w:val="00A40F5C"/>
    <w:rsid w:val="00A410D8"/>
    <w:rsid w:val="00A412AF"/>
    <w:rsid w:val="00A4148A"/>
    <w:rsid w:val="00A4192B"/>
    <w:rsid w:val="00A4192C"/>
    <w:rsid w:val="00A41EEF"/>
    <w:rsid w:val="00A420AC"/>
    <w:rsid w:val="00A420B1"/>
    <w:rsid w:val="00A42348"/>
    <w:rsid w:val="00A426B8"/>
    <w:rsid w:val="00A42800"/>
    <w:rsid w:val="00A42F1F"/>
    <w:rsid w:val="00A432E5"/>
    <w:rsid w:val="00A43582"/>
    <w:rsid w:val="00A43ECE"/>
    <w:rsid w:val="00A43F0A"/>
    <w:rsid w:val="00A44814"/>
    <w:rsid w:val="00A44A34"/>
    <w:rsid w:val="00A451EF"/>
    <w:rsid w:val="00A453E7"/>
    <w:rsid w:val="00A466DD"/>
    <w:rsid w:val="00A4694C"/>
    <w:rsid w:val="00A473E0"/>
    <w:rsid w:val="00A47EC4"/>
    <w:rsid w:val="00A47F3E"/>
    <w:rsid w:val="00A502E9"/>
    <w:rsid w:val="00A505BC"/>
    <w:rsid w:val="00A506A6"/>
    <w:rsid w:val="00A509D9"/>
    <w:rsid w:val="00A50E29"/>
    <w:rsid w:val="00A51592"/>
    <w:rsid w:val="00A51BFF"/>
    <w:rsid w:val="00A51FE4"/>
    <w:rsid w:val="00A5262A"/>
    <w:rsid w:val="00A52911"/>
    <w:rsid w:val="00A53F5D"/>
    <w:rsid w:val="00A5499F"/>
    <w:rsid w:val="00A54B0D"/>
    <w:rsid w:val="00A54E5E"/>
    <w:rsid w:val="00A54FF4"/>
    <w:rsid w:val="00A5516D"/>
    <w:rsid w:val="00A55262"/>
    <w:rsid w:val="00A553A0"/>
    <w:rsid w:val="00A5573C"/>
    <w:rsid w:val="00A558D9"/>
    <w:rsid w:val="00A55DE2"/>
    <w:rsid w:val="00A55FF7"/>
    <w:rsid w:val="00A564FF"/>
    <w:rsid w:val="00A56505"/>
    <w:rsid w:val="00A56891"/>
    <w:rsid w:val="00A57125"/>
    <w:rsid w:val="00A572DE"/>
    <w:rsid w:val="00A57425"/>
    <w:rsid w:val="00A574D2"/>
    <w:rsid w:val="00A57731"/>
    <w:rsid w:val="00A60753"/>
    <w:rsid w:val="00A609F1"/>
    <w:rsid w:val="00A609F5"/>
    <w:rsid w:val="00A60C4D"/>
    <w:rsid w:val="00A60D75"/>
    <w:rsid w:val="00A6153E"/>
    <w:rsid w:val="00A6167E"/>
    <w:rsid w:val="00A61B2D"/>
    <w:rsid w:val="00A62338"/>
    <w:rsid w:val="00A62AA4"/>
    <w:rsid w:val="00A62D29"/>
    <w:rsid w:val="00A62DD8"/>
    <w:rsid w:val="00A62DEF"/>
    <w:rsid w:val="00A62EA7"/>
    <w:rsid w:val="00A632A2"/>
    <w:rsid w:val="00A63784"/>
    <w:rsid w:val="00A63CE5"/>
    <w:rsid w:val="00A6438F"/>
    <w:rsid w:val="00A64741"/>
    <w:rsid w:val="00A65053"/>
    <w:rsid w:val="00A65437"/>
    <w:rsid w:val="00A657CD"/>
    <w:rsid w:val="00A65814"/>
    <w:rsid w:val="00A65967"/>
    <w:rsid w:val="00A65B5B"/>
    <w:rsid w:val="00A65E1C"/>
    <w:rsid w:val="00A65E23"/>
    <w:rsid w:val="00A660B5"/>
    <w:rsid w:val="00A661BD"/>
    <w:rsid w:val="00A664FB"/>
    <w:rsid w:val="00A6666A"/>
    <w:rsid w:val="00A66B5B"/>
    <w:rsid w:val="00A66C45"/>
    <w:rsid w:val="00A66C55"/>
    <w:rsid w:val="00A66C67"/>
    <w:rsid w:val="00A6709D"/>
    <w:rsid w:val="00A6730F"/>
    <w:rsid w:val="00A67324"/>
    <w:rsid w:val="00A67BF2"/>
    <w:rsid w:val="00A67CD9"/>
    <w:rsid w:val="00A67EF1"/>
    <w:rsid w:val="00A7005F"/>
    <w:rsid w:val="00A70115"/>
    <w:rsid w:val="00A7015C"/>
    <w:rsid w:val="00A70746"/>
    <w:rsid w:val="00A70D39"/>
    <w:rsid w:val="00A71011"/>
    <w:rsid w:val="00A711D9"/>
    <w:rsid w:val="00A716AA"/>
    <w:rsid w:val="00A71E11"/>
    <w:rsid w:val="00A71E8D"/>
    <w:rsid w:val="00A72691"/>
    <w:rsid w:val="00A726AE"/>
    <w:rsid w:val="00A7284C"/>
    <w:rsid w:val="00A72F2E"/>
    <w:rsid w:val="00A73005"/>
    <w:rsid w:val="00A73391"/>
    <w:rsid w:val="00A73701"/>
    <w:rsid w:val="00A7387F"/>
    <w:rsid w:val="00A738E0"/>
    <w:rsid w:val="00A7397E"/>
    <w:rsid w:val="00A73E3D"/>
    <w:rsid w:val="00A73E72"/>
    <w:rsid w:val="00A7473C"/>
    <w:rsid w:val="00A750BE"/>
    <w:rsid w:val="00A75442"/>
    <w:rsid w:val="00A757B5"/>
    <w:rsid w:val="00A75A8A"/>
    <w:rsid w:val="00A75B0B"/>
    <w:rsid w:val="00A75CA9"/>
    <w:rsid w:val="00A75DD7"/>
    <w:rsid w:val="00A768C2"/>
    <w:rsid w:val="00A76904"/>
    <w:rsid w:val="00A76DAA"/>
    <w:rsid w:val="00A77733"/>
    <w:rsid w:val="00A77C55"/>
    <w:rsid w:val="00A800AC"/>
    <w:rsid w:val="00A80566"/>
    <w:rsid w:val="00A81361"/>
    <w:rsid w:val="00A81488"/>
    <w:rsid w:val="00A815E8"/>
    <w:rsid w:val="00A819FA"/>
    <w:rsid w:val="00A81DC4"/>
    <w:rsid w:val="00A82556"/>
    <w:rsid w:val="00A82CA3"/>
    <w:rsid w:val="00A82DC0"/>
    <w:rsid w:val="00A83009"/>
    <w:rsid w:val="00A832A9"/>
    <w:rsid w:val="00A83F7A"/>
    <w:rsid w:val="00A842DD"/>
    <w:rsid w:val="00A84424"/>
    <w:rsid w:val="00A84AD9"/>
    <w:rsid w:val="00A84D3A"/>
    <w:rsid w:val="00A84E16"/>
    <w:rsid w:val="00A855CA"/>
    <w:rsid w:val="00A8560D"/>
    <w:rsid w:val="00A85728"/>
    <w:rsid w:val="00A860E5"/>
    <w:rsid w:val="00A861D0"/>
    <w:rsid w:val="00A8669B"/>
    <w:rsid w:val="00A86B8B"/>
    <w:rsid w:val="00A86E4A"/>
    <w:rsid w:val="00A872B4"/>
    <w:rsid w:val="00A87536"/>
    <w:rsid w:val="00A87A03"/>
    <w:rsid w:val="00A87C42"/>
    <w:rsid w:val="00A87CF7"/>
    <w:rsid w:val="00A87E8B"/>
    <w:rsid w:val="00A9004C"/>
    <w:rsid w:val="00A90A70"/>
    <w:rsid w:val="00A91938"/>
    <w:rsid w:val="00A9197D"/>
    <w:rsid w:val="00A91AE4"/>
    <w:rsid w:val="00A91B2A"/>
    <w:rsid w:val="00A91C8D"/>
    <w:rsid w:val="00A9223F"/>
    <w:rsid w:val="00A9224C"/>
    <w:rsid w:val="00A926EF"/>
    <w:rsid w:val="00A9277D"/>
    <w:rsid w:val="00A93084"/>
    <w:rsid w:val="00A930D9"/>
    <w:rsid w:val="00A93985"/>
    <w:rsid w:val="00A9431A"/>
    <w:rsid w:val="00A94455"/>
    <w:rsid w:val="00A944C8"/>
    <w:rsid w:val="00A94811"/>
    <w:rsid w:val="00A94D2B"/>
    <w:rsid w:val="00A94F89"/>
    <w:rsid w:val="00A94FF6"/>
    <w:rsid w:val="00A95034"/>
    <w:rsid w:val="00A953D4"/>
    <w:rsid w:val="00A95A51"/>
    <w:rsid w:val="00A95C54"/>
    <w:rsid w:val="00A95E9A"/>
    <w:rsid w:val="00A9648E"/>
    <w:rsid w:val="00A9662A"/>
    <w:rsid w:val="00A96AB8"/>
    <w:rsid w:val="00A9704D"/>
    <w:rsid w:val="00A9718E"/>
    <w:rsid w:val="00A972F7"/>
    <w:rsid w:val="00A975D7"/>
    <w:rsid w:val="00A9781E"/>
    <w:rsid w:val="00AA014B"/>
    <w:rsid w:val="00AA0BF8"/>
    <w:rsid w:val="00AA1A37"/>
    <w:rsid w:val="00AA1A6B"/>
    <w:rsid w:val="00AA1A8E"/>
    <w:rsid w:val="00AA1DD8"/>
    <w:rsid w:val="00AA1F45"/>
    <w:rsid w:val="00AA20FC"/>
    <w:rsid w:val="00AA32A2"/>
    <w:rsid w:val="00AA32AA"/>
    <w:rsid w:val="00AA3507"/>
    <w:rsid w:val="00AA38ED"/>
    <w:rsid w:val="00AA3C96"/>
    <w:rsid w:val="00AA4116"/>
    <w:rsid w:val="00AA4191"/>
    <w:rsid w:val="00AA4426"/>
    <w:rsid w:val="00AA4F6A"/>
    <w:rsid w:val="00AA5072"/>
    <w:rsid w:val="00AA5475"/>
    <w:rsid w:val="00AA5A55"/>
    <w:rsid w:val="00AA5D9A"/>
    <w:rsid w:val="00AA6678"/>
    <w:rsid w:val="00AA6B91"/>
    <w:rsid w:val="00AA6C3D"/>
    <w:rsid w:val="00AA6E03"/>
    <w:rsid w:val="00AA7026"/>
    <w:rsid w:val="00AA706A"/>
    <w:rsid w:val="00AA7424"/>
    <w:rsid w:val="00AA7657"/>
    <w:rsid w:val="00AA7BFF"/>
    <w:rsid w:val="00AB018E"/>
    <w:rsid w:val="00AB03F6"/>
    <w:rsid w:val="00AB0C45"/>
    <w:rsid w:val="00AB0DE1"/>
    <w:rsid w:val="00AB1744"/>
    <w:rsid w:val="00AB1FC7"/>
    <w:rsid w:val="00AB2179"/>
    <w:rsid w:val="00AB2250"/>
    <w:rsid w:val="00AB27DA"/>
    <w:rsid w:val="00AB301F"/>
    <w:rsid w:val="00AB3075"/>
    <w:rsid w:val="00AB30E0"/>
    <w:rsid w:val="00AB3C67"/>
    <w:rsid w:val="00AB486B"/>
    <w:rsid w:val="00AB48EF"/>
    <w:rsid w:val="00AB4952"/>
    <w:rsid w:val="00AB49F0"/>
    <w:rsid w:val="00AB4ABD"/>
    <w:rsid w:val="00AB4B22"/>
    <w:rsid w:val="00AB4D2F"/>
    <w:rsid w:val="00AB4E82"/>
    <w:rsid w:val="00AB4ECC"/>
    <w:rsid w:val="00AB541E"/>
    <w:rsid w:val="00AB54F1"/>
    <w:rsid w:val="00AB54FA"/>
    <w:rsid w:val="00AB593F"/>
    <w:rsid w:val="00AB5F77"/>
    <w:rsid w:val="00AB6822"/>
    <w:rsid w:val="00AB6C67"/>
    <w:rsid w:val="00AB7479"/>
    <w:rsid w:val="00AB763D"/>
    <w:rsid w:val="00AB764D"/>
    <w:rsid w:val="00AB779E"/>
    <w:rsid w:val="00AB7829"/>
    <w:rsid w:val="00AB7945"/>
    <w:rsid w:val="00AB7DAD"/>
    <w:rsid w:val="00AC019B"/>
    <w:rsid w:val="00AC01C1"/>
    <w:rsid w:val="00AC06D6"/>
    <w:rsid w:val="00AC0870"/>
    <w:rsid w:val="00AC0F08"/>
    <w:rsid w:val="00AC168D"/>
    <w:rsid w:val="00AC185F"/>
    <w:rsid w:val="00AC1881"/>
    <w:rsid w:val="00AC205B"/>
    <w:rsid w:val="00AC22B5"/>
    <w:rsid w:val="00AC29BE"/>
    <w:rsid w:val="00AC32CF"/>
    <w:rsid w:val="00AC340B"/>
    <w:rsid w:val="00AC35FE"/>
    <w:rsid w:val="00AC37FB"/>
    <w:rsid w:val="00AC3E11"/>
    <w:rsid w:val="00AC4189"/>
    <w:rsid w:val="00AC49F6"/>
    <w:rsid w:val="00AC4E13"/>
    <w:rsid w:val="00AC531C"/>
    <w:rsid w:val="00AC5BD7"/>
    <w:rsid w:val="00AC5E82"/>
    <w:rsid w:val="00AC649E"/>
    <w:rsid w:val="00AC6921"/>
    <w:rsid w:val="00AC6955"/>
    <w:rsid w:val="00AC6CD7"/>
    <w:rsid w:val="00AC6ECB"/>
    <w:rsid w:val="00AC7548"/>
    <w:rsid w:val="00AD050E"/>
    <w:rsid w:val="00AD0F7C"/>
    <w:rsid w:val="00AD16FE"/>
    <w:rsid w:val="00AD1A40"/>
    <w:rsid w:val="00AD1D43"/>
    <w:rsid w:val="00AD1F98"/>
    <w:rsid w:val="00AD201F"/>
    <w:rsid w:val="00AD2D12"/>
    <w:rsid w:val="00AD3233"/>
    <w:rsid w:val="00AD3295"/>
    <w:rsid w:val="00AD33A4"/>
    <w:rsid w:val="00AD34BA"/>
    <w:rsid w:val="00AD3727"/>
    <w:rsid w:val="00AD3DFF"/>
    <w:rsid w:val="00AD3ECF"/>
    <w:rsid w:val="00AD4347"/>
    <w:rsid w:val="00AD4C85"/>
    <w:rsid w:val="00AD4FB1"/>
    <w:rsid w:val="00AD54A0"/>
    <w:rsid w:val="00AD5B19"/>
    <w:rsid w:val="00AD5D06"/>
    <w:rsid w:val="00AD6395"/>
    <w:rsid w:val="00AD64AE"/>
    <w:rsid w:val="00AD6835"/>
    <w:rsid w:val="00AD6C2C"/>
    <w:rsid w:val="00AD7AEE"/>
    <w:rsid w:val="00AD7D1A"/>
    <w:rsid w:val="00AE00B3"/>
    <w:rsid w:val="00AE0581"/>
    <w:rsid w:val="00AE0D3F"/>
    <w:rsid w:val="00AE0E90"/>
    <w:rsid w:val="00AE0FDC"/>
    <w:rsid w:val="00AE10C6"/>
    <w:rsid w:val="00AE15CA"/>
    <w:rsid w:val="00AE163F"/>
    <w:rsid w:val="00AE1A9D"/>
    <w:rsid w:val="00AE2167"/>
    <w:rsid w:val="00AE2374"/>
    <w:rsid w:val="00AE291B"/>
    <w:rsid w:val="00AE2ED5"/>
    <w:rsid w:val="00AE314D"/>
    <w:rsid w:val="00AE4044"/>
    <w:rsid w:val="00AE4438"/>
    <w:rsid w:val="00AE4449"/>
    <w:rsid w:val="00AE4669"/>
    <w:rsid w:val="00AE497C"/>
    <w:rsid w:val="00AE4B78"/>
    <w:rsid w:val="00AE4D92"/>
    <w:rsid w:val="00AE570F"/>
    <w:rsid w:val="00AE5B22"/>
    <w:rsid w:val="00AE732C"/>
    <w:rsid w:val="00AE75CB"/>
    <w:rsid w:val="00AE7E09"/>
    <w:rsid w:val="00AF0466"/>
    <w:rsid w:val="00AF064E"/>
    <w:rsid w:val="00AF103A"/>
    <w:rsid w:val="00AF11D1"/>
    <w:rsid w:val="00AF138B"/>
    <w:rsid w:val="00AF1F58"/>
    <w:rsid w:val="00AF2661"/>
    <w:rsid w:val="00AF34A9"/>
    <w:rsid w:val="00AF3867"/>
    <w:rsid w:val="00AF3E31"/>
    <w:rsid w:val="00AF46FA"/>
    <w:rsid w:val="00AF4802"/>
    <w:rsid w:val="00AF48D1"/>
    <w:rsid w:val="00AF53A7"/>
    <w:rsid w:val="00AF55B0"/>
    <w:rsid w:val="00AF5CC6"/>
    <w:rsid w:val="00AF6188"/>
    <w:rsid w:val="00AF63EC"/>
    <w:rsid w:val="00AF64DE"/>
    <w:rsid w:val="00AF67E1"/>
    <w:rsid w:val="00AF709E"/>
    <w:rsid w:val="00AF70CB"/>
    <w:rsid w:val="00AF7FED"/>
    <w:rsid w:val="00B00325"/>
    <w:rsid w:val="00B00843"/>
    <w:rsid w:val="00B0090F"/>
    <w:rsid w:val="00B0121D"/>
    <w:rsid w:val="00B017E3"/>
    <w:rsid w:val="00B0187D"/>
    <w:rsid w:val="00B01D4C"/>
    <w:rsid w:val="00B01F0C"/>
    <w:rsid w:val="00B023D2"/>
    <w:rsid w:val="00B02626"/>
    <w:rsid w:val="00B032B0"/>
    <w:rsid w:val="00B039A3"/>
    <w:rsid w:val="00B03AD3"/>
    <w:rsid w:val="00B042EE"/>
    <w:rsid w:val="00B04B5B"/>
    <w:rsid w:val="00B04D7A"/>
    <w:rsid w:val="00B05418"/>
    <w:rsid w:val="00B059CD"/>
    <w:rsid w:val="00B05B2A"/>
    <w:rsid w:val="00B05C0C"/>
    <w:rsid w:val="00B05D0A"/>
    <w:rsid w:val="00B05D4C"/>
    <w:rsid w:val="00B067A2"/>
    <w:rsid w:val="00B06E2B"/>
    <w:rsid w:val="00B0763C"/>
    <w:rsid w:val="00B077DA"/>
    <w:rsid w:val="00B078B4"/>
    <w:rsid w:val="00B07935"/>
    <w:rsid w:val="00B07E74"/>
    <w:rsid w:val="00B103AD"/>
    <w:rsid w:val="00B10C49"/>
    <w:rsid w:val="00B10EFE"/>
    <w:rsid w:val="00B1111B"/>
    <w:rsid w:val="00B11717"/>
    <w:rsid w:val="00B117EC"/>
    <w:rsid w:val="00B11872"/>
    <w:rsid w:val="00B120DA"/>
    <w:rsid w:val="00B124F1"/>
    <w:rsid w:val="00B1283B"/>
    <w:rsid w:val="00B13453"/>
    <w:rsid w:val="00B13DE2"/>
    <w:rsid w:val="00B13E2B"/>
    <w:rsid w:val="00B14E8A"/>
    <w:rsid w:val="00B150EC"/>
    <w:rsid w:val="00B153B4"/>
    <w:rsid w:val="00B15AFB"/>
    <w:rsid w:val="00B15DD7"/>
    <w:rsid w:val="00B15EA2"/>
    <w:rsid w:val="00B161FE"/>
    <w:rsid w:val="00B166FA"/>
    <w:rsid w:val="00B16CBB"/>
    <w:rsid w:val="00B16FED"/>
    <w:rsid w:val="00B17C10"/>
    <w:rsid w:val="00B17C51"/>
    <w:rsid w:val="00B204B9"/>
    <w:rsid w:val="00B20FA3"/>
    <w:rsid w:val="00B20FCE"/>
    <w:rsid w:val="00B21795"/>
    <w:rsid w:val="00B22031"/>
    <w:rsid w:val="00B2221A"/>
    <w:rsid w:val="00B22681"/>
    <w:rsid w:val="00B238D1"/>
    <w:rsid w:val="00B240E2"/>
    <w:rsid w:val="00B242BD"/>
    <w:rsid w:val="00B245B3"/>
    <w:rsid w:val="00B247C9"/>
    <w:rsid w:val="00B24819"/>
    <w:rsid w:val="00B2494C"/>
    <w:rsid w:val="00B24982"/>
    <w:rsid w:val="00B24C5F"/>
    <w:rsid w:val="00B24D73"/>
    <w:rsid w:val="00B25598"/>
    <w:rsid w:val="00B26293"/>
    <w:rsid w:val="00B263D0"/>
    <w:rsid w:val="00B2642B"/>
    <w:rsid w:val="00B26E2D"/>
    <w:rsid w:val="00B26F21"/>
    <w:rsid w:val="00B27457"/>
    <w:rsid w:val="00B30222"/>
    <w:rsid w:val="00B30657"/>
    <w:rsid w:val="00B30A00"/>
    <w:rsid w:val="00B3165A"/>
    <w:rsid w:val="00B31763"/>
    <w:rsid w:val="00B317E1"/>
    <w:rsid w:val="00B31AF8"/>
    <w:rsid w:val="00B31B4D"/>
    <w:rsid w:val="00B31C32"/>
    <w:rsid w:val="00B31D24"/>
    <w:rsid w:val="00B31FCC"/>
    <w:rsid w:val="00B3227A"/>
    <w:rsid w:val="00B32A5C"/>
    <w:rsid w:val="00B32C54"/>
    <w:rsid w:val="00B33977"/>
    <w:rsid w:val="00B33DC7"/>
    <w:rsid w:val="00B33E13"/>
    <w:rsid w:val="00B34768"/>
    <w:rsid w:val="00B347F2"/>
    <w:rsid w:val="00B34BF1"/>
    <w:rsid w:val="00B3576B"/>
    <w:rsid w:val="00B35A92"/>
    <w:rsid w:val="00B3677D"/>
    <w:rsid w:val="00B36981"/>
    <w:rsid w:val="00B36B5F"/>
    <w:rsid w:val="00B37317"/>
    <w:rsid w:val="00B376A6"/>
    <w:rsid w:val="00B37770"/>
    <w:rsid w:val="00B3782F"/>
    <w:rsid w:val="00B37C85"/>
    <w:rsid w:val="00B4005D"/>
    <w:rsid w:val="00B400C8"/>
    <w:rsid w:val="00B4064B"/>
    <w:rsid w:val="00B40A7A"/>
    <w:rsid w:val="00B40AA3"/>
    <w:rsid w:val="00B41313"/>
    <w:rsid w:val="00B41C37"/>
    <w:rsid w:val="00B421B4"/>
    <w:rsid w:val="00B422CB"/>
    <w:rsid w:val="00B42DE4"/>
    <w:rsid w:val="00B42EC5"/>
    <w:rsid w:val="00B42F0B"/>
    <w:rsid w:val="00B4351B"/>
    <w:rsid w:val="00B43676"/>
    <w:rsid w:val="00B43870"/>
    <w:rsid w:val="00B439E7"/>
    <w:rsid w:val="00B44533"/>
    <w:rsid w:val="00B45085"/>
    <w:rsid w:val="00B45303"/>
    <w:rsid w:val="00B46A38"/>
    <w:rsid w:val="00B46BF3"/>
    <w:rsid w:val="00B47D4D"/>
    <w:rsid w:val="00B508D4"/>
    <w:rsid w:val="00B50CDD"/>
    <w:rsid w:val="00B51512"/>
    <w:rsid w:val="00B51E8A"/>
    <w:rsid w:val="00B51F4B"/>
    <w:rsid w:val="00B5200A"/>
    <w:rsid w:val="00B52752"/>
    <w:rsid w:val="00B52AA2"/>
    <w:rsid w:val="00B52B07"/>
    <w:rsid w:val="00B531C7"/>
    <w:rsid w:val="00B55075"/>
    <w:rsid w:val="00B561B0"/>
    <w:rsid w:val="00B565A5"/>
    <w:rsid w:val="00B5660D"/>
    <w:rsid w:val="00B57256"/>
    <w:rsid w:val="00B576F3"/>
    <w:rsid w:val="00B60319"/>
    <w:rsid w:val="00B6056B"/>
    <w:rsid w:val="00B60AEA"/>
    <w:rsid w:val="00B611A2"/>
    <w:rsid w:val="00B6124C"/>
    <w:rsid w:val="00B618AD"/>
    <w:rsid w:val="00B61C63"/>
    <w:rsid w:val="00B6211D"/>
    <w:rsid w:val="00B63D09"/>
    <w:rsid w:val="00B64FBB"/>
    <w:rsid w:val="00B65310"/>
    <w:rsid w:val="00B65618"/>
    <w:rsid w:val="00B664D0"/>
    <w:rsid w:val="00B6654E"/>
    <w:rsid w:val="00B66A80"/>
    <w:rsid w:val="00B67115"/>
    <w:rsid w:val="00B6730F"/>
    <w:rsid w:val="00B67A56"/>
    <w:rsid w:val="00B717D9"/>
    <w:rsid w:val="00B718A1"/>
    <w:rsid w:val="00B71B25"/>
    <w:rsid w:val="00B7238D"/>
    <w:rsid w:val="00B723C7"/>
    <w:rsid w:val="00B72755"/>
    <w:rsid w:val="00B729CD"/>
    <w:rsid w:val="00B72BA3"/>
    <w:rsid w:val="00B72D3D"/>
    <w:rsid w:val="00B730E3"/>
    <w:rsid w:val="00B7353A"/>
    <w:rsid w:val="00B7363C"/>
    <w:rsid w:val="00B7375B"/>
    <w:rsid w:val="00B738F4"/>
    <w:rsid w:val="00B73A31"/>
    <w:rsid w:val="00B746B4"/>
    <w:rsid w:val="00B747C1"/>
    <w:rsid w:val="00B754B0"/>
    <w:rsid w:val="00B75707"/>
    <w:rsid w:val="00B7592A"/>
    <w:rsid w:val="00B7608E"/>
    <w:rsid w:val="00B76239"/>
    <w:rsid w:val="00B7627D"/>
    <w:rsid w:val="00B763A8"/>
    <w:rsid w:val="00B764F0"/>
    <w:rsid w:val="00B76D1F"/>
    <w:rsid w:val="00B76FC3"/>
    <w:rsid w:val="00B77009"/>
    <w:rsid w:val="00B771C0"/>
    <w:rsid w:val="00B7762F"/>
    <w:rsid w:val="00B77EF7"/>
    <w:rsid w:val="00B8023E"/>
    <w:rsid w:val="00B8066E"/>
    <w:rsid w:val="00B809E7"/>
    <w:rsid w:val="00B80BB0"/>
    <w:rsid w:val="00B81C67"/>
    <w:rsid w:val="00B82212"/>
    <w:rsid w:val="00B826C7"/>
    <w:rsid w:val="00B8377E"/>
    <w:rsid w:val="00B84159"/>
    <w:rsid w:val="00B8434B"/>
    <w:rsid w:val="00B84460"/>
    <w:rsid w:val="00B84CFD"/>
    <w:rsid w:val="00B85107"/>
    <w:rsid w:val="00B85209"/>
    <w:rsid w:val="00B855A7"/>
    <w:rsid w:val="00B8566D"/>
    <w:rsid w:val="00B85A66"/>
    <w:rsid w:val="00B85CCC"/>
    <w:rsid w:val="00B8623F"/>
    <w:rsid w:val="00B86823"/>
    <w:rsid w:val="00B870AF"/>
    <w:rsid w:val="00B873D7"/>
    <w:rsid w:val="00B87FFE"/>
    <w:rsid w:val="00B9051B"/>
    <w:rsid w:val="00B90A4E"/>
    <w:rsid w:val="00B90CA2"/>
    <w:rsid w:val="00B90F11"/>
    <w:rsid w:val="00B914D3"/>
    <w:rsid w:val="00B917AC"/>
    <w:rsid w:val="00B91ABC"/>
    <w:rsid w:val="00B92355"/>
    <w:rsid w:val="00B9289C"/>
    <w:rsid w:val="00B93BC3"/>
    <w:rsid w:val="00B93FA4"/>
    <w:rsid w:val="00B9438B"/>
    <w:rsid w:val="00B949EF"/>
    <w:rsid w:val="00B95AC2"/>
    <w:rsid w:val="00B964FE"/>
    <w:rsid w:val="00B96797"/>
    <w:rsid w:val="00B96EEC"/>
    <w:rsid w:val="00B9705B"/>
    <w:rsid w:val="00B97F54"/>
    <w:rsid w:val="00BA014B"/>
    <w:rsid w:val="00BA0611"/>
    <w:rsid w:val="00BA0D57"/>
    <w:rsid w:val="00BA0E62"/>
    <w:rsid w:val="00BA0F39"/>
    <w:rsid w:val="00BA1112"/>
    <w:rsid w:val="00BA11D4"/>
    <w:rsid w:val="00BA13BC"/>
    <w:rsid w:val="00BA156C"/>
    <w:rsid w:val="00BA19E8"/>
    <w:rsid w:val="00BA1D9D"/>
    <w:rsid w:val="00BA24EB"/>
    <w:rsid w:val="00BA2A07"/>
    <w:rsid w:val="00BA2C13"/>
    <w:rsid w:val="00BA3270"/>
    <w:rsid w:val="00BA33E5"/>
    <w:rsid w:val="00BA373B"/>
    <w:rsid w:val="00BA3ADA"/>
    <w:rsid w:val="00BA3C01"/>
    <w:rsid w:val="00BA405C"/>
    <w:rsid w:val="00BA4795"/>
    <w:rsid w:val="00BA4889"/>
    <w:rsid w:val="00BA4E91"/>
    <w:rsid w:val="00BA55E7"/>
    <w:rsid w:val="00BA69E5"/>
    <w:rsid w:val="00BA6D97"/>
    <w:rsid w:val="00BA72F7"/>
    <w:rsid w:val="00BA7C71"/>
    <w:rsid w:val="00BB057B"/>
    <w:rsid w:val="00BB0ECD"/>
    <w:rsid w:val="00BB1D9F"/>
    <w:rsid w:val="00BB2075"/>
    <w:rsid w:val="00BB2727"/>
    <w:rsid w:val="00BB315A"/>
    <w:rsid w:val="00BB33AF"/>
    <w:rsid w:val="00BB34ED"/>
    <w:rsid w:val="00BB3690"/>
    <w:rsid w:val="00BB3FCD"/>
    <w:rsid w:val="00BB4644"/>
    <w:rsid w:val="00BB4650"/>
    <w:rsid w:val="00BB46DE"/>
    <w:rsid w:val="00BB483A"/>
    <w:rsid w:val="00BB53AE"/>
    <w:rsid w:val="00BB5B14"/>
    <w:rsid w:val="00BB5D8E"/>
    <w:rsid w:val="00BB5E99"/>
    <w:rsid w:val="00BB61FE"/>
    <w:rsid w:val="00BB6A8E"/>
    <w:rsid w:val="00BB6C82"/>
    <w:rsid w:val="00BB73EC"/>
    <w:rsid w:val="00BB79E0"/>
    <w:rsid w:val="00BB7BDE"/>
    <w:rsid w:val="00BB7C83"/>
    <w:rsid w:val="00BB7EE2"/>
    <w:rsid w:val="00BB7FF6"/>
    <w:rsid w:val="00BC011F"/>
    <w:rsid w:val="00BC1074"/>
    <w:rsid w:val="00BC1593"/>
    <w:rsid w:val="00BC1616"/>
    <w:rsid w:val="00BC1E77"/>
    <w:rsid w:val="00BC2232"/>
    <w:rsid w:val="00BC22FC"/>
    <w:rsid w:val="00BC3C9C"/>
    <w:rsid w:val="00BC4076"/>
    <w:rsid w:val="00BC407F"/>
    <w:rsid w:val="00BC4761"/>
    <w:rsid w:val="00BC4986"/>
    <w:rsid w:val="00BC4C6B"/>
    <w:rsid w:val="00BC4D2F"/>
    <w:rsid w:val="00BC4E0E"/>
    <w:rsid w:val="00BC5133"/>
    <w:rsid w:val="00BC559E"/>
    <w:rsid w:val="00BC56F9"/>
    <w:rsid w:val="00BC5883"/>
    <w:rsid w:val="00BC59D8"/>
    <w:rsid w:val="00BC5D45"/>
    <w:rsid w:val="00BC6163"/>
    <w:rsid w:val="00BC63A9"/>
    <w:rsid w:val="00BC653D"/>
    <w:rsid w:val="00BC65C7"/>
    <w:rsid w:val="00BC6753"/>
    <w:rsid w:val="00BC7003"/>
    <w:rsid w:val="00BC7145"/>
    <w:rsid w:val="00BC73A5"/>
    <w:rsid w:val="00BC78A8"/>
    <w:rsid w:val="00BC7D07"/>
    <w:rsid w:val="00BD017E"/>
    <w:rsid w:val="00BD03CB"/>
    <w:rsid w:val="00BD057B"/>
    <w:rsid w:val="00BD0672"/>
    <w:rsid w:val="00BD0800"/>
    <w:rsid w:val="00BD089F"/>
    <w:rsid w:val="00BD1C09"/>
    <w:rsid w:val="00BD1FAD"/>
    <w:rsid w:val="00BD2032"/>
    <w:rsid w:val="00BD22C7"/>
    <w:rsid w:val="00BD2D17"/>
    <w:rsid w:val="00BD2F68"/>
    <w:rsid w:val="00BD3312"/>
    <w:rsid w:val="00BD3AB1"/>
    <w:rsid w:val="00BD401D"/>
    <w:rsid w:val="00BD40A1"/>
    <w:rsid w:val="00BD4809"/>
    <w:rsid w:val="00BD5754"/>
    <w:rsid w:val="00BD5869"/>
    <w:rsid w:val="00BD5F92"/>
    <w:rsid w:val="00BD600D"/>
    <w:rsid w:val="00BD60F8"/>
    <w:rsid w:val="00BD6924"/>
    <w:rsid w:val="00BD6B33"/>
    <w:rsid w:val="00BD71CA"/>
    <w:rsid w:val="00BD76EF"/>
    <w:rsid w:val="00BD7857"/>
    <w:rsid w:val="00BD7B31"/>
    <w:rsid w:val="00BD7EC5"/>
    <w:rsid w:val="00BE04DD"/>
    <w:rsid w:val="00BE09F0"/>
    <w:rsid w:val="00BE0D34"/>
    <w:rsid w:val="00BE0F7B"/>
    <w:rsid w:val="00BE1708"/>
    <w:rsid w:val="00BE1971"/>
    <w:rsid w:val="00BE1D51"/>
    <w:rsid w:val="00BE23A8"/>
    <w:rsid w:val="00BE26BB"/>
    <w:rsid w:val="00BE27B6"/>
    <w:rsid w:val="00BE3BC9"/>
    <w:rsid w:val="00BE3E69"/>
    <w:rsid w:val="00BE3EA4"/>
    <w:rsid w:val="00BE3F13"/>
    <w:rsid w:val="00BE441B"/>
    <w:rsid w:val="00BE4690"/>
    <w:rsid w:val="00BE4ACC"/>
    <w:rsid w:val="00BE4CC9"/>
    <w:rsid w:val="00BE50BB"/>
    <w:rsid w:val="00BE5333"/>
    <w:rsid w:val="00BE5417"/>
    <w:rsid w:val="00BE579A"/>
    <w:rsid w:val="00BE5E56"/>
    <w:rsid w:val="00BE5F65"/>
    <w:rsid w:val="00BE65FD"/>
    <w:rsid w:val="00BE6A87"/>
    <w:rsid w:val="00BE6F0C"/>
    <w:rsid w:val="00BE71B4"/>
    <w:rsid w:val="00BE7759"/>
    <w:rsid w:val="00BE7A1E"/>
    <w:rsid w:val="00BF025F"/>
    <w:rsid w:val="00BF02DC"/>
    <w:rsid w:val="00BF0578"/>
    <w:rsid w:val="00BF087E"/>
    <w:rsid w:val="00BF0A73"/>
    <w:rsid w:val="00BF0E9B"/>
    <w:rsid w:val="00BF1017"/>
    <w:rsid w:val="00BF11DA"/>
    <w:rsid w:val="00BF13DF"/>
    <w:rsid w:val="00BF1B72"/>
    <w:rsid w:val="00BF1E2E"/>
    <w:rsid w:val="00BF2836"/>
    <w:rsid w:val="00BF2BB4"/>
    <w:rsid w:val="00BF30C5"/>
    <w:rsid w:val="00BF3415"/>
    <w:rsid w:val="00BF36BA"/>
    <w:rsid w:val="00BF39B5"/>
    <w:rsid w:val="00BF3AD5"/>
    <w:rsid w:val="00BF40E2"/>
    <w:rsid w:val="00BF468A"/>
    <w:rsid w:val="00BF48AB"/>
    <w:rsid w:val="00BF48F6"/>
    <w:rsid w:val="00BF50DD"/>
    <w:rsid w:val="00BF54C4"/>
    <w:rsid w:val="00BF57C7"/>
    <w:rsid w:val="00BF624A"/>
    <w:rsid w:val="00BF640F"/>
    <w:rsid w:val="00BF64C7"/>
    <w:rsid w:val="00BF6958"/>
    <w:rsid w:val="00BF6C4D"/>
    <w:rsid w:val="00BF7088"/>
    <w:rsid w:val="00BF7577"/>
    <w:rsid w:val="00BF78A0"/>
    <w:rsid w:val="00BF7B5C"/>
    <w:rsid w:val="00BF7D0B"/>
    <w:rsid w:val="00BF7D8D"/>
    <w:rsid w:val="00BF7EBD"/>
    <w:rsid w:val="00C0037B"/>
    <w:rsid w:val="00C00D57"/>
    <w:rsid w:val="00C01516"/>
    <w:rsid w:val="00C0219D"/>
    <w:rsid w:val="00C0263E"/>
    <w:rsid w:val="00C0298E"/>
    <w:rsid w:val="00C02AC7"/>
    <w:rsid w:val="00C02ACF"/>
    <w:rsid w:val="00C02F2C"/>
    <w:rsid w:val="00C0302E"/>
    <w:rsid w:val="00C032FD"/>
    <w:rsid w:val="00C0330E"/>
    <w:rsid w:val="00C035A9"/>
    <w:rsid w:val="00C03859"/>
    <w:rsid w:val="00C03B79"/>
    <w:rsid w:val="00C03E68"/>
    <w:rsid w:val="00C03E9D"/>
    <w:rsid w:val="00C0443F"/>
    <w:rsid w:val="00C04A89"/>
    <w:rsid w:val="00C04C78"/>
    <w:rsid w:val="00C051CC"/>
    <w:rsid w:val="00C0524F"/>
    <w:rsid w:val="00C0640E"/>
    <w:rsid w:val="00C06656"/>
    <w:rsid w:val="00C0665D"/>
    <w:rsid w:val="00C06EA8"/>
    <w:rsid w:val="00C07B6D"/>
    <w:rsid w:val="00C07BB2"/>
    <w:rsid w:val="00C07E72"/>
    <w:rsid w:val="00C104CA"/>
    <w:rsid w:val="00C10741"/>
    <w:rsid w:val="00C10846"/>
    <w:rsid w:val="00C115F0"/>
    <w:rsid w:val="00C123C1"/>
    <w:rsid w:val="00C126DF"/>
    <w:rsid w:val="00C1294D"/>
    <w:rsid w:val="00C12A6C"/>
    <w:rsid w:val="00C12B2E"/>
    <w:rsid w:val="00C1310B"/>
    <w:rsid w:val="00C13121"/>
    <w:rsid w:val="00C139B0"/>
    <w:rsid w:val="00C13DD8"/>
    <w:rsid w:val="00C14238"/>
    <w:rsid w:val="00C151F2"/>
    <w:rsid w:val="00C1535A"/>
    <w:rsid w:val="00C15569"/>
    <w:rsid w:val="00C15C5D"/>
    <w:rsid w:val="00C1680B"/>
    <w:rsid w:val="00C168C5"/>
    <w:rsid w:val="00C16A20"/>
    <w:rsid w:val="00C16E4F"/>
    <w:rsid w:val="00C1723B"/>
    <w:rsid w:val="00C17DFF"/>
    <w:rsid w:val="00C20BBC"/>
    <w:rsid w:val="00C20DE2"/>
    <w:rsid w:val="00C218BC"/>
    <w:rsid w:val="00C21AF6"/>
    <w:rsid w:val="00C21DC6"/>
    <w:rsid w:val="00C223CF"/>
    <w:rsid w:val="00C22833"/>
    <w:rsid w:val="00C228CC"/>
    <w:rsid w:val="00C22EB9"/>
    <w:rsid w:val="00C23217"/>
    <w:rsid w:val="00C233D1"/>
    <w:rsid w:val="00C235FF"/>
    <w:rsid w:val="00C23DA3"/>
    <w:rsid w:val="00C24B0A"/>
    <w:rsid w:val="00C24DC2"/>
    <w:rsid w:val="00C24FFA"/>
    <w:rsid w:val="00C251DE"/>
    <w:rsid w:val="00C25AC4"/>
    <w:rsid w:val="00C25B9F"/>
    <w:rsid w:val="00C262D5"/>
    <w:rsid w:val="00C26383"/>
    <w:rsid w:val="00C26554"/>
    <w:rsid w:val="00C2697D"/>
    <w:rsid w:val="00C26C95"/>
    <w:rsid w:val="00C26E85"/>
    <w:rsid w:val="00C26F29"/>
    <w:rsid w:val="00C26F9F"/>
    <w:rsid w:val="00C277D8"/>
    <w:rsid w:val="00C2788D"/>
    <w:rsid w:val="00C27CE6"/>
    <w:rsid w:val="00C30017"/>
    <w:rsid w:val="00C308E9"/>
    <w:rsid w:val="00C311B2"/>
    <w:rsid w:val="00C31C90"/>
    <w:rsid w:val="00C31E18"/>
    <w:rsid w:val="00C321FF"/>
    <w:rsid w:val="00C32313"/>
    <w:rsid w:val="00C32712"/>
    <w:rsid w:val="00C33292"/>
    <w:rsid w:val="00C3351D"/>
    <w:rsid w:val="00C33D23"/>
    <w:rsid w:val="00C3407F"/>
    <w:rsid w:val="00C347D0"/>
    <w:rsid w:val="00C34961"/>
    <w:rsid w:val="00C3518F"/>
    <w:rsid w:val="00C351E4"/>
    <w:rsid w:val="00C3582E"/>
    <w:rsid w:val="00C35A45"/>
    <w:rsid w:val="00C35D87"/>
    <w:rsid w:val="00C35E37"/>
    <w:rsid w:val="00C366D4"/>
    <w:rsid w:val="00C373BE"/>
    <w:rsid w:val="00C377CA"/>
    <w:rsid w:val="00C40376"/>
    <w:rsid w:val="00C40709"/>
    <w:rsid w:val="00C408D2"/>
    <w:rsid w:val="00C4092D"/>
    <w:rsid w:val="00C40C52"/>
    <w:rsid w:val="00C415BC"/>
    <w:rsid w:val="00C415E6"/>
    <w:rsid w:val="00C41876"/>
    <w:rsid w:val="00C41A3A"/>
    <w:rsid w:val="00C41FEE"/>
    <w:rsid w:val="00C420F5"/>
    <w:rsid w:val="00C42A3F"/>
    <w:rsid w:val="00C42A7F"/>
    <w:rsid w:val="00C42CE8"/>
    <w:rsid w:val="00C434C4"/>
    <w:rsid w:val="00C43B8A"/>
    <w:rsid w:val="00C463FD"/>
    <w:rsid w:val="00C4650A"/>
    <w:rsid w:val="00C46855"/>
    <w:rsid w:val="00C469A2"/>
    <w:rsid w:val="00C46B36"/>
    <w:rsid w:val="00C46DD5"/>
    <w:rsid w:val="00C46F43"/>
    <w:rsid w:val="00C47604"/>
    <w:rsid w:val="00C47661"/>
    <w:rsid w:val="00C478C1"/>
    <w:rsid w:val="00C479CF"/>
    <w:rsid w:val="00C47A16"/>
    <w:rsid w:val="00C47AB6"/>
    <w:rsid w:val="00C47D01"/>
    <w:rsid w:val="00C50674"/>
    <w:rsid w:val="00C50D0F"/>
    <w:rsid w:val="00C511CC"/>
    <w:rsid w:val="00C51303"/>
    <w:rsid w:val="00C51960"/>
    <w:rsid w:val="00C51E38"/>
    <w:rsid w:val="00C520D3"/>
    <w:rsid w:val="00C521BB"/>
    <w:rsid w:val="00C52668"/>
    <w:rsid w:val="00C52F5E"/>
    <w:rsid w:val="00C536B4"/>
    <w:rsid w:val="00C536D3"/>
    <w:rsid w:val="00C5383A"/>
    <w:rsid w:val="00C539FD"/>
    <w:rsid w:val="00C54342"/>
    <w:rsid w:val="00C543DD"/>
    <w:rsid w:val="00C54777"/>
    <w:rsid w:val="00C54804"/>
    <w:rsid w:val="00C54E57"/>
    <w:rsid w:val="00C54F66"/>
    <w:rsid w:val="00C55030"/>
    <w:rsid w:val="00C55155"/>
    <w:rsid w:val="00C556EB"/>
    <w:rsid w:val="00C55992"/>
    <w:rsid w:val="00C56147"/>
    <w:rsid w:val="00C56F62"/>
    <w:rsid w:val="00C5736C"/>
    <w:rsid w:val="00C57384"/>
    <w:rsid w:val="00C573FB"/>
    <w:rsid w:val="00C5766B"/>
    <w:rsid w:val="00C579EF"/>
    <w:rsid w:val="00C600E5"/>
    <w:rsid w:val="00C601D3"/>
    <w:rsid w:val="00C6041F"/>
    <w:rsid w:val="00C609B0"/>
    <w:rsid w:val="00C60E52"/>
    <w:rsid w:val="00C61493"/>
    <w:rsid w:val="00C614B7"/>
    <w:rsid w:val="00C6159F"/>
    <w:rsid w:val="00C615E4"/>
    <w:rsid w:val="00C616D5"/>
    <w:rsid w:val="00C61A2E"/>
    <w:rsid w:val="00C61D29"/>
    <w:rsid w:val="00C61E68"/>
    <w:rsid w:val="00C6210F"/>
    <w:rsid w:val="00C626F6"/>
    <w:rsid w:val="00C62796"/>
    <w:rsid w:val="00C638D1"/>
    <w:rsid w:val="00C63986"/>
    <w:rsid w:val="00C63C64"/>
    <w:rsid w:val="00C64348"/>
    <w:rsid w:val="00C6455B"/>
    <w:rsid w:val="00C64666"/>
    <w:rsid w:val="00C647A8"/>
    <w:rsid w:val="00C652FF"/>
    <w:rsid w:val="00C655E8"/>
    <w:rsid w:val="00C65A8C"/>
    <w:rsid w:val="00C65F8D"/>
    <w:rsid w:val="00C664B4"/>
    <w:rsid w:val="00C66746"/>
    <w:rsid w:val="00C66D99"/>
    <w:rsid w:val="00C67026"/>
    <w:rsid w:val="00C678DC"/>
    <w:rsid w:val="00C67E40"/>
    <w:rsid w:val="00C70A7B"/>
    <w:rsid w:val="00C70FE3"/>
    <w:rsid w:val="00C7132B"/>
    <w:rsid w:val="00C7139E"/>
    <w:rsid w:val="00C71437"/>
    <w:rsid w:val="00C71D02"/>
    <w:rsid w:val="00C71D4E"/>
    <w:rsid w:val="00C71E99"/>
    <w:rsid w:val="00C7214C"/>
    <w:rsid w:val="00C722E4"/>
    <w:rsid w:val="00C7234E"/>
    <w:rsid w:val="00C729A3"/>
    <w:rsid w:val="00C72ADC"/>
    <w:rsid w:val="00C73E80"/>
    <w:rsid w:val="00C74835"/>
    <w:rsid w:val="00C74CFA"/>
    <w:rsid w:val="00C75596"/>
    <w:rsid w:val="00C75AE3"/>
    <w:rsid w:val="00C763DF"/>
    <w:rsid w:val="00C764FE"/>
    <w:rsid w:val="00C76643"/>
    <w:rsid w:val="00C76EEE"/>
    <w:rsid w:val="00C76F70"/>
    <w:rsid w:val="00C77131"/>
    <w:rsid w:val="00C77A78"/>
    <w:rsid w:val="00C8009A"/>
    <w:rsid w:val="00C8027C"/>
    <w:rsid w:val="00C806CF"/>
    <w:rsid w:val="00C807F3"/>
    <w:rsid w:val="00C80AA9"/>
    <w:rsid w:val="00C80B8E"/>
    <w:rsid w:val="00C80CD5"/>
    <w:rsid w:val="00C80D87"/>
    <w:rsid w:val="00C80E46"/>
    <w:rsid w:val="00C80ECA"/>
    <w:rsid w:val="00C81534"/>
    <w:rsid w:val="00C81884"/>
    <w:rsid w:val="00C81A4C"/>
    <w:rsid w:val="00C81A73"/>
    <w:rsid w:val="00C81EBE"/>
    <w:rsid w:val="00C825DD"/>
    <w:rsid w:val="00C82B1F"/>
    <w:rsid w:val="00C82CFF"/>
    <w:rsid w:val="00C83A22"/>
    <w:rsid w:val="00C83EC6"/>
    <w:rsid w:val="00C83F39"/>
    <w:rsid w:val="00C84808"/>
    <w:rsid w:val="00C84AC9"/>
    <w:rsid w:val="00C84CA0"/>
    <w:rsid w:val="00C84DC1"/>
    <w:rsid w:val="00C85057"/>
    <w:rsid w:val="00C85BDE"/>
    <w:rsid w:val="00C85D5B"/>
    <w:rsid w:val="00C85F81"/>
    <w:rsid w:val="00C867AA"/>
    <w:rsid w:val="00C86957"/>
    <w:rsid w:val="00C869B0"/>
    <w:rsid w:val="00C86A8C"/>
    <w:rsid w:val="00C86CD7"/>
    <w:rsid w:val="00C871C8"/>
    <w:rsid w:val="00C87407"/>
    <w:rsid w:val="00C87CDD"/>
    <w:rsid w:val="00C90AF6"/>
    <w:rsid w:val="00C90F1B"/>
    <w:rsid w:val="00C911C3"/>
    <w:rsid w:val="00C91809"/>
    <w:rsid w:val="00C923B2"/>
    <w:rsid w:val="00C927D4"/>
    <w:rsid w:val="00C92B67"/>
    <w:rsid w:val="00C92C8D"/>
    <w:rsid w:val="00C93118"/>
    <w:rsid w:val="00C93280"/>
    <w:rsid w:val="00C93321"/>
    <w:rsid w:val="00C938CD"/>
    <w:rsid w:val="00C93A28"/>
    <w:rsid w:val="00C93DB2"/>
    <w:rsid w:val="00C93E1B"/>
    <w:rsid w:val="00C94328"/>
    <w:rsid w:val="00C94CA6"/>
    <w:rsid w:val="00C94DA7"/>
    <w:rsid w:val="00C950E6"/>
    <w:rsid w:val="00C95938"/>
    <w:rsid w:val="00C96453"/>
    <w:rsid w:val="00C96721"/>
    <w:rsid w:val="00C969D1"/>
    <w:rsid w:val="00C97031"/>
    <w:rsid w:val="00C9720D"/>
    <w:rsid w:val="00C975F2"/>
    <w:rsid w:val="00C977E2"/>
    <w:rsid w:val="00C9792A"/>
    <w:rsid w:val="00CA00AC"/>
    <w:rsid w:val="00CA00D4"/>
    <w:rsid w:val="00CA0109"/>
    <w:rsid w:val="00CA0285"/>
    <w:rsid w:val="00CA0654"/>
    <w:rsid w:val="00CA0657"/>
    <w:rsid w:val="00CA0E04"/>
    <w:rsid w:val="00CA0FD2"/>
    <w:rsid w:val="00CA1742"/>
    <w:rsid w:val="00CA1C6D"/>
    <w:rsid w:val="00CA1F3D"/>
    <w:rsid w:val="00CA200C"/>
    <w:rsid w:val="00CA2297"/>
    <w:rsid w:val="00CA2389"/>
    <w:rsid w:val="00CA302D"/>
    <w:rsid w:val="00CA3163"/>
    <w:rsid w:val="00CA37DD"/>
    <w:rsid w:val="00CA383A"/>
    <w:rsid w:val="00CA4001"/>
    <w:rsid w:val="00CA420B"/>
    <w:rsid w:val="00CA4BCF"/>
    <w:rsid w:val="00CA4D82"/>
    <w:rsid w:val="00CA4E27"/>
    <w:rsid w:val="00CA5263"/>
    <w:rsid w:val="00CA5AB1"/>
    <w:rsid w:val="00CA5E4D"/>
    <w:rsid w:val="00CA5FDF"/>
    <w:rsid w:val="00CA65C6"/>
    <w:rsid w:val="00CA669E"/>
    <w:rsid w:val="00CA6C28"/>
    <w:rsid w:val="00CA7F01"/>
    <w:rsid w:val="00CB0557"/>
    <w:rsid w:val="00CB0669"/>
    <w:rsid w:val="00CB1164"/>
    <w:rsid w:val="00CB1DA8"/>
    <w:rsid w:val="00CB1FDC"/>
    <w:rsid w:val="00CB20B4"/>
    <w:rsid w:val="00CB20F5"/>
    <w:rsid w:val="00CB2321"/>
    <w:rsid w:val="00CB25AD"/>
    <w:rsid w:val="00CB27B5"/>
    <w:rsid w:val="00CB28C4"/>
    <w:rsid w:val="00CB295E"/>
    <w:rsid w:val="00CB2E08"/>
    <w:rsid w:val="00CB2FA3"/>
    <w:rsid w:val="00CB2FA6"/>
    <w:rsid w:val="00CB3254"/>
    <w:rsid w:val="00CB333C"/>
    <w:rsid w:val="00CB33D3"/>
    <w:rsid w:val="00CB419D"/>
    <w:rsid w:val="00CB4812"/>
    <w:rsid w:val="00CB4DA9"/>
    <w:rsid w:val="00CB5190"/>
    <w:rsid w:val="00CB535E"/>
    <w:rsid w:val="00CB5E04"/>
    <w:rsid w:val="00CB664E"/>
    <w:rsid w:val="00CB6ADC"/>
    <w:rsid w:val="00CB6FAB"/>
    <w:rsid w:val="00CB7164"/>
    <w:rsid w:val="00CB7537"/>
    <w:rsid w:val="00CB7839"/>
    <w:rsid w:val="00CB783B"/>
    <w:rsid w:val="00CC0606"/>
    <w:rsid w:val="00CC08A3"/>
    <w:rsid w:val="00CC08D4"/>
    <w:rsid w:val="00CC0C57"/>
    <w:rsid w:val="00CC0C63"/>
    <w:rsid w:val="00CC1058"/>
    <w:rsid w:val="00CC1156"/>
    <w:rsid w:val="00CC134B"/>
    <w:rsid w:val="00CC1652"/>
    <w:rsid w:val="00CC1D18"/>
    <w:rsid w:val="00CC203A"/>
    <w:rsid w:val="00CC264C"/>
    <w:rsid w:val="00CC2C79"/>
    <w:rsid w:val="00CC3106"/>
    <w:rsid w:val="00CC36D7"/>
    <w:rsid w:val="00CC36FE"/>
    <w:rsid w:val="00CC3E4D"/>
    <w:rsid w:val="00CC3E7B"/>
    <w:rsid w:val="00CC4B27"/>
    <w:rsid w:val="00CC4FDB"/>
    <w:rsid w:val="00CC502E"/>
    <w:rsid w:val="00CC57E1"/>
    <w:rsid w:val="00CC5A9C"/>
    <w:rsid w:val="00CC5C26"/>
    <w:rsid w:val="00CC5EF8"/>
    <w:rsid w:val="00CC6396"/>
    <w:rsid w:val="00CC65EB"/>
    <w:rsid w:val="00CC680E"/>
    <w:rsid w:val="00CC7CFC"/>
    <w:rsid w:val="00CD1277"/>
    <w:rsid w:val="00CD150C"/>
    <w:rsid w:val="00CD1D0D"/>
    <w:rsid w:val="00CD1F02"/>
    <w:rsid w:val="00CD23FD"/>
    <w:rsid w:val="00CD25CB"/>
    <w:rsid w:val="00CD280C"/>
    <w:rsid w:val="00CD2BA2"/>
    <w:rsid w:val="00CD30BB"/>
    <w:rsid w:val="00CD41CB"/>
    <w:rsid w:val="00CD443B"/>
    <w:rsid w:val="00CD5566"/>
    <w:rsid w:val="00CD584F"/>
    <w:rsid w:val="00CD5BC6"/>
    <w:rsid w:val="00CD5E11"/>
    <w:rsid w:val="00CD5ECA"/>
    <w:rsid w:val="00CD6240"/>
    <w:rsid w:val="00CD65C0"/>
    <w:rsid w:val="00CD6B2B"/>
    <w:rsid w:val="00CD7252"/>
    <w:rsid w:val="00CD73EE"/>
    <w:rsid w:val="00CD75E3"/>
    <w:rsid w:val="00CD7888"/>
    <w:rsid w:val="00CD7C43"/>
    <w:rsid w:val="00CE00F2"/>
    <w:rsid w:val="00CE09C5"/>
    <w:rsid w:val="00CE0A75"/>
    <w:rsid w:val="00CE0CA7"/>
    <w:rsid w:val="00CE0F83"/>
    <w:rsid w:val="00CE117D"/>
    <w:rsid w:val="00CE119C"/>
    <w:rsid w:val="00CE1673"/>
    <w:rsid w:val="00CE1734"/>
    <w:rsid w:val="00CE1D38"/>
    <w:rsid w:val="00CE1E65"/>
    <w:rsid w:val="00CE1EBF"/>
    <w:rsid w:val="00CE2032"/>
    <w:rsid w:val="00CE2276"/>
    <w:rsid w:val="00CE2E62"/>
    <w:rsid w:val="00CE31CE"/>
    <w:rsid w:val="00CE3342"/>
    <w:rsid w:val="00CE37E7"/>
    <w:rsid w:val="00CE3862"/>
    <w:rsid w:val="00CE3D78"/>
    <w:rsid w:val="00CE460A"/>
    <w:rsid w:val="00CE4733"/>
    <w:rsid w:val="00CE4AC4"/>
    <w:rsid w:val="00CE525D"/>
    <w:rsid w:val="00CE5402"/>
    <w:rsid w:val="00CE5687"/>
    <w:rsid w:val="00CE5C45"/>
    <w:rsid w:val="00CE5C79"/>
    <w:rsid w:val="00CE6978"/>
    <w:rsid w:val="00CE6A8D"/>
    <w:rsid w:val="00CE7117"/>
    <w:rsid w:val="00CF09CD"/>
    <w:rsid w:val="00CF0F5B"/>
    <w:rsid w:val="00CF11E7"/>
    <w:rsid w:val="00CF131C"/>
    <w:rsid w:val="00CF1395"/>
    <w:rsid w:val="00CF1466"/>
    <w:rsid w:val="00CF18F3"/>
    <w:rsid w:val="00CF19C9"/>
    <w:rsid w:val="00CF1A92"/>
    <w:rsid w:val="00CF1CD3"/>
    <w:rsid w:val="00CF2DB2"/>
    <w:rsid w:val="00CF3B5A"/>
    <w:rsid w:val="00CF3ECE"/>
    <w:rsid w:val="00CF3FFF"/>
    <w:rsid w:val="00CF4684"/>
    <w:rsid w:val="00CF4D56"/>
    <w:rsid w:val="00CF4E9C"/>
    <w:rsid w:val="00CF5010"/>
    <w:rsid w:val="00CF54D1"/>
    <w:rsid w:val="00CF5C7F"/>
    <w:rsid w:val="00CF5E53"/>
    <w:rsid w:val="00CF5F66"/>
    <w:rsid w:val="00CF6DFD"/>
    <w:rsid w:val="00CF7711"/>
    <w:rsid w:val="00D0089B"/>
    <w:rsid w:val="00D0103C"/>
    <w:rsid w:val="00D015D8"/>
    <w:rsid w:val="00D0171B"/>
    <w:rsid w:val="00D01A87"/>
    <w:rsid w:val="00D02244"/>
    <w:rsid w:val="00D02522"/>
    <w:rsid w:val="00D02795"/>
    <w:rsid w:val="00D03135"/>
    <w:rsid w:val="00D0313C"/>
    <w:rsid w:val="00D03193"/>
    <w:rsid w:val="00D0382E"/>
    <w:rsid w:val="00D03A4A"/>
    <w:rsid w:val="00D042BA"/>
    <w:rsid w:val="00D042DA"/>
    <w:rsid w:val="00D04488"/>
    <w:rsid w:val="00D04A21"/>
    <w:rsid w:val="00D050D8"/>
    <w:rsid w:val="00D058A0"/>
    <w:rsid w:val="00D05ABB"/>
    <w:rsid w:val="00D05B74"/>
    <w:rsid w:val="00D05ECE"/>
    <w:rsid w:val="00D06365"/>
    <w:rsid w:val="00D0652D"/>
    <w:rsid w:val="00D06AAB"/>
    <w:rsid w:val="00D06C20"/>
    <w:rsid w:val="00D07245"/>
    <w:rsid w:val="00D079BF"/>
    <w:rsid w:val="00D10219"/>
    <w:rsid w:val="00D105D6"/>
    <w:rsid w:val="00D106C8"/>
    <w:rsid w:val="00D10C84"/>
    <w:rsid w:val="00D10E7C"/>
    <w:rsid w:val="00D120F0"/>
    <w:rsid w:val="00D125EA"/>
    <w:rsid w:val="00D12EE3"/>
    <w:rsid w:val="00D12FF6"/>
    <w:rsid w:val="00D13371"/>
    <w:rsid w:val="00D13672"/>
    <w:rsid w:val="00D13720"/>
    <w:rsid w:val="00D13B82"/>
    <w:rsid w:val="00D13D0A"/>
    <w:rsid w:val="00D14116"/>
    <w:rsid w:val="00D142EE"/>
    <w:rsid w:val="00D1452A"/>
    <w:rsid w:val="00D14D0C"/>
    <w:rsid w:val="00D14D27"/>
    <w:rsid w:val="00D14EEF"/>
    <w:rsid w:val="00D150F6"/>
    <w:rsid w:val="00D156E1"/>
    <w:rsid w:val="00D156FA"/>
    <w:rsid w:val="00D157B4"/>
    <w:rsid w:val="00D1581E"/>
    <w:rsid w:val="00D166EC"/>
    <w:rsid w:val="00D16CA5"/>
    <w:rsid w:val="00D16E3B"/>
    <w:rsid w:val="00D1702C"/>
    <w:rsid w:val="00D17055"/>
    <w:rsid w:val="00D174BF"/>
    <w:rsid w:val="00D17AFB"/>
    <w:rsid w:val="00D17B48"/>
    <w:rsid w:val="00D17B8C"/>
    <w:rsid w:val="00D17EC2"/>
    <w:rsid w:val="00D17F5B"/>
    <w:rsid w:val="00D20338"/>
    <w:rsid w:val="00D20482"/>
    <w:rsid w:val="00D205B4"/>
    <w:rsid w:val="00D20871"/>
    <w:rsid w:val="00D20A82"/>
    <w:rsid w:val="00D20F18"/>
    <w:rsid w:val="00D214BE"/>
    <w:rsid w:val="00D214D5"/>
    <w:rsid w:val="00D21851"/>
    <w:rsid w:val="00D21E74"/>
    <w:rsid w:val="00D21FC5"/>
    <w:rsid w:val="00D2203F"/>
    <w:rsid w:val="00D22440"/>
    <w:rsid w:val="00D2268E"/>
    <w:rsid w:val="00D22CDD"/>
    <w:rsid w:val="00D22DB5"/>
    <w:rsid w:val="00D230AD"/>
    <w:rsid w:val="00D23157"/>
    <w:rsid w:val="00D233A7"/>
    <w:rsid w:val="00D234C1"/>
    <w:rsid w:val="00D23FD0"/>
    <w:rsid w:val="00D2412E"/>
    <w:rsid w:val="00D24A19"/>
    <w:rsid w:val="00D24CFA"/>
    <w:rsid w:val="00D24E0A"/>
    <w:rsid w:val="00D250A5"/>
    <w:rsid w:val="00D25490"/>
    <w:rsid w:val="00D25783"/>
    <w:rsid w:val="00D263C2"/>
    <w:rsid w:val="00D266DF"/>
    <w:rsid w:val="00D26718"/>
    <w:rsid w:val="00D26C74"/>
    <w:rsid w:val="00D26DE1"/>
    <w:rsid w:val="00D27215"/>
    <w:rsid w:val="00D27262"/>
    <w:rsid w:val="00D27440"/>
    <w:rsid w:val="00D277D2"/>
    <w:rsid w:val="00D30519"/>
    <w:rsid w:val="00D3068A"/>
    <w:rsid w:val="00D31396"/>
    <w:rsid w:val="00D317F3"/>
    <w:rsid w:val="00D31914"/>
    <w:rsid w:val="00D319E0"/>
    <w:rsid w:val="00D31DD6"/>
    <w:rsid w:val="00D31E5B"/>
    <w:rsid w:val="00D32051"/>
    <w:rsid w:val="00D3218D"/>
    <w:rsid w:val="00D3264A"/>
    <w:rsid w:val="00D327CA"/>
    <w:rsid w:val="00D32BD7"/>
    <w:rsid w:val="00D330E6"/>
    <w:rsid w:val="00D340A0"/>
    <w:rsid w:val="00D347F8"/>
    <w:rsid w:val="00D34B25"/>
    <w:rsid w:val="00D34C29"/>
    <w:rsid w:val="00D34D80"/>
    <w:rsid w:val="00D3508B"/>
    <w:rsid w:val="00D350C2"/>
    <w:rsid w:val="00D35287"/>
    <w:rsid w:val="00D356B4"/>
    <w:rsid w:val="00D359FD"/>
    <w:rsid w:val="00D35EF5"/>
    <w:rsid w:val="00D40996"/>
    <w:rsid w:val="00D40A60"/>
    <w:rsid w:val="00D41135"/>
    <w:rsid w:val="00D41512"/>
    <w:rsid w:val="00D4164F"/>
    <w:rsid w:val="00D4167B"/>
    <w:rsid w:val="00D41735"/>
    <w:rsid w:val="00D41D8D"/>
    <w:rsid w:val="00D4241A"/>
    <w:rsid w:val="00D4248B"/>
    <w:rsid w:val="00D42CFC"/>
    <w:rsid w:val="00D43673"/>
    <w:rsid w:val="00D43FEA"/>
    <w:rsid w:val="00D44348"/>
    <w:rsid w:val="00D44585"/>
    <w:rsid w:val="00D44BCF"/>
    <w:rsid w:val="00D45551"/>
    <w:rsid w:val="00D45BF3"/>
    <w:rsid w:val="00D45C81"/>
    <w:rsid w:val="00D46167"/>
    <w:rsid w:val="00D46874"/>
    <w:rsid w:val="00D46B7A"/>
    <w:rsid w:val="00D471F6"/>
    <w:rsid w:val="00D474A0"/>
    <w:rsid w:val="00D500B1"/>
    <w:rsid w:val="00D50227"/>
    <w:rsid w:val="00D50B44"/>
    <w:rsid w:val="00D51A3F"/>
    <w:rsid w:val="00D51CE8"/>
    <w:rsid w:val="00D51F7E"/>
    <w:rsid w:val="00D52396"/>
    <w:rsid w:val="00D52444"/>
    <w:rsid w:val="00D52B3F"/>
    <w:rsid w:val="00D537F9"/>
    <w:rsid w:val="00D53AC0"/>
    <w:rsid w:val="00D53C9C"/>
    <w:rsid w:val="00D53DF3"/>
    <w:rsid w:val="00D53F01"/>
    <w:rsid w:val="00D53F88"/>
    <w:rsid w:val="00D53FB6"/>
    <w:rsid w:val="00D547DD"/>
    <w:rsid w:val="00D560FE"/>
    <w:rsid w:val="00D561A1"/>
    <w:rsid w:val="00D56210"/>
    <w:rsid w:val="00D5631F"/>
    <w:rsid w:val="00D568DD"/>
    <w:rsid w:val="00D56FD9"/>
    <w:rsid w:val="00D56FF7"/>
    <w:rsid w:val="00D5757A"/>
    <w:rsid w:val="00D576F6"/>
    <w:rsid w:val="00D57B9F"/>
    <w:rsid w:val="00D57DD1"/>
    <w:rsid w:val="00D6009F"/>
    <w:rsid w:val="00D6049A"/>
    <w:rsid w:val="00D607E9"/>
    <w:rsid w:val="00D60A36"/>
    <w:rsid w:val="00D60BAE"/>
    <w:rsid w:val="00D6101A"/>
    <w:rsid w:val="00D6105C"/>
    <w:rsid w:val="00D61DCD"/>
    <w:rsid w:val="00D61F92"/>
    <w:rsid w:val="00D622EA"/>
    <w:rsid w:val="00D62DE5"/>
    <w:rsid w:val="00D6300C"/>
    <w:rsid w:val="00D64806"/>
    <w:rsid w:val="00D64891"/>
    <w:rsid w:val="00D64D1C"/>
    <w:rsid w:val="00D64E01"/>
    <w:rsid w:val="00D64E41"/>
    <w:rsid w:val="00D6589D"/>
    <w:rsid w:val="00D65EBC"/>
    <w:rsid w:val="00D66190"/>
    <w:rsid w:val="00D661B6"/>
    <w:rsid w:val="00D66893"/>
    <w:rsid w:val="00D66F3D"/>
    <w:rsid w:val="00D6712B"/>
    <w:rsid w:val="00D67567"/>
    <w:rsid w:val="00D6790F"/>
    <w:rsid w:val="00D67CED"/>
    <w:rsid w:val="00D705D3"/>
    <w:rsid w:val="00D7079C"/>
    <w:rsid w:val="00D710DD"/>
    <w:rsid w:val="00D714B2"/>
    <w:rsid w:val="00D72117"/>
    <w:rsid w:val="00D72518"/>
    <w:rsid w:val="00D72594"/>
    <w:rsid w:val="00D72BCB"/>
    <w:rsid w:val="00D72C80"/>
    <w:rsid w:val="00D72F79"/>
    <w:rsid w:val="00D72F91"/>
    <w:rsid w:val="00D7378E"/>
    <w:rsid w:val="00D73911"/>
    <w:rsid w:val="00D73EAA"/>
    <w:rsid w:val="00D74010"/>
    <w:rsid w:val="00D74695"/>
    <w:rsid w:val="00D74C05"/>
    <w:rsid w:val="00D74D0D"/>
    <w:rsid w:val="00D74E75"/>
    <w:rsid w:val="00D7565F"/>
    <w:rsid w:val="00D758E5"/>
    <w:rsid w:val="00D75B75"/>
    <w:rsid w:val="00D7674C"/>
    <w:rsid w:val="00D76829"/>
    <w:rsid w:val="00D76895"/>
    <w:rsid w:val="00D7689B"/>
    <w:rsid w:val="00D76AD4"/>
    <w:rsid w:val="00D76B04"/>
    <w:rsid w:val="00D76EBD"/>
    <w:rsid w:val="00D7730C"/>
    <w:rsid w:val="00D775A1"/>
    <w:rsid w:val="00D77B62"/>
    <w:rsid w:val="00D77BAB"/>
    <w:rsid w:val="00D77E27"/>
    <w:rsid w:val="00D80776"/>
    <w:rsid w:val="00D80D24"/>
    <w:rsid w:val="00D8134B"/>
    <w:rsid w:val="00D81B30"/>
    <w:rsid w:val="00D821AA"/>
    <w:rsid w:val="00D82444"/>
    <w:rsid w:val="00D828F6"/>
    <w:rsid w:val="00D82A08"/>
    <w:rsid w:val="00D83146"/>
    <w:rsid w:val="00D831EE"/>
    <w:rsid w:val="00D8321A"/>
    <w:rsid w:val="00D847FB"/>
    <w:rsid w:val="00D84B06"/>
    <w:rsid w:val="00D84D33"/>
    <w:rsid w:val="00D84F35"/>
    <w:rsid w:val="00D85043"/>
    <w:rsid w:val="00D85271"/>
    <w:rsid w:val="00D855E6"/>
    <w:rsid w:val="00D85F5D"/>
    <w:rsid w:val="00D86827"/>
    <w:rsid w:val="00D86CDB"/>
    <w:rsid w:val="00D86D93"/>
    <w:rsid w:val="00D877D8"/>
    <w:rsid w:val="00D878BB"/>
    <w:rsid w:val="00D9130F"/>
    <w:rsid w:val="00D91825"/>
    <w:rsid w:val="00D91AD7"/>
    <w:rsid w:val="00D91CBF"/>
    <w:rsid w:val="00D91E21"/>
    <w:rsid w:val="00D9224D"/>
    <w:rsid w:val="00D923FF"/>
    <w:rsid w:val="00D92778"/>
    <w:rsid w:val="00D92C5A"/>
    <w:rsid w:val="00D92D38"/>
    <w:rsid w:val="00D92EA7"/>
    <w:rsid w:val="00D945E2"/>
    <w:rsid w:val="00D94D36"/>
    <w:rsid w:val="00D94FDA"/>
    <w:rsid w:val="00D95066"/>
    <w:rsid w:val="00D953A4"/>
    <w:rsid w:val="00D95496"/>
    <w:rsid w:val="00D956BA"/>
    <w:rsid w:val="00D95DF6"/>
    <w:rsid w:val="00D96275"/>
    <w:rsid w:val="00D964E3"/>
    <w:rsid w:val="00D964FE"/>
    <w:rsid w:val="00D96D6F"/>
    <w:rsid w:val="00D96F7D"/>
    <w:rsid w:val="00D97207"/>
    <w:rsid w:val="00D97463"/>
    <w:rsid w:val="00DA01A6"/>
    <w:rsid w:val="00DA0617"/>
    <w:rsid w:val="00DA13F9"/>
    <w:rsid w:val="00DA186A"/>
    <w:rsid w:val="00DA1B0A"/>
    <w:rsid w:val="00DA1ED7"/>
    <w:rsid w:val="00DA21B0"/>
    <w:rsid w:val="00DA21D7"/>
    <w:rsid w:val="00DA250E"/>
    <w:rsid w:val="00DA2517"/>
    <w:rsid w:val="00DA27DF"/>
    <w:rsid w:val="00DA2C9E"/>
    <w:rsid w:val="00DA2DBD"/>
    <w:rsid w:val="00DA3093"/>
    <w:rsid w:val="00DA34D7"/>
    <w:rsid w:val="00DA396E"/>
    <w:rsid w:val="00DA3A19"/>
    <w:rsid w:val="00DA3ACE"/>
    <w:rsid w:val="00DA3C0C"/>
    <w:rsid w:val="00DA3F06"/>
    <w:rsid w:val="00DA3F80"/>
    <w:rsid w:val="00DA40AC"/>
    <w:rsid w:val="00DA4341"/>
    <w:rsid w:val="00DA4430"/>
    <w:rsid w:val="00DA4822"/>
    <w:rsid w:val="00DA4A36"/>
    <w:rsid w:val="00DA5189"/>
    <w:rsid w:val="00DA54CF"/>
    <w:rsid w:val="00DA5805"/>
    <w:rsid w:val="00DA5B3B"/>
    <w:rsid w:val="00DA5D02"/>
    <w:rsid w:val="00DA612F"/>
    <w:rsid w:val="00DA6A65"/>
    <w:rsid w:val="00DA7144"/>
    <w:rsid w:val="00DA7FEE"/>
    <w:rsid w:val="00DB02BB"/>
    <w:rsid w:val="00DB03FD"/>
    <w:rsid w:val="00DB0571"/>
    <w:rsid w:val="00DB084D"/>
    <w:rsid w:val="00DB1477"/>
    <w:rsid w:val="00DB18C0"/>
    <w:rsid w:val="00DB18CF"/>
    <w:rsid w:val="00DB1BEC"/>
    <w:rsid w:val="00DB1BFA"/>
    <w:rsid w:val="00DB1C01"/>
    <w:rsid w:val="00DB1CC9"/>
    <w:rsid w:val="00DB1CE5"/>
    <w:rsid w:val="00DB2173"/>
    <w:rsid w:val="00DB245E"/>
    <w:rsid w:val="00DB25BC"/>
    <w:rsid w:val="00DB2804"/>
    <w:rsid w:val="00DB294B"/>
    <w:rsid w:val="00DB361F"/>
    <w:rsid w:val="00DB3A09"/>
    <w:rsid w:val="00DB3FD5"/>
    <w:rsid w:val="00DB65BB"/>
    <w:rsid w:val="00DB6671"/>
    <w:rsid w:val="00DB6792"/>
    <w:rsid w:val="00DB6B5E"/>
    <w:rsid w:val="00DB6C0F"/>
    <w:rsid w:val="00DC070F"/>
    <w:rsid w:val="00DC094F"/>
    <w:rsid w:val="00DC09A1"/>
    <w:rsid w:val="00DC0DAF"/>
    <w:rsid w:val="00DC13D4"/>
    <w:rsid w:val="00DC17BF"/>
    <w:rsid w:val="00DC2F9B"/>
    <w:rsid w:val="00DC3503"/>
    <w:rsid w:val="00DC36E2"/>
    <w:rsid w:val="00DC3CCC"/>
    <w:rsid w:val="00DC3D9B"/>
    <w:rsid w:val="00DC3DB6"/>
    <w:rsid w:val="00DC3E37"/>
    <w:rsid w:val="00DC3F74"/>
    <w:rsid w:val="00DC42F6"/>
    <w:rsid w:val="00DC4AE0"/>
    <w:rsid w:val="00DC4FA0"/>
    <w:rsid w:val="00DC50BC"/>
    <w:rsid w:val="00DC5A93"/>
    <w:rsid w:val="00DC69A1"/>
    <w:rsid w:val="00DC6C4C"/>
    <w:rsid w:val="00DC74D3"/>
    <w:rsid w:val="00DC775F"/>
    <w:rsid w:val="00DD0705"/>
    <w:rsid w:val="00DD09F6"/>
    <w:rsid w:val="00DD1441"/>
    <w:rsid w:val="00DD14F2"/>
    <w:rsid w:val="00DD1A4B"/>
    <w:rsid w:val="00DD1BEA"/>
    <w:rsid w:val="00DD1D86"/>
    <w:rsid w:val="00DD1F47"/>
    <w:rsid w:val="00DD2028"/>
    <w:rsid w:val="00DD2D9E"/>
    <w:rsid w:val="00DD333B"/>
    <w:rsid w:val="00DD4259"/>
    <w:rsid w:val="00DD4473"/>
    <w:rsid w:val="00DD457B"/>
    <w:rsid w:val="00DD50A7"/>
    <w:rsid w:val="00DD5390"/>
    <w:rsid w:val="00DD57A5"/>
    <w:rsid w:val="00DD685C"/>
    <w:rsid w:val="00DD7435"/>
    <w:rsid w:val="00DD7E74"/>
    <w:rsid w:val="00DD7E8B"/>
    <w:rsid w:val="00DD7F8C"/>
    <w:rsid w:val="00DE0281"/>
    <w:rsid w:val="00DE02A8"/>
    <w:rsid w:val="00DE0342"/>
    <w:rsid w:val="00DE0790"/>
    <w:rsid w:val="00DE1AFB"/>
    <w:rsid w:val="00DE21CD"/>
    <w:rsid w:val="00DE220F"/>
    <w:rsid w:val="00DE23E6"/>
    <w:rsid w:val="00DE2566"/>
    <w:rsid w:val="00DE25CD"/>
    <w:rsid w:val="00DE3A45"/>
    <w:rsid w:val="00DE45DD"/>
    <w:rsid w:val="00DE4857"/>
    <w:rsid w:val="00DE4C5C"/>
    <w:rsid w:val="00DE4E9F"/>
    <w:rsid w:val="00DE543B"/>
    <w:rsid w:val="00DE5C9A"/>
    <w:rsid w:val="00DE5EE7"/>
    <w:rsid w:val="00DE6084"/>
    <w:rsid w:val="00DE6629"/>
    <w:rsid w:val="00DE6C71"/>
    <w:rsid w:val="00DE7343"/>
    <w:rsid w:val="00DE7992"/>
    <w:rsid w:val="00DE7C41"/>
    <w:rsid w:val="00DE7FA9"/>
    <w:rsid w:val="00DF06E3"/>
    <w:rsid w:val="00DF0A3A"/>
    <w:rsid w:val="00DF1895"/>
    <w:rsid w:val="00DF196C"/>
    <w:rsid w:val="00DF1E32"/>
    <w:rsid w:val="00DF2018"/>
    <w:rsid w:val="00DF40E7"/>
    <w:rsid w:val="00DF4166"/>
    <w:rsid w:val="00DF461C"/>
    <w:rsid w:val="00DF55BA"/>
    <w:rsid w:val="00DF5B1C"/>
    <w:rsid w:val="00DF5B44"/>
    <w:rsid w:val="00DF5D20"/>
    <w:rsid w:val="00DF648D"/>
    <w:rsid w:val="00DF6CA8"/>
    <w:rsid w:val="00DF6F0D"/>
    <w:rsid w:val="00DF730C"/>
    <w:rsid w:val="00DF73D2"/>
    <w:rsid w:val="00DF77A6"/>
    <w:rsid w:val="00DF7AB3"/>
    <w:rsid w:val="00E00339"/>
    <w:rsid w:val="00E00C2A"/>
    <w:rsid w:val="00E017AF"/>
    <w:rsid w:val="00E02152"/>
    <w:rsid w:val="00E032A8"/>
    <w:rsid w:val="00E0334B"/>
    <w:rsid w:val="00E0344E"/>
    <w:rsid w:val="00E03F69"/>
    <w:rsid w:val="00E04819"/>
    <w:rsid w:val="00E04C25"/>
    <w:rsid w:val="00E04C7D"/>
    <w:rsid w:val="00E050EB"/>
    <w:rsid w:val="00E05101"/>
    <w:rsid w:val="00E0513A"/>
    <w:rsid w:val="00E052A3"/>
    <w:rsid w:val="00E05B92"/>
    <w:rsid w:val="00E06408"/>
    <w:rsid w:val="00E0647D"/>
    <w:rsid w:val="00E06518"/>
    <w:rsid w:val="00E06F35"/>
    <w:rsid w:val="00E070B3"/>
    <w:rsid w:val="00E07F48"/>
    <w:rsid w:val="00E10086"/>
    <w:rsid w:val="00E10201"/>
    <w:rsid w:val="00E10EF7"/>
    <w:rsid w:val="00E11169"/>
    <w:rsid w:val="00E116F0"/>
    <w:rsid w:val="00E12380"/>
    <w:rsid w:val="00E12AE3"/>
    <w:rsid w:val="00E12B1A"/>
    <w:rsid w:val="00E1304B"/>
    <w:rsid w:val="00E133C5"/>
    <w:rsid w:val="00E13684"/>
    <w:rsid w:val="00E13883"/>
    <w:rsid w:val="00E14678"/>
    <w:rsid w:val="00E147B6"/>
    <w:rsid w:val="00E14F87"/>
    <w:rsid w:val="00E15C03"/>
    <w:rsid w:val="00E15D63"/>
    <w:rsid w:val="00E16075"/>
    <w:rsid w:val="00E1618B"/>
    <w:rsid w:val="00E16547"/>
    <w:rsid w:val="00E16C2C"/>
    <w:rsid w:val="00E16E5F"/>
    <w:rsid w:val="00E16ED3"/>
    <w:rsid w:val="00E17351"/>
    <w:rsid w:val="00E17725"/>
    <w:rsid w:val="00E17951"/>
    <w:rsid w:val="00E17D49"/>
    <w:rsid w:val="00E200B6"/>
    <w:rsid w:val="00E200E6"/>
    <w:rsid w:val="00E2013D"/>
    <w:rsid w:val="00E206BD"/>
    <w:rsid w:val="00E20786"/>
    <w:rsid w:val="00E20E87"/>
    <w:rsid w:val="00E20EB2"/>
    <w:rsid w:val="00E21083"/>
    <w:rsid w:val="00E217EC"/>
    <w:rsid w:val="00E2183C"/>
    <w:rsid w:val="00E22602"/>
    <w:rsid w:val="00E22713"/>
    <w:rsid w:val="00E23189"/>
    <w:rsid w:val="00E23B22"/>
    <w:rsid w:val="00E23B57"/>
    <w:rsid w:val="00E23BF2"/>
    <w:rsid w:val="00E245AF"/>
    <w:rsid w:val="00E24678"/>
    <w:rsid w:val="00E24B4E"/>
    <w:rsid w:val="00E24CF5"/>
    <w:rsid w:val="00E25227"/>
    <w:rsid w:val="00E254C2"/>
    <w:rsid w:val="00E255D5"/>
    <w:rsid w:val="00E26386"/>
    <w:rsid w:val="00E26FC0"/>
    <w:rsid w:val="00E279C4"/>
    <w:rsid w:val="00E27A81"/>
    <w:rsid w:val="00E27B6F"/>
    <w:rsid w:val="00E27BF1"/>
    <w:rsid w:val="00E27E06"/>
    <w:rsid w:val="00E30227"/>
    <w:rsid w:val="00E303F3"/>
    <w:rsid w:val="00E30936"/>
    <w:rsid w:val="00E311F6"/>
    <w:rsid w:val="00E318EC"/>
    <w:rsid w:val="00E318F7"/>
    <w:rsid w:val="00E319A7"/>
    <w:rsid w:val="00E31A42"/>
    <w:rsid w:val="00E321F1"/>
    <w:rsid w:val="00E329BC"/>
    <w:rsid w:val="00E33004"/>
    <w:rsid w:val="00E33E7B"/>
    <w:rsid w:val="00E3411E"/>
    <w:rsid w:val="00E34868"/>
    <w:rsid w:val="00E34C77"/>
    <w:rsid w:val="00E3504F"/>
    <w:rsid w:val="00E351D9"/>
    <w:rsid w:val="00E3522E"/>
    <w:rsid w:val="00E35D48"/>
    <w:rsid w:val="00E36DAA"/>
    <w:rsid w:val="00E36DF7"/>
    <w:rsid w:val="00E37FFA"/>
    <w:rsid w:val="00E41588"/>
    <w:rsid w:val="00E4173C"/>
    <w:rsid w:val="00E42049"/>
    <w:rsid w:val="00E4209C"/>
    <w:rsid w:val="00E4211A"/>
    <w:rsid w:val="00E422BE"/>
    <w:rsid w:val="00E42B0F"/>
    <w:rsid w:val="00E43212"/>
    <w:rsid w:val="00E43BC8"/>
    <w:rsid w:val="00E43EF8"/>
    <w:rsid w:val="00E4446B"/>
    <w:rsid w:val="00E446FD"/>
    <w:rsid w:val="00E4476E"/>
    <w:rsid w:val="00E449D3"/>
    <w:rsid w:val="00E44B7D"/>
    <w:rsid w:val="00E44F54"/>
    <w:rsid w:val="00E4513E"/>
    <w:rsid w:val="00E4530A"/>
    <w:rsid w:val="00E454BE"/>
    <w:rsid w:val="00E456D4"/>
    <w:rsid w:val="00E4592B"/>
    <w:rsid w:val="00E45963"/>
    <w:rsid w:val="00E45AD3"/>
    <w:rsid w:val="00E45DE0"/>
    <w:rsid w:val="00E45F37"/>
    <w:rsid w:val="00E46326"/>
    <w:rsid w:val="00E464F0"/>
    <w:rsid w:val="00E46517"/>
    <w:rsid w:val="00E465BB"/>
    <w:rsid w:val="00E4678F"/>
    <w:rsid w:val="00E47382"/>
    <w:rsid w:val="00E47653"/>
    <w:rsid w:val="00E4779C"/>
    <w:rsid w:val="00E47872"/>
    <w:rsid w:val="00E505EF"/>
    <w:rsid w:val="00E50B6E"/>
    <w:rsid w:val="00E5101F"/>
    <w:rsid w:val="00E518A1"/>
    <w:rsid w:val="00E51948"/>
    <w:rsid w:val="00E51C28"/>
    <w:rsid w:val="00E51F80"/>
    <w:rsid w:val="00E520F6"/>
    <w:rsid w:val="00E52351"/>
    <w:rsid w:val="00E527D3"/>
    <w:rsid w:val="00E5286A"/>
    <w:rsid w:val="00E532E4"/>
    <w:rsid w:val="00E53677"/>
    <w:rsid w:val="00E54803"/>
    <w:rsid w:val="00E5485A"/>
    <w:rsid w:val="00E54AC4"/>
    <w:rsid w:val="00E5561A"/>
    <w:rsid w:val="00E559B0"/>
    <w:rsid w:val="00E55BB0"/>
    <w:rsid w:val="00E55BD2"/>
    <w:rsid w:val="00E55FC0"/>
    <w:rsid w:val="00E563E7"/>
    <w:rsid w:val="00E567EA"/>
    <w:rsid w:val="00E56C3C"/>
    <w:rsid w:val="00E56DB2"/>
    <w:rsid w:val="00E56EE8"/>
    <w:rsid w:val="00E571B9"/>
    <w:rsid w:val="00E57697"/>
    <w:rsid w:val="00E6015E"/>
    <w:rsid w:val="00E60604"/>
    <w:rsid w:val="00E61F30"/>
    <w:rsid w:val="00E62139"/>
    <w:rsid w:val="00E62913"/>
    <w:rsid w:val="00E62A1E"/>
    <w:rsid w:val="00E62AA8"/>
    <w:rsid w:val="00E62D01"/>
    <w:rsid w:val="00E635C8"/>
    <w:rsid w:val="00E63946"/>
    <w:rsid w:val="00E647B4"/>
    <w:rsid w:val="00E64811"/>
    <w:rsid w:val="00E651F6"/>
    <w:rsid w:val="00E65869"/>
    <w:rsid w:val="00E65920"/>
    <w:rsid w:val="00E659E3"/>
    <w:rsid w:val="00E659F8"/>
    <w:rsid w:val="00E65FB7"/>
    <w:rsid w:val="00E666D4"/>
    <w:rsid w:val="00E6706A"/>
    <w:rsid w:val="00E674C2"/>
    <w:rsid w:val="00E6782B"/>
    <w:rsid w:val="00E702DC"/>
    <w:rsid w:val="00E70481"/>
    <w:rsid w:val="00E70AE8"/>
    <w:rsid w:val="00E70FDD"/>
    <w:rsid w:val="00E71159"/>
    <w:rsid w:val="00E71DE3"/>
    <w:rsid w:val="00E71E8A"/>
    <w:rsid w:val="00E7253A"/>
    <w:rsid w:val="00E72983"/>
    <w:rsid w:val="00E72AFE"/>
    <w:rsid w:val="00E72E2D"/>
    <w:rsid w:val="00E73080"/>
    <w:rsid w:val="00E73118"/>
    <w:rsid w:val="00E73399"/>
    <w:rsid w:val="00E735E7"/>
    <w:rsid w:val="00E73BE4"/>
    <w:rsid w:val="00E74146"/>
    <w:rsid w:val="00E7440F"/>
    <w:rsid w:val="00E74429"/>
    <w:rsid w:val="00E7547E"/>
    <w:rsid w:val="00E7560A"/>
    <w:rsid w:val="00E757E0"/>
    <w:rsid w:val="00E76441"/>
    <w:rsid w:val="00E770AA"/>
    <w:rsid w:val="00E772A3"/>
    <w:rsid w:val="00E77600"/>
    <w:rsid w:val="00E77817"/>
    <w:rsid w:val="00E77862"/>
    <w:rsid w:val="00E7796E"/>
    <w:rsid w:val="00E77BC6"/>
    <w:rsid w:val="00E80A69"/>
    <w:rsid w:val="00E80E73"/>
    <w:rsid w:val="00E8109D"/>
    <w:rsid w:val="00E81717"/>
    <w:rsid w:val="00E81912"/>
    <w:rsid w:val="00E81B0E"/>
    <w:rsid w:val="00E82320"/>
    <w:rsid w:val="00E82642"/>
    <w:rsid w:val="00E82683"/>
    <w:rsid w:val="00E827D2"/>
    <w:rsid w:val="00E82BF0"/>
    <w:rsid w:val="00E830DE"/>
    <w:rsid w:val="00E83220"/>
    <w:rsid w:val="00E836CD"/>
    <w:rsid w:val="00E837B6"/>
    <w:rsid w:val="00E839DA"/>
    <w:rsid w:val="00E83BEA"/>
    <w:rsid w:val="00E84083"/>
    <w:rsid w:val="00E84262"/>
    <w:rsid w:val="00E845F2"/>
    <w:rsid w:val="00E84837"/>
    <w:rsid w:val="00E84C54"/>
    <w:rsid w:val="00E84C62"/>
    <w:rsid w:val="00E84CFE"/>
    <w:rsid w:val="00E84DE7"/>
    <w:rsid w:val="00E84F32"/>
    <w:rsid w:val="00E851E1"/>
    <w:rsid w:val="00E85D6F"/>
    <w:rsid w:val="00E86A6E"/>
    <w:rsid w:val="00E86B6F"/>
    <w:rsid w:val="00E874AD"/>
    <w:rsid w:val="00E87737"/>
    <w:rsid w:val="00E87ADC"/>
    <w:rsid w:val="00E87FD2"/>
    <w:rsid w:val="00E901D5"/>
    <w:rsid w:val="00E90C25"/>
    <w:rsid w:val="00E90EBF"/>
    <w:rsid w:val="00E9146D"/>
    <w:rsid w:val="00E9156E"/>
    <w:rsid w:val="00E9191D"/>
    <w:rsid w:val="00E91DF2"/>
    <w:rsid w:val="00E92270"/>
    <w:rsid w:val="00E92868"/>
    <w:rsid w:val="00E92890"/>
    <w:rsid w:val="00E92FAF"/>
    <w:rsid w:val="00E935F8"/>
    <w:rsid w:val="00E937B6"/>
    <w:rsid w:val="00E93A98"/>
    <w:rsid w:val="00E93BDD"/>
    <w:rsid w:val="00E93CAF"/>
    <w:rsid w:val="00E9423F"/>
    <w:rsid w:val="00E94ABD"/>
    <w:rsid w:val="00E94DCA"/>
    <w:rsid w:val="00E94F43"/>
    <w:rsid w:val="00E95099"/>
    <w:rsid w:val="00E95226"/>
    <w:rsid w:val="00E95A6B"/>
    <w:rsid w:val="00E95B35"/>
    <w:rsid w:val="00E95C11"/>
    <w:rsid w:val="00E96128"/>
    <w:rsid w:val="00E96400"/>
    <w:rsid w:val="00E96DBA"/>
    <w:rsid w:val="00E973AC"/>
    <w:rsid w:val="00E97A14"/>
    <w:rsid w:val="00E97F07"/>
    <w:rsid w:val="00EA0107"/>
    <w:rsid w:val="00EA04B9"/>
    <w:rsid w:val="00EA0DC0"/>
    <w:rsid w:val="00EA15B2"/>
    <w:rsid w:val="00EA29D0"/>
    <w:rsid w:val="00EA374B"/>
    <w:rsid w:val="00EA40B3"/>
    <w:rsid w:val="00EA4193"/>
    <w:rsid w:val="00EA43EF"/>
    <w:rsid w:val="00EA48E6"/>
    <w:rsid w:val="00EA51B4"/>
    <w:rsid w:val="00EA5346"/>
    <w:rsid w:val="00EA54CF"/>
    <w:rsid w:val="00EA5502"/>
    <w:rsid w:val="00EA5589"/>
    <w:rsid w:val="00EA5B33"/>
    <w:rsid w:val="00EA609F"/>
    <w:rsid w:val="00EA6BB9"/>
    <w:rsid w:val="00EA771B"/>
    <w:rsid w:val="00EA778C"/>
    <w:rsid w:val="00EA77D0"/>
    <w:rsid w:val="00EA7AAE"/>
    <w:rsid w:val="00EB0B51"/>
    <w:rsid w:val="00EB0C1D"/>
    <w:rsid w:val="00EB0F9C"/>
    <w:rsid w:val="00EB1182"/>
    <w:rsid w:val="00EB1DAE"/>
    <w:rsid w:val="00EB20BE"/>
    <w:rsid w:val="00EB2452"/>
    <w:rsid w:val="00EB2591"/>
    <w:rsid w:val="00EB349A"/>
    <w:rsid w:val="00EB3A69"/>
    <w:rsid w:val="00EB3D1A"/>
    <w:rsid w:val="00EB3E56"/>
    <w:rsid w:val="00EB3E5C"/>
    <w:rsid w:val="00EB3FB2"/>
    <w:rsid w:val="00EB3FE7"/>
    <w:rsid w:val="00EB41F8"/>
    <w:rsid w:val="00EB45FB"/>
    <w:rsid w:val="00EB4A5E"/>
    <w:rsid w:val="00EB533F"/>
    <w:rsid w:val="00EB560D"/>
    <w:rsid w:val="00EB5C84"/>
    <w:rsid w:val="00EB5D87"/>
    <w:rsid w:val="00EB6038"/>
    <w:rsid w:val="00EB61CA"/>
    <w:rsid w:val="00EB687B"/>
    <w:rsid w:val="00EB6E42"/>
    <w:rsid w:val="00EB6E51"/>
    <w:rsid w:val="00EB6F56"/>
    <w:rsid w:val="00EB6F9D"/>
    <w:rsid w:val="00EB6FE2"/>
    <w:rsid w:val="00EC0BD8"/>
    <w:rsid w:val="00EC0E2C"/>
    <w:rsid w:val="00EC0E9B"/>
    <w:rsid w:val="00EC0F80"/>
    <w:rsid w:val="00EC149E"/>
    <w:rsid w:val="00EC157B"/>
    <w:rsid w:val="00EC18AB"/>
    <w:rsid w:val="00EC1A52"/>
    <w:rsid w:val="00EC1B21"/>
    <w:rsid w:val="00EC3319"/>
    <w:rsid w:val="00EC34C5"/>
    <w:rsid w:val="00EC391D"/>
    <w:rsid w:val="00EC435F"/>
    <w:rsid w:val="00EC43FF"/>
    <w:rsid w:val="00EC4723"/>
    <w:rsid w:val="00EC4F03"/>
    <w:rsid w:val="00EC57A8"/>
    <w:rsid w:val="00EC5989"/>
    <w:rsid w:val="00EC71EC"/>
    <w:rsid w:val="00EC74A8"/>
    <w:rsid w:val="00EC74BD"/>
    <w:rsid w:val="00EC77FE"/>
    <w:rsid w:val="00EC7950"/>
    <w:rsid w:val="00EC7970"/>
    <w:rsid w:val="00ED0218"/>
    <w:rsid w:val="00ED030E"/>
    <w:rsid w:val="00ED0862"/>
    <w:rsid w:val="00ED0B1C"/>
    <w:rsid w:val="00ED0E68"/>
    <w:rsid w:val="00ED0FE3"/>
    <w:rsid w:val="00ED13DF"/>
    <w:rsid w:val="00ED14BA"/>
    <w:rsid w:val="00ED1DBC"/>
    <w:rsid w:val="00ED1DE3"/>
    <w:rsid w:val="00ED20F1"/>
    <w:rsid w:val="00ED25FD"/>
    <w:rsid w:val="00ED2B53"/>
    <w:rsid w:val="00ED3A29"/>
    <w:rsid w:val="00ED4084"/>
    <w:rsid w:val="00ED43A6"/>
    <w:rsid w:val="00ED46EE"/>
    <w:rsid w:val="00ED4A11"/>
    <w:rsid w:val="00ED5728"/>
    <w:rsid w:val="00ED6171"/>
    <w:rsid w:val="00ED6CAD"/>
    <w:rsid w:val="00ED6ECB"/>
    <w:rsid w:val="00ED740C"/>
    <w:rsid w:val="00EE00FC"/>
    <w:rsid w:val="00EE072B"/>
    <w:rsid w:val="00EE0915"/>
    <w:rsid w:val="00EE0A29"/>
    <w:rsid w:val="00EE0D2B"/>
    <w:rsid w:val="00EE0DA7"/>
    <w:rsid w:val="00EE1140"/>
    <w:rsid w:val="00EE1298"/>
    <w:rsid w:val="00EE13BE"/>
    <w:rsid w:val="00EE21F1"/>
    <w:rsid w:val="00EE23EE"/>
    <w:rsid w:val="00EE240B"/>
    <w:rsid w:val="00EE29C3"/>
    <w:rsid w:val="00EE2BA9"/>
    <w:rsid w:val="00EE3518"/>
    <w:rsid w:val="00EE3B69"/>
    <w:rsid w:val="00EE3CF0"/>
    <w:rsid w:val="00EE46B8"/>
    <w:rsid w:val="00EE4993"/>
    <w:rsid w:val="00EE49B3"/>
    <w:rsid w:val="00EE500B"/>
    <w:rsid w:val="00EE5D76"/>
    <w:rsid w:val="00EE6803"/>
    <w:rsid w:val="00EE6D88"/>
    <w:rsid w:val="00EE70D7"/>
    <w:rsid w:val="00EE7128"/>
    <w:rsid w:val="00EE73F1"/>
    <w:rsid w:val="00EE787A"/>
    <w:rsid w:val="00EE79C4"/>
    <w:rsid w:val="00EE7CAF"/>
    <w:rsid w:val="00EE7F00"/>
    <w:rsid w:val="00EF03C7"/>
    <w:rsid w:val="00EF07AB"/>
    <w:rsid w:val="00EF07D7"/>
    <w:rsid w:val="00EF118E"/>
    <w:rsid w:val="00EF1308"/>
    <w:rsid w:val="00EF1396"/>
    <w:rsid w:val="00EF44C5"/>
    <w:rsid w:val="00EF4ECD"/>
    <w:rsid w:val="00EF5DC3"/>
    <w:rsid w:val="00EF60F2"/>
    <w:rsid w:val="00EF613B"/>
    <w:rsid w:val="00EF68B3"/>
    <w:rsid w:val="00EF69B7"/>
    <w:rsid w:val="00EF7308"/>
    <w:rsid w:val="00EF7446"/>
    <w:rsid w:val="00EF7690"/>
    <w:rsid w:val="00EF7713"/>
    <w:rsid w:val="00EF788F"/>
    <w:rsid w:val="00EF7EAC"/>
    <w:rsid w:val="00F0016C"/>
    <w:rsid w:val="00F001B9"/>
    <w:rsid w:val="00F003CC"/>
    <w:rsid w:val="00F00583"/>
    <w:rsid w:val="00F0163D"/>
    <w:rsid w:val="00F01652"/>
    <w:rsid w:val="00F01945"/>
    <w:rsid w:val="00F01FFA"/>
    <w:rsid w:val="00F02504"/>
    <w:rsid w:val="00F02A66"/>
    <w:rsid w:val="00F0314F"/>
    <w:rsid w:val="00F03634"/>
    <w:rsid w:val="00F03B77"/>
    <w:rsid w:val="00F04039"/>
    <w:rsid w:val="00F0434A"/>
    <w:rsid w:val="00F04549"/>
    <w:rsid w:val="00F045F5"/>
    <w:rsid w:val="00F04714"/>
    <w:rsid w:val="00F04D99"/>
    <w:rsid w:val="00F04DA3"/>
    <w:rsid w:val="00F04E2D"/>
    <w:rsid w:val="00F04FB8"/>
    <w:rsid w:val="00F04FFB"/>
    <w:rsid w:val="00F0548D"/>
    <w:rsid w:val="00F0557F"/>
    <w:rsid w:val="00F0583C"/>
    <w:rsid w:val="00F05B82"/>
    <w:rsid w:val="00F05E7A"/>
    <w:rsid w:val="00F07159"/>
    <w:rsid w:val="00F071DB"/>
    <w:rsid w:val="00F07EFF"/>
    <w:rsid w:val="00F1071B"/>
    <w:rsid w:val="00F10E9E"/>
    <w:rsid w:val="00F112FD"/>
    <w:rsid w:val="00F11710"/>
    <w:rsid w:val="00F11738"/>
    <w:rsid w:val="00F121BA"/>
    <w:rsid w:val="00F12370"/>
    <w:rsid w:val="00F12C29"/>
    <w:rsid w:val="00F13381"/>
    <w:rsid w:val="00F13BAE"/>
    <w:rsid w:val="00F146EB"/>
    <w:rsid w:val="00F1474F"/>
    <w:rsid w:val="00F14CCB"/>
    <w:rsid w:val="00F15043"/>
    <w:rsid w:val="00F15605"/>
    <w:rsid w:val="00F157ED"/>
    <w:rsid w:val="00F158C5"/>
    <w:rsid w:val="00F15FF0"/>
    <w:rsid w:val="00F160A3"/>
    <w:rsid w:val="00F16478"/>
    <w:rsid w:val="00F1668A"/>
    <w:rsid w:val="00F173D8"/>
    <w:rsid w:val="00F17483"/>
    <w:rsid w:val="00F208DE"/>
    <w:rsid w:val="00F20A91"/>
    <w:rsid w:val="00F20AD5"/>
    <w:rsid w:val="00F20DE0"/>
    <w:rsid w:val="00F20E75"/>
    <w:rsid w:val="00F21216"/>
    <w:rsid w:val="00F21A71"/>
    <w:rsid w:val="00F21AFB"/>
    <w:rsid w:val="00F21C91"/>
    <w:rsid w:val="00F222D2"/>
    <w:rsid w:val="00F222D7"/>
    <w:rsid w:val="00F22366"/>
    <w:rsid w:val="00F223FE"/>
    <w:rsid w:val="00F22626"/>
    <w:rsid w:val="00F2298B"/>
    <w:rsid w:val="00F22DEA"/>
    <w:rsid w:val="00F23E98"/>
    <w:rsid w:val="00F2427D"/>
    <w:rsid w:val="00F246F4"/>
    <w:rsid w:val="00F2533B"/>
    <w:rsid w:val="00F258EB"/>
    <w:rsid w:val="00F25C5A"/>
    <w:rsid w:val="00F25DB6"/>
    <w:rsid w:val="00F25E59"/>
    <w:rsid w:val="00F263AD"/>
    <w:rsid w:val="00F26BBE"/>
    <w:rsid w:val="00F26D13"/>
    <w:rsid w:val="00F2710D"/>
    <w:rsid w:val="00F27B29"/>
    <w:rsid w:val="00F27F67"/>
    <w:rsid w:val="00F31027"/>
    <w:rsid w:val="00F31525"/>
    <w:rsid w:val="00F31D18"/>
    <w:rsid w:val="00F31F30"/>
    <w:rsid w:val="00F31FB9"/>
    <w:rsid w:val="00F32519"/>
    <w:rsid w:val="00F325E7"/>
    <w:rsid w:val="00F32A01"/>
    <w:rsid w:val="00F32D15"/>
    <w:rsid w:val="00F33208"/>
    <w:rsid w:val="00F33389"/>
    <w:rsid w:val="00F341B1"/>
    <w:rsid w:val="00F343D4"/>
    <w:rsid w:val="00F34C75"/>
    <w:rsid w:val="00F3554B"/>
    <w:rsid w:val="00F36DCB"/>
    <w:rsid w:val="00F36E7D"/>
    <w:rsid w:val="00F3723C"/>
    <w:rsid w:val="00F37849"/>
    <w:rsid w:val="00F37D90"/>
    <w:rsid w:val="00F40081"/>
    <w:rsid w:val="00F40C5C"/>
    <w:rsid w:val="00F40D23"/>
    <w:rsid w:val="00F41108"/>
    <w:rsid w:val="00F411F8"/>
    <w:rsid w:val="00F4178D"/>
    <w:rsid w:val="00F41E0E"/>
    <w:rsid w:val="00F421CE"/>
    <w:rsid w:val="00F422B6"/>
    <w:rsid w:val="00F42DAB"/>
    <w:rsid w:val="00F42EDB"/>
    <w:rsid w:val="00F43337"/>
    <w:rsid w:val="00F43704"/>
    <w:rsid w:val="00F4373B"/>
    <w:rsid w:val="00F43E49"/>
    <w:rsid w:val="00F44241"/>
    <w:rsid w:val="00F446E4"/>
    <w:rsid w:val="00F44B08"/>
    <w:rsid w:val="00F44DA2"/>
    <w:rsid w:val="00F44E0B"/>
    <w:rsid w:val="00F44F0B"/>
    <w:rsid w:val="00F45101"/>
    <w:rsid w:val="00F454C6"/>
    <w:rsid w:val="00F45B57"/>
    <w:rsid w:val="00F45DE8"/>
    <w:rsid w:val="00F46497"/>
    <w:rsid w:val="00F46A33"/>
    <w:rsid w:val="00F47193"/>
    <w:rsid w:val="00F475FA"/>
    <w:rsid w:val="00F47655"/>
    <w:rsid w:val="00F47801"/>
    <w:rsid w:val="00F47B30"/>
    <w:rsid w:val="00F47DDB"/>
    <w:rsid w:val="00F503F8"/>
    <w:rsid w:val="00F5062C"/>
    <w:rsid w:val="00F5089B"/>
    <w:rsid w:val="00F50A46"/>
    <w:rsid w:val="00F50F5E"/>
    <w:rsid w:val="00F51127"/>
    <w:rsid w:val="00F51C34"/>
    <w:rsid w:val="00F521EA"/>
    <w:rsid w:val="00F5288C"/>
    <w:rsid w:val="00F528C8"/>
    <w:rsid w:val="00F52961"/>
    <w:rsid w:val="00F52ACE"/>
    <w:rsid w:val="00F533AE"/>
    <w:rsid w:val="00F53512"/>
    <w:rsid w:val="00F53B1C"/>
    <w:rsid w:val="00F53D72"/>
    <w:rsid w:val="00F53F93"/>
    <w:rsid w:val="00F54061"/>
    <w:rsid w:val="00F54080"/>
    <w:rsid w:val="00F5454D"/>
    <w:rsid w:val="00F5486D"/>
    <w:rsid w:val="00F548AF"/>
    <w:rsid w:val="00F54A21"/>
    <w:rsid w:val="00F54A4E"/>
    <w:rsid w:val="00F54D27"/>
    <w:rsid w:val="00F550CF"/>
    <w:rsid w:val="00F5531E"/>
    <w:rsid w:val="00F5558F"/>
    <w:rsid w:val="00F55726"/>
    <w:rsid w:val="00F55AE6"/>
    <w:rsid w:val="00F55F8A"/>
    <w:rsid w:val="00F562B2"/>
    <w:rsid w:val="00F568E2"/>
    <w:rsid w:val="00F572D7"/>
    <w:rsid w:val="00F5743B"/>
    <w:rsid w:val="00F57555"/>
    <w:rsid w:val="00F57740"/>
    <w:rsid w:val="00F57773"/>
    <w:rsid w:val="00F5784F"/>
    <w:rsid w:val="00F57DC5"/>
    <w:rsid w:val="00F60130"/>
    <w:rsid w:val="00F60379"/>
    <w:rsid w:val="00F610EB"/>
    <w:rsid w:val="00F61B63"/>
    <w:rsid w:val="00F61D3E"/>
    <w:rsid w:val="00F621BD"/>
    <w:rsid w:val="00F62767"/>
    <w:rsid w:val="00F62C9A"/>
    <w:rsid w:val="00F62E33"/>
    <w:rsid w:val="00F63338"/>
    <w:rsid w:val="00F6333A"/>
    <w:rsid w:val="00F633FD"/>
    <w:rsid w:val="00F638DD"/>
    <w:rsid w:val="00F643C9"/>
    <w:rsid w:val="00F64819"/>
    <w:rsid w:val="00F64A2F"/>
    <w:rsid w:val="00F652B2"/>
    <w:rsid w:val="00F6595C"/>
    <w:rsid w:val="00F65C3C"/>
    <w:rsid w:val="00F666AF"/>
    <w:rsid w:val="00F66D01"/>
    <w:rsid w:val="00F66D67"/>
    <w:rsid w:val="00F670B2"/>
    <w:rsid w:val="00F671A6"/>
    <w:rsid w:val="00F67556"/>
    <w:rsid w:val="00F6791E"/>
    <w:rsid w:val="00F6798C"/>
    <w:rsid w:val="00F67E9B"/>
    <w:rsid w:val="00F70392"/>
    <w:rsid w:val="00F71305"/>
    <w:rsid w:val="00F71429"/>
    <w:rsid w:val="00F7207D"/>
    <w:rsid w:val="00F72F38"/>
    <w:rsid w:val="00F73086"/>
    <w:rsid w:val="00F731FC"/>
    <w:rsid w:val="00F737CF"/>
    <w:rsid w:val="00F73B0F"/>
    <w:rsid w:val="00F73C1E"/>
    <w:rsid w:val="00F73CB9"/>
    <w:rsid w:val="00F73E64"/>
    <w:rsid w:val="00F7497D"/>
    <w:rsid w:val="00F74B6C"/>
    <w:rsid w:val="00F751CE"/>
    <w:rsid w:val="00F7611A"/>
    <w:rsid w:val="00F7625A"/>
    <w:rsid w:val="00F76368"/>
    <w:rsid w:val="00F76640"/>
    <w:rsid w:val="00F76E09"/>
    <w:rsid w:val="00F7760C"/>
    <w:rsid w:val="00F77E76"/>
    <w:rsid w:val="00F800C4"/>
    <w:rsid w:val="00F800F3"/>
    <w:rsid w:val="00F8012E"/>
    <w:rsid w:val="00F8023B"/>
    <w:rsid w:val="00F80270"/>
    <w:rsid w:val="00F802CE"/>
    <w:rsid w:val="00F80ABD"/>
    <w:rsid w:val="00F80CE9"/>
    <w:rsid w:val="00F81137"/>
    <w:rsid w:val="00F81273"/>
    <w:rsid w:val="00F8144E"/>
    <w:rsid w:val="00F81556"/>
    <w:rsid w:val="00F8184D"/>
    <w:rsid w:val="00F81D7E"/>
    <w:rsid w:val="00F81DC4"/>
    <w:rsid w:val="00F81DD6"/>
    <w:rsid w:val="00F82091"/>
    <w:rsid w:val="00F8252A"/>
    <w:rsid w:val="00F8276C"/>
    <w:rsid w:val="00F82DDF"/>
    <w:rsid w:val="00F82F9C"/>
    <w:rsid w:val="00F831E0"/>
    <w:rsid w:val="00F83836"/>
    <w:rsid w:val="00F84BC2"/>
    <w:rsid w:val="00F84D05"/>
    <w:rsid w:val="00F84D38"/>
    <w:rsid w:val="00F84D43"/>
    <w:rsid w:val="00F85065"/>
    <w:rsid w:val="00F85C38"/>
    <w:rsid w:val="00F85DA6"/>
    <w:rsid w:val="00F8640C"/>
    <w:rsid w:val="00F874AB"/>
    <w:rsid w:val="00F8767A"/>
    <w:rsid w:val="00F877DA"/>
    <w:rsid w:val="00F87A97"/>
    <w:rsid w:val="00F87BC0"/>
    <w:rsid w:val="00F87E50"/>
    <w:rsid w:val="00F87E88"/>
    <w:rsid w:val="00F909FE"/>
    <w:rsid w:val="00F90B55"/>
    <w:rsid w:val="00F90CD3"/>
    <w:rsid w:val="00F91483"/>
    <w:rsid w:val="00F914F3"/>
    <w:rsid w:val="00F9153A"/>
    <w:rsid w:val="00F91784"/>
    <w:rsid w:val="00F91FE0"/>
    <w:rsid w:val="00F923FA"/>
    <w:rsid w:val="00F925B7"/>
    <w:rsid w:val="00F927A0"/>
    <w:rsid w:val="00F92990"/>
    <w:rsid w:val="00F92E6B"/>
    <w:rsid w:val="00F93963"/>
    <w:rsid w:val="00F94508"/>
    <w:rsid w:val="00F95481"/>
    <w:rsid w:val="00F95A70"/>
    <w:rsid w:val="00F95C65"/>
    <w:rsid w:val="00F96057"/>
    <w:rsid w:val="00F9607F"/>
    <w:rsid w:val="00F96362"/>
    <w:rsid w:val="00F96B8B"/>
    <w:rsid w:val="00F9747D"/>
    <w:rsid w:val="00F978A5"/>
    <w:rsid w:val="00F97986"/>
    <w:rsid w:val="00F97AC0"/>
    <w:rsid w:val="00F97B39"/>
    <w:rsid w:val="00F97DB7"/>
    <w:rsid w:val="00FA03CF"/>
    <w:rsid w:val="00FA059F"/>
    <w:rsid w:val="00FA0948"/>
    <w:rsid w:val="00FA0BBA"/>
    <w:rsid w:val="00FA0C78"/>
    <w:rsid w:val="00FA0D83"/>
    <w:rsid w:val="00FA0EB8"/>
    <w:rsid w:val="00FA10CC"/>
    <w:rsid w:val="00FA1227"/>
    <w:rsid w:val="00FA156D"/>
    <w:rsid w:val="00FA15CA"/>
    <w:rsid w:val="00FA1818"/>
    <w:rsid w:val="00FA2A6D"/>
    <w:rsid w:val="00FA2DBE"/>
    <w:rsid w:val="00FA2DCA"/>
    <w:rsid w:val="00FA3440"/>
    <w:rsid w:val="00FA3460"/>
    <w:rsid w:val="00FA3813"/>
    <w:rsid w:val="00FA454C"/>
    <w:rsid w:val="00FA4638"/>
    <w:rsid w:val="00FA493C"/>
    <w:rsid w:val="00FA57DC"/>
    <w:rsid w:val="00FA580B"/>
    <w:rsid w:val="00FA61A4"/>
    <w:rsid w:val="00FA621E"/>
    <w:rsid w:val="00FA63E7"/>
    <w:rsid w:val="00FA6548"/>
    <w:rsid w:val="00FA6BFE"/>
    <w:rsid w:val="00FA7303"/>
    <w:rsid w:val="00FA74F0"/>
    <w:rsid w:val="00FA7A41"/>
    <w:rsid w:val="00FB0171"/>
    <w:rsid w:val="00FB0AAB"/>
    <w:rsid w:val="00FB1459"/>
    <w:rsid w:val="00FB15E5"/>
    <w:rsid w:val="00FB16F5"/>
    <w:rsid w:val="00FB1A89"/>
    <w:rsid w:val="00FB1C39"/>
    <w:rsid w:val="00FB21F5"/>
    <w:rsid w:val="00FB2314"/>
    <w:rsid w:val="00FB23A0"/>
    <w:rsid w:val="00FB25F4"/>
    <w:rsid w:val="00FB2FD8"/>
    <w:rsid w:val="00FB311C"/>
    <w:rsid w:val="00FB322C"/>
    <w:rsid w:val="00FB3522"/>
    <w:rsid w:val="00FB3583"/>
    <w:rsid w:val="00FB3E74"/>
    <w:rsid w:val="00FB44C9"/>
    <w:rsid w:val="00FB46B1"/>
    <w:rsid w:val="00FB46DB"/>
    <w:rsid w:val="00FB49CC"/>
    <w:rsid w:val="00FB4ACB"/>
    <w:rsid w:val="00FB4D62"/>
    <w:rsid w:val="00FB4D92"/>
    <w:rsid w:val="00FB4F32"/>
    <w:rsid w:val="00FB50FA"/>
    <w:rsid w:val="00FB5DD8"/>
    <w:rsid w:val="00FB62CE"/>
    <w:rsid w:val="00FB68D8"/>
    <w:rsid w:val="00FB6AF3"/>
    <w:rsid w:val="00FB6EEC"/>
    <w:rsid w:val="00FB741A"/>
    <w:rsid w:val="00FB76C9"/>
    <w:rsid w:val="00FC00FF"/>
    <w:rsid w:val="00FC0314"/>
    <w:rsid w:val="00FC045F"/>
    <w:rsid w:val="00FC0500"/>
    <w:rsid w:val="00FC09F3"/>
    <w:rsid w:val="00FC0B1F"/>
    <w:rsid w:val="00FC0D2D"/>
    <w:rsid w:val="00FC109D"/>
    <w:rsid w:val="00FC1861"/>
    <w:rsid w:val="00FC192C"/>
    <w:rsid w:val="00FC1D7E"/>
    <w:rsid w:val="00FC1F13"/>
    <w:rsid w:val="00FC22B5"/>
    <w:rsid w:val="00FC2481"/>
    <w:rsid w:val="00FC2876"/>
    <w:rsid w:val="00FC2C6E"/>
    <w:rsid w:val="00FC2ECF"/>
    <w:rsid w:val="00FC2F77"/>
    <w:rsid w:val="00FC3957"/>
    <w:rsid w:val="00FC3B0E"/>
    <w:rsid w:val="00FC3CFB"/>
    <w:rsid w:val="00FC3EA9"/>
    <w:rsid w:val="00FC4126"/>
    <w:rsid w:val="00FC429B"/>
    <w:rsid w:val="00FC449B"/>
    <w:rsid w:val="00FC481C"/>
    <w:rsid w:val="00FC49E1"/>
    <w:rsid w:val="00FC514F"/>
    <w:rsid w:val="00FC5D3A"/>
    <w:rsid w:val="00FC5F1F"/>
    <w:rsid w:val="00FC6164"/>
    <w:rsid w:val="00FC67BC"/>
    <w:rsid w:val="00FC67E4"/>
    <w:rsid w:val="00FC6C3F"/>
    <w:rsid w:val="00FC6C45"/>
    <w:rsid w:val="00FC6F07"/>
    <w:rsid w:val="00FC748D"/>
    <w:rsid w:val="00FC77E2"/>
    <w:rsid w:val="00FC782D"/>
    <w:rsid w:val="00FD0E1A"/>
    <w:rsid w:val="00FD0F68"/>
    <w:rsid w:val="00FD0FF5"/>
    <w:rsid w:val="00FD18C1"/>
    <w:rsid w:val="00FD1944"/>
    <w:rsid w:val="00FD1A10"/>
    <w:rsid w:val="00FD1BA0"/>
    <w:rsid w:val="00FD1C91"/>
    <w:rsid w:val="00FD2060"/>
    <w:rsid w:val="00FD21FA"/>
    <w:rsid w:val="00FD302F"/>
    <w:rsid w:val="00FD30AC"/>
    <w:rsid w:val="00FD3463"/>
    <w:rsid w:val="00FD35AA"/>
    <w:rsid w:val="00FD3764"/>
    <w:rsid w:val="00FD3799"/>
    <w:rsid w:val="00FD3E82"/>
    <w:rsid w:val="00FD428B"/>
    <w:rsid w:val="00FD4B57"/>
    <w:rsid w:val="00FD4C3B"/>
    <w:rsid w:val="00FD5C3C"/>
    <w:rsid w:val="00FD5E0C"/>
    <w:rsid w:val="00FD60B4"/>
    <w:rsid w:val="00FD69D6"/>
    <w:rsid w:val="00FD6EC3"/>
    <w:rsid w:val="00FD6F35"/>
    <w:rsid w:val="00FD71B0"/>
    <w:rsid w:val="00FD727C"/>
    <w:rsid w:val="00FD76B7"/>
    <w:rsid w:val="00FD78DD"/>
    <w:rsid w:val="00FD7CA8"/>
    <w:rsid w:val="00FD7FBF"/>
    <w:rsid w:val="00FE09C5"/>
    <w:rsid w:val="00FE10D4"/>
    <w:rsid w:val="00FE1715"/>
    <w:rsid w:val="00FE1B5D"/>
    <w:rsid w:val="00FE1DB5"/>
    <w:rsid w:val="00FE1DC9"/>
    <w:rsid w:val="00FE20A1"/>
    <w:rsid w:val="00FE241D"/>
    <w:rsid w:val="00FE242C"/>
    <w:rsid w:val="00FE2DDD"/>
    <w:rsid w:val="00FE3454"/>
    <w:rsid w:val="00FE3502"/>
    <w:rsid w:val="00FE3D92"/>
    <w:rsid w:val="00FE3DB0"/>
    <w:rsid w:val="00FE4221"/>
    <w:rsid w:val="00FE44EF"/>
    <w:rsid w:val="00FE4933"/>
    <w:rsid w:val="00FE4D41"/>
    <w:rsid w:val="00FE4E01"/>
    <w:rsid w:val="00FE4E45"/>
    <w:rsid w:val="00FE4F7D"/>
    <w:rsid w:val="00FE5472"/>
    <w:rsid w:val="00FE5DF3"/>
    <w:rsid w:val="00FE608E"/>
    <w:rsid w:val="00FE6102"/>
    <w:rsid w:val="00FE6291"/>
    <w:rsid w:val="00FE6468"/>
    <w:rsid w:val="00FE6CB5"/>
    <w:rsid w:val="00FE759E"/>
    <w:rsid w:val="00FE7BBF"/>
    <w:rsid w:val="00FF02E3"/>
    <w:rsid w:val="00FF0322"/>
    <w:rsid w:val="00FF05C6"/>
    <w:rsid w:val="00FF105E"/>
    <w:rsid w:val="00FF140B"/>
    <w:rsid w:val="00FF151A"/>
    <w:rsid w:val="00FF1548"/>
    <w:rsid w:val="00FF182F"/>
    <w:rsid w:val="00FF1A72"/>
    <w:rsid w:val="00FF1A7E"/>
    <w:rsid w:val="00FF1B72"/>
    <w:rsid w:val="00FF24AD"/>
    <w:rsid w:val="00FF2835"/>
    <w:rsid w:val="00FF29F1"/>
    <w:rsid w:val="00FF2D4D"/>
    <w:rsid w:val="00FF333E"/>
    <w:rsid w:val="00FF34ED"/>
    <w:rsid w:val="00FF3968"/>
    <w:rsid w:val="00FF3E42"/>
    <w:rsid w:val="00FF3FFD"/>
    <w:rsid w:val="00FF4094"/>
    <w:rsid w:val="00FF4AA0"/>
    <w:rsid w:val="00FF4C1D"/>
    <w:rsid w:val="00FF5098"/>
    <w:rsid w:val="00FF5235"/>
    <w:rsid w:val="00FF560D"/>
    <w:rsid w:val="00FF5C04"/>
    <w:rsid w:val="00FF5F19"/>
    <w:rsid w:val="00FF63CB"/>
    <w:rsid w:val="00FF647D"/>
    <w:rsid w:val="00FF6AF8"/>
    <w:rsid w:val="00FF77FA"/>
    <w:rsid w:val="00FF78F7"/>
    <w:rsid w:val="00FF7C56"/>
    <w:rsid w:val="00FF7C7A"/>
    <w:rsid w:val="00FF7F3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F0A4D8"/>
  <w15:docId w15:val="{560FE955-2BC4-4641-BF1A-B65CCC8006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C871C8"/>
  </w:style>
  <w:style w:type="paragraph" w:styleId="Heading1">
    <w:name w:val="heading 1"/>
    <w:basedOn w:val="Normal"/>
    <w:next w:val="Normal"/>
    <w:link w:val="Heading1Char"/>
    <w:uiPriority w:val="9"/>
    <w:qFormat/>
    <w:rsid w:val="00ED0E68"/>
    <w:pPr>
      <w:keepNext/>
      <w:keepLines/>
      <w:numPr>
        <w:numId w:val="25"/>
      </w:numPr>
      <w:spacing w:before="240" w:after="240" w:line="240" w:lineRule="auto"/>
      <w:jc w:val="both"/>
      <w:outlineLvl w:val="0"/>
    </w:pPr>
    <w:rPr>
      <w:rFonts w:ascii="Sylfaen" w:eastAsiaTheme="majorEastAsia" w:hAnsi="Sylfaen" w:cstheme="majorBidi"/>
      <w:bCs/>
      <w:color w:val="2E74B5" w:themeColor="accent1" w:themeShade="BF"/>
      <w:sz w:val="28"/>
      <w:szCs w:val="28"/>
    </w:rPr>
  </w:style>
  <w:style w:type="paragraph" w:styleId="Heading2">
    <w:name w:val="heading 2"/>
    <w:basedOn w:val="Normal"/>
    <w:next w:val="Normal"/>
    <w:link w:val="Heading2Char"/>
    <w:uiPriority w:val="9"/>
    <w:unhideWhenUsed/>
    <w:qFormat/>
    <w:rsid w:val="00ED0E68"/>
    <w:pPr>
      <w:keepNext/>
      <w:spacing w:before="240" w:after="240" w:line="240" w:lineRule="auto"/>
      <w:jc w:val="both"/>
      <w:outlineLvl w:val="1"/>
    </w:pPr>
    <w:rPr>
      <w:rFonts w:ascii="Sylfaen" w:eastAsiaTheme="majorEastAsia" w:hAnsi="Sylfaen" w:cstheme="majorBidi"/>
      <w:bCs/>
      <w:color w:val="5B9BD5" w:themeColor="accent1"/>
      <w:sz w:val="24"/>
      <w:szCs w:val="24"/>
    </w:rPr>
  </w:style>
  <w:style w:type="paragraph" w:styleId="Heading3">
    <w:name w:val="heading 3"/>
    <w:basedOn w:val="Heading4"/>
    <w:next w:val="Normal"/>
    <w:link w:val="Heading3Char"/>
    <w:uiPriority w:val="9"/>
    <w:unhideWhenUsed/>
    <w:qFormat/>
    <w:rsid w:val="00DA4A36"/>
    <w:pPr>
      <w:spacing w:before="240" w:after="240"/>
      <w:outlineLvl w:val="2"/>
    </w:pPr>
    <w:rPr>
      <w:rFonts w:ascii="Sylfaen" w:hAnsi="Sylfaen"/>
      <w:i w:val="0"/>
    </w:rPr>
  </w:style>
  <w:style w:type="paragraph" w:styleId="Heading4">
    <w:name w:val="heading 4"/>
    <w:basedOn w:val="Normal"/>
    <w:next w:val="Normal"/>
    <w:link w:val="Heading4Char"/>
    <w:uiPriority w:val="9"/>
    <w:unhideWhenUsed/>
    <w:qFormat/>
    <w:rsid w:val="003C521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1F288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0E68"/>
    <w:rPr>
      <w:rFonts w:ascii="Sylfaen" w:eastAsiaTheme="majorEastAsia" w:hAnsi="Sylfaen" w:cstheme="majorBidi"/>
      <w:bCs/>
      <w:color w:val="2E74B5" w:themeColor="accent1" w:themeShade="BF"/>
      <w:sz w:val="28"/>
      <w:szCs w:val="28"/>
    </w:rPr>
  </w:style>
  <w:style w:type="character" w:customStyle="1" w:styleId="Heading2Char">
    <w:name w:val="Heading 2 Char"/>
    <w:basedOn w:val="DefaultParagraphFont"/>
    <w:link w:val="Heading2"/>
    <w:uiPriority w:val="9"/>
    <w:rsid w:val="00ED0E68"/>
    <w:rPr>
      <w:rFonts w:ascii="Sylfaen" w:eastAsiaTheme="majorEastAsia" w:hAnsi="Sylfaen" w:cstheme="majorBidi"/>
      <w:bCs/>
      <w:color w:val="5B9BD5" w:themeColor="accent1"/>
      <w:sz w:val="24"/>
      <w:szCs w:val="24"/>
    </w:rPr>
  </w:style>
  <w:style w:type="character" w:customStyle="1" w:styleId="Heading3Char">
    <w:name w:val="Heading 3 Char"/>
    <w:basedOn w:val="DefaultParagraphFont"/>
    <w:link w:val="Heading3"/>
    <w:uiPriority w:val="9"/>
    <w:rsid w:val="00DA4A36"/>
    <w:rPr>
      <w:rFonts w:ascii="Sylfaen" w:eastAsiaTheme="majorEastAsia" w:hAnsi="Sylfaen" w:cstheme="majorBidi"/>
      <w:iCs/>
      <w:color w:val="2E74B5" w:themeColor="accent1" w:themeShade="BF"/>
    </w:rPr>
  </w:style>
  <w:style w:type="paragraph" w:styleId="ListParagraph">
    <w:name w:val="List Paragraph"/>
    <w:aliases w:val="Bullets,List Paragraph (numbered (a)),References,Numbered List Paragraph,List Paragraph nowy,Liste 1,List Bullet Mary,Medium Grid 1 - Accent 21,List Paragraph1,Dot pt,No Spacing1,List Paragraph Char Char Char,Indicator Text,List_Paragraph"/>
    <w:basedOn w:val="Normal"/>
    <w:link w:val="ListParagraphChar"/>
    <w:uiPriority w:val="34"/>
    <w:qFormat/>
    <w:rsid w:val="00A768C2"/>
    <w:pPr>
      <w:spacing w:after="200" w:line="276" w:lineRule="auto"/>
      <w:ind w:left="720"/>
      <w:contextualSpacing/>
    </w:pPr>
  </w:style>
  <w:style w:type="character" w:customStyle="1" w:styleId="ListParagraphChar">
    <w:name w:val="List Paragraph Char"/>
    <w:aliases w:val="Bullets Char,List Paragraph (numbered (a)) Char,References Char,Numbered List Paragraph Char,List Paragraph nowy Char,Liste 1 Char,List Bullet Mary Char,Medium Grid 1 - Accent 21 Char,List Paragraph1 Char,Dot pt Char,No Spacing1 Char"/>
    <w:basedOn w:val="DefaultParagraphFont"/>
    <w:link w:val="ListParagraph"/>
    <w:uiPriority w:val="34"/>
    <w:qFormat/>
    <w:rsid w:val="00A768C2"/>
  </w:style>
  <w:style w:type="paragraph" w:customStyle="1" w:styleId="Default">
    <w:name w:val="Default"/>
    <w:rsid w:val="00A768C2"/>
    <w:pPr>
      <w:autoSpaceDE w:val="0"/>
      <w:autoSpaceDN w:val="0"/>
      <w:adjustRightInd w:val="0"/>
      <w:spacing w:after="0" w:line="240" w:lineRule="auto"/>
    </w:pPr>
    <w:rPr>
      <w:rFonts w:ascii="Times New Roman" w:hAnsi="Times New Roman" w:cs="Times New Roman"/>
      <w:color w:val="000000"/>
      <w:sz w:val="24"/>
      <w:szCs w:val="24"/>
    </w:rPr>
  </w:style>
  <w:style w:type="paragraph" w:styleId="TOCHeading">
    <w:name w:val="TOC Heading"/>
    <w:basedOn w:val="Heading1"/>
    <w:next w:val="Normal"/>
    <w:uiPriority w:val="39"/>
    <w:unhideWhenUsed/>
    <w:qFormat/>
    <w:rsid w:val="00A768C2"/>
    <w:pPr>
      <w:outlineLvl w:val="9"/>
    </w:pPr>
    <w:rPr>
      <w:lang w:eastAsia="ja-JP"/>
    </w:rPr>
  </w:style>
  <w:style w:type="paragraph" w:styleId="BalloonText">
    <w:name w:val="Balloon Text"/>
    <w:basedOn w:val="Normal"/>
    <w:link w:val="BalloonTextChar"/>
    <w:uiPriority w:val="99"/>
    <w:semiHidden/>
    <w:unhideWhenUsed/>
    <w:rsid w:val="00A768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68C2"/>
    <w:rPr>
      <w:rFonts w:ascii="Tahoma" w:hAnsi="Tahoma" w:cs="Tahoma"/>
      <w:sz w:val="16"/>
      <w:szCs w:val="16"/>
    </w:rPr>
  </w:style>
  <w:style w:type="paragraph" w:styleId="TOC1">
    <w:name w:val="toc 1"/>
    <w:basedOn w:val="Normal"/>
    <w:next w:val="Normal"/>
    <w:autoRedefine/>
    <w:uiPriority w:val="39"/>
    <w:unhideWhenUsed/>
    <w:rsid w:val="008471F7"/>
    <w:pPr>
      <w:tabs>
        <w:tab w:val="left" w:pos="270"/>
        <w:tab w:val="left" w:pos="540"/>
        <w:tab w:val="right" w:leader="dot" w:pos="9350"/>
      </w:tabs>
      <w:spacing w:after="100" w:line="276" w:lineRule="auto"/>
    </w:pPr>
    <w:rPr>
      <w:rFonts w:ascii="Sylfaen" w:hAnsi="Sylfaen"/>
    </w:rPr>
  </w:style>
  <w:style w:type="character" w:styleId="Hyperlink">
    <w:name w:val="Hyperlink"/>
    <w:basedOn w:val="DefaultParagraphFont"/>
    <w:uiPriority w:val="99"/>
    <w:unhideWhenUsed/>
    <w:rsid w:val="00A768C2"/>
    <w:rPr>
      <w:color w:val="0563C1" w:themeColor="hyperlink"/>
      <w:u w:val="single"/>
    </w:rPr>
  </w:style>
  <w:style w:type="paragraph" w:styleId="Header">
    <w:name w:val="header"/>
    <w:basedOn w:val="Normal"/>
    <w:link w:val="HeaderChar"/>
    <w:uiPriority w:val="99"/>
    <w:unhideWhenUsed/>
    <w:rsid w:val="00A768C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68C2"/>
  </w:style>
  <w:style w:type="paragraph" w:styleId="Footer">
    <w:name w:val="footer"/>
    <w:basedOn w:val="Normal"/>
    <w:link w:val="FooterChar"/>
    <w:uiPriority w:val="99"/>
    <w:unhideWhenUsed/>
    <w:rsid w:val="00A768C2"/>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68C2"/>
  </w:style>
  <w:style w:type="paragraph" w:styleId="TOC2">
    <w:name w:val="toc 2"/>
    <w:basedOn w:val="Normal"/>
    <w:next w:val="Normal"/>
    <w:autoRedefine/>
    <w:uiPriority w:val="39"/>
    <w:unhideWhenUsed/>
    <w:rsid w:val="00644C60"/>
    <w:pPr>
      <w:tabs>
        <w:tab w:val="right" w:leader="dot" w:pos="9350"/>
      </w:tabs>
      <w:spacing w:after="100" w:line="276" w:lineRule="auto"/>
      <w:ind w:left="720"/>
    </w:pPr>
    <w:rPr>
      <w:rFonts w:ascii="Sylfaen" w:hAnsi="Sylfaen"/>
    </w:rPr>
  </w:style>
  <w:style w:type="paragraph" w:styleId="Caption">
    <w:name w:val="caption"/>
    <w:aliases w:val="Légende Car Car,Légende Car1"/>
    <w:basedOn w:val="Normal"/>
    <w:next w:val="Normal"/>
    <w:link w:val="CaptionChar"/>
    <w:uiPriority w:val="35"/>
    <w:unhideWhenUsed/>
    <w:qFormat/>
    <w:rsid w:val="00A768C2"/>
    <w:pPr>
      <w:spacing w:after="200" w:line="240" w:lineRule="auto"/>
    </w:pPr>
    <w:rPr>
      <w:b/>
      <w:bCs/>
      <w:color w:val="5B9BD5" w:themeColor="accent1"/>
      <w:sz w:val="18"/>
      <w:szCs w:val="18"/>
    </w:rPr>
  </w:style>
  <w:style w:type="paragraph" w:styleId="TableofFigures">
    <w:name w:val="table of figures"/>
    <w:basedOn w:val="Normal"/>
    <w:next w:val="Normal"/>
    <w:uiPriority w:val="99"/>
    <w:unhideWhenUsed/>
    <w:rsid w:val="008471F7"/>
    <w:pPr>
      <w:spacing w:after="0" w:line="276" w:lineRule="auto"/>
    </w:pPr>
    <w:rPr>
      <w:rFonts w:ascii="Sylfaen" w:hAnsi="Sylfaen"/>
    </w:rPr>
  </w:style>
  <w:style w:type="table" w:styleId="TableGrid">
    <w:name w:val="Table Grid"/>
    <w:basedOn w:val="TableNormal"/>
    <w:uiPriority w:val="39"/>
    <w:rsid w:val="00A768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t Char,single space Char Char Char,single space Char Char,fn,FOOTNOTES,Footnote Text Char1,Footnote Text Char2 Char,Footnote Text Char1 Char Char,Footnote Text Char2 Char Char Char,ft,f,Footnote Text Char1 Char Char Char Char"/>
    <w:basedOn w:val="Normal"/>
    <w:link w:val="FootnoteTextChar"/>
    <w:uiPriority w:val="99"/>
    <w:unhideWhenUsed/>
    <w:qFormat/>
    <w:rsid w:val="005A465D"/>
    <w:pPr>
      <w:spacing w:after="0" w:line="240" w:lineRule="auto"/>
    </w:pPr>
    <w:rPr>
      <w:rFonts w:ascii="Sylfaen" w:hAnsi="Sylfaen"/>
      <w:sz w:val="16"/>
      <w:szCs w:val="20"/>
    </w:rPr>
  </w:style>
  <w:style w:type="character" w:customStyle="1" w:styleId="FootnoteTextChar">
    <w:name w:val="Footnote Text Char"/>
    <w:aliases w:val="single space Char,ft Char Char,single space Char Char Char Char,single space Char Char Char1,fn Char,FOOTNOTES Char,Footnote Text Char1 Char,Footnote Text Char2 Char Char,Footnote Text Char1 Char Char Char,ft Char1,f Char"/>
    <w:basedOn w:val="DefaultParagraphFont"/>
    <w:link w:val="FootnoteText"/>
    <w:uiPriority w:val="99"/>
    <w:rsid w:val="005A465D"/>
    <w:rPr>
      <w:rFonts w:ascii="Sylfaen" w:hAnsi="Sylfaen"/>
      <w:sz w:val="16"/>
      <w:szCs w:val="20"/>
    </w:rPr>
  </w:style>
  <w:style w:type="character" w:styleId="FootnoteReference">
    <w:name w:val="footnote reference"/>
    <w:aliases w:val="FNRefe,ftref, BVI fnr,Ref,de nota al pie,16 Point,Superscript 6 Point,BVI fnr,fr,Used by Word for Help footnote symbols,Char Char Char Char Car Char,Car Car Char Car Char Car Car Char Car Char Char,SUPERS,BVI f,R,Footnote Reference 2"/>
    <w:basedOn w:val="DefaultParagraphFont"/>
    <w:link w:val="CarattereCarattereCharCharCharCharCharCharZchn"/>
    <w:uiPriority w:val="99"/>
    <w:unhideWhenUsed/>
    <w:qFormat/>
    <w:rsid w:val="00A768C2"/>
    <w:rPr>
      <w:vertAlign w:val="superscript"/>
    </w:rPr>
  </w:style>
  <w:style w:type="character" w:customStyle="1" w:styleId="apple-converted-space">
    <w:name w:val="apple-converted-space"/>
    <w:basedOn w:val="DefaultParagraphFont"/>
    <w:rsid w:val="00A768C2"/>
  </w:style>
  <w:style w:type="character" w:styleId="CommentReference">
    <w:name w:val="annotation reference"/>
    <w:basedOn w:val="DefaultParagraphFont"/>
    <w:uiPriority w:val="99"/>
    <w:semiHidden/>
    <w:unhideWhenUsed/>
    <w:rsid w:val="00A768C2"/>
    <w:rPr>
      <w:sz w:val="16"/>
      <w:szCs w:val="16"/>
    </w:rPr>
  </w:style>
  <w:style w:type="paragraph" w:styleId="CommentText">
    <w:name w:val="annotation text"/>
    <w:basedOn w:val="Normal"/>
    <w:link w:val="CommentTextChar"/>
    <w:uiPriority w:val="99"/>
    <w:unhideWhenUsed/>
    <w:rsid w:val="00A768C2"/>
    <w:pPr>
      <w:spacing w:after="200" w:line="240" w:lineRule="auto"/>
    </w:pPr>
    <w:rPr>
      <w:sz w:val="20"/>
      <w:szCs w:val="20"/>
    </w:rPr>
  </w:style>
  <w:style w:type="character" w:customStyle="1" w:styleId="CommentTextChar">
    <w:name w:val="Comment Text Char"/>
    <w:basedOn w:val="DefaultParagraphFont"/>
    <w:link w:val="CommentText"/>
    <w:uiPriority w:val="99"/>
    <w:rsid w:val="00A768C2"/>
    <w:rPr>
      <w:sz w:val="20"/>
      <w:szCs w:val="20"/>
    </w:rPr>
  </w:style>
  <w:style w:type="paragraph" w:styleId="CommentSubject">
    <w:name w:val="annotation subject"/>
    <w:basedOn w:val="CommentText"/>
    <w:next w:val="CommentText"/>
    <w:link w:val="CommentSubjectChar"/>
    <w:uiPriority w:val="99"/>
    <w:semiHidden/>
    <w:unhideWhenUsed/>
    <w:rsid w:val="00A768C2"/>
    <w:rPr>
      <w:b/>
      <w:bCs/>
    </w:rPr>
  </w:style>
  <w:style w:type="character" w:customStyle="1" w:styleId="CommentSubjectChar">
    <w:name w:val="Comment Subject Char"/>
    <w:basedOn w:val="CommentTextChar"/>
    <w:link w:val="CommentSubject"/>
    <w:uiPriority w:val="99"/>
    <w:semiHidden/>
    <w:rsid w:val="00A768C2"/>
    <w:rPr>
      <w:b/>
      <w:bCs/>
      <w:sz w:val="20"/>
      <w:szCs w:val="20"/>
    </w:rPr>
  </w:style>
  <w:style w:type="character" w:styleId="Emphasis">
    <w:name w:val="Emphasis"/>
    <w:basedOn w:val="DefaultParagraphFont"/>
    <w:uiPriority w:val="20"/>
    <w:qFormat/>
    <w:rsid w:val="00A768C2"/>
    <w:rPr>
      <w:i/>
      <w:iCs/>
    </w:rPr>
  </w:style>
  <w:style w:type="table" w:customStyle="1" w:styleId="TableGrid1">
    <w:name w:val="Table Grid1"/>
    <w:basedOn w:val="TableNormal"/>
    <w:next w:val="TableGrid"/>
    <w:uiPriority w:val="59"/>
    <w:rsid w:val="00A768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768C2"/>
    <w:pPr>
      <w:spacing w:after="0" w:line="240" w:lineRule="auto"/>
    </w:pPr>
  </w:style>
  <w:style w:type="paragraph" w:styleId="TOC3">
    <w:name w:val="toc 3"/>
    <w:basedOn w:val="Normal"/>
    <w:next w:val="Normal"/>
    <w:autoRedefine/>
    <w:uiPriority w:val="39"/>
    <w:unhideWhenUsed/>
    <w:rsid w:val="005A134A"/>
    <w:pPr>
      <w:tabs>
        <w:tab w:val="right" w:leader="dot" w:pos="9350"/>
      </w:tabs>
      <w:spacing w:after="100" w:line="276" w:lineRule="auto"/>
      <w:ind w:left="720"/>
    </w:pPr>
  </w:style>
  <w:style w:type="paragraph" w:styleId="NormalWeb">
    <w:name w:val="Normal (Web)"/>
    <w:basedOn w:val="Normal"/>
    <w:uiPriority w:val="99"/>
    <w:unhideWhenUsed/>
    <w:rsid w:val="00A768C2"/>
    <w:pPr>
      <w:spacing w:before="100" w:beforeAutospacing="1" w:after="100" w:afterAutospacing="1" w:line="240" w:lineRule="auto"/>
    </w:pPr>
    <w:rPr>
      <w:rFonts w:ascii="Times New Roman" w:eastAsiaTheme="minorEastAsia" w:hAnsi="Times New Roman" w:cs="Times New Roman"/>
      <w:sz w:val="24"/>
      <w:szCs w:val="24"/>
    </w:rPr>
  </w:style>
  <w:style w:type="paragraph" w:styleId="BodyText">
    <w:name w:val="Body Text"/>
    <w:basedOn w:val="Normal"/>
    <w:link w:val="BodyTextChar"/>
    <w:uiPriority w:val="1"/>
    <w:qFormat/>
    <w:rsid w:val="00A768C2"/>
    <w:pPr>
      <w:widowControl w:val="0"/>
      <w:spacing w:after="0" w:line="240" w:lineRule="auto"/>
      <w:ind w:left="100"/>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A768C2"/>
    <w:rPr>
      <w:rFonts w:ascii="Times New Roman" w:eastAsia="Times New Roman" w:hAnsi="Times New Roman"/>
      <w:sz w:val="24"/>
      <w:szCs w:val="24"/>
    </w:rPr>
  </w:style>
  <w:style w:type="character" w:customStyle="1" w:styleId="hps">
    <w:name w:val="hps"/>
    <w:basedOn w:val="DefaultParagraphFont"/>
    <w:rsid w:val="00A768C2"/>
  </w:style>
  <w:style w:type="character" w:customStyle="1" w:styleId="goog-gtc-translatable">
    <w:name w:val="goog-gtc-translatable"/>
    <w:basedOn w:val="DefaultParagraphFont"/>
    <w:rsid w:val="00A768C2"/>
  </w:style>
  <w:style w:type="character" w:customStyle="1" w:styleId="CaptionChar">
    <w:name w:val="Caption Char"/>
    <w:aliases w:val="Légende Car Car Char,Légende Car1 Char"/>
    <w:link w:val="Caption"/>
    <w:uiPriority w:val="35"/>
    <w:locked/>
    <w:rsid w:val="00A768C2"/>
    <w:rPr>
      <w:b/>
      <w:bCs/>
      <w:color w:val="5B9BD5" w:themeColor="accent1"/>
      <w:sz w:val="18"/>
      <w:szCs w:val="18"/>
    </w:rPr>
  </w:style>
  <w:style w:type="table" w:customStyle="1" w:styleId="LightShading1">
    <w:name w:val="Light Shading1"/>
    <w:basedOn w:val="TableNormal"/>
    <w:uiPriority w:val="60"/>
    <w:rsid w:val="00A768C2"/>
    <w:pPr>
      <w:spacing w:after="0" w:line="240" w:lineRule="auto"/>
      <w:jc w:val="both"/>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footnotedescription">
    <w:name w:val="footnote description"/>
    <w:next w:val="Normal"/>
    <w:link w:val="footnotedescriptionChar"/>
    <w:hidden/>
    <w:rsid w:val="00A768C2"/>
    <w:pPr>
      <w:spacing w:after="0" w:line="243" w:lineRule="auto"/>
      <w:jc w:val="both"/>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sid w:val="00A768C2"/>
    <w:rPr>
      <w:rFonts w:ascii="Times New Roman" w:eastAsia="Times New Roman" w:hAnsi="Times New Roman" w:cs="Times New Roman"/>
      <w:color w:val="000000"/>
      <w:sz w:val="20"/>
    </w:rPr>
  </w:style>
  <w:style w:type="character" w:customStyle="1" w:styleId="footnotemark">
    <w:name w:val="footnote mark"/>
    <w:hidden/>
    <w:rsid w:val="00A768C2"/>
    <w:rPr>
      <w:rFonts w:ascii="Times New Roman" w:eastAsia="Times New Roman" w:hAnsi="Times New Roman" w:cs="Times New Roman"/>
      <w:color w:val="000000"/>
      <w:sz w:val="20"/>
      <w:vertAlign w:val="superscript"/>
    </w:rPr>
  </w:style>
  <w:style w:type="table" w:customStyle="1" w:styleId="TableGridLight1">
    <w:name w:val="Table Grid Light1"/>
    <w:basedOn w:val="TableNormal"/>
    <w:uiPriority w:val="40"/>
    <w:rsid w:val="00A768C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
    <w:name w:val="Plain Table 41"/>
    <w:basedOn w:val="TableNormal"/>
    <w:uiPriority w:val="44"/>
    <w:rsid w:val="00A768C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A768C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51">
    <w:name w:val="Plain Table 51"/>
    <w:basedOn w:val="TableNormal"/>
    <w:uiPriority w:val="45"/>
    <w:rsid w:val="00A768C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1">
    <w:name w:val="Plain Table 21"/>
    <w:basedOn w:val="TableNormal"/>
    <w:uiPriority w:val="42"/>
    <w:rsid w:val="00A768C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arattereCarattereCharCharCharCharCharCharZchn">
    <w:name w:val="Carattere Carattere Char Char Char Char Char Char Zchn"/>
    <w:aliases w:val="ftref Char Char Char Char Char Char Zchn,Char Char Char Char Char Char Char Char Zchn,ftref Char Char Char1 Zchn,Carattere Carattere Char Char Char Char Char Char Char Zchn"/>
    <w:basedOn w:val="Normal"/>
    <w:next w:val="Normal"/>
    <w:link w:val="FootnoteReference"/>
    <w:uiPriority w:val="99"/>
    <w:rsid w:val="00A768C2"/>
    <w:pPr>
      <w:spacing w:line="240" w:lineRule="exact"/>
      <w:ind w:left="360" w:hanging="360"/>
      <w:jc w:val="both"/>
    </w:pPr>
    <w:rPr>
      <w:vertAlign w:val="superscript"/>
    </w:rPr>
  </w:style>
  <w:style w:type="character" w:styleId="IntenseEmphasis">
    <w:name w:val="Intense Emphasis"/>
    <w:basedOn w:val="DefaultParagraphFont"/>
    <w:uiPriority w:val="21"/>
    <w:qFormat/>
    <w:rsid w:val="00A768C2"/>
    <w:rPr>
      <w:b/>
      <w:bCs/>
      <w:i/>
      <w:iCs/>
      <w:color w:val="5B9BD5" w:themeColor="accent1"/>
    </w:rPr>
  </w:style>
  <w:style w:type="character" w:customStyle="1" w:styleId="gdoqrcgdhf">
    <w:name w:val="gdoqrcgdhf"/>
    <w:basedOn w:val="DefaultParagraphFont"/>
    <w:rsid w:val="00A768C2"/>
  </w:style>
  <w:style w:type="paragraph" w:customStyle="1" w:styleId="Maintext">
    <w:name w:val="Main text"/>
    <w:basedOn w:val="Normal"/>
    <w:qFormat/>
    <w:rsid w:val="00A768C2"/>
    <w:pPr>
      <w:numPr>
        <w:numId w:val="1"/>
      </w:numPr>
      <w:spacing w:after="240" w:line="240" w:lineRule="auto"/>
      <w:ind w:left="7732"/>
      <w:jc w:val="both"/>
    </w:pPr>
    <w:rPr>
      <w:rFonts w:ascii="Calibri" w:hAnsi="Calibri" w:cs="Times New Roman"/>
    </w:rPr>
  </w:style>
  <w:style w:type="paragraph" w:customStyle="1" w:styleId="Maintext2">
    <w:name w:val="Main text2"/>
    <w:basedOn w:val="Maintext"/>
    <w:link w:val="Maintext2Char"/>
    <w:qFormat/>
    <w:rsid w:val="00A768C2"/>
  </w:style>
  <w:style w:type="character" w:customStyle="1" w:styleId="Maintext2Char">
    <w:name w:val="Main text2 Char"/>
    <w:basedOn w:val="DefaultParagraphFont"/>
    <w:link w:val="Maintext2"/>
    <w:rsid w:val="00A768C2"/>
    <w:rPr>
      <w:rFonts w:ascii="Calibri" w:hAnsi="Calibri" w:cs="Times New Roman"/>
    </w:rPr>
  </w:style>
  <w:style w:type="character" w:customStyle="1" w:styleId="NoSpacingChar">
    <w:name w:val="No Spacing Char"/>
    <w:basedOn w:val="DefaultParagraphFont"/>
    <w:link w:val="NoSpacing"/>
    <w:uiPriority w:val="1"/>
    <w:locked/>
    <w:rsid w:val="00A768C2"/>
  </w:style>
  <w:style w:type="numbering" w:customStyle="1" w:styleId="NoList1">
    <w:name w:val="No List1"/>
    <w:next w:val="NoList"/>
    <w:uiPriority w:val="99"/>
    <w:semiHidden/>
    <w:unhideWhenUsed/>
    <w:rsid w:val="00A768C2"/>
  </w:style>
  <w:style w:type="table" w:customStyle="1" w:styleId="LightShading11">
    <w:name w:val="Light Shading11"/>
    <w:basedOn w:val="TableNormal"/>
    <w:uiPriority w:val="60"/>
    <w:rsid w:val="00A768C2"/>
    <w:pPr>
      <w:spacing w:after="0" w:line="240" w:lineRule="auto"/>
      <w:jc w:val="both"/>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Light12">
    <w:name w:val="Table Grid Light12"/>
    <w:basedOn w:val="TableNormal"/>
    <w:next w:val="TableGridLight1"/>
    <w:uiPriority w:val="40"/>
    <w:rsid w:val="00A768C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2">
    <w:name w:val="Plain Table 412"/>
    <w:basedOn w:val="TableNormal"/>
    <w:next w:val="PlainTable41"/>
    <w:uiPriority w:val="44"/>
    <w:rsid w:val="00A768C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2">
    <w:name w:val="Plain Table 312"/>
    <w:basedOn w:val="TableNormal"/>
    <w:next w:val="PlainTable31"/>
    <w:uiPriority w:val="43"/>
    <w:rsid w:val="00A768C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512">
    <w:name w:val="Plain Table 512"/>
    <w:basedOn w:val="TableNormal"/>
    <w:next w:val="PlainTable51"/>
    <w:uiPriority w:val="45"/>
    <w:rsid w:val="00A768C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12">
    <w:name w:val="Plain Table 212"/>
    <w:basedOn w:val="TableNormal"/>
    <w:next w:val="PlainTable21"/>
    <w:uiPriority w:val="42"/>
    <w:rsid w:val="00A768C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Bullet">
    <w:name w:val="List Bullet"/>
    <w:basedOn w:val="Normal"/>
    <w:uiPriority w:val="99"/>
    <w:unhideWhenUsed/>
    <w:rsid w:val="00A768C2"/>
    <w:pPr>
      <w:numPr>
        <w:numId w:val="3"/>
      </w:numPr>
      <w:spacing w:after="200" w:line="276" w:lineRule="auto"/>
      <w:contextualSpacing/>
    </w:pPr>
  </w:style>
  <w:style w:type="paragraph" w:customStyle="1" w:styleId="Style1">
    <w:name w:val="Style1"/>
    <w:basedOn w:val="Normal"/>
    <w:link w:val="Style1Car"/>
    <w:rsid w:val="00C556EB"/>
    <w:pPr>
      <w:spacing w:after="0" w:line="240" w:lineRule="auto"/>
      <w:jc w:val="both"/>
    </w:pPr>
    <w:rPr>
      <w:rFonts w:ascii="Arial Narrow" w:eastAsia="Times New Roman" w:hAnsi="Arial Narrow" w:cs="Times New Roman"/>
      <w:color w:val="000000"/>
      <w:spacing w:val="20"/>
      <w:sz w:val="20"/>
      <w:szCs w:val="20"/>
      <w:lang w:eastAsia="x-none"/>
    </w:rPr>
  </w:style>
  <w:style w:type="character" w:customStyle="1" w:styleId="Style1Car">
    <w:name w:val="Style1 Car"/>
    <w:link w:val="Style1"/>
    <w:locked/>
    <w:rsid w:val="00C556EB"/>
    <w:rPr>
      <w:rFonts w:ascii="Arial Narrow" w:eastAsia="Times New Roman" w:hAnsi="Arial Narrow" w:cs="Times New Roman"/>
      <w:color w:val="000000"/>
      <w:spacing w:val="20"/>
      <w:sz w:val="20"/>
      <w:szCs w:val="20"/>
      <w:lang w:eastAsia="x-none"/>
    </w:rPr>
  </w:style>
  <w:style w:type="paragraph" w:styleId="Title">
    <w:name w:val="Title"/>
    <w:basedOn w:val="Normal"/>
    <w:next w:val="Normal"/>
    <w:link w:val="TitleChar"/>
    <w:uiPriority w:val="10"/>
    <w:qFormat/>
    <w:rsid w:val="009658A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658A7"/>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rsid w:val="003C521B"/>
    <w:rPr>
      <w:rFonts w:asciiTheme="majorHAnsi" w:eastAsiaTheme="majorEastAsia" w:hAnsiTheme="majorHAnsi" w:cstheme="majorBidi"/>
      <w:i/>
      <w:iCs/>
      <w:color w:val="2E74B5" w:themeColor="accent1" w:themeShade="BF"/>
    </w:rPr>
  </w:style>
  <w:style w:type="numbering" w:customStyle="1" w:styleId="NoList2">
    <w:name w:val="No List2"/>
    <w:next w:val="NoList"/>
    <w:uiPriority w:val="99"/>
    <w:semiHidden/>
    <w:unhideWhenUsed/>
    <w:rsid w:val="003C521B"/>
  </w:style>
  <w:style w:type="table" w:customStyle="1" w:styleId="TableGrid2">
    <w:name w:val="Table Grid2"/>
    <w:basedOn w:val="TableNormal"/>
    <w:next w:val="TableGrid"/>
    <w:uiPriority w:val="39"/>
    <w:rsid w:val="003C52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3C52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3C521B"/>
    <w:pPr>
      <w:spacing w:after="0" w:line="240" w:lineRule="auto"/>
      <w:jc w:val="both"/>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Light2">
    <w:name w:val="Table Grid Light2"/>
    <w:basedOn w:val="TableNormal"/>
    <w:next w:val="TableGridLight1"/>
    <w:uiPriority w:val="40"/>
    <w:rsid w:val="003C521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2">
    <w:name w:val="Plain Table 42"/>
    <w:basedOn w:val="TableNormal"/>
    <w:next w:val="PlainTable41"/>
    <w:uiPriority w:val="44"/>
    <w:rsid w:val="003C521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2">
    <w:name w:val="Plain Table 32"/>
    <w:basedOn w:val="TableNormal"/>
    <w:next w:val="PlainTable31"/>
    <w:uiPriority w:val="43"/>
    <w:rsid w:val="003C521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52">
    <w:name w:val="Plain Table 52"/>
    <w:basedOn w:val="TableNormal"/>
    <w:next w:val="PlainTable51"/>
    <w:uiPriority w:val="45"/>
    <w:rsid w:val="003C521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2">
    <w:name w:val="Plain Table 22"/>
    <w:basedOn w:val="TableNormal"/>
    <w:next w:val="PlainTable21"/>
    <w:uiPriority w:val="42"/>
    <w:rsid w:val="003C521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NoList11">
    <w:name w:val="No List11"/>
    <w:next w:val="NoList"/>
    <w:uiPriority w:val="99"/>
    <w:semiHidden/>
    <w:unhideWhenUsed/>
    <w:rsid w:val="003C521B"/>
  </w:style>
  <w:style w:type="table" w:customStyle="1" w:styleId="LightShading111">
    <w:name w:val="Light Shading111"/>
    <w:basedOn w:val="TableNormal"/>
    <w:uiPriority w:val="60"/>
    <w:rsid w:val="003C521B"/>
    <w:pPr>
      <w:spacing w:after="0" w:line="240" w:lineRule="auto"/>
      <w:jc w:val="both"/>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Light11">
    <w:name w:val="Table Grid Light11"/>
    <w:basedOn w:val="TableNormal"/>
    <w:next w:val="TableGridLight1"/>
    <w:uiPriority w:val="40"/>
    <w:rsid w:val="003C521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1">
    <w:name w:val="Plain Table 411"/>
    <w:basedOn w:val="TableNormal"/>
    <w:next w:val="PlainTable41"/>
    <w:uiPriority w:val="44"/>
    <w:rsid w:val="003C521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1">
    <w:name w:val="Plain Table 311"/>
    <w:basedOn w:val="TableNormal"/>
    <w:next w:val="PlainTable31"/>
    <w:uiPriority w:val="43"/>
    <w:rsid w:val="003C521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511">
    <w:name w:val="Plain Table 511"/>
    <w:basedOn w:val="TableNormal"/>
    <w:next w:val="PlainTable51"/>
    <w:uiPriority w:val="45"/>
    <w:rsid w:val="003C521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11">
    <w:name w:val="Plain Table 211"/>
    <w:basedOn w:val="TableNormal"/>
    <w:next w:val="PlainTable21"/>
    <w:uiPriority w:val="42"/>
    <w:rsid w:val="003C521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Revision">
    <w:name w:val="Revision"/>
    <w:hidden/>
    <w:uiPriority w:val="99"/>
    <w:semiHidden/>
    <w:rsid w:val="000B0A1C"/>
    <w:pPr>
      <w:spacing w:after="0" w:line="240" w:lineRule="auto"/>
    </w:pPr>
  </w:style>
  <w:style w:type="table" w:customStyle="1" w:styleId="GridTable7Colorful1">
    <w:name w:val="Grid Table 7 Colorful1"/>
    <w:basedOn w:val="TableNormal"/>
    <w:uiPriority w:val="52"/>
    <w:rsid w:val="0058175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italic">
    <w:name w:val="italic"/>
    <w:basedOn w:val="DefaultParagraphFont"/>
    <w:rsid w:val="00321A59"/>
  </w:style>
  <w:style w:type="table" w:customStyle="1" w:styleId="GridTable7Colorful11">
    <w:name w:val="Grid Table 7 Colorful11"/>
    <w:basedOn w:val="TableNormal"/>
    <w:uiPriority w:val="52"/>
    <w:rsid w:val="0084394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Heading5Char">
    <w:name w:val="Heading 5 Char"/>
    <w:basedOn w:val="DefaultParagraphFont"/>
    <w:link w:val="Heading5"/>
    <w:uiPriority w:val="9"/>
    <w:rsid w:val="001F2881"/>
    <w:rPr>
      <w:rFonts w:asciiTheme="majorHAnsi" w:eastAsiaTheme="majorEastAsia" w:hAnsiTheme="majorHAnsi" w:cstheme="majorBidi"/>
      <w:color w:val="2E74B5" w:themeColor="accent1" w:themeShade="BF"/>
    </w:rPr>
  </w:style>
  <w:style w:type="paragraph" w:customStyle="1" w:styleId="headlinepublication">
    <w:name w:val="headlinepublication"/>
    <w:basedOn w:val="Normal"/>
    <w:rsid w:val="00E674C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E674C2"/>
    <w:rPr>
      <w:b/>
      <w:bCs/>
    </w:rPr>
  </w:style>
  <w:style w:type="character" w:customStyle="1" w:styleId="darkblue">
    <w:name w:val="darkblue"/>
    <w:basedOn w:val="DefaultParagraphFont"/>
    <w:rsid w:val="00E674C2"/>
  </w:style>
  <w:style w:type="character" w:customStyle="1" w:styleId="gray">
    <w:name w:val="gray"/>
    <w:basedOn w:val="DefaultParagraphFont"/>
    <w:rsid w:val="00E674C2"/>
  </w:style>
  <w:style w:type="paragraph" w:styleId="Subtitle">
    <w:name w:val="Subtitle"/>
    <w:basedOn w:val="Normal"/>
    <w:next w:val="Normal"/>
    <w:link w:val="SubtitleChar"/>
    <w:uiPriority w:val="11"/>
    <w:qFormat/>
    <w:rsid w:val="00125BB2"/>
    <w:pPr>
      <w:numPr>
        <w:ilvl w:val="1"/>
      </w:numPr>
    </w:pPr>
    <w:rPr>
      <w:rFonts w:eastAsiaTheme="minorEastAsia" w:cs="Times New Roman"/>
      <w:color w:val="5A5A5A" w:themeColor="text1" w:themeTint="A5"/>
      <w:spacing w:val="15"/>
    </w:rPr>
  </w:style>
  <w:style w:type="character" w:customStyle="1" w:styleId="SubtitleChar">
    <w:name w:val="Subtitle Char"/>
    <w:basedOn w:val="DefaultParagraphFont"/>
    <w:link w:val="Subtitle"/>
    <w:uiPriority w:val="11"/>
    <w:rsid w:val="00125BB2"/>
    <w:rPr>
      <w:rFonts w:eastAsiaTheme="minorEastAsia" w:cs="Times New Roman"/>
      <w:color w:val="5A5A5A" w:themeColor="text1" w:themeTint="A5"/>
      <w:spacing w:val="15"/>
    </w:rPr>
  </w:style>
  <w:style w:type="character" w:customStyle="1" w:styleId="tgc">
    <w:name w:val="_tgc"/>
    <w:basedOn w:val="DefaultParagraphFont"/>
    <w:rsid w:val="00D96D6F"/>
  </w:style>
  <w:style w:type="paragraph" w:styleId="BodyText2">
    <w:name w:val="Body Text 2"/>
    <w:basedOn w:val="Normal"/>
    <w:link w:val="BodyText2Char"/>
    <w:uiPriority w:val="99"/>
    <w:semiHidden/>
    <w:unhideWhenUsed/>
    <w:rsid w:val="00813E00"/>
    <w:pPr>
      <w:spacing w:after="120" w:line="480" w:lineRule="auto"/>
    </w:pPr>
  </w:style>
  <w:style w:type="character" w:customStyle="1" w:styleId="BodyText2Char">
    <w:name w:val="Body Text 2 Char"/>
    <w:basedOn w:val="DefaultParagraphFont"/>
    <w:link w:val="BodyText2"/>
    <w:uiPriority w:val="99"/>
    <w:semiHidden/>
    <w:rsid w:val="00813E00"/>
  </w:style>
  <w:style w:type="paragraph" w:customStyle="1" w:styleId="Source">
    <w:name w:val="Source"/>
    <w:basedOn w:val="Caption1"/>
    <w:qFormat/>
    <w:rsid w:val="008D0342"/>
    <w:pPr>
      <w:keepNext w:val="0"/>
      <w:spacing w:before="0" w:after="0"/>
      <w:jc w:val="left"/>
    </w:pPr>
    <w:rPr>
      <w:b w:val="0"/>
    </w:rPr>
  </w:style>
  <w:style w:type="character" w:customStyle="1" w:styleId="FootnoteChar">
    <w:name w:val="Footnote Char"/>
    <w:link w:val="Footnote"/>
    <w:locked/>
    <w:rsid w:val="0039039C"/>
    <w:rPr>
      <w:rFonts w:ascii="Garamond" w:eastAsia="MS Mincho" w:hAnsi="Garamond" w:cs="Times New Roman"/>
      <w:sz w:val="20"/>
      <w:szCs w:val="20"/>
      <w:lang w:val="x-none" w:eastAsia="x-none"/>
    </w:rPr>
  </w:style>
  <w:style w:type="paragraph" w:customStyle="1" w:styleId="Footnote">
    <w:name w:val="Footnote"/>
    <w:basedOn w:val="FootnoteText"/>
    <w:link w:val="FootnoteChar"/>
    <w:qFormat/>
    <w:rsid w:val="0039039C"/>
    <w:pPr>
      <w:spacing w:before="2" w:after="2"/>
      <w:jc w:val="both"/>
    </w:pPr>
    <w:rPr>
      <w:rFonts w:ascii="Garamond" w:eastAsia="MS Mincho" w:hAnsi="Garamond" w:cs="Times New Roman"/>
      <w:sz w:val="20"/>
      <w:lang w:val="x-none" w:eastAsia="x-none"/>
    </w:rPr>
  </w:style>
  <w:style w:type="character" w:styleId="SubtleEmphasis">
    <w:name w:val="Subtle Emphasis"/>
    <w:basedOn w:val="DefaultParagraphFont"/>
    <w:uiPriority w:val="19"/>
    <w:qFormat/>
    <w:rsid w:val="00E4476E"/>
    <w:rPr>
      <w:i/>
      <w:iCs/>
      <w:color w:val="595959" w:themeColor="text1" w:themeTint="A6"/>
    </w:rPr>
  </w:style>
  <w:style w:type="table" w:customStyle="1" w:styleId="TableGrid12">
    <w:name w:val="Table Grid12"/>
    <w:basedOn w:val="TableNormal"/>
    <w:next w:val="TableGrid"/>
    <w:uiPriority w:val="59"/>
    <w:rsid w:val="003663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C871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C871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title">
    <w:name w:val="Figure title"/>
    <w:basedOn w:val="Caption"/>
    <w:qFormat/>
    <w:rsid w:val="00FF647D"/>
    <w:pPr>
      <w:keepNext/>
      <w:keepLines/>
      <w:spacing w:after="0"/>
      <w:jc w:val="center"/>
    </w:pPr>
    <w:rPr>
      <w:rFonts w:ascii="Garamond" w:eastAsia="MS Mincho" w:hAnsi="Garamond" w:cs="Times New Roman"/>
      <w:color w:val="C0504D"/>
      <w:sz w:val="22"/>
      <w:szCs w:val="22"/>
    </w:rPr>
  </w:style>
  <w:style w:type="character" w:customStyle="1" w:styleId="Hyperlink1">
    <w:name w:val="Hyperlink.1"/>
    <w:basedOn w:val="DefaultParagraphFont"/>
    <w:rsid w:val="00426A0B"/>
    <w:rPr>
      <w:lang w:val="en-US"/>
    </w:rPr>
  </w:style>
  <w:style w:type="character" w:customStyle="1" w:styleId="None">
    <w:name w:val="None"/>
    <w:rsid w:val="00390FD9"/>
  </w:style>
  <w:style w:type="numbering" w:customStyle="1" w:styleId="ImportedStyle5">
    <w:name w:val="Imported Style 5"/>
    <w:rsid w:val="00390FD9"/>
    <w:pPr>
      <w:numPr>
        <w:numId w:val="32"/>
      </w:numPr>
    </w:pPr>
  </w:style>
  <w:style w:type="character" w:customStyle="1" w:styleId="Hyperlink2">
    <w:name w:val="Hyperlink.2"/>
    <w:basedOn w:val="None"/>
    <w:rsid w:val="00390FD9"/>
    <w:rPr>
      <w:rFonts w:ascii="Sylfaen" w:eastAsia="Sylfaen" w:hAnsi="Sylfaen" w:cs="Sylfaen"/>
      <w:b/>
      <w:bCs/>
      <w:lang w:val="en-US"/>
    </w:rPr>
  </w:style>
  <w:style w:type="paragraph" w:customStyle="1" w:styleId="BodyA">
    <w:name w:val="Body A"/>
    <w:rsid w:val="00390FD9"/>
    <w:pPr>
      <w:pBdr>
        <w:top w:val="nil"/>
        <w:left w:val="nil"/>
        <w:bottom w:val="nil"/>
        <w:right w:val="nil"/>
        <w:between w:val="nil"/>
        <w:bar w:val="nil"/>
      </w:pBdr>
    </w:pPr>
    <w:rPr>
      <w:rFonts w:ascii="Calibri" w:eastAsia="Calibri" w:hAnsi="Calibri" w:cs="Calibri"/>
      <w:color w:val="000000"/>
      <w:u w:color="000000"/>
      <w:bdr w:val="nil"/>
      <w:lang w:val="fr-FR"/>
    </w:rPr>
  </w:style>
  <w:style w:type="paragraph" w:customStyle="1" w:styleId="Caption1">
    <w:name w:val="Caption1"/>
    <w:basedOn w:val="ListParagraph"/>
    <w:link w:val="captionChar0"/>
    <w:qFormat/>
    <w:rsid w:val="000B3367"/>
    <w:pPr>
      <w:keepNext/>
      <w:autoSpaceDE w:val="0"/>
      <w:autoSpaceDN w:val="0"/>
      <w:adjustRightInd w:val="0"/>
      <w:spacing w:before="120" w:after="120" w:line="240" w:lineRule="auto"/>
      <w:ind w:left="0"/>
      <w:contextualSpacing w:val="0"/>
      <w:jc w:val="center"/>
    </w:pPr>
    <w:rPr>
      <w:rFonts w:ascii="Sylfaen" w:hAnsi="Sylfaen" w:cs="Times New Roman"/>
      <w:b/>
      <w:sz w:val="20"/>
      <w:szCs w:val="20"/>
    </w:rPr>
  </w:style>
  <w:style w:type="character" w:customStyle="1" w:styleId="captionChar0">
    <w:name w:val="caption Char"/>
    <w:basedOn w:val="ListParagraphChar"/>
    <w:link w:val="Caption1"/>
    <w:rsid w:val="000B3367"/>
    <w:rPr>
      <w:rFonts w:ascii="Sylfaen" w:hAnsi="Sylfaen" w:cs="Times New Roman"/>
      <w:b/>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52432">
      <w:bodyDiv w:val="1"/>
      <w:marLeft w:val="0"/>
      <w:marRight w:val="0"/>
      <w:marTop w:val="0"/>
      <w:marBottom w:val="0"/>
      <w:divBdr>
        <w:top w:val="none" w:sz="0" w:space="0" w:color="auto"/>
        <w:left w:val="none" w:sz="0" w:space="0" w:color="auto"/>
        <w:bottom w:val="none" w:sz="0" w:space="0" w:color="auto"/>
        <w:right w:val="none" w:sz="0" w:space="0" w:color="auto"/>
      </w:divBdr>
    </w:div>
    <w:div w:id="4209212">
      <w:bodyDiv w:val="1"/>
      <w:marLeft w:val="0"/>
      <w:marRight w:val="0"/>
      <w:marTop w:val="0"/>
      <w:marBottom w:val="0"/>
      <w:divBdr>
        <w:top w:val="none" w:sz="0" w:space="0" w:color="auto"/>
        <w:left w:val="none" w:sz="0" w:space="0" w:color="auto"/>
        <w:bottom w:val="none" w:sz="0" w:space="0" w:color="auto"/>
        <w:right w:val="none" w:sz="0" w:space="0" w:color="auto"/>
      </w:divBdr>
    </w:div>
    <w:div w:id="39329189">
      <w:bodyDiv w:val="1"/>
      <w:marLeft w:val="0"/>
      <w:marRight w:val="0"/>
      <w:marTop w:val="0"/>
      <w:marBottom w:val="0"/>
      <w:divBdr>
        <w:top w:val="none" w:sz="0" w:space="0" w:color="auto"/>
        <w:left w:val="none" w:sz="0" w:space="0" w:color="auto"/>
        <w:bottom w:val="none" w:sz="0" w:space="0" w:color="auto"/>
        <w:right w:val="none" w:sz="0" w:space="0" w:color="auto"/>
      </w:divBdr>
    </w:div>
    <w:div w:id="67190669">
      <w:bodyDiv w:val="1"/>
      <w:marLeft w:val="0"/>
      <w:marRight w:val="0"/>
      <w:marTop w:val="0"/>
      <w:marBottom w:val="0"/>
      <w:divBdr>
        <w:top w:val="none" w:sz="0" w:space="0" w:color="auto"/>
        <w:left w:val="none" w:sz="0" w:space="0" w:color="auto"/>
        <w:bottom w:val="none" w:sz="0" w:space="0" w:color="auto"/>
        <w:right w:val="none" w:sz="0" w:space="0" w:color="auto"/>
      </w:divBdr>
    </w:div>
    <w:div w:id="90205093">
      <w:bodyDiv w:val="1"/>
      <w:marLeft w:val="0"/>
      <w:marRight w:val="0"/>
      <w:marTop w:val="0"/>
      <w:marBottom w:val="0"/>
      <w:divBdr>
        <w:top w:val="none" w:sz="0" w:space="0" w:color="auto"/>
        <w:left w:val="none" w:sz="0" w:space="0" w:color="auto"/>
        <w:bottom w:val="none" w:sz="0" w:space="0" w:color="auto"/>
        <w:right w:val="none" w:sz="0" w:space="0" w:color="auto"/>
      </w:divBdr>
    </w:div>
    <w:div w:id="148250558">
      <w:bodyDiv w:val="1"/>
      <w:marLeft w:val="0"/>
      <w:marRight w:val="0"/>
      <w:marTop w:val="0"/>
      <w:marBottom w:val="0"/>
      <w:divBdr>
        <w:top w:val="none" w:sz="0" w:space="0" w:color="auto"/>
        <w:left w:val="none" w:sz="0" w:space="0" w:color="auto"/>
        <w:bottom w:val="none" w:sz="0" w:space="0" w:color="auto"/>
        <w:right w:val="none" w:sz="0" w:space="0" w:color="auto"/>
      </w:divBdr>
    </w:div>
    <w:div w:id="148526777">
      <w:bodyDiv w:val="1"/>
      <w:marLeft w:val="0"/>
      <w:marRight w:val="0"/>
      <w:marTop w:val="0"/>
      <w:marBottom w:val="0"/>
      <w:divBdr>
        <w:top w:val="none" w:sz="0" w:space="0" w:color="auto"/>
        <w:left w:val="none" w:sz="0" w:space="0" w:color="auto"/>
        <w:bottom w:val="none" w:sz="0" w:space="0" w:color="auto"/>
        <w:right w:val="none" w:sz="0" w:space="0" w:color="auto"/>
      </w:divBdr>
    </w:div>
    <w:div w:id="154691122">
      <w:bodyDiv w:val="1"/>
      <w:marLeft w:val="0"/>
      <w:marRight w:val="0"/>
      <w:marTop w:val="0"/>
      <w:marBottom w:val="0"/>
      <w:divBdr>
        <w:top w:val="none" w:sz="0" w:space="0" w:color="auto"/>
        <w:left w:val="none" w:sz="0" w:space="0" w:color="auto"/>
        <w:bottom w:val="none" w:sz="0" w:space="0" w:color="auto"/>
        <w:right w:val="none" w:sz="0" w:space="0" w:color="auto"/>
      </w:divBdr>
    </w:div>
    <w:div w:id="165831678">
      <w:bodyDiv w:val="1"/>
      <w:marLeft w:val="0"/>
      <w:marRight w:val="0"/>
      <w:marTop w:val="0"/>
      <w:marBottom w:val="0"/>
      <w:divBdr>
        <w:top w:val="none" w:sz="0" w:space="0" w:color="auto"/>
        <w:left w:val="none" w:sz="0" w:space="0" w:color="auto"/>
        <w:bottom w:val="none" w:sz="0" w:space="0" w:color="auto"/>
        <w:right w:val="none" w:sz="0" w:space="0" w:color="auto"/>
      </w:divBdr>
    </w:div>
    <w:div w:id="194586894">
      <w:bodyDiv w:val="1"/>
      <w:marLeft w:val="0"/>
      <w:marRight w:val="0"/>
      <w:marTop w:val="0"/>
      <w:marBottom w:val="0"/>
      <w:divBdr>
        <w:top w:val="none" w:sz="0" w:space="0" w:color="auto"/>
        <w:left w:val="none" w:sz="0" w:space="0" w:color="auto"/>
        <w:bottom w:val="none" w:sz="0" w:space="0" w:color="auto"/>
        <w:right w:val="none" w:sz="0" w:space="0" w:color="auto"/>
      </w:divBdr>
    </w:div>
    <w:div w:id="220556261">
      <w:bodyDiv w:val="1"/>
      <w:marLeft w:val="0"/>
      <w:marRight w:val="0"/>
      <w:marTop w:val="0"/>
      <w:marBottom w:val="0"/>
      <w:divBdr>
        <w:top w:val="none" w:sz="0" w:space="0" w:color="auto"/>
        <w:left w:val="none" w:sz="0" w:space="0" w:color="auto"/>
        <w:bottom w:val="none" w:sz="0" w:space="0" w:color="auto"/>
        <w:right w:val="none" w:sz="0" w:space="0" w:color="auto"/>
      </w:divBdr>
    </w:div>
    <w:div w:id="221212366">
      <w:bodyDiv w:val="1"/>
      <w:marLeft w:val="0"/>
      <w:marRight w:val="0"/>
      <w:marTop w:val="0"/>
      <w:marBottom w:val="0"/>
      <w:divBdr>
        <w:top w:val="none" w:sz="0" w:space="0" w:color="auto"/>
        <w:left w:val="none" w:sz="0" w:space="0" w:color="auto"/>
        <w:bottom w:val="none" w:sz="0" w:space="0" w:color="auto"/>
        <w:right w:val="none" w:sz="0" w:space="0" w:color="auto"/>
      </w:divBdr>
    </w:div>
    <w:div w:id="259262589">
      <w:bodyDiv w:val="1"/>
      <w:marLeft w:val="0"/>
      <w:marRight w:val="0"/>
      <w:marTop w:val="0"/>
      <w:marBottom w:val="0"/>
      <w:divBdr>
        <w:top w:val="none" w:sz="0" w:space="0" w:color="auto"/>
        <w:left w:val="none" w:sz="0" w:space="0" w:color="auto"/>
        <w:bottom w:val="none" w:sz="0" w:space="0" w:color="auto"/>
        <w:right w:val="none" w:sz="0" w:space="0" w:color="auto"/>
      </w:divBdr>
    </w:div>
    <w:div w:id="262807132">
      <w:bodyDiv w:val="1"/>
      <w:marLeft w:val="0"/>
      <w:marRight w:val="0"/>
      <w:marTop w:val="0"/>
      <w:marBottom w:val="0"/>
      <w:divBdr>
        <w:top w:val="none" w:sz="0" w:space="0" w:color="auto"/>
        <w:left w:val="none" w:sz="0" w:space="0" w:color="auto"/>
        <w:bottom w:val="none" w:sz="0" w:space="0" w:color="auto"/>
        <w:right w:val="none" w:sz="0" w:space="0" w:color="auto"/>
      </w:divBdr>
    </w:div>
    <w:div w:id="269825825">
      <w:bodyDiv w:val="1"/>
      <w:marLeft w:val="0"/>
      <w:marRight w:val="0"/>
      <w:marTop w:val="0"/>
      <w:marBottom w:val="0"/>
      <w:divBdr>
        <w:top w:val="none" w:sz="0" w:space="0" w:color="auto"/>
        <w:left w:val="none" w:sz="0" w:space="0" w:color="auto"/>
        <w:bottom w:val="none" w:sz="0" w:space="0" w:color="auto"/>
        <w:right w:val="none" w:sz="0" w:space="0" w:color="auto"/>
      </w:divBdr>
    </w:div>
    <w:div w:id="271982625">
      <w:bodyDiv w:val="1"/>
      <w:marLeft w:val="0"/>
      <w:marRight w:val="0"/>
      <w:marTop w:val="0"/>
      <w:marBottom w:val="0"/>
      <w:divBdr>
        <w:top w:val="none" w:sz="0" w:space="0" w:color="auto"/>
        <w:left w:val="none" w:sz="0" w:space="0" w:color="auto"/>
        <w:bottom w:val="none" w:sz="0" w:space="0" w:color="auto"/>
        <w:right w:val="none" w:sz="0" w:space="0" w:color="auto"/>
      </w:divBdr>
    </w:div>
    <w:div w:id="273287988">
      <w:bodyDiv w:val="1"/>
      <w:marLeft w:val="0"/>
      <w:marRight w:val="0"/>
      <w:marTop w:val="0"/>
      <w:marBottom w:val="0"/>
      <w:divBdr>
        <w:top w:val="none" w:sz="0" w:space="0" w:color="auto"/>
        <w:left w:val="none" w:sz="0" w:space="0" w:color="auto"/>
        <w:bottom w:val="none" w:sz="0" w:space="0" w:color="auto"/>
        <w:right w:val="none" w:sz="0" w:space="0" w:color="auto"/>
      </w:divBdr>
    </w:div>
    <w:div w:id="279074634">
      <w:bodyDiv w:val="1"/>
      <w:marLeft w:val="0"/>
      <w:marRight w:val="0"/>
      <w:marTop w:val="0"/>
      <w:marBottom w:val="0"/>
      <w:divBdr>
        <w:top w:val="none" w:sz="0" w:space="0" w:color="auto"/>
        <w:left w:val="none" w:sz="0" w:space="0" w:color="auto"/>
        <w:bottom w:val="none" w:sz="0" w:space="0" w:color="auto"/>
        <w:right w:val="none" w:sz="0" w:space="0" w:color="auto"/>
      </w:divBdr>
    </w:div>
    <w:div w:id="292946050">
      <w:bodyDiv w:val="1"/>
      <w:marLeft w:val="0"/>
      <w:marRight w:val="0"/>
      <w:marTop w:val="0"/>
      <w:marBottom w:val="0"/>
      <w:divBdr>
        <w:top w:val="none" w:sz="0" w:space="0" w:color="auto"/>
        <w:left w:val="none" w:sz="0" w:space="0" w:color="auto"/>
        <w:bottom w:val="none" w:sz="0" w:space="0" w:color="auto"/>
        <w:right w:val="none" w:sz="0" w:space="0" w:color="auto"/>
      </w:divBdr>
    </w:div>
    <w:div w:id="297303424">
      <w:bodyDiv w:val="1"/>
      <w:marLeft w:val="0"/>
      <w:marRight w:val="0"/>
      <w:marTop w:val="0"/>
      <w:marBottom w:val="0"/>
      <w:divBdr>
        <w:top w:val="none" w:sz="0" w:space="0" w:color="auto"/>
        <w:left w:val="none" w:sz="0" w:space="0" w:color="auto"/>
        <w:bottom w:val="none" w:sz="0" w:space="0" w:color="auto"/>
        <w:right w:val="none" w:sz="0" w:space="0" w:color="auto"/>
      </w:divBdr>
    </w:div>
    <w:div w:id="322008523">
      <w:bodyDiv w:val="1"/>
      <w:marLeft w:val="0"/>
      <w:marRight w:val="0"/>
      <w:marTop w:val="0"/>
      <w:marBottom w:val="0"/>
      <w:divBdr>
        <w:top w:val="none" w:sz="0" w:space="0" w:color="auto"/>
        <w:left w:val="none" w:sz="0" w:space="0" w:color="auto"/>
        <w:bottom w:val="none" w:sz="0" w:space="0" w:color="auto"/>
        <w:right w:val="none" w:sz="0" w:space="0" w:color="auto"/>
      </w:divBdr>
    </w:div>
    <w:div w:id="335304688">
      <w:bodyDiv w:val="1"/>
      <w:marLeft w:val="0"/>
      <w:marRight w:val="0"/>
      <w:marTop w:val="0"/>
      <w:marBottom w:val="0"/>
      <w:divBdr>
        <w:top w:val="none" w:sz="0" w:space="0" w:color="auto"/>
        <w:left w:val="none" w:sz="0" w:space="0" w:color="auto"/>
        <w:bottom w:val="none" w:sz="0" w:space="0" w:color="auto"/>
        <w:right w:val="none" w:sz="0" w:space="0" w:color="auto"/>
      </w:divBdr>
    </w:div>
    <w:div w:id="398328763">
      <w:bodyDiv w:val="1"/>
      <w:marLeft w:val="0"/>
      <w:marRight w:val="0"/>
      <w:marTop w:val="0"/>
      <w:marBottom w:val="0"/>
      <w:divBdr>
        <w:top w:val="none" w:sz="0" w:space="0" w:color="auto"/>
        <w:left w:val="none" w:sz="0" w:space="0" w:color="auto"/>
        <w:bottom w:val="none" w:sz="0" w:space="0" w:color="auto"/>
        <w:right w:val="none" w:sz="0" w:space="0" w:color="auto"/>
      </w:divBdr>
    </w:div>
    <w:div w:id="460074397">
      <w:bodyDiv w:val="1"/>
      <w:marLeft w:val="0"/>
      <w:marRight w:val="0"/>
      <w:marTop w:val="0"/>
      <w:marBottom w:val="0"/>
      <w:divBdr>
        <w:top w:val="none" w:sz="0" w:space="0" w:color="auto"/>
        <w:left w:val="none" w:sz="0" w:space="0" w:color="auto"/>
        <w:bottom w:val="none" w:sz="0" w:space="0" w:color="auto"/>
        <w:right w:val="none" w:sz="0" w:space="0" w:color="auto"/>
      </w:divBdr>
    </w:div>
    <w:div w:id="480924630">
      <w:bodyDiv w:val="1"/>
      <w:marLeft w:val="0"/>
      <w:marRight w:val="0"/>
      <w:marTop w:val="0"/>
      <w:marBottom w:val="0"/>
      <w:divBdr>
        <w:top w:val="none" w:sz="0" w:space="0" w:color="auto"/>
        <w:left w:val="none" w:sz="0" w:space="0" w:color="auto"/>
        <w:bottom w:val="none" w:sz="0" w:space="0" w:color="auto"/>
        <w:right w:val="none" w:sz="0" w:space="0" w:color="auto"/>
      </w:divBdr>
    </w:div>
    <w:div w:id="492766853">
      <w:bodyDiv w:val="1"/>
      <w:marLeft w:val="0"/>
      <w:marRight w:val="0"/>
      <w:marTop w:val="0"/>
      <w:marBottom w:val="0"/>
      <w:divBdr>
        <w:top w:val="none" w:sz="0" w:space="0" w:color="auto"/>
        <w:left w:val="none" w:sz="0" w:space="0" w:color="auto"/>
        <w:bottom w:val="none" w:sz="0" w:space="0" w:color="auto"/>
        <w:right w:val="none" w:sz="0" w:space="0" w:color="auto"/>
      </w:divBdr>
    </w:div>
    <w:div w:id="532115318">
      <w:bodyDiv w:val="1"/>
      <w:marLeft w:val="0"/>
      <w:marRight w:val="0"/>
      <w:marTop w:val="0"/>
      <w:marBottom w:val="0"/>
      <w:divBdr>
        <w:top w:val="none" w:sz="0" w:space="0" w:color="auto"/>
        <w:left w:val="none" w:sz="0" w:space="0" w:color="auto"/>
        <w:bottom w:val="none" w:sz="0" w:space="0" w:color="auto"/>
        <w:right w:val="none" w:sz="0" w:space="0" w:color="auto"/>
      </w:divBdr>
    </w:div>
    <w:div w:id="558248957">
      <w:bodyDiv w:val="1"/>
      <w:marLeft w:val="0"/>
      <w:marRight w:val="0"/>
      <w:marTop w:val="0"/>
      <w:marBottom w:val="0"/>
      <w:divBdr>
        <w:top w:val="none" w:sz="0" w:space="0" w:color="auto"/>
        <w:left w:val="none" w:sz="0" w:space="0" w:color="auto"/>
        <w:bottom w:val="none" w:sz="0" w:space="0" w:color="auto"/>
        <w:right w:val="none" w:sz="0" w:space="0" w:color="auto"/>
      </w:divBdr>
    </w:div>
    <w:div w:id="564415384">
      <w:bodyDiv w:val="1"/>
      <w:marLeft w:val="0"/>
      <w:marRight w:val="0"/>
      <w:marTop w:val="0"/>
      <w:marBottom w:val="0"/>
      <w:divBdr>
        <w:top w:val="none" w:sz="0" w:space="0" w:color="auto"/>
        <w:left w:val="none" w:sz="0" w:space="0" w:color="auto"/>
        <w:bottom w:val="none" w:sz="0" w:space="0" w:color="auto"/>
        <w:right w:val="none" w:sz="0" w:space="0" w:color="auto"/>
      </w:divBdr>
    </w:div>
    <w:div w:id="577981616">
      <w:bodyDiv w:val="1"/>
      <w:marLeft w:val="0"/>
      <w:marRight w:val="0"/>
      <w:marTop w:val="0"/>
      <w:marBottom w:val="0"/>
      <w:divBdr>
        <w:top w:val="none" w:sz="0" w:space="0" w:color="auto"/>
        <w:left w:val="none" w:sz="0" w:space="0" w:color="auto"/>
        <w:bottom w:val="none" w:sz="0" w:space="0" w:color="auto"/>
        <w:right w:val="none" w:sz="0" w:space="0" w:color="auto"/>
      </w:divBdr>
    </w:div>
    <w:div w:id="639192659">
      <w:bodyDiv w:val="1"/>
      <w:marLeft w:val="0"/>
      <w:marRight w:val="0"/>
      <w:marTop w:val="0"/>
      <w:marBottom w:val="0"/>
      <w:divBdr>
        <w:top w:val="none" w:sz="0" w:space="0" w:color="auto"/>
        <w:left w:val="none" w:sz="0" w:space="0" w:color="auto"/>
        <w:bottom w:val="none" w:sz="0" w:space="0" w:color="auto"/>
        <w:right w:val="none" w:sz="0" w:space="0" w:color="auto"/>
      </w:divBdr>
    </w:div>
    <w:div w:id="641928854">
      <w:bodyDiv w:val="1"/>
      <w:marLeft w:val="0"/>
      <w:marRight w:val="0"/>
      <w:marTop w:val="0"/>
      <w:marBottom w:val="0"/>
      <w:divBdr>
        <w:top w:val="none" w:sz="0" w:space="0" w:color="auto"/>
        <w:left w:val="none" w:sz="0" w:space="0" w:color="auto"/>
        <w:bottom w:val="none" w:sz="0" w:space="0" w:color="auto"/>
        <w:right w:val="none" w:sz="0" w:space="0" w:color="auto"/>
      </w:divBdr>
    </w:div>
    <w:div w:id="644353666">
      <w:bodyDiv w:val="1"/>
      <w:marLeft w:val="0"/>
      <w:marRight w:val="0"/>
      <w:marTop w:val="0"/>
      <w:marBottom w:val="0"/>
      <w:divBdr>
        <w:top w:val="none" w:sz="0" w:space="0" w:color="auto"/>
        <w:left w:val="none" w:sz="0" w:space="0" w:color="auto"/>
        <w:bottom w:val="none" w:sz="0" w:space="0" w:color="auto"/>
        <w:right w:val="none" w:sz="0" w:space="0" w:color="auto"/>
      </w:divBdr>
    </w:div>
    <w:div w:id="692464029">
      <w:bodyDiv w:val="1"/>
      <w:marLeft w:val="0"/>
      <w:marRight w:val="0"/>
      <w:marTop w:val="0"/>
      <w:marBottom w:val="0"/>
      <w:divBdr>
        <w:top w:val="none" w:sz="0" w:space="0" w:color="auto"/>
        <w:left w:val="none" w:sz="0" w:space="0" w:color="auto"/>
        <w:bottom w:val="none" w:sz="0" w:space="0" w:color="auto"/>
        <w:right w:val="none" w:sz="0" w:space="0" w:color="auto"/>
      </w:divBdr>
    </w:div>
    <w:div w:id="743378829">
      <w:bodyDiv w:val="1"/>
      <w:marLeft w:val="0"/>
      <w:marRight w:val="0"/>
      <w:marTop w:val="0"/>
      <w:marBottom w:val="0"/>
      <w:divBdr>
        <w:top w:val="none" w:sz="0" w:space="0" w:color="auto"/>
        <w:left w:val="none" w:sz="0" w:space="0" w:color="auto"/>
        <w:bottom w:val="none" w:sz="0" w:space="0" w:color="auto"/>
        <w:right w:val="none" w:sz="0" w:space="0" w:color="auto"/>
      </w:divBdr>
    </w:div>
    <w:div w:id="753478484">
      <w:bodyDiv w:val="1"/>
      <w:marLeft w:val="0"/>
      <w:marRight w:val="0"/>
      <w:marTop w:val="0"/>
      <w:marBottom w:val="0"/>
      <w:divBdr>
        <w:top w:val="none" w:sz="0" w:space="0" w:color="auto"/>
        <w:left w:val="none" w:sz="0" w:space="0" w:color="auto"/>
        <w:bottom w:val="none" w:sz="0" w:space="0" w:color="auto"/>
        <w:right w:val="none" w:sz="0" w:space="0" w:color="auto"/>
      </w:divBdr>
    </w:div>
    <w:div w:id="756362963">
      <w:bodyDiv w:val="1"/>
      <w:marLeft w:val="0"/>
      <w:marRight w:val="0"/>
      <w:marTop w:val="0"/>
      <w:marBottom w:val="0"/>
      <w:divBdr>
        <w:top w:val="none" w:sz="0" w:space="0" w:color="auto"/>
        <w:left w:val="none" w:sz="0" w:space="0" w:color="auto"/>
        <w:bottom w:val="none" w:sz="0" w:space="0" w:color="auto"/>
        <w:right w:val="none" w:sz="0" w:space="0" w:color="auto"/>
      </w:divBdr>
    </w:div>
    <w:div w:id="757097553">
      <w:bodyDiv w:val="1"/>
      <w:marLeft w:val="0"/>
      <w:marRight w:val="0"/>
      <w:marTop w:val="0"/>
      <w:marBottom w:val="0"/>
      <w:divBdr>
        <w:top w:val="none" w:sz="0" w:space="0" w:color="auto"/>
        <w:left w:val="none" w:sz="0" w:space="0" w:color="auto"/>
        <w:bottom w:val="none" w:sz="0" w:space="0" w:color="auto"/>
        <w:right w:val="none" w:sz="0" w:space="0" w:color="auto"/>
      </w:divBdr>
      <w:divsChild>
        <w:div w:id="419330655">
          <w:marLeft w:val="0"/>
          <w:marRight w:val="0"/>
          <w:marTop w:val="0"/>
          <w:marBottom w:val="0"/>
          <w:divBdr>
            <w:top w:val="none" w:sz="0" w:space="0" w:color="auto"/>
            <w:left w:val="none" w:sz="0" w:space="0" w:color="auto"/>
            <w:bottom w:val="none" w:sz="0" w:space="0" w:color="auto"/>
            <w:right w:val="none" w:sz="0" w:space="0" w:color="auto"/>
          </w:divBdr>
          <w:divsChild>
            <w:div w:id="1987591740">
              <w:marLeft w:val="0"/>
              <w:marRight w:val="0"/>
              <w:marTop w:val="0"/>
              <w:marBottom w:val="0"/>
              <w:divBdr>
                <w:top w:val="none" w:sz="0" w:space="0" w:color="auto"/>
                <w:left w:val="none" w:sz="0" w:space="0" w:color="auto"/>
                <w:bottom w:val="none" w:sz="0" w:space="0" w:color="auto"/>
                <w:right w:val="none" w:sz="0" w:space="0" w:color="auto"/>
              </w:divBdr>
              <w:divsChild>
                <w:div w:id="615521195">
                  <w:marLeft w:val="0"/>
                  <w:marRight w:val="0"/>
                  <w:marTop w:val="0"/>
                  <w:marBottom w:val="0"/>
                  <w:divBdr>
                    <w:top w:val="none" w:sz="0" w:space="0" w:color="auto"/>
                    <w:left w:val="none" w:sz="0" w:space="0" w:color="auto"/>
                    <w:bottom w:val="none" w:sz="0" w:space="0" w:color="auto"/>
                    <w:right w:val="none" w:sz="0" w:space="0" w:color="auto"/>
                  </w:divBdr>
                  <w:divsChild>
                    <w:div w:id="207844081">
                      <w:marLeft w:val="0"/>
                      <w:marRight w:val="0"/>
                      <w:marTop w:val="0"/>
                      <w:marBottom w:val="0"/>
                      <w:divBdr>
                        <w:top w:val="none" w:sz="0" w:space="0" w:color="auto"/>
                        <w:left w:val="none" w:sz="0" w:space="0" w:color="auto"/>
                        <w:bottom w:val="none" w:sz="0" w:space="0" w:color="auto"/>
                        <w:right w:val="none" w:sz="0" w:space="0" w:color="auto"/>
                      </w:divBdr>
                      <w:divsChild>
                        <w:div w:id="7270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2744985">
      <w:bodyDiv w:val="1"/>
      <w:marLeft w:val="0"/>
      <w:marRight w:val="0"/>
      <w:marTop w:val="0"/>
      <w:marBottom w:val="0"/>
      <w:divBdr>
        <w:top w:val="none" w:sz="0" w:space="0" w:color="auto"/>
        <w:left w:val="none" w:sz="0" w:space="0" w:color="auto"/>
        <w:bottom w:val="none" w:sz="0" w:space="0" w:color="auto"/>
        <w:right w:val="none" w:sz="0" w:space="0" w:color="auto"/>
      </w:divBdr>
    </w:div>
    <w:div w:id="795374970">
      <w:bodyDiv w:val="1"/>
      <w:marLeft w:val="0"/>
      <w:marRight w:val="0"/>
      <w:marTop w:val="0"/>
      <w:marBottom w:val="0"/>
      <w:divBdr>
        <w:top w:val="none" w:sz="0" w:space="0" w:color="auto"/>
        <w:left w:val="none" w:sz="0" w:space="0" w:color="auto"/>
        <w:bottom w:val="none" w:sz="0" w:space="0" w:color="auto"/>
        <w:right w:val="none" w:sz="0" w:space="0" w:color="auto"/>
      </w:divBdr>
    </w:div>
    <w:div w:id="808090994">
      <w:bodyDiv w:val="1"/>
      <w:marLeft w:val="0"/>
      <w:marRight w:val="0"/>
      <w:marTop w:val="0"/>
      <w:marBottom w:val="0"/>
      <w:divBdr>
        <w:top w:val="none" w:sz="0" w:space="0" w:color="auto"/>
        <w:left w:val="none" w:sz="0" w:space="0" w:color="auto"/>
        <w:bottom w:val="none" w:sz="0" w:space="0" w:color="auto"/>
        <w:right w:val="none" w:sz="0" w:space="0" w:color="auto"/>
      </w:divBdr>
    </w:div>
    <w:div w:id="814906881">
      <w:bodyDiv w:val="1"/>
      <w:marLeft w:val="0"/>
      <w:marRight w:val="0"/>
      <w:marTop w:val="0"/>
      <w:marBottom w:val="0"/>
      <w:divBdr>
        <w:top w:val="none" w:sz="0" w:space="0" w:color="auto"/>
        <w:left w:val="none" w:sz="0" w:space="0" w:color="auto"/>
        <w:bottom w:val="none" w:sz="0" w:space="0" w:color="auto"/>
        <w:right w:val="none" w:sz="0" w:space="0" w:color="auto"/>
      </w:divBdr>
    </w:div>
    <w:div w:id="912157421">
      <w:bodyDiv w:val="1"/>
      <w:marLeft w:val="0"/>
      <w:marRight w:val="0"/>
      <w:marTop w:val="0"/>
      <w:marBottom w:val="0"/>
      <w:divBdr>
        <w:top w:val="none" w:sz="0" w:space="0" w:color="auto"/>
        <w:left w:val="none" w:sz="0" w:space="0" w:color="auto"/>
        <w:bottom w:val="none" w:sz="0" w:space="0" w:color="auto"/>
        <w:right w:val="none" w:sz="0" w:space="0" w:color="auto"/>
      </w:divBdr>
    </w:div>
    <w:div w:id="923611137">
      <w:bodyDiv w:val="1"/>
      <w:marLeft w:val="0"/>
      <w:marRight w:val="0"/>
      <w:marTop w:val="0"/>
      <w:marBottom w:val="0"/>
      <w:divBdr>
        <w:top w:val="none" w:sz="0" w:space="0" w:color="auto"/>
        <w:left w:val="none" w:sz="0" w:space="0" w:color="auto"/>
        <w:bottom w:val="none" w:sz="0" w:space="0" w:color="auto"/>
        <w:right w:val="none" w:sz="0" w:space="0" w:color="auto"/>
      </w:divBdr>
    </w:div>
    <w:div w:id="986669427">
      <w:bodyDiv w:val="1"/>
      <w:marLeft w:val="0"/>
      <w:marRight w:val="0"/>
      <w:marTop w:val="0"/>
      <w:marBottom w:val="0"/>
      <w:divBdr>
        <w:top w:val="none" w:sz="0" w:space="0" w:color="auto"/>
        <w:left w:val="none" w:sz="0" w:space="0" w:color="auto"/>
        <w:bottom w:val="none" w:sz="0" w:space="0" w:color="auto"/>
        <w:right w:val="none" w:sz="0" w:space="0" w:color="auto"/>
      </w:divBdr>
    </w:div>
    <w:div w:id="1001927406">
      <w:bodyDiv w:val="1"/>
      <w:marLeft w:val="0"/>
      <w:marRight w:val="0"/>
      <w:marTop w:val="0"/>
      <w:marBottom w:val="0"/>
      <w:divBdr>
        <w:top w:val="none" w:sz="0" w:space="0" w:color="auto"/>
        <w:left w:val="none" w:sz="0" w:space="0" w:color="auto"/>
        <w:bottom w:val="none" w:sz="0" w:space="0" w:color="auto"/>
        <w:right w:val="none" w:sz="0" w:space="0" w:color="auto"/>
      </w:divBdr>
    </w:div>
    <w:div w:id="1066027311">
      <w:bodyDiv w:val="1"/>
      <w:marLeft w:val="0"/>
      <w:marRight w:val="0"/>
      <w:marTop w:val="0"/>
      <w:marBottom w:val="0"/>
      <w:divBdr>
        <w:top w:val="none" w:sz="0" w:space="0" w:color="auto"/>
        <w:left w:val="none" w:sz="0" w:space="0" w:color="auto"/>
        <w:bottom w:val="none" w:sz="0" w:space="0" w:color="auto"/>
        <w:right w:val="none" w:sz="0" w:space="0" w:color="auto"/>
      </w:divBdr>
    </w:div>
    <w:div w:id="1068650265">
      <w:bodyDiv w:val="1"/>
      <w:marLeft w:val="0"/>
      <w:marRight w:val="0"/>
      <w:marTop w:val="0"/>
      <w:marBottom w:val="0"/>
      <w:divBdr>
        <w:top w:val="none" w:sz="0" w:space="0" w:color="auto"/>
        <w:left w:val="none" w:sz="0" w:space="0" w:color="auto"/>
        <w:bottom w:val="none" w:sz="0" w:space="0" w:color="auto"/>
        <w:right w:val="none" w:sz="0" w:space="0" w:color="auto"/>
      </w:divBdr>
    </w:div>
    <w:div w:id="1082676962">
      <w:bodyDiv w:val="1"/>
      <w:marLeft w:val="0"/>
      <w:marRight w:val="0"/>
      <w:marTop w:val="0"/>
      <w:marBottom w:val="0"/>
      <w:divBdr>
        <w:top w:val="none" w:sz="0" w:space="0" w:color="auto"/>
        <w:left w:val="none" w:sz="0" w:space="0" w:color="auto"/>
        <w:bottom w:val="none" w:sz="0" w:space="0" w:color="auto"/>
        <w:right w:val="none" w:sz="0" w:space="0" w:color="auto"/>
      </w:divBdr>
    </w:div>
    <w:div w:id="1093477650">
      <w:bodyDiv w:val="1"/>
      <w:marLeft w:val="0"/>
      <w:marRight w:val="0"/>
      <w:marTop w:val="0"/>
      <w:marBottom w:val="0"/>
      <w:divBdr>
        <w:top w:val="none" w:sz="0" w:space="0" w:color="auto"/>
        <w:left w:val="none" w:sz="0" w:space="0" w:color="auto"/>
        <w:bottom w:val="none" w:sz="0" w:space="0" w:color="auto"/>
        <w:right w:val="none" w:sz="0" w:space="0" w:color="auto"/>
      </w:divBdr>
    </w:div>
    <w:div w:id="1109667567">
      <w:bodyDiv w:val="1"/>
      <w:marLeft w:val="0"/>
      <w:marRight w:val="0"/>
      <w:marTop w:val="0"/>
      <w:marBottom w:val="0"/>
      <w:divBdr>
        <w:top w:val="none" w:sz="0" w:space="0" w:color="auto"/>
        <w:left w:val="none" w:sz="0" w:space="0" w:color="auto"/>
        <w:bottom w:val="none" w:sz="0" w:space="0" w:color="auto"/>
        <w:right w:val="none" w:sz="0" w:space="0" w:color="auto"/>
      </w:divBdr>
    </w:div>
    <w:div w:id="1134757908">
      <w:bodyDiv w:val="1"/>
      <w:marLeft w:val="0"/>
      <w:marRight w:val="0"/>
      <w:marTop w:val="0"/>
      <w:marBottom w:val="0"/>
      <w:divBdr>
        <w:top w:val="none" w:sz="0" w:space="0" w:color="auto"/>
        <w:left w:val="none" w:sz="0" w:space="0" w:color="auto"/>
        <w:bottom w:val="none" w:sz="0" w:space="0" w:color="auto"/>
        <w:right w:val="none" w:sz="0" w:space="0" w:color="auto"/>
      </w:divBdr>
    </w:div>
    <w:div w:id="1157847034">
      <w:bodyDiv w:val="1"/>
      <w:marLeft w:val="0"/>
      <w:marRight w:val="0"/>
      <w:marTop w:val="0"/>
      <w:marBottom w:val="0"/>
      <w:divBdr>
        <w:top w:val="none" w:sz="0" w:space="0" w:color="auto"/>
        <w:left w:val="none" w:sz="0" w:space="0" w:color="auto"/>
        <w:bottom w:val="none" w:sz="0" w:space="0" w:color="auto"/>
        <w:right w:val="none" w:sz="0" w:space="0" w:color="auto"/>
      </w:divBdr>
    </w:div>
    <w:div w:id="1238782077">
      <w:bodyDiv w:val="1"/>
      <w:marLeft w:val="0"/>
      <w:marRight w:val="0"/>
      <w:marTop w:val="0"/>
      <w:marBottom w:val="0"/>
      <w:divBdr>
        <w:top w:val="none" w:sz="0" w:space="0" w:color="auto"/>
        <w:left w:val="none" w:sz="0" w:space="0" w:color="auto"/>
        <w:bottom w:val="none" w:sz="0" w:space="0" w:color="auto"/>
        <w:right w:val="none" w:sz="0" w:space="0" w:color="auto"/>
      </w:divBdr>
    </w:div>
    <w:div w:id="1276669387">
      <w:bodyDiv w:val="1"/>
      <w:marLeft w:val="0"/>
      <w:marRight w:val="0"/>
      <w:marTop w:val="0"/>
      <w:marBottom w:val="0"/>
      <w:divBdr>
        <w:top w:val="none" w:sz="0" w:space="0" w:color="auto"/>
        <w:left w:val="none" w:sz="0" w:space="0" w:color="auto"/>
        <w:bottom w:val="none" w:sz="0" w:space="0" w:color="auto"/>
        <w:right w:val="none" w:sz="0" w:space="0" w:color="auto"/>
      </w:divBdr>
    </w:div>
    <w:div w:id="1304964337">
      <w:bodyDiv w:val="1"/>
      <w:marLeft w:val="0"/>
      <w:marRight w:val="0"/>
      <w:marTop w:val="0"/>
      <w:marBottom w:val="0"/>
      <w:divBdr>
        <w:top w:val="none" w:sz="0" w:space="0" w:color="auto"/>
        <w:left w:val="none" w:sz="0" w:space="0" w:color="auto"/>
        <w:bottom w:val="none" w:sz="0" w:space="0" w:color="auto"/>
        <w:right w:val="none" w:sz="0" w:space="0" w:color="auto"/>
      </w:divBdr>
    </w:div>
    <w:div w:id="1342123661">
      <w:bodyDiv w:val="1"/>
      <w:marLeft w:val="0"/>
      <w:marRight w:val="0"/>
      <w:marTop w:val="0"/>
      <w:marBottom w:val="0"/>
      <w:divBdr>
        <w:top w:val="none" w:sz="0" w:space="0" w:color="auto"/>
        <w:left w:val="none" w:sz="0" w:space="0" w:color="auto"/>
        <w:bottom w:val="none" w:sz="0" w:space="0" w:color="auto"/>
        <w:right w:val="none" w:sz="0" w:space="0" w:color="auto"/>
      </w:divBdr>
    </w:div>
    <w:div w:id="1347638121">
      <w:bodyDiv w:val="1"/>
      <w:marLeft w:val="0"/>
      <w:marRight w:val="0"/>
      <w:marTop w:val="0"/>
      <w:marBottom w:val="0"/>
      <w:divBdr>
        <w:top w:val="none" w:sz="0" w:space="0" w:color="auto"/>
        <w:left w:val="none" w:sz="0" w:space="0" w:color="auto"/>
        <w:bottom w:val="none" w:sz="0" w:space="0" w:color="auto"/>
        <w:right w:val="none" w:sz="0" w:space="0" w:color="auto"/>
      </w:divBdr>
    </w:div>
    <w:div w:id="1387291931">
      <w:bodyDiv w:val="1"/>
      <w:marLeft w:val="0"/>
      <w:marRight w:val="0"/>
      <w:marTop w:val="0"/>
      <w:marBottom w:val="0"/>
      <w:divBdr>
        <w:top w:val="none" w:sz="0" w:space="0" w:color="auto"/>
        <w:left w:val="none" w:sz="0" w:space="0" w:color="auto"/>
        <w:bottom w:val="none" w:sz="0" w:space="0" w:color="auto"/>
        <w:right w:val="none" w:sz="0" w:space="0" w:color="auto"/>
      </w:divBdr>
    </w:div>
    <w:div w:id="1413967066">
      <w:bodyDiv w:val="1"/>
      <w:marLeft w:val="0"/>
      <w:marRight w:val="0"/>
      <w:marTop w:val="0"/>
      <w:marBottom w:val="0"/>
      <w:divBdr>
        <w:top w:val="none" w:sz="0" w:space="0" w:color="auto"/>
        <w:left w:val="none" w:sz="0" w:space="0" w:color="auto"/>
        <w:bottom w:val="none" w:sz="0" w:space="0" w:color="auto"/>
        <w:right w:val="none" w:sz="0" w:space="0" w:color="auto"/>
      </w:divBdr>
    </w:div>
    <w:div w:id="1426002046">
      <w:bodyDiv w:val="1"/>
      <w:marLeft w:val="0"/>
      <w:marRight w:val="0"/>
      <w:marTop w:val="0"/>
      <w:marBottom w:val="0"/>
      <w:divBdr>
        <w:top w:val="none" w:sz="0" w:space="0" w:color="auto"/>
        <w:left w:val="none" w:sz="0" w:space="0" w:color="auto"/>
        <w:bottom w:val="none" w:sz="0" w:space="0" w:color="auto"/>
        <w:right w:val="none" w:sz="0" w:space="0" w:color="auto"/>
      </w:divBdr>
    </w:div>
    <w:div w:id="1438137722">
      <w:bodyDiv w:val="1"/>
      <w:marLeft w:val="0"/>
      <w:marRight w:val="0"/>
      <w:marTop w:val="0"/>
      <w:marBottom w:val="0"/>
      <w:divBdr>
        <w:top w:val="none" w:sz="0" w:space="0" w:color="auto"/>
        <w:left w:val="none" w:sz="0" w:space="0" w:color="auto"/>
        <w:bottom w:val="none" w:sz="0" w:space="0" w:color="auto"/>
        <w:right w:val="none" w:sz="0" w:space="0" w:color="auto"/>
      </w:divBdr>
    </w:div>
    <w:div w:id="1448038280">
      <w:bodyDiv w:val="1"/>
      <w:marLeft w:val="0"/>
      <w:marRight w:val="0"/>
      <w:marTop w:val="0"/>
      <w:marBottom w:val="0"/>
      <w:divBdr>
        <w:top w:val="none" w:sz="0" w:space="0" w:color="auto"/>
        <w:left w:val="none" w:sz="0" w:space="0" w:color="auto"/>
        <w:bottom w:val="none" w:sz="0" w:space="0" w:color="auto"/>
        <w:right w:val="none" w:sz="0" w:space="0" w:color="auto"/>
      </w:divBdr>
    </w:div>
    <w:div w:id="1448624054">
      <w:bodyDiv w:val="1"/>
      <w:marLeft w:val="0"/>
      <w:marRight w:val="0"/>
      <w:marTop w:val="0"/>
      <w:marBottom w:val="0"/>
      <w:divBdr>
        <w:top w:val="none" w:sz="0" w:space="0" w:color="auto"/>
        <w:left w:val="none" w:sz="0" w:space="0" w:color="auto"/>
        <w:bottom w:val="none" w:sz="0" w:space="0" w:color="auto"/>
        <w:right w:val="none" w:sz="0" w:space="0" w:color="auto"/>
      </w:divBdr>
    </w:div>
    <w:div w:id="1459493510">
      <w:bodyDiv w:val="1"/>
      <w:marLeft w:val="0"/>
      <w:marRight w:val="0"/>
      <w:marTop w:val="0"/>
      <w:marBottom w:val="0"/>
      <w:divBdr>
        <w:top w:val="none" w:sz="0" w:space="0" w:color="auto"/>
        <w:left w:val="none" w:sz="0" w:space="0" w:color="auto"/>
        <w:bottom w:val="none" w:sz="0" w:space="0" w:color="auto"/>
        <w:right w:val="none" w:sz="0" w:space="0" w:color="auto"/>
      </w:divBdr>
    </w:div>
    <w:div w:id="1474525166">
      <w:bodyDiv w:val="1"/>
      <w:marLeft w:val="0"/>
      <w:marRight w:val="0"/>
      <w:marTop w:val="0"/>
      <w:marBottom w:val="0"/>
      <w:divBdr>
        <w:top w:val="none" w:sz="0" w:space="0" w:color="auto"/>
        <w:left w:val="none" w:sz="0" w:space="0" w:color="auto"/>
        <w:bottom w:val="none" w:sz="0" w:space="0" w:color="auto"/>
        <w:right w:val="none" w:sz="0" w:space="0" w:color="auto"/>
      </w:divBdr>
    </w:div>
    <w:div w:id="1516722797">
      <w:bodyDiv w:val="1"/>
      <w:marLeft w:val="0"/>
      <w:marRight w:val="0"/>
      <w:marTop w:val="0"/>
      <w:marBottom w:val="0"/>
      <w:divBdr>
        <w:top w:val="none" w:sz="0" w:space="0" w:color="auto"/>
        <w:left w:val="none" w:sz="0" w:space="0" w:color="auto"/>
        <w:bottom w:val="none" w:sz="0" w:space="0" w:color="auto"/>
        <w:right w:val="none" w:sz="0" w:space="0" w:color="auto"/>
      </w:divBdr>
    </w:div>
    <w:div w:id="1535312486">
      <w:bodyDiv w:val="1"/>
      <w:marLeft w:val="0"/>
      <w:marRight w:val="0"/>
      <w:marTop w:val="0"/>
      <w:marBottom w:val="0"/>
      <w:divBdr>
        <w:top w:val="none" w:sz="0" w:space="0" w:color="auto"/>
        <w:left w:val="none" w:sz="0" w:space="0" w:color="auto"/>
        <w:bottom w:val="none" w:sz="0" w:space="0" w:color="auto"/>
        <w:right w:val="none" w:sz="0" w:space="0" w:color="auto"/>
      </w:divBdr>
    </w:div>
    <w:div w:id="1535727995">
      <w:bodyDiv w:val="1"/>
      <w:marLeft w:val="0"/>
      <w:marRight w:val="0"/>
      <w:marTop w:val="0"/>
      <w:marBottom w:val="0"/>
      <w:divBdr>
        <w:top w:val="none" w:sz="0" w:space="0" w:color="auto"/>
        <w:left w:val="none" w:sz="0" w:space="0" w:color="auto"/>
        <w:bottom w:val="none" w:sz="0" w:space="0" w:color="auto"/>
        <w:right w:val="none" w:sz="0" w:space="0" w:color="auto"/>
      </w:divBdr>
    </w:div>
    <w:div w:id="1553881638">
      <w:bodyDiv w:val="1"/>
      <w:marLeft w:val="0"/>
      <w:marRight w:val="0"/>
      <w:marTop w:val="0"/>
      <w:marBottom w:val="0"/>
      <w:divBdr>
        <w:top w:val="none" w:sz="0" w:space="0" w:color="auto"/>
        <w:left w:val="none" w:sz="0" w:space="0" w:color="auto"/>
        <w:bottom w:val="none" w:sz="0" w:space="0" w:color="auto"/>
        <w:right w:val="none" w:sz="0" w:space="0" w:color="auto"/>
      </w:divBdr>
    </w:div>
    <w:div w:id="1558323450">
      <w:bodyDiv w:val="1"/>
      <w:marLeft w:val="0"/>
      <w:marRight w:val="0"/>
      <w:marTop w:val="0"/>
      <w:marBottom w:val="0"/>
      <w:divBdr>
        <w:top w:val="none" w:sz="0" w:space="0" w:color="auto"/>
        <w:left w:val="none" w:sz="0" w:space="0" w:color="auto"/>
        <w:bottom w:val="none" w:sz="0" w:space="0" w:color="auto"/>
        <w:right w:val="none" w:sz="0" w:space="0" w:color="auto"/>
      </w:divBdr>
    </w:div>
    <w:div w:id="1563180313">
      <w:bodyDiv w:val="1"/>
      <w:marLeft w:val="0"/>
      <w:marRight w:val="0"/>
      <w:marTop w:val="0"/>
      <w:marBottom w:val="0"/>
      <w:divBdr>
        <w:top w:val="none" w:sz="0" w:space="0" w:color="auto"/>
        <w:left w:val="none" w:sz="0" w:space="0" w:color="auto"/>
        <w:bottom w:val="none" w:sz="0" w:space="0" w:color="auto"/>
        <w:right w:val="none" w:sz="0" w:space="0" w:color="auto"/>
      </w:divBdr>
    </w:div>
    <w:div w:id="1601372643">
      <w:bodyDiv w:val="1"/>
      <w:marLeft w:val="0"/>
      <w:marRight w:val="0"/>
      <w:marTop w:val="0"/>
      <w:marBottom w:val="0"/>
      <w:divBdr>
        <w:top w:val="none" w:sz="0" w:space="0" w:color="auto"/>
        <w:left w:val="none" w:sz="0" w:space="0" w:color="auto"/>
        <w:bottom w:val="none" w:sz="0" w:space="0" w:color="auto"/>
        <w:right w:val="none" w:sz="0" w:space="0" w:color="auto"/>
      </w:divBdr>
    </w:div>
    <w:div w:id="1609964489">
      <w:bodyDiv w:val="1"/>
      <w:marLeft w:val="0"/>
      <w:marRight w:val="0"/>
      <w:marTop w:val="0"/>
      <w:marBottom w:val="0"/>
      <w:divBdr>
        <w:top w:val="none" w:sz="0" w:space="0" w:color="auto"/>
        <w:left w:val="none" w:sz="0" w:space="0" w:color="auto"/>
        <w:bottom w:val="none" w:sz="0" w:space="0" w:color="auto"/>
        <w:right w:val="none" w:sz="0" w:space="0" w:color="auto"/>
      </w:divBdr>
    </w:div>
    <w:div w:id="1612469447">
      <w:bodyDiv w:val="1"/>
      <w:marLeft w:val="0"/>
      <w:marRight w:val="0"/>
      <w:marTop w:val="0"/>
      <w:marBottom w:val="0"/>
      <w:divBdr>
        <w:top w:val="none" w:sz="0" w:space="0" w:color="auto"/>
        <w:left w:val="none" w:sz="0" w:space="0" w:color="auto"/>
        <w:bottom w:val="none" w:sz="0" w:space="0" w:color="auto"/>
        <w:right w:val="none" w:sz="0" w:space="0" w:color="auto"/>
      </w:divBdr>
    </w:div>
    <w:div w:id="1619677815">
      <w:bodyDiv w:val="1"/>
      <w:marLeft w:val="0"/>
      <w:marRight w:val="0"/>
      <w:marTop w:val="0"/>
      <w:marBottom w:val="0"/>
      <w:divBdr>
        <w:top w:val="none" w:sz="0" w:space="0" w:color="auto"/>
        <w:left w:val="none" w:sz="0" w:space="0" w:color="auto"/>
        <w:bottom w:val="none" w:sz="0" w:space="0" w:color="auto"/>
        <w:right w:val="none" w:sz="0" w:space="0" w:color="auto"/>
      </w:divBdr>
    </w:div>
    <w:div w:id="1626889392">
      <w:bodyDiv w:val="1"/>
      <w:marLeft w:val="0"/>
      <w:marRight w:val="0"/>
      <w:marTop w:val="0"/>
      <w:marBottom w:val="0"/>
      <w:divBdr>
        <w:top w:val="none" w:sz="0" w:space="0" w:color="auto"/>
        <w:left w:val="none" w:sz="0" w:space="0" w:color="auto"/>
        <w:bottom w:val="none" w:sz="0" w:space="0" w:color="auto"/>
        <w:right w:val="none" w:sz="0" w:space="0" w:color="auto"/>
      </w:divBdr>
    </w:div>
    <w:div w:id="1642611913">
      <w:bodyDiv w:val="1"/>
      <w:marLeft w:val="0"/>
      <w:marRight w:val="0"/>
      <w:marTop w:val="0"/>
      <w:marBottom w:val="0"/>
      <w:divBdr>
        <w:top w:val="none" w:sz="0" w:space="0" w:color="auto"/>
        <w:left w:val="none" w:sz="0" w:space="0" w:color="auto"/>
        <w:bottom w:val="none" w:sz="0" w:space="0" w:color="auto"/>
        <w:right w:val="none" w:sz="0" w:space="0" w:color="auto"/>
      </w:divBdr>
    </w:div>
    <w:div w:id="1645574682">
      <w:bodyDiv w:val="1"/>
      <w:marLeft w:val="0"/>
      <w:marRight w:val="0"/>
      <w:marTop w:val="0"/>
      <w:marBottom w:val="0"/>
      <w:divBdr>
        <w:top w:val="none" w:sz="0" w:space="0" w:color="auto"/>
        <w:left w:val="none" w:sz="0" w:space="0" w:color="auto"/>
        <w:bottom w:val="none" w:sz="0" w:space="0" w:color="auto"/>
        <w:right w:val="none" w:sz="0" w:space="0" w:color="auto"/>
      </w:divBdr>
    </w:div>
    <w:div w:id="1649093755">
      <w:bodyDiv w:val="1"/>
      <w:marLeft w:val="0"/>
      <w:marRight w:val="0"/>
      <w:marTop w:val="0"/>
      <w:marBottom w:val="0"/>
      <w:divBdr>
        <w:top w:val="none" w:sz="0" w:space="0" w:color="auto"/>
        <w:left w:val="none" w:sz="0" w:space="0" w:color="auto"/>
        <w:bottom w:val="none" w:sz="0" w:space="0" w:color="auto"/>
        <w:right w:val="none" w:sz="0" w:space="0" w:color="auto"/>
      </w:divBdr>
    </w:div>
    <w:div w:id="1686591111">
      <w:bodyDiv w:val="1"/>
      <w:marLeft w:val="0"/>
      <w:marRight w:val="0"/>
      <w:marTop w:val="0"/>
      <w:marBottom w:val="0"/>
      <w:divBdr>
        <w:top w:val="none" w:sz="0" w:space="0" w:color="auto"/>
        <w:left w:val="none" w:sz="0" w:space="0" w:color="auto"/>
        <w:bottom w:val="none" w:sz="0" w:space="0" w:color="auto"/>
        <w:right w:val="none" w:sz="0" w:space="0" w:color="auto"/>
      </w:divBdr>
    </w:div>
    <w:div w:id="1695228941">
      <w:bodyDiv w:val="1"/>
      <w:marLeft w:val="0"/>
      <w:marRight w:val="0"/>
      <w:marTop w:val="0"/>
      <w:marBottom w:val="0"/>
      <w:divBdr>
        <w:top w:val="none" w:sz="0" w:space="0" w:color="auto"/>
        <w:left w:val="none" w:sz="0" w:space="0" w:color="auto"/>
        <w:bottom w:val="none" w:sz="0" w:space="0" w:color="auto"/>
        <w:right w:val="none" w:sz="0" w:space="0" w:color="auto"/>
      </w:divBdr>
    </w:div>
    <w:div w:id="1699965680">
      <w:bodyDiv w:val="1"/>
      <w:marLeft w:val="0"/>
      <w:marRight w:val="0"/>
      <w:marTop w:val="0"/>
      <w:marBottom w:val="0"/>
      <w:divBdr>
        <w:top w:val="none" w:sz="0" w:space="0" w:color="auto"/>
        <w:left w:val="none" w:sz="0" w:space="0" w:color="auto"/>
        <w:bottom w:val="none" w:sz="0" w:space="0" w:color="auto"/>
        <w:right w:val="none" w:sz="0" w:space="0" w:color="auto"/>
      </w:divBdr>
    </w:div>
    <w:div w:id="1713531154">
      <w:bodyDiv w:val="1"/>
      <w:marLeft w:val="0"/>
      <w:marRight w:val="0"/>
      <w:marTop w:val="0"/>
      <w:marBottom w:val="0"/>
      <w:divBdr>
        <w:top w:val="none" w:sz="0" w:space="0" w:color="auto"/>
        <w:left w:val="none" w:sz="0" w:space="0" w:color="auto"/>
        <w:bottom w:val="none" w:sz="0" w:space="0" w:color="auto"/>
        <w:right w:val="none" w:sz="0" w:space="0" w:color="auto"/>
      </w:divBdr>
    </w:div>
    <w:div w:id="1724937989">
      <w:bodyDiv w:val="1"/>
      <w:marLeft w:val="0"/>
      <w:marRight w:val="0"/>
      <w:marTop w:val="0"/>
      <w:marBottom w:val="0"/>
      <w:divBdr>
        <w:top w:val="none" w:sz="0" w:space="0" w:color="auto"/>
        <w:left w:val="none" w:sz="0" w:space="0" w:color="auto"/>
        <w:bottom w:val="none" w:sz="0" w:space="0" w:color="auto"/>
        <w:right w:val="none" w:sz="0" w:space="0" w:color="auto"/>
      </w:divBdr>
    </w:div>
    <w:div w:id="1726831776">
      <w:bodyDiv w:val="1"/>
      <w:marLeft w:val="0"/>
      <w:marRight w:val="0"/>
      <w:marTop w:val="0"/>
      <w:marBottom w:val="0"/>
      <w:divBdr>
        <w:top w:val="none" w:sz="0" w:space="0" w:color="auto"/>
        <w:left w:val="none" w:sz="0" w:space="0" w:color="auto"/>
        <w:bottom w:val="none" w:sz="0" w:space="0" w:color="auto"/>
        <w:right w:val="none" w:sz="0" w:space="0" w:color="auto"/>
      </w:divBdr>
    </w:div>
    <w:div w:id="1757050509">
      <w:bodyDiv w:val="1"/>
      <w:marLeft w:val="0"/>
      <w:marRight w:val="0"/>
      <w:marTop w:val="0"/>
      <w:marBottom w:val="0"/>
      <w:divBdr>
        <w:top w:val="none" w:sz="0" w:space="0" w:color="auto"/>
        <w:left w:val="none" w:sz="0" w:space="0" w:color="auto"/>
        <w:bottom w:val="none" w:sz="0" w:space="0" w:color="auto"/>
        <w:right w:val="none" w:sz="0" w:space="0" w:color="auto"/>
      </w:divBdr>
    </w:div>
    <w:div w:id="1760101304">
      <w:bodyDiv w:val="1"/>
      <w:marLeft w:val="0"/>
      <w:marRight w:val="0"/>
      <w:marTop w:val="0"/>
      <w:marBottom w:val="0"/>
      <w:divBdr>
        <w:top w:val="none" w:sz="0" w:space="0" w:color="auto"/>
        <w:left w:val="none" w:sz="0" w:space="0" w:color="auto"/>
        <w:bottom w:val="none" w:sz="0" w:space="0" w:color="auto"/>
        <w:right w:val="none" w:sz="0" w:space="0" w:color="auto"/>
      </w:divBdr>
    </w:div>
    <w:div w:id="1762681325">
      <w:bodyDiv w:val="1"/>
      <w:marLeft w:val="0"/>
      <w:marRight w:val="0"/>
      <w:marTop w:val="0"/>
      <w:marBottom w:val="0"/>
      <w:divBdr>
        <w:top w:val="none" w:sz="0" w:space="0" w:color="auto"/>
        <w:left w:val="none" w:sz="0" w:space="0" w:color="auto"/>
        <w:bottom w:val="none" w:sz="0" w:space="0" w:color="auto"/>
        <w:right w:val="none" w:sz="0" w:space="0" w:color="auto"/>
      </w:divBdr>
    </w:div>
    <w:div w:id="1768039901">
      <w:bodyDiv w:val="1"/>
      <w:marLeft w:val="0"/>
      <w:marRight w:val="0"/>
      <w:marTop w:val="0"/>
      <w:marBottom w:val="0"/>
      <w:divBdr>
        <w:top w:val="none" w:sz="0" w:space="0" w:color="auto"/>
        <w:left w:val="none" w:sz="0" w:space="0" w:color="auto"/>
        <w:bottom w:val="none" w:sz="0" w:space="0" w:color="auto"/>
        <w:right w:val="none" w:sz="0" w:space="0" w:color="auto"/>
      </w:divBdr>
    </w:div>
    <w:div w:id="1772433549">
      <w:bodyDiv w:val="1"/>
      <w:marLeft w:val="0"/>
      <w:marRight w:val="0"/>
      <w:marTop w:val="0"/>
      <w:marBottom w:val="0"/>
      <w:divBdr>
        <w:top w:val="none" w:sz="0" w:space="0" w:color="auto"/>
        <w:left w:val="none" w:sz="0" w:space="0" w:color="auto"/>
        <w:bottom w:val="none" w:sz="0" w:space="0" w:color="auto"/>
        <w:right w:val="none" w:sz="0" w:space="0" w:color="auto"/>
      </w:divBdr>
    </w:div>
    <w:div w:id="1773626453">
      <w:bodyDiv w:val="1"/>
      <w:marLeft w:val="0"/>
      <w:marRight w:val="0"/>
      <w:marTop w:val="0"/>
      <w:marBottom w:val="0"/>
      <w:divBdr>
        <w:top w:val="none" w:sz="0" w:space="0" w:color="auto"/>
        <w:left w:val="none" w:sz="0" w:space="0" w:color="auto"/>
        <w:bottom w:val="none" w:sz="0" w:space="0" w:color="auto"/>
        <w:right w:val="none" w:sz="0" w:space="0" w:color="auto"/>
      </w:divBdr>
    </w:div>
    <w:div w:id="1860897793">
      <w:bodyDiv w:val="1"/>
      <w:marLeft w:val="0"/>
      <w:marRight w:val="0"/>
      <w:marTop w:val="0"/>
      <w:marBottom w:val="0"/>
      <w:divBdr>
        <w:top w:val="none" w:sz="0" w:space="0" w:color="auto"/>
        <w:left w:val="none" w:sz="0" w:space="0" w:color="auto"/>
        <w:bottom w:val="none" w:sz="0" w:space="0" w:color="auto"/>
        <w:right w:val="none" w:sz="0" w:space="0" w:color="auto"/>
      </w:divBdr>
    </w:div>
    <w:div w:id="1902862002">
      <w:bodyDiv w:val="1"/>
      <w:marLeft w:val="0"/>
      <w:marRight w:val="0"/>
      <w:marTop w:val="0"/>
      <w:marBottom w:val="0"/>
      <w:divBdr>
        <w:top w:val="none" w:sz="0" w:space="0" w:color="auto"/>
        <w:left w:val="none" w:sz="0" w:space="0" w:color="auto"/>
        <w:bottom w:val="none" w:sz="0" w:space="0" w:color="auto"/>
        <w:right w:val="none" w:sz="0" w:space="0" w:color="auto"/>
      </w:divBdr>
    </w:div>
    <w:div w:id="1919705737">
      <w:bodyDiv w:val="1"/>
      <w:marLeft w:val="0"/>
      <w:marRight w:val="0"/>
      <w:marTop w:val="0"/>
      <w:marBottom w:val="0"/>
      <w:divBdr>
        <w:top w:val="none" w:sz="0" w:space="0" w:color="auto"/>
        <w:left w:val="none" w:sz="0" w:space="0" w:color="auto"/>
        <w:bottom w:val="none" w:sz="0" w:space="0" w:color="auto"/>
        <w:right w:val="none" w:sz="0" w:space="0" w:color="auto"/>
      </w:divBdr>
    </w:div>
    <w:div w:id="1922565467">
      <w:bodyDiv w:val="1"/>
      <w:marLeft w:val="0"/>
      <w:marRight w:val="0"/>
      <w:marTop w:val="0"/>
      <w:marBottom w:val="0"/>
      <w:divBdr>
        <w:top w:val="none" w:sz="0" w:space="0" w:color="auto"/>
        <w:left w:val="none" w:sz="0" w:space="0" w:color="auto"/>
        <w:bottom w:val="none" w:sz="0" w:space="0" w:color="auto"/>
        <w:right w:val="none" w:sz="0" w:space="0" w:color="auto"/>
      </w:divBdr>
    </w:div>
    <w:div w:id="1946306205">
      <w:bodyDiv w:val="1"/>
      <w:marLeft w:val="0"/>
      <w:marRight w:val="0"/>
      <w:marTop w:val="0"/>
      <w:marBottom w:val="0"/>
      <w:divBdr>
        <w:top w:val="none" w:sz="0" w:space="0" w:color="auto"/>
        <w:left w:val="none" w:sz="0" w:space="0" w:color="auto"/>
        <w:bottom w:val="none" w:sz="0" w:space="0" w:color="auto"/>
        <w:right w:val="none" w:sz="0" w:space="0" w:color="auto"/>
      </w:divBdr>
    </w:div>
    <w:div w:id="1947805896">
      <w:bodyDiv w:val="1"/>
      <w:marLeft w:val="0"/>
      <w:marRight w:val="0"/>
      <w:marTop w:val="0"/>
      <w:marBottom w:val="0"/>
      <w:divBdr>
        <w:top w:val="none" w:sz="0" w:space="0" w:color="auto"/>
        <w:left w:val="none" w:sz="0" w:space="0" w:color="auto"/>
        <w:bottom w:val="none" w:sz="0" w:space="0" w:color="auto"/>
        <w:right w:val="none" w:sz="0" w:space="0" w:color="auto"/>
      </w:divBdr>
    </w:div>
    <w:div w:id="2047832112">
      <w:bodyDiv w:val="1"/>
      <w:marLeft w:val="0"/>
      <w:marRight w:val="0"/>
      <w:marTop w:val="0"/>
      <w:marBottom w:val="0"/>
      <w:divBdr>
        <w:top w:val="none" w:sz="0" w:space="0" w:color="auto"/>
        <w:left w:val="none" w:sz="0" w:space="0" w:color="auto"/>
        <w:bottom w:val="none" w:sz="0" w:space="0" w:color="auto"/>
        <w:right w:val="none" w:sz="0" w:space="0" w:color="auto"/>
      </w:divBdr>
    </w:div>
    <w:div w:id="2075883191">
      <w:bodyDiv w:val="1"/>
      <w:marLeft w:val="0"/>
      <w:marRight w:val="0"/>
      <w:marTop w:val="0"/>
      <w:marBottom w:val="0"/>
      <w:divBdr>
        <w:top w:val="none" w:sz="0" w:space="0" w:color="auto"/>
        <w:left w:val="none" w:sz="0" w:space="0" w:color="auto"/>
        <w:bottom w:val="none" w:sz="0" w:space="0" w:color="auto"/>
        <w:right w:val="none" w:sz="0" w:space="0" w:color="auto"/>
      </w:divBdr>
    </w:div>
    <w:div w:id="2093693723">
      <w:bodyDiv w:val="1"/>
      <w:marLeft w:val="0"/>
      <w:marRight w:val="0"/>
      <w:marTop w:val="0"/>
      <w:marBottom w:val="0"/>
      <w:divBdr>
        <w:top w:val="none" w:sz="0" w:space="0" w:color="auto"/>
        <w:left w:val="none" w:sz="0" w:space="0" w:color="auto"/>
        <w:bottom w:val="none" w:sz="0" w:space="0" w:color="auto"/>
        <w:right w:val="none" w:sz="0" w:space="0" w:color="auto"/>
      </w:divBdr>
    </w:div>
    <w:div w:id="2099446401">
      <w:bodyDiv w:val="1"/>
      <w:marLeft w:val="0"/>
      <w:marRight w:val="0"/>
      <w:marTop w:val="0"/>
      <w:marBottom w:val="0"/>
      <w:divBdr>
        <w:top w:val="none" w:sz="0" w:space="0" w:color="auto"/>
        <w:left w:val="none" w:sz="0" w:space="0" w:color="auto"/>
        <w:bottom w:val="none" w:sz="0" w:space="0" w:color="auto"/>
        <w:right w:val="none" w:sz="0" w:space="0" w:color="auto"/>
      </w:divBdr>
    </w:div>
    <w:div w:id="2112385647">
      <w:bodyDiv w:val="1"/>
      <w:marLeft w:val="0"/>
      <w:marRight w:val="0"/>
      <w:marTop w:val="0"/>
      <w:marBottom w:val="0"/>
      <w:divBdr>
        <w:top w:val="none" w:sz="0" w:space="0" w:color="auto"/>
        <w:left w:val="none" w:sz="0" w:space="0" w:color="auto"/>
        <w:bottom w:val="none" w:sz="0" w:space="0" w:color="auto"/>
        <w:right w:val="none" w:sz="0" w:space="0" w:color="auto"/>
      </w:divBdr>
    </w:div>
    <w:div w:id="2134519141">
      <w:bodyDiv w:val="1"/>
      <w:marLeft w:val="0"/>
      <w:marRight w:val="0"/>
      <w:marTop w:val="0"/>
      <w:marBottom w:val="0"/>
      <w:divBdr>
        <w:top w:val="none" w:sz="0" w:space="0" w:color="auto"/>
        <w:left w:val="none" w:sz="0" w:space="0" w:color="auto"/>
        <w:bottom w:val="none" w:sz="0" w:space="0" w:color="auto"/>
        <w:right w:val="none" w:sz="0" w:space="0" w:color="auto"/>
      </w:divBdr>
    </w:div>
    <w:div w:id="2136025305">
      <w:bodyDiv w:val="1"/>
      <w:marLeft w:val="0"/>
      <w:marRight w:val="0"/>
      <w:marTop w:val="0"/>
      <w:marBottom w:val="0"/>
      <w:divBdr>
        <w:top w:val="none" w:sz="0" w:space="0" w:color="auto"/>
        <w:left w:val="none" w:sz="0" w:space="0" w:color="auto"/>
        <w:bottom w:val="none" w:sz="0" w:space="0" w:color="auto"/>
        <w:right w:val="none" w:sz="0" w:space="0" w:color="auto"/>
      </w:divBdr>
    </w:div>
    <w:div w:id="2141722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96.xml"/><Relationship Id="rId21" Type="http://schemas.openxmlformats.org/officeDocument/2006/relationships/chart" Target="charts/chart7.xml"/><Relationship Id="rId42" Type="http://schemas.openxmlformats.org/officeDocument/2006/relationships/chart" Target="charts/chart26.xml"/><Relationship Id="rId63" Type="http://schemas.openxmlformats.org/officeDocument/2006/relationships/chart" Target="charts/chart46.xml"/><Relationship Id="rId84" Type="http://schemas.openxmlformats.org/officeDocument/2006/relationships/chart" Target="charts/chart64.xml"/><Relationship Id="rId138" Type="http://schemas.openxmlformats.org/officeDocument/2006/relationships/hyperlink" Target="http://www.iiasa.ac.at/search/publication.php?authors=KC,S." TargetMode="External"/><Relationship Id="rId107" Type="http://schemas.openxmlformats.org/officeDocument/2006/relationships/chart" Target="charts/chart87.xml"/><Relationship Id="rId11" Type="http://schemas.openxmlformats.org/officeDocument/2006/relationships/endnotes" Target="endnotes.xml"/><Relationship Id="rId32" Type="http://schemas.openxmlformats.org/officeDocument/2006/relationships/image" Target="media/image3.emf"/><Relationship Id="rId53" Type="http://schemas.openxmlformats.org/officeDocument/2006/relationships/chart" Target="charts/chart36.xml"/><Relationship Id="rId74" Type="http://schemas.openxmlformats.org/officeDocument/2006/relationships/chart" Target="charts/chart54.xml"/><Relationship Id="rId128" Type="http://schemas.openxmlformats.org/officeDocument/2006/relationships/hyperlink" Target="http://www.iiasa.ac.at/search/publication.php?authors=Sanderson,W.C." TargetMode="External"/><Relationship Id="rId149" Type="http://schemas.openxmlformats.org/officeDocument/2006/relationships/hyperlink" Target="http://www.smeru.or.id/en/content/robert-sparrow" TargetMode="External"/><Relationship Id="rId5" Type="http://schemas.openxmlformats.org/officeDocument/2006/relationships/customXml" Target="../customXml/item5.xml"/><Relationship Id="rId95" Type="http://schemas.openxmlformats.org/officeDocument/2006/relationships/chart" Target="charts/chart75.xml"/><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image" Target="media/image4.emf"/><Relationship Id="rId48" Type="http://schemas.openxmlformats.org/officeDocument/2006/relationships/chart" Target="charts/chart31.xml"/><Relationship Id="rId64" Type="http://schemas.openxmlformats.org/officeDocument/2006/relationships/chart" Target="charts/chart47.xml"/><Relationship Id="rId69" Type="http://schemas.openxmlformats.org/officeDocument/2006/relationships/image" Target="media/image5.emf"/><Relationship Id="rId113" Type="http://schemas.openxmlformats.org/officeDocument/2006/relationships/chart" Target="charts/chart92.xml"/><Relationship Id="rId118" Type="http://schemas.openxmlformats.org/officeDocument/2006/relationships/chart" Target="charts/chart97.xml"/><Relationship Id="rId134" Type="http://schemas.openxmlformats.org/officeDocument/2006/relationships/diagramQuickStyle" Target="diagrams/quickStyle1.xml"/><Relationship Id="rId139" Type="http://schemas.openxmlformats.org/officeDocument/2006/relationships/image" Target="media/image12.emf"/><Relationship Id="rId80" Type="http://schemas.openxmlformats.org/officeDocument/2006/relationships/chart" Target="charts/chart60.xml"/><Relationship Id="rId85" Type="http://schemas.openxmlformats.org/officeDocument/2006/relationships/chart" Target="charts/chart65.xml"/><Relationship Id="rId150" Type="http://schemas.openxmlformats.org/officeDocument/2006/relationships/footer" Target="footer3.xml"/><Relationship Id="rId12" Type="http://schemas.openxmlformats.org/officeDocument/2006/relationships/image" Target="media/image1.png"/><Relationship Id="rId17" Type="http://schemas.openxmlformats.org/officeDocument/2006/relationships/chart" Target="charts/chart3.xml"/><Relationship Id="rId33" Type="http://schemas.openxmlformats.org/officeDocument/2006/relationships/chart" Target="charts/chart17.xml"/><Relationship Id="rId38" Type="http://schemas.openxmlformats.org/officeDocument/2006/relationships/chart" Target="charts/chart22.xml"/><Relationship Id="rId59" Type="http://schemas.openxmlformats.org/officeDocument/2006/relationships/chart" Target="charts/chart42.xml"/><Relationship Id="rId103" Type="http://schemas.openxmlformats.org/officeDocument/2006/relationships/chart" Target="charts/chart83.xml"/><Relationship Id="rId108" Type="http://schemas.openxmlformats.org/officeDocument/2006/relationships/chart" Target="charts/chart88.xml"/><Relationship Id="rId124" Type="http://schemas.openxmlformats.org/officeDocument/2006/relationships/hyperlink" Target="http://www.iiasa.ac.at/search/publication.php?authors=KC,S." TargetMode="External"/><Relationship Id="rId129" Type="http://schemas.openxmlformats.org/officeDocument/2006/relationships/hyperlink" Target="http://www.iiasa.ac.at/search/publication.php?authors=Lutz,W." TargetMode="External"/><Relationship Id="rId54" Type="http://schemas.openxmlformats.org/officeDocument/2006/relationships/chart" Target="charts/chart37.xml"/><Relationship Id="rId70" Type="http://schemas.openxmlformats.org/officeDocument/2006/relationships/image" Target="media/image6.emf"/><Relationship Id="rId75" Type="http://schemas.openxmlformats.org/officeDocument/2006/relationships/chart" Target="charts/chart55.xml"/><Relationship Id="rId91" Type="http://schemas.openxmlformats.org/officeDocument/2006/relationships/chart" Target="charts/chart71.xml"/><Relationship Id="rId96" Type="http://schemas.openxmlformats.org/officeDocument/2006/relationships/chart" Target="charts/chart76.xml"/><Relationship Id="rId140" Type="http://schemas.openxmlformats.org/officeDocument/2006/relationships/chart" Target="charts/chart102.xml"/><Relationship Id="rId145" Type="http://schemas.openxmlformats.org/officeDocument/2006/relationships/chart" Target="charts/chart105.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chart" Target="charts/chart9.xml"/><Relationship Id="rId28" Type="http://schemas.openxmlformats.org/officeDocument/2006/relationships/image" Target="media/image2.png"/><Relationship Id="rId49" Type="http://schemas.openxmlformats.org/officeDocument/2006/relationships/chart" Target="charts/chart32.xml"/><Relationship Id="rId114" Type="http://schemas.openxmlformats.org/officeDocument/2006/relationships/chart" Target="charts/chart93.xml"/><Relationship Id="rId119" Type="http://schemas.openxmlformats.org/officeDocument/2006/relationships/chart" Target="charts/chart98.xml"/><Relationship Id="rId44" Type="http://schemas.openxmlformats.org/officeDocument/2006/relationships/chart" Target="charts/chart27.xml"/><Relationship Id="rId60" Type="http://schemas.openxmlformats.org/officeDocument/2006/relationships/chart" Target="charts/chart43.xml"/><Relationship Id="rId65" Type="http://schemas.openxmlformats.org/officeDocument/2006/relationships/chart" Target="charts/chart48.xml"/><Relationship Id="rId81" Type="http://schemas.openxmlformats.org/officeDocument/2006/relationships/chart" Target="charts/chart61.xml"/><Relationship Id="rId86" Type="http://schemas.openxmlformats.org/officeDocument/2006/relationships/chart" Target="charts/chart66.xml"/><Relationship Id="rId130" Type="http://schemas.openxmlformats.org/officeDocument/2006/relationships/image" Target="media/image11.wmf"/><Relationship Id="rId135" Type="http://schemas.openxmlformats.org/officeDocument/2006/relationships/diagramColors" Target="diagrams/colors1.xml"/><Relationship Id="rId151"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chart" Target="charts/chart4.xml"/><Relationship Id="rId39" Type="http://schemas.openxmlformats.org/officeDocument/2006/relationships/chart" Target="charts/chart23.xml"/><Relationship Id="rId109" Type="http://schemas.openxmlformats.org/officeDocument/2006/relationships/chart" Target="charts/chart89.xml"/><Relationship Id="rId34" Type="http://schemas.openxmlformats.org/officeDocument/2006/relationships/chart" Target="charts/chart18.xml"/><Relationship Id="rId50" Type="http://schemas.openxmlformats.org/officeDocument/2006/relationships/chart" Target="charts/chart33.xml"/><Relationship Id="rId55" Type="http://schemas.openxmlformats.org/officeDocument/2006/relationships/chart" Target="charts/chart38.xml"/><Relationship Id="rId76" Type="http://schemas.openxmlformats.org/officeDocument/2006/relationships/chart" Target="charts/chart56.xml"/><Relationship Id="rId97" Type="http://schemas.openxmlformats.org/officeDocument/2006/relationships/chart" Target="charts/chart77.xml"/><Relationship Id="rId104" Type="http://schemas.openxmlformats.org/officeDocument/2006/relationships/chart" Target="charts/chart84.xml"/><Relationship Id="rId120" Type="http://schemas.openxmlformats.org/officeDocument/2006/relationships/chart" Target="charts/chart99.xml"/><Relationship Id="rId125" Type="http://schemas.openxmlformats.org/officeDocument/2006/relationships/hyperlink" Target="http://www.iiasa.ac.at/search/publication.php?authors=Barakat,B." TargetMode="External"/><Relationship Id="rId141" Type="http://schemas.openxmlformats.org/officeDocument/2006/relationships/chart" Target="charts/chart103.xml"/><Relationship Id="rId146" Type="http://schemas.openxmlformats.org/officeDocument/2006/relationships/chart" Target="charts/chart106.xml"/><Relationship Id="rId7" Type="http://schemas.openxmlformats.org/officeDocument/2006/relationships/styles" Target="styles.xml"/><Relationship Id="rId71" Type="http://schemas.openxmlformats.org/officeDocument/2006/relationships/image" Target="media/image7.emf"/><Relationship Id="rId92" Type="http://schemas.openxmlformats.org/officeDocument/2006/relationships/chart" Target="charts/chart72.xml"/><Relationship Id="rId2" Type="http://schemas.openxmlformats.org/officeDocument/2006/relationships/customXml" Target="../customXml/item2.xml"/><Relationship Id="rId29" Type="http://schemas.openxmlformats.org/officeDocument/2006/relationships/chart" Target="charts/chart14.xml"/><Relationship Id="rId24" Type="http://schemas.openxmlformats.org/officeDocument/2006/relationships/chart" Target="charts/chart10.xml"/><Relationship Id="rId40" Type="http://schemas.openxmlformats.org/officeDocument/2006/relationships/chart" Target="charts/chart24.xml"/><Relationship Id="rId45" Type="http://schemas.openxmlformats.org/officeDocument/2006/relationships/chart" Target="charts/chart28.xml"/><Relationship Id="rId66" Type="http://schemas.openxmlformats.org/officeDocument/2006/relationships/chart" Target="charts/chart49.xml"/><Relationship Id="rId87" Type="http://schemas.openxmlformats.org/officeDocument/2006/relationships/chart" Target="charts/chart67.xml"/><Relationship Id="rId110" Type="http://schemas.openxmlformats.org/officeDocument/2006/relationships/chart" Target="charts/chart90.xml"/><Relationship Id="rId115" Type="http://schemas.openxmlformats.org/officeDocument/2006/relationships/chart" Target="charts/chart94.xml"/><Relationship Id="rId131" Type="http://schemas.openxmlformats.org/officeDocument/2006/relationships/oleObject" Target="embeddings/oleObject1.bin"/><Relationship Id="rId136" Type="http://schemas.microsoft.com/office/2007/relationships/diagramDrawing" Target="diagrams/drawing1.xml"/><Relationship Id="rId61" Type="http://schemas.openxmlformats.org/officeDocument/2006/relationships/chart" Target="charts/chart44.xml"/><Relationship Id="rId82" Type="http://schemas.openxmlformats.org/officeDocument/2006/relationships/chart" Target="charts/chart62.xml"/><Relationship Id="rId152" Type="http://schemas.openxmlformats.org/officeDocument/2006/relationships/theme" Target="theme/theme1.xml"/><Relationship Id="rId19" Type="http://schemas.openxmlformats.org/officeDocument/2006/relationships/chart" Target="charts/chart5.xml"/><Relationship Id="rId14" Type="http://schemas.openxmlformats.org/officeDocument/2006/relationships/footer" Target="footer2.xml"/><Relationship Id="rId30" Type="http://schemas.openxmlformats.org/officeDocument/2006/relationships/chart" Target="charts/chart15.xml"/><Relationship Id="rId35" Type="http://schemas.openxmlformats.org/officeDocument/2006/relationships/chart" Target="charts/chart19.xml"/><Relationship Id="rId56" Type="http://schemas.openxmlformats.org/officeDocument/2006/relationships/chart" Target="charts/chart39.xml"/><Relationship Id="rId77" Type="http://schemas.openxmlformats.org/officeDocument/2006/relationships/chart" Target="charts/chart57.xml"/><Relationship Id="rId100" Type="http://schemas.openxmlformats.org/officeDocument/2006/relationships/chart" Target="charts/chart80.xml"/><Relationship Id="rId105" Type="http://schemas.openxmlformats.org/officeDocument/2006/relationships/chart" Target="charts/chart85.xml"/><Relationship Id="rId126" Type="http://schemas.openxmlformats.org/officeDocument/2006/relationships/hyperlink" Target="http://www.iiasa.ac.at/search/publication.php?authors=Goujon,A." TargetMode="External"/><Relationship Id="rId147" Type="http://schemas.openxmlformats.org/officeDocument/2006/relationships/chart" Target="charts/chart107.xml"/><Relationship Id="rId8" Type="http://schemas.openxmlformats.org/officeDocument/2006/relationships/settings" Target="settings.xml"/><Relationship Id="rId51" Type="http://schemas.openxmlformats.org/officeDocument/2006/relationships/chart" Target="charts/chart34.xml"/><Relationship Id="rId72" Type="http://schemas.openxmlformats.org/officeDocument/2006/relationships/chart" Target="charts/chart52.xml"/><Relationship Id="rId93" Type="http://schemas.openxmlformats.org/officeDocument/2006/relationships/chart" Target="charts/chart73.xml"/><Relationship Id="rId98" Type="http://schemas.openxmlformats.org/officeDocument/2006/relationships/chart" Target="charts/chart78.xml"/><Relationship Id="rId121" Type="http://schemas.openxmlformats.org/officeDocument/2006/relationships/chart" Target="charts/chart100.xml"/><Relationship Id="rId142" Type="http://schemas.openxmlformats.org/officeDocument/2006/relationships/chart" Target="charts/chart104.xml"/><Relationship Id="rId3" Type="http://schemas.openxmlformats.org/officeDocument/2006/relationships/customXml" Target="../customXml/item3.xml"/><Relationship Id="rId25" Type="http://schemas.openxmlformats.org/officeDocument/2006/relationships/chart" Target="charts/chart11.xml"/><Relationship Id="rId46" Type="http://schemas.openxmlformats.org/officeDocument/2006/relationships/chart" Target="charts/chart29.xml"/><Relationship Id="rId67" Type="http://schemas.openxmlformats.org/officeDocument/2006/relationships/chart" Target="charts/chart50.xml"/><Relationship Id="rId116" Type="http://schemas.openxmlformats.org/officeDocument/2006/relationships/chart" Target="charts/chart95.xml"/><Relationship Id="rId137" Type="http://schemas.openxmlformats.org/officeDocument/2006/relationships/chart" Target="charts/chart101.xml"/><Relationship Id="rId20" Type="http://schemas.openxmlformats.org/officeDocument/2006/relationships/chart" Target="charts/chart6.xml"/><Relationship Id="rId41" Type="http://schemas.openxmlformats.org/officeDocument/2006/relationships/chart" Target="charts/chart25.xml"/><Relationship Id="rId62" Type="http://schemas.openxmlformats.org/officeDocument/2006/relationships/chart" Target="charts/chart45.xml"/><Relationship Id="rId83" Type="http://schemas.openxmlformats.org/officeDocument/2006/relationships/chart" Target="charts/chart63.xml"/><Relationship Id="rId88" Type="http://schemas.openxmlformats.org/officeDocument/2006/relationships/chart" Target="charts/chart68.xml"/><Relationship Id="rId111" Type="http://schemas.openxmlformats.org/officeDocument/2006/relationships/image" Target="media/image8.emf"/><Relationship Id="rId132" Type="http://schemas.openxmlformats.org/officeDocument/2006/relationships/diagramData" Target="diagrams/data1.xml"/><Relationship Id="rId15" Type="http://schemas.openxmlformats.org/officeDocument/2006/relationships/chart" Target="charts/chart1.xml"/><Relationship Id="rId36" Type="http://schemas.openxmlformats.org/officeDocument/2006/relationships/chart" Target="charts/chart20.xml"/><Relationship Id="rId57" Type="http://schemas.openxmlformats.org/officeDocument/2006/relationships/chart" Target="charts/chart40.xml"/><Relationship Id="rId106" Type="http://schemas.openxmlformats.org/officeDocument/2006/relationships/chart" Target="charts/chart86.xml"/><Relationship Id="rId127" Type="http://schemas.openxmlformats.org/officeDocument/2006/relationships/hyperlink" Target="http://www.iiasa.ac.at/search/publication.php?authors=Skirbekk,V." TargetMode="External"/><Relationship Id="rId10" Type="http://schemas.openxmlformats.org/officeDocument/2006/relationships/footnotes" Target="footnotes.xml"/><Relationship Id="rId31" Type="http://schemas.openxmlformats.org/officeDocument/2006/relationships/chart" Target="charts/chart16.xml"/><Relationship Id="rId52" Type="http://schemas.openxmlformats.org/officeDocument/2006/relationships/chart" Target="charts/chart35.xml"/><Relationship Id="rId73" Type="http://schemas.openxmlformats.org/officeDocument/2006/relationships/chart" Target="charts/chart53.xml"/><Relationship Id="rId78" Type="http://schemas.openxmlformats.org/officeDocument/2006/relationships/chart" Target="charts/chart58.xml"/><Relationship Id="rId94" Type="http://schemas.openxmlformats.org/officeDocument/2006/relationships/chart" Target="charts/chart74.xml"/><Relationship Id="rId99" Type="http://schemas.openxmlformats.org/officeDocument/2006/relationships/chart" Target="charts/chart79.xml"/><Relationship Id="rId101" Type="http://schemas.openxmlformats.org/officeDocument/2006/relationships/chart" Target="charts/chart81.xml"/><Relationship Id="rId122" Type="http://schemas.openxmlformats.org/officeDocument/2006/relationships/image" Target="media/image9.jpeg"/><Relationship Id="rId143" Type="http://schemas.openxmlformats.org/officeDocument/2006/relationships/image" Target="media/image13.emf"/><Relationship Id="rId148" Type="http://schemas.openxmlformats.org/officeDocument/2006/relationships/chart" Target="charts/chart108.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chart" Target="charts/chart12.xml"/><Relationship Id="rId47" Type="http://schemas.openxmlformats.org/officeDocument/2006/relationships/chart" Target="charts/chart30.xml"/><Relationship Id="rId68" Type="http://schemas.openxmlformats.org/officeDocument/2006/relationships/chart" Target="charts/chart51.xml"/><Relationship Id="rId89" Type="http://schemas.openxmlformats.org/officeDocument/2006/relationships/chart" Target="charts/chart69.xml"/><Relationship Id="rId112" Type="http://schemas.openxmlformats.org/officeDocument/2006/relationships/chart" Target="charts/chart91.xml"/><Relationship Id="rId133" Type="http://schemas.openxmlformats.org/officeDocument/2006/relationships/diagramLayout" Target="diagrams/layout1.xml"/><Relationship Id="rId16" Type="http://schemas.openxmlformats.org/officeDocument/2006/relationships/chart" Target="charts/chart2.xml"/><Relationship Id="rId37" Type="http://schemas.openxmlformats.org/officeDocument/2006/relationships/chart" Target="charts/chart21.xml"/><Relationship Id="rId58" Type="http://schemas.openxmlformats.org/officeDocument/2006/relationships/chart" Target="charts/chart41.xml"/><Relationship Id="rId79" Type="http://schemas.openxmlformats.org/officeDocument/2006/relationships/chart" Target="charts/chart59.xml"/><Relationship Id="rId102" Type="http://schemas.openxmlformats.org/officeDocument/2006/relationships/chart" Target="charts/chart82.xml"/><Relationship Id="rId123" Type="http://schemas.openxmlformats.org/officeDocument/2006/relationships/image" Target="media/image10.jpeg"/><Relationship Id="rId144" Type="http://schemas.openxmlformats.org/officeDocument/2006/relationships/image" Target="media/image14.emf"/><Relationship Id="rId90" Type="http://schemas.openxmlformats.org/officeDocument/2006/relationships/chart" Target="charts/chart70.xml"/></Relationships>
</file>

<file path=word/charts/_rels/chart1.xml.rels><?xml version="1.0" encoding="UTF-8" standalone="yes"?>
<Relationships xmlns="http://schemas.openxmlformats.org/package/2006/relationships"><Relationship Id="rId1" Type="http://schemas.openxmlformats.org/officeDocument/2006/relationships/oleObject" Target="https://worldbankgroup-my.sharepoint.com/personal/kfeda_worldbank_org/Documents/Gambia%20PER/working%20file%20Gambia%20PER/Gambia%20PER%20data.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https://worldbankgroup-my.sharepoint.com/personal/kfeda_worldbank_org/Documents/Gambia%20PER/working%20file%20Gambia%20PER/Copy%20of%20projection.xlsx" TargetMode="External"/><Relationship Id="rId2" Type="http://schemas.microsoft.com/office/2011/relationships/chartColorStyle" Target="colors9.xml"/><Relationship Id="rId1" Type="http://schemas.microsoft.com/office/2011/relationships/chartStyle" Target="style9.xml"/></Relationships>
</file>

<file path=word/charts/_rels/chart100.xml.rels><?xml version="1.0" encoding="UTF-8" standalone="yes"?>
<Relationships xmlns="http://schemas.openxmlformats.org/package/2006/relationships"><Relationship Id="rId3" Type="http://schemas.openxmlformats.org/officeDocument/2006/relationships/oleObject" Target="file:///C:\Users\wb309110\Box%20Sync\Gambia%20PER\HCP%20proj%20Gambia.xlsx" TargetMode="External"/><Relationship Id="rId2" Type="http://schemas.microsoft.com/office/2011/relationships/chartColorStyle" Target="colors99.xml"/><Relationship Id="rId1" Type="http://schemas.microsoft.com/office/2011/relationships/chartStyle" Target="style99.xml"/></Relationships>
</file>

<file path=word/charts/_rels/chart101.xml.rels><?xml version="1.0" encoding="UTF-8" standalone="yes"?>
<Relationships xmlns="http://schemas.openxmlformats.org/package/2006/relationships"><Relationship Id="rId3" Type="http://schemas.openxmlformats.org/officeDocument/2006/relationships/oleObject" Target="file:///C:\Users\wb309110\Box%20Sync\Cross%20support\Oman\Oman%20DEA%20result_all.xlsx" TargetMode="External"/><Relationship Id="rId2" Type="http://schemas.microsoft.com/office/2011/relationships/chartColorStyle" Target="colors100.xml"/><Relationship Id="rId1" Type="http://schemas.microsoft.com/office/2011/relationships/chartStyle" Target="style100.xml"/><Relationship Id="rId4" Type="http://schemas.openxmlformats.org/officeDocument/2006/relationships/chartUserShapes" Target="../drawings/drawing4.xml"/></Relationships>
</file>

<file path=word/charts/_rels/chart102.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101.xml"/><Relationship Id="rId1" Type="http://schemas.microsoft.com/office/2011/relationships/chartStyle" Target="style101.xml"/></Relationships>
</file>

<file path=word/charts/_rels/chart103.xml.rels><?xml version="1.0" encoding="UTF-8" standalone="yes"?>
<Relationships xmlns="http://schemas.openxmlformats.org/package/2006/relationships"><Relationship Id="rId3" Type="http://schemas.openxmlformats.org/officeDocument/2006/relationships/oleObject" Target="file:///C:\Users\wb339134\Box%20Sync\Desktop\Gambia%20PER\ttstsggdsgsgs.xls" TargetMode="External"/><Relationship Id="rId2" Type="http://schemas.microsoft.com/office/2011/relationships/chartColorStyle" Target="colors102.xml"/><Relationship Id="rId1" Type="http://schemas.microsoft.com/office/2011/relationships/chartStyle" Target="style102.xml"/></Relationships>
</file>

<file path=word/charts/_rels/chart104.xml.rels><?xml version="1.0" encoding="UTF-8" standalone="yes"?>
<Relationships xmlns="http://schemas.openxmlformats.org/package/2006/relationships"><Relationship Id="rId3" Type="http://schemas.openxmlformats.org/officeDocument/2006/relationships/oleObject" Target="file:///C:\Users\wb339134\Box%20Sync\Desktop\Gambia%20PER\ttstsggdsgsgs.xls" TargetMode="External"/><Relationship Id="rId2" Type="http://schemas.microsoft.com/office/2011/relationships/chartColorStyle" Target="colors103.xml"/><Relationship Id="rId1" Type="http://schemas.microsoft.com/office/2011/relationships/chartStyle" Target="style103.xml"/></Relationships>
</file>

<file path=word/charts/_rels/chart105.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104.xml"/><Relationship Id="rId1" Type="http://schemas.microsoft.com/office/2011/relationships/chartStyle" Target="style104.xml"/></Relationships>
</file>

<file path=word/charts/_rels/chart106.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105.xml"/><Relationship Id="rId1" Type="http://schemas.microsoft.com/office/2011/relationships/chartStyle" Target="style105.xml"/></Relationships>
</file>

<file path=word/charts/_rels/chart107.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106.xml"/><Relationship Id="rId1" Type="http://schemas.microsoft.com/office/2011/relationships/chartStyle" Target="style106.xml"/></Relationships>
</file>

<file path=word/charts/_rels/chart108.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107.xml"/><Relationship Id="rId1" Type="http://schemas.microsoft.com/office/2011/relationships/chartStyle" Target="style107.xml"/></Relationships>
</file>

<file path=word/charts/_rels/chart11.xml.rels><?xml version="1.0" encoding="UTF-8" standalone="yes"?>
<Relationships xmlns="http://schemas.openxmlformats.org/package/2006/relationships"><Relationship Id="rId3" Type="http://schemas.openxmlformats.org/officeDocument/2006/relationships/oleObject" Target="https://worldbankgroup-my.sharepoint.com/personal/kfeda_worldbank_org/Documents/Gambia%20PER/working%20file%20Gambia%20PER/Copy%20of%20projection.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https://worldbankgroup-my.sharepoint.com/personal/kfeda_worldbank_org/Documents/Gambia%20PER/working%20file%20Gambia%20PER/Copy%20of%20projection.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wb402001\Box%20Sync\Gambia\Gambia%20CN%20data.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https://worldbankgroup-my.sharepoint.com/personal/kfeda_worldbank_org/Documents/Gambia%20PER/working%20file%20Gambia%20PER/Gambia%20PER%20data.xlsx" TargetMode="External"/><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chartUserShapes" Target="../drawings/drawing2.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chartUserShapes" Target="../drawings/drawing3.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https://worldbankgroup-my.sharepoint.com/personal/kfeda_worldbank_org/Documents/Gambia%20PER/working%20file%20Gambia%20PER/Gambia%20PER%20data.xlsx" TargetMode="External"/><Relationship Id="rId2" Type="http://schemas.microsoft.com/office/2011/relationships/chartColorStyle" Target="colors2.xml"/><Relationship Id="rId1" Type="http://schemas.microsoft.com/office/2011/relationships/chartStyle" Target="style2.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https://worldbankgroup-my.sharepoint.com/personal/kfeda_worldbank_org/Documents/Gambia%20PER/working%20file%20Gambia%20PER/Gambia%20PER%20data.xlsx" TargetMode="External"/><Relationship Id="rId2" Type="http://schemas.microsoft.com/office/2011/relationships/chartColorStyle" Target="colors3.xml"/><Relationship Id="rId1" Type="http://schemas.microsoft.com/office/2011/relationships/chartStyle" Target="style3.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43.xml"/><Relationship Id="rId1" Type="http://schemas.microsoft.com/office/2011/relationships/chartStyle" Target="style43.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44.xml"/><Relationship Id="rId1" Type="http://schemas.microsoft.com/office/2011/relationships/chartStyle" Target="style44.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45.xml"/><Relationship Id="rId1" Type="http://schemas.microsoft.com/office/2011/relationships/chartStyle" Target="style45.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wb309110\Box%20Sync\Gambia%20PER\HCP%20proj%20Gambia.xlsx" TargetMode="External"/><Relationship Id="rId2" Type="http://schemas.microsoft.com/office/2011/relationships/chartColorStyle" Target="colors46.xml"/><Relationship Id="rId1" Type="http://schemas.microsoft.com/office/2011/relationships/chartStyle" Target="style46.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wb309110\OneDrive%20-%20WBG\Gambia%20PER\HCP%20proj%20Gambia.xlsx" TargetMode="External"/><Relationship Id="rId2" Type="http://schemas.microsoft.com/office/2011/relationships/chartColorStyle" Target="colors47.xml"/><Relationship Id="rId1" Type="http://schemas.microsoft.com/office/2011/relationships/chartStyle" Target="style47.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wb309110\OneDrive%20-%20WBG\Gambia%20PER\HCP%20proj%20Gambia.xlsx" TargetMode="External"/><Relationship Id="rId2" Type="http://schemas.microsoft.com/office/2011/relationships/chartColorStyle" Target="colors48.xml"/><Relationship Id="rId1" Type="http://schemas.microsoft.com/office/2011/relationships/chartStyle" Target="style48.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wb339134\Box%20Sync\Desktop\Gambia%20PER\Payroll%20teachres%20for%20stata.xlsx" TargetMode="External"/><Relationship Id="rId2" Type="http://schemas.microsoft.com/office/2011/relationships/chartColorStyle" Target="colors49.xml"/><Relationship Id="rId1" Type="http://schemas.microsoft.com/office/2011/relationships/chartStyle" Target="style49.xml"/></Relationships>
</file>

<file path=word/charts/_rels/chart51.xml.rels><?xml version="1.0" encoding="UTF-8" standalone="yes"?>
<Relationships xmlns="http://schemas.openxmlformats.org/package/2006/relationships"><Relationship Id="rId3" Type="http://schemas.openxmlformats.org/officeDocument/2006/relationships/oleObject" Target="file:///C:\Users\wb339134\Box%20Sync\Desktop\Gambia%20PER\STR%20Ryoko.xlsx" TargetMode="External"/><Relationship Id="rId2" Type="http://schemas.microsoft.com/office/2011/relationships/chartColorStyle" Target="colors50.xml"/><Relationship Id="rId1" Type="http://schemas.microsoft.com/office/2011/relationships/chartStyle" Target="style50.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1.xml"/><Relationship Id="rId1" Type="http://schemas.microsoft.com/office/2011/relationships/chartStyle" Target="style51.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wb339134\Box%20Sync\Desktop\Gambia%20PER\Diatance%20to%20school.xlsx" TargetMode="External"/><Relationship Id="rId2" Type="http://schemas.microsoft.com/office/2011/relationships/chartColorStyle" Target="colors52.xml"/><Relationship Id="rId1" Type="http://schemas.microsoft.com/office/2011/relationships/chartStyle" Target="style52.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wb309110\Box%20Sync\Gambia%20PER\HCP%20proj%20Gambia.xlsx" TargetMode="External"/><Relationship Id="rId2" Type="http://schemas.microsoft.com/office/2011/relationships/chartColorStyle" Target="colors53.xml"/><Relationship Id="rId1" Type="http://schemas.microsoft.com/office/2011/relationships/chartStyle" Target="style53.xml"/></Relationships>
</file>

<file path=word/charts/_rels/chart55.xml.rels><?xml version="1.0" encoding="UTF-8" standalone="yes"?>
<Relationships xmlns="http://schemas.openxmlformats.org/package/2006/relationships"><Relationship Id="rId3" Type="http://schemas.openxmlformats.org/officeDocument/2006/relationships/oleObject" Target="file:///C:\Users\wb309110\Box%20Sync\Gambia%20PER\HCP%20proj%20Gambia.xlsx" TargetMode="External"/><Relationship Id="rId2" Type="http://schemas.microsoft.com/office/2011/relationships/chartColorStyle" Target="colors54.xml"/><Relationship Id="rId1" Type="http://schemas.microsoft.com/office/2011/relationships/chartStyle" Target="style54.xml"/></Relationships>
</file>

<file path=word/charts/_rels/chart56.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55.xml"/><Relationship Id="rId1" Type="http://schemas.microsoft.com/office/2011/relationships/chartStyle" Target="style55.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56.xml"/><Relationship Id="rId1" Type="http://schemas.microsoft.com/office/2011/relationships/chartStyle" Target="style56.xml"/></Relationships>
</file>

<file path=word/charts/_rels/chart58.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7.xml"/><Relationship Id="rId1" Type="http://schemas.microsoft.com/office/2011/relationships/chartStyle" Target="style57.xml"/></Relationships>
</file>

<file path=word/charts/_rels/chart5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8.xml"/><Relationship Id="rId1" Type="http://schemas.microsoft.com/office/2011/relationships/chartStyle" Target="style58.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5.xml"/><Relationship Id="rId1" Type="http://schemas.microsoft.com/office/2011/relationships/chartStyle" Target="style5.xml"/></Relationships>
</file>

<file path=word/charts/_rels/chart60.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59.xml"/><Relationship Id="rId1" Type="http://schemas.microsoft.com/office/2011/relationships/chartStyle" Target="style59.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60.xml"/><Relationship Id="rId1" Type="http://schemas.microsoft.com/office/2011/relationships/chartStyle" Target="style60.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61.xml"/><Relationship Id="rId1" Type="http://schemas.microsoft.com/office/2011/relationships/chartStyle" Target="style61.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62.xml"/><Relationship Id="rId1" Type="http://schemas.microsoft.com/office/2011/relationships/chartStyle" Target="style62.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63.xml"/><Relationship Id="rId1" Type="http://schemas.microsoft.com/office/2011/relationships/chartStyle" Target="style63.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64.xml"/><Relationship Id="rId1" Type="http://schemas.microsoft.com/office/2011/relationships/chartStyle" Target="style64.xml"/></Relationships>
</file>

<file path=word/charts/_rels/chart66.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65.xml"/><Relationship Id="rId1" Type="http://schemas.microsoft.com/office/2011/relationships/chartStyle" Target="style65.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66.xml"/><Relationship Id="rId1" Type="http://schemas.microsoft.com/office/2011/relationships/chartStyle" Target="style66.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67.xml"/><Relationship Id="rId1" Type="http://schemas.microsoft.com/office/2011/relationships/chartStyle" Target="style67.xml"/></Relationships>
</file>

<file path=word/charts/_rels/chart69.xml.rels><?xml version="1.0" encoding="UTF-8" standalone="yes"?>
<Relationships xmlns="http://schemas.openxmlformats.org/package/2006/relationships"><Relationship Id="rId3" Type="http://schemas.openxmlformats.org/officeDocument/2006/relationships/oleObject" Target="https://worldbankgroup-my.sharepoint.com/personal/kfeda_worldbank_org/Documents/Gambia%20PER/working%20file%20Gambia%20PER/Gambia%20PER%20data.xlsx" TargetMode="External"/><Relationship Id="rId2" Type="http://schemas.microsoft.com/office/2011/relationships/chartColorStyle" Target="colors68.xml"/><Relationship Id="rId1" Type="http://schemas.microsoft.com/office/2011/relationships/chartStyle" Target="style68.xml"/></Relationships>
</file>

<file path=word/charts/_rels/chart7.xml.rels><?xml version="1.0" encoding="UTF-8" standalone="yes"?>
<Relationships xmlns="http://schemas.openxmlformats.org/package/2006/relationships"><Relationship Id="rId3" Type="http://schemas.openxmlformats.org/officeDocument/2006/relationships/oleObject" Target="https://worldbankgroup-my.sharepoint.com/personal/kfeda_worldbank_org/Documents/Gambia%20PER/working%20file%20Gambia%20PER/Copy%20of%20projection.xlsx" TargetMode="External"/><Relationship Id="rId2" Type="http://schemas.microsoft.com/office/2011/relationships/chartColorStyle" Target="colors6.xml"/><Relationship Id="rId1" Type="http://schemas.microsoft.com/office/2011/relationships/chartStyle" Target="style6.xml"/></Relationships>
</file>

<file path=word/charts/_rels/chart70.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69.xml"/><Relationship Id="rId1" Type="http://schemas.microsoft.com/office/2011/relationships/chartStyle" Target="style69.xml"/></Relationships>
</file>

<file path=word/charts/_rels/chart71.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70.xml"/><Relationship Id="rId1" Type="http://schemas.microsoft.com/office/2011/relationships/chartStyle" Target="style70.xml"/></Relationships>
</file>

<file path=word/charts/_rels/chart72.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71.xml"/><Relationship Id="rId1" Type="http://schemas.microsoft.com/office/2011/relationships/chartStyle" Target="style71.xml"/></Relationships>
</file>

<file path=word/charts/_rels/chart73.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72.xml"/><Relationship Id="rId1" Type="http://schemas.microsoft.com/office/2011/relationships/chartStyle" Target="style72.xml"/></Relationships>
</file>

<file path=word/charts/_rels/chart74.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73.xml"/><Relationship Id="rId1" Type="http://schemas.microsoft.com/office/2011/relationships/chartStyle" Target="style73.xml"/></Relationships>
</file>

<file path=word/charts/_rels/chart75.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74.xml"/><Relationship Id="rId1" Type="http://schemas.microsoft.com/office/2011/relationships/chartStyle" Target="style74.xml"/></Relationships>
</file>

<file path=word/charts/_rels/chart76.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75.xml"/><Relationship Id="rId1" Type="http://schemas.microsoft.com/office/2011/relationships/chartStyle" Target="style75.xml"/></Relationships>
</file>

<file path=word/charts/_rels/chart77.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76.xml"/><Relationship Id="rId1" Type="http://schemas.microsoft.com/office/2011/relationships/chartStyle" Target="style76.xml"/></Relationships>
</file>

<file path=word/charts/_rels/chart78.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77.xml"/><Relationship Id="rId1" Type="http://schemas.microsoft.com/office/2011/relationships/chartStyle" Target="style77.xml"/></Relationships>
</file>

<file path=word/charts/_rels/chart79.xml.rels><?xml version="1.0" encoding="UTF-8" standalone="yes"?>
<Relationships xmlns="http://schemas.openxmlformats.org/package/2006/relationships"><Relationship Id="rId3" Type="http://schemas.openxmlformats.org/officeDocument/2006/relationships/oleObject" Target="file:///C:\Users\wb309110\Box%20Sync\Gambia%20PER\HCP%20proj%20Gambia.xlsx" TargetMode="External"/><Relationship Id="rId2" Type="http://schemas.microsoft.com/office/2011/relationships/chartColorStyle" Target="colors78.xml"/><Relationship Id="rId1" Type="http://schemas.microsoft.com/office/2011/relationships/chartStyle" Target="style78.xml"/></Relationships>
</file>

<file path=word/charts/_rels/chart8.xml.rels><?xml version="1.0" encoding="UTF-8" standalone="yes"?>
<Relationships xmlns="http://schemas.openxmlformats.org/package/2006/relationships"><Relationship Id="rId3" Type="http://schemas.openxmlformats.org/officeDocument/2006/relationships/oleObject" Target="https://worldbankgroup-my.sharepoint.com/personal/kfeda_worldbank_org/Documents/Gambia%20PER/working%20file%20Gambia%20PER/Copy%20of%20projection.xlsx" TargetMode="External"/><Relationship Id="rId2" Type="http://schemas.microsoft.com/office/2011/relationships/chartColorStyle" Target="colors7.xml"/><Relationship Id="rId1" Type="http://schemas.microsoft.com/office/2011/relationships/chartStyle" Target="style7.xml"/></Relationships>
</file>

<file path=word/charts/_rels/chart80.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79.xml"/><Relationship Id="rId1" Type="http://schemas.microsoft.com/office/2011/relationships/chartStyle" Target="style79.xml"/></Relationships>
</file>

<file path=word/charts/_rels/chart81.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80.xml"/><Relationship Id="rId1" Type="http://schemas.microsoft.com/office/2011/relationships/chartStyle" Target="style80.xml"/></Relationships>
</file>

<file path=word/charts/_rels/chart82.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81.xml"/><Relationship Id="rId1" Type="http://schemas.microsoft.com/office/2011/relationships/chartStyle" Target="style81.xml"/></Relationships>
</file>

<file path=word/charts/_rels/chart83.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82.xml"/><Relationship Id="rId1" Type="http://schemas.microsoft.com/office/2011/relationships/chartStyle" Target="style82.xml"/></Relationships>
</file>

<file path=word/charts/_rels/chart8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83.xml"/><Relationship Id="rId1" Type="http://schemas.microsoft.com/office/2011/relationships/chartStyle" Target="style83.xml"/></Relationships>
</file>

<file path=word/charts/_rels/chart85.xml.rels><?xml version="1.0" encoding="UTF-8" standalone="yes"?>
<Relationships xmlns="http://schemas.openxmlformats.org/package/2006/relationships"><Relationship Id="rId3" Type="http://schemas.openxmlformats.org/officeDocument/2006/relationships/oleObject" Target="file:///C:\Users\wb309110\OneDrive%20-%20WBG\Gambia%20PER\working%20file%20Gambia%20PER\Gambia%20PER%20data.xlsx" TargetMode="External"/><Relationship Id="rId2" Type="http://schemas.microsoft.com/office/2011/relationships/chartColorStyle" Target="colors84.xml"/><Relationship Id="rId1" Type="http://schemas.microsoft.com/office/2011/relationships/chartStyle" Target="style84.xml"/></Relationships>
</file>

<file path=word/charts/_rels/chart86.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85.xml"/><Relationship Id="rId1" Type="http://schemas.microsoft.com/office/2011/relationships/chartStyle" Target="style85.xml"/></Relationships>
</file>

<file path=word/charts/_rels/chart87.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86.xml"/><Relationship Id="rId1" Type="http://schemas.microsoft.com/office/2011/relationships/chartStyle" Target="style86.xml"/></Relationships>
</file>

<file path=word/charts/_rels/chart88.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87.xml"/><Relationship Id="rId1" Type="http://schemas.microsoft.com/office/2011/relationships/chartStyle" Target="style87.xml"/></Relationships>
</file>

<file path=word/charts/_rels/chart89.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Gambia%20PER%20data.xlsx" TargetMode="External"/><Relationship Id="rId2" Type="http://schemas.microsoft.com/office/2011/relationships/chartColorStyle" Target="colors88.xml"/><Relationship Id="rId1" Type="http://schemas.microsoft.com/office/2011/relationships/chartStyle" Target="style88.xml"/></Relationships>
</file>

<file path=word/charts/_rels/chart9.xml.rels><?xml version="1.0" encoding="UTF-8" standalone="yes"?>
<Relationships xmlns="http://schemas.openxmlformats.org/package/2006/relationships"><Relationship Id="rId3" Type="http://schemas.openxmlformats.org/officeDocument/2006/relationships/oleObject" Target="https://worldbankgroup-my.sharepoint.com/personal/kfeda_worldbank_org/Documents/Gambia%20PER/working%20file%20Gambia%20PER/Copy%20of%20projection.xlsx" TargetMode="External"/><Relationship Id="rId2" Type="http://schemas.microsoft.com/office/2011/relationships/chartColorStyle" Target="colors8.xml"/><Relationship Id="rId1" Type="http://schemas.microsoft.com/office/2011/relationships/chartStyle" Target="style8.xml"/></Relationships>
</file>

<file path=word/charts/_rels/chart90.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89.xml"/><Relationship Id="rId1" Type="http://schemas.microsoft.com/office/2011/relationships/chartStyle" Target="style89.xml"/></Relationships>
</file>

<file path=word/charts/_rels/chart91.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90.xml"/><Relationship Id="rId1" Type="http://schemas.microsoft.com/office/2011/relationships/chartStyle" Target="style90.xml"/></Relationships>
</file>

<file path=word/charts/_rels/chart92.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91.xml"/><Relationship Id="rId1" Type="http://schemas.microsoft.com/office/2011/relationships/chartStyle" Target="style91.xml"/></Relationships>
</file>

<file path=word/charts/_rels/chart93.xml.rels><?xml version="1.0" encoding="UTF-8" standalone="yes"?>
<Relationships xmlns="http://schemas.openxmlformats.org/package/2006/relationships"><Relationship Id="rId3" Type="http://schemas.openxmlformats.org/officeDocument/2006/relationships/oleObject" Target="file:///C:\Users\wb309110\Box%20Sync\Gambia%20PER\working%20file%20Gambia%20PER\Indicators.xlsx" TargetMode="External"/><Relationship Id="rId2" Type="http://schemas.microsoft.com/office/2011/relationships/chartColorStyle" Target="colors92.xml"/><Relationship Id="rId1" Type="http://schemas.microsoft.com/office/2011/relationships/chartStyle" Target="style92.xml"/></Relationships>
</file>

<file path=word/charts/_rels/chart94.xml.rels><?xml version="1.0" encoding="UTF-8" standalone="yes"?>
<Relationships xmlns="http://schemas.openxmlformats.org/package/2006/relationships"><Relationship Id="rId3" Type="http://schemas.openxmlformats.org/officeDocument/2006/relationships/oleObject" Target="file:///C:\Users\wb309110\OneDrive%20-%20WBG\Gambia%20PER\HCP%20proj%20Gambia.xlsx" TargetMode="External"/><Relationship Id="rId2" Type="http://schemas.microsoft.com/office/2011/relationships/chartColorStyle" Target="colors93.xml"/><Relationship Id="rId1" Type="http://schemas.microsoft.com/office/2011/relationships/chartStyle" Target="style93.xml"/></Relationships>
</file>

<file path=word/charts/_rels/chart95.xml.rels><?xml version="1.0" encoding="UTF-8" standalone="yes"?>
<Relationships xmlns="http://schemas.openxmlformats.org/package/2006/relationships"><Relationship Id="rId3" Type="http://schemas.openxmlformats.org/officeDocument/2006/relationships/oleObject" Target="file:///C:\Users\wb309110\Box%20Sync\Gambia%20PER\HCP%20proj%20Gambia.xlsx" TargetMode="External"/><Relationship Id="rId2" Type="http://schemas.microsoft.com/office/2011/relationships/chartColorStyle" Target="colors94.xml"/><Relationship Id="rId1" Type="http://schemas.microsoft.com/office/2011/relationships/chartStyle" Target="style94.xml"/></Relationships>
</file>

<file path=word/charts/_rels/chart96.xml.rels><?xml version="1.0" encoding="UTF-8" standalone="yes"?>
<Relationships xmlns="http://schemas.openxmlformats.org/package/2006/relationships"><Relationship Id="rId3" Type="http://schemas.openxmlformats.org/officeDocument/2006/relationships/oleObject" Target="file:///C:\Users\wb309110\Box%20Sync\Gambia%20PER\HCP%20proj%20Gambia.xlsx" TargetMode="External"/><Relationship Id="rId2" Type="http://schemas.microsoft.com/office/2011/relationships/chartColorStyle" Target="colors95.xml"/><Relationship Id="rId1" Type="http://schemas.microsoft.com/office/2011/relationships/chartStyle" Target="style95.xml"/></Relationships>
</file>

<file path=word/charts/_rels/chart97.xml.rels><?xml version="1.0" encoding="UTF-8" standalone="yes"?>
<Relationships xmlns="http://schemas.openxmlformats.org/package/2006/relationships"><Relationship Id="rId3" Type="http://schemas.openxmlformats.org/officeDocument/2006/relationships/oleObject" Target="file:///C:\Users\wb309110\Box%20Sync\Gambia%20PER\HCP%20proj%20Gambia.xlsx" TargetMode="External"/><Relationship Id="rId2" Type="http://schemas.microsoft.com/office/2011/relationships/chartColorStyle" Target="colors96.xml"/><Relationship Id="rId1" Type="http://schemas.microsoft.com/office/2011/relationships/chartStyle" Target="style96.xml"/></Relationships>
</file>

<file path=word/charts/_rels/chart98.xml.rels><?xml version="1.0" encoding="UTF-8" standalone="yes"?>
<Relationships xmlns="http://schemas.openxmlformats.org/package/2006/relationships"><Relationship Id="rId3" Type="http://schemas.openxmlformats.org/officeDocument/2006/relationships/oleObject" Target="file:///C:\Users\wb309110\Box%20Sync\Gambia%20PER\HCP%20proj%20Gambia.xlsx" TargetMode="External"/><Relationship Id="rId2" Type="http://schemas.microsoft.com/office/2011/relationships/chartColorStyle" Target="colors97.xml"/><Relationship Id="rId1" Type="http://schemas.microsoft.com/office/2011/relationships/chartStyle" Target="style97.xml"/></Relationships>
</file>

<file path=word/charts/_rels/chart99.xml.rels><?xml version="1.0" encoding="UTF-8" standalone="yes"?>
<Relationships xmlns="http://schemas.openxmlformats.org/package/2006/relationships"><Relationship Id="rId3" Type="http://schemas.openxmlformats.org/officeDocument/2006/relationships/oleObject" Target="file:///C:\Users\wb309110\Box%20Sync\Gambia%20PER\HCP%20proj%20Gambia.xlsx" TargetMode="External"/><Relationship Id="rId2" Type="http://schemas.microsoft.com/office/2011/relationships/chartColorStyle" Target="colors98.xml"/><Relationship Id="rId1" Type="http://schemas.microsoft.com/office/2011/relationships/chartStyle" Target="style9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baseline="0">
                <a:solidFill>
                  <a:schemeClr val="tx2"/>
                </a:solidFill>
                <a:latin typeface="Sylfaen" panose="010A0502050306030303" pitchFamily="18" charset="0"/>
                <a:ea typeface="+mn-ea"/>
                <a:cs typeface="+mn-cs"/>
              </a:defRPr>
            </a:pPr>
            <a:r>
              <a:rPr lang="en-US"/>
              <a:t>Primary</a:t>
            </a:r>
          </a:p>
        </c:rich>
      </c:tx>
      <c:layout>
        <c:manualLayout>
          <c:xMode val="edge"/>
          <c:yMode val="edge"/>
          <c:x val="9.3736822884082655E-4"/>
          <c:y val="7.0154931919333982E-3"/>
        </c:manualLayout>
      </c:layout>
      <c:overlay val="0"/>
      <c:spPr>
        <a:noFill/>
        <a:ln>
          <a:noFill/>
        </a:ln>
        <a:effectLst/>
      </c:spPr>
    </c:title>
    <c:autoTitleDeleted val="0"/>
    <c:plotArea>
      <c:layout>
        <c:manualLayout>
          <c:layoutTarget val="inner"/>
          <c:xMode val="edge"/>
          <c:yMode val="edge"/>
          <c:x val="5.2258448426123996E-2"/>
          <c:y val="6.0620971439112895E-2"/>
          <c:w val="0.85812476715940389"/>
          <c:h val="0.84942310186174541"/>
        </c:manualLayout>
      </c:layout>
      <c:barChart>
        <c:barDir val="bar"/>
        <c:grouping val="clustered"/>
        <c:varyColors val="0"/>
        <c:ser>
          <c:idx val="0"/>
          <c:order val="0"/>
          <c:tx>
            <c:strRef>
              <c:f>'GER regional comp'!$B$12</c:f>
              <c:strCache>
                <c:ptCount val="1"/>
                <c:pt idx="0">
                  <c:v>Poorest</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0" tIns="0" rIns="0" bIns="0"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'GER regional comp'!$C$11:$D$11</c:f>
              <c:strCache>
                <c:ptCount val="2"/>
                <c:pt idx="0">
                  <c:v>SSA</c:v>
                </c:pt>
                <c:pt idx="1">
                  <c:v>Gambia</c:v>
                </c:pt>
              </c:strCache>
            </c:strRef>
          </c:cat>
          <c:val>
            <c:numRef>
              <c:f>'GER regional comp'!$C$12:$D$12</c:f>
              <c:numCache>
                <c:formatCode>0</c:formatCode>
                <c:ptCount val="2"/>
                <c:pt idx="0">
                  <c:v>88.231200000000001</c:v>
                </c:pt>
                <c:pt idx="1">
                  <c:v>73.035779999999988</c:v>
                </c:pt>
              </c:numCache>
            </c:numRef>
          </c:val>
          <c:extLst>
            <c:ext xmlns:c16="http://schemas.microsoft.com/office/drawing/2014/chart" uri="{C3380CC4-5D6E-409C-BE32-E72D297353CC}">
              <c16:uniqueId val="{00000000-2A02-4086-A438-78988262A537}"/>
            </c:ext>
          </c:extLst>
        </c:ser>
        <c:ser>
          <c:idx val="1"/>
          <c:order val="1"/>
          <c:tx>
            <c:strRef>
              <c:f>'GER regional comp'!$B$13</c:f>
              <c:strCache>
                <c:ptCount val="1"/>
                <c:pt idx="0">
                  <c:v>Rural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0" tIns="0" rIns="0" bIns="0"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'GER regional comp'!$C$11:$D$11</c:f>
              <c:strCache>
                <c:ptCount val="2"/>
                <c:pt idx="0">
                  <c:v>SSA</c:v>
                </c:pt>
                <c:pt idx="1">
                  <c:v>Gambia</c:v>
                </c:pt>
              </c:strCache>
            </c:strRef>
          </c:cat>
          <c:val>
            <c:numRef>
              <c:f>'GER regional comp'!$C$13:$D$13</c:f>
              <c:numCache>
                <c:formatCode>0</c:formatCode>
                <c:ptCount val="2"/>
                <c:pt idx="0">
                  <c:v>98.571089999999998</c:v>
                </c:pt>
                <c:pt idx="1">
                  <c:v>78.737690000000001</c:v>
                </c:pt>
              </c:numCache>
            </c:numRef>
          </c:val>
          <c:extLst>
            <c:ext xmlns:c16="http://schemas.microsoft.com/office/drawing/2014/chart" uri="{C3380CC4-5D6E-409C-BE32-E72D297353CC}">
              <c16:uniqueId val="{00000001-2A02-4086-A438-78988262A537}"/>
            </c:ext>
          </c:extLst>
        </c:ser>
        <c:ser>
          <c:idx val="2"/>
          <c:order val="2"/>
          <c:tx>
            <c:strRef>
              <c:f>'GER regional comp'!$B$14</c:f>
              <c:strCache>
                <c:ptCount val="1"/>
                <c:pt idx="0">
                  <c:v>Female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0" tIns="0" rIns="0" bIns="0"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'GER regional comp'!$C$11:$D$11</c:f>
              <c:strCache>
                <c:ptCount val="2"/>
                <c:pt idx="0">
                  <c:v>SSA</c:v>
                </c:pt>
                <c:pt idx="1">
                  <c:v>Gambia</c:v>
                </c:pt>
              </c:strCache>
            </c:strRef>
          </c:cat>
          <c:val>
            <c:numRef>
              <c:f>'GER regional comp'!$C$14:$D$14</c:f>
              <c:numCache>
                <c:formatCode>0</c:formatCode>
                <c:ptCount val="2"/>
                <c:pt idx="0">
                  <c:v>99.717640000000003</c:v>
                </c:pt>
                <c:pt idx="1">
                  <c:v>88.709550000000007</c:v>
                </c:pt>
              </c:numCache>
            </c:numRef>
          </c:val>
          <c:extLst>
            <c:ext xmlns:c16="http://schemas.microsoft.com/office/drawing/2014/chart" uri="{C3380CC4-5D6E-409C-BE32-E72D297353CC}">
              <c16:uniqueId val="{00000002-2A02-4086-A438-78988262A537}"/>
            </c:ext>
          </c:extLst>
        </c:ser>
        <c:ser>
          <c:idx val="3"/>
          <c:order val="3"/>
          <c:tx>
            <c:strRef>
              <c:f>'GER regional comp'!$B$15</c:f>
              <c:strCache>
                <c:ptCount val="1"/>
                <c:pt idx="0">
                  <c:v>Average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0" tIns="0" rIns="0" bIns="0" anchor="ctr" anchorCtr="1"/>
              <a:lstStyle/>
              <a:p>
                <a:pPr>
                  <a:defRPr sz="7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'GER regional comp'!$C$11:$D$11</c:f>
              <c:strCache>
                <c:ptCount val="2"/>
                <c:pt idx="0">
                  <c:v>SSA</c:v>
                </c:pt>
                <c:pt idx="1">
                  <c:v>Gambia</c:v>
                </c:pt>
              </c:strCache>
            </c:strRef>
          </c:cat>
          <c:val>
            <c:numRef>
              <c:f>'GER regional comp'!$C$15:$D$15</c:f>
              <c:numCache>
                <c:formatCode>0</c:formatCode>
                <c:ptCount val="2"/>
                <c:pt idx="0">
                  <c:v>102.0265</c:v>
                </c:pt>
                <c:pt idx="1">
                  <c:v>87.351759999999999</c:v>
                </c:pt>
              </c:numCache>
            </c:numRef>
          </c:val>
          <c:extLst>
            <c:ext xmlns:c16="http://schemas.microsoft.com/office/drawing/2014/chart" uri="{C3380CC4-5D6E-409C-BE32-E72D297353CC}">
              <c16:uniqueId val="{00000003-2A02-4086-A438-78988262A537}"/>
            </c:ext>
          </c:extLst>
        </c:ser>
        <c:ser>
          <c:idx val="4"/>
          <c:order val="4"/>
          <c:tx>
            <c:strRef>
              <c:f>'GER regional comp'!$B$16</c:f>
              <c:strCache>
                <c:ptCount val="1"/>
                <c:pt idx="0">
                  <c:v>Male</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0" tIns="0" rIns="0" bIns="0"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'GER regional comp'!$C$11:$D$11</c:f>
              <c:strCache>
                <c:ptCount val="2"/>
                <c:pt idx="0">
                  <c:v>SSA</c:v>
                </c:pt>
                <c:pt idx="1">
                  <c:v>Gambia</c:v>
                </c:pt>
              </c:strCache>
            </c:strRef>
          </c:cat>
          <c:val>
            <c:numRef>
              <c:f>'GER regional comp'!$C$16:$D$16</c:f>
              <c:numCache>
                <c:formatCode>0</c:formatCode>
                <c:ptCount val="2"/>
                <c:pt idx="0">
                  <c:v>104.3099</c:v>
                </c:pt>
                <c:pt idx="1">
                  <c:v>86.05377</c:v>
                </c:pt>
              </c:numCache>
            </c:numRef>
          </c:val>
          <c:extLst>
            <c:ext xmlns:c16="http://schemas.microsoft.com/office/drawing/2014/chart" uri="{C3380CC4-5D6E-409C-BE32-E72D297353CC}">
              <c16:uniqueId val="{00000004-2A02-4086-A438-78988262A537}"/>
            </c:ext>
          </c:extLst>
        </c:ser>
        <c:ser>
          <c:idx val="5"/>
          <c:order val="5"/>
          <c:tx>
            <c:strRef>
              <c:f>'GER regional comp'!$B$17</c:f>
              <c:strCache>
                <c:ptCount val="1"/>
                <c:pt idx="0">
                  <c:v>Urban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0" tIns="0" rIns="0" bIns="0"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'GER regional comp'!$C$11:$D$11</c:f>
              <c:strCache>
                <c:ptCount val="2"/>
                <c:pt idx="0">
                  <c:v>SSA</c:v>
                </c:pt>
                <c:pt idx="1">
                  <c:v>Gambia</c:v>
                </c:pt>
              </c:strCache>
            </c:strRef>
          </c:cat>
          <c:val>
            <c:numRef>
              <c:f>'GER regional comp'!$C$17:$D$17</c:f>
              <c:numCache>
                <c:formatCode>0</c:formatCode>
                <c:ptCount val="2"/>
                <c:pt idx="0">
                  <c:v>108.7975</c:v>
                </c:pt>
                <c:pt idx="1">
                  <c:v>96.191299999999998</c:v>
                </c:pt>
              </c:numCache>
            </c:numRef>
          </c:val>
          <c:extLst>
            <c:ext xmlns:c16="http://schemas.microsoft.com/office/drawing/2014/chart" uri="{C3380CC4-5D6E-409C-BE32-E72D297353CC}">
              <c16:uniqueId val="{00000005-2A02-4086-A438-78988262A537}"/>
            </c:ext>
          </c:extLst>
        </c:ser>
        <c:ser>
          <c:idx val="6"/>
          <c:order val="6"/>
          <c:tx>
            <c:strRef>
              <c:f>'GER regional comp'!$B$18</c:f>
              <c:strCache>
                <c:ptCount val="1"/>
                <c:pt idx="0">
                  <c:v>Richest</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0" tIns="0" rIns="0" bIns="0"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dLblPos val="outEnd"/>
            <c:showLegendKey val="0"/>
            <c:showVal val="1"/>
            <c:showCatName val="0"/>
            <c:showSerName val="1"/>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'GER regional comp'!$C$11:$D$11</c:f>
              <c:strCache>
                <c:ptCount val="2"/>
                <c:pt idx="0">
                  <c:v>SSA</c:v>
                </c:pt>
                <c:pt idx="1">
                  <c:v>Gambia</c:v>
                </c:pt>
              </c:strCache>
            </c:strRef>
          </c:cat>
          <c:val>
            <c:numRef>
              <c:f>'GER regional comp'!$C$18:$D$18</c:f>
              <c:numCache>
                <c:formatCode>0</c:formatCode>
                <c:ptCount val="2"/>
                <c:pt idx="0">
                  <c:v>111.4251</c:v>
                </c:pt>
                <c:pt idx="1">
                  <c:v>98.293710000000004</c:v>
                </c:pt>
              </c:numCache>
            </c:numRef>
          </c:val>
          <c:extLst>
            <c:ext xmlns:c16="http://schemas.microsoft.com/office/drawing/2014/chart" uri="{C3380CC4-5D6E-409C-BE32-E72D297353CC}">
              <c16:uniqueId val="{00000006-2A02-4086-A438-78988262A537}"/>
            </c:ext>
          </c:extLst>
        </c:ser>
        <c:dLbls>
          <c:showLegendKey val="0"/>
          <c:showVal val="0"/>
          <c:showCatName val="0"/>
          <c:showSerName val="0"/>
          <c:showPercent val="0"/>
          <c:showBubbleSize val="0"/>
        </c:dLbls>
        <c:gapWidth val="100"/>
        <c:axId val="456236168"/>
        <c:axId val="456236560"/>
      </c:barChart>
      <c:catAx>
        <c:axId val="45623616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crossAx val="456236560"/>
        <c:crosses val="autoZero"/>
        <c:auto val="1"/>
        <c:lblAlgn val="ctr"/>
        <c:lblOffset val="100"/>
        <c:noMultiLvlLbl val="0"/>
      </c:catAx>
      <c:valAx>
        <c:axId val="456236560"/>
        <c:scaling>
          <c:orientation val="minMax"/>
          <c:max val="140"/>
          <c:min val="0"/>
        </c:scaling>
        <c:delete val="0"/>
        <c:axPos val="b"/>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crossAx val="456236168"/>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900">
          <a:latin typeface="Sylfaen" panose="010A0502050306030303" pitchFamily="18"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900"/>
              <a:t>Upper secondary</a:t>
            </a:r>
          </a:p>
        </c:rich>
      </c:tx>
      <c:layout>
        <c:manualLayout>
          <c:xMode val="edge"/>
          <c:yMode val="edge"/>
          <c:x val="9.3001863796280781E-2"/>
          <c:y val="0"/>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309264533422685"/>
          <c:y val="5.7467727724087765E-2"/>
          <c:w val="0.83517077818730101"/>
          <c:h val="0.82054093254332983"/>
        </c:manualLayout>
      </c:layout>
      <c:lineChart>
        <c:grouping val="standard"/>
        <c:varyColors val="0"/>
        <c:ser>
          <c:idx val="0"/>
          <c:order val="0"/>
          <c:tx>
            <c:strRef>
              <c:f>Sheet1!$V$41</c:f>
              <c:strCache>
                <c:ptCount val="1"/>
                <c:pt idx="0">
                  <c:v>High</c:v>
                </c:pt>
              </c:strCache>
            </c:strRef>
          </c:tx>
          <c:spPr>
            <a:ln w="28575" cap="rnd">
              <a:solidFill>
                <a:schemeClr val="accent1"/>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B94-41FC-809B-E273A53A5C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Sheet1!$W$40:$Z$40</c:f>
              <c:numCache>
                <c:formatCode>General</c:formatCode>
                <c:ptCount val="4"/>
                <c:pt idx="0">
                  <c:v>2015</c:v>
                </c:pt>
                <c:pt idx="1">
                  <c:v>2020</c:v>
                </c:pt>
                <c:pt idx="2">
                  <c:v>2025</c:v>
                </c:pt>
                <c:pt idx="3">
                  <c:v>2030</c:v>
                </c:pt>
              </c:numCache>
            </c:numRef>
          </c:cat>
          <c:val>
            <c:numRef>
              <c:f>Sheet1!$W$41:$Z$41</c:f>
              <c:numCache>
                <c:formatCode>0</c:formatCode>
                <c:ptCount val="4"/>
                <c:pt idx="0">
                  <c:v>56.000999999999998</c:v>
                </c:pt>
                <c:pt idx="1">
                  <c:v>67.147377793979146</c:v>
                </c:pt>
                <c:pt idx="2">
                  <c:v>104.66708348784888</c:v>
                </c:pt>
                <c:pt idx="3">
                  <c:v>161.89460357368841</c:v>
                </c:pt>
              </c:numCache>
            </c:numRef>
          </c:val>
          <c:smooth val="0"/>
          <c:extLst>
            <c:ext xmlns:c16="http://schemas.microsoft.com/office/drawing/2014/chart" uri="{C3380CC4-5D6E-409C-BE32-E72D297353CC}">
              <c16:uniqueId val="{00000001-BB94-41FC-809B-E273A53A5C05}"/>
            </c:ext>
          </c:extLst>
        </c:ser>
        <c:ser>
          <c:idx val="1"/>
          <c:order val="1"/>
          <c:tx>
            <c:strRef>
              <c:f>Sheet1!$V$42</c:f>
              <c:strCache>
                <c:ptCount val="1"/>
                <c:pt idx="0">
                  <c:v>Medium</c:v>
                </c:pt>
              </c:strCache>
            </c:strRef>
          </c:tx>
          <c:spPr>
            <a:ln w="28575" cap="rnd">
              <a:solidFill>
                <a:schemeClr val="accent2"/>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B94-41FC-809B-E273A53A5C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Sheet1!$W$40:$Z$40</c:f>
              <c:numCache>
                <c:formatCode>General</c:formatCode>
                <c:ptCount val="4"/>
                <c:pt idx="0">
                  <c:v>2015</c:v>
                </c:pt>
                <c:pt idx="1">
                  <c:v>2020</c:v>
                </c:pt>
                <c:pt idx="2">
                  <c:v>2025</c:v>
                </c:pt>
                <c:pt idx="3">
                  <c:v>2030</c:v>
                </c:pt>
              </c:numCache>
            </c:numRef>
          </c:cat>
          <c:val>
            <c:numRef>
              <c:f>Sheet1!$W$42:$Z$42</c:f>
              <c:numCache>
                <c:formatCode>0</c:formatCode>
                <c:ptCount val="4"/>
                <c:pt idx="0">
                  <c:v>56.000999999999998</c:v>
                </c:pt>
                <c:pt idx="1">
                  <c:v>57.978991931032184</c:v>
                </c:pt>
                <c:pt idx="2">
                  <c:v>74.038440328309278</c:v>
                </c:pt>
                <c:pt idx="3">
                  <c:v>103.4033907034499</c:v>
                </c:pt>
              </c:numCache>
            </c:numRef>
          </c:val>
          <c:smooth val="0"/>
          <c:extLst>
            <c:ext xmlns:c16="http://schemas.microsoft.com/office/drawing/2014/chart" uri="{C3380CC4-5D6E-409C-BE32-E72D297353CC}">
              <c16:uniqueId val="{00000003-BB94-41FC-809B-E273A53A5C05}"/>
            </c:ext>
          </c:extLst>
        </c:ser>
        <c:ser>
          <c:idx val="2"/>
          <c:order val="2"/>
          <c:tx>
            <c:strRef>
              <c:f>Sheet1!$V$43</c:f>
              <c:strCache>
                <c:ptCount val="1"/>
                <c:pt idx="0">
                  <c:v>Low</c:v>
                </c:pt>
              </c:strCache>
            </c:strRef>
          </c:tx>
          <c:spPr>
            <a:ln w="28575" cap="rnd">
              <a:solidFill>
                <a:schemeClr val="accent3"/>
              </a:solidFill>
              <a:round/>
            </a:ln>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B94-41FC-809B-E273A53A5C05}"/>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B94-41FC-809B-E273A53A5C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Sheet1!$W$40:$Z$40</c:f>
              <c:numCache>
                <c:formatCode>General</c:formatCode>
                <c:ptCount val="4"/>
                <c:pt idx="0">
                  <c:v>2015</c:v>
                </c:pt>
                <c:pt idx="1">
                  <c:v>2020</c:v>
                </c:pt>
                <c:pt idx="2">
                  <c:v>2025</c:v>
                </c:pt>
                <c:pt idx="3">
                  <c:v>2030</c:v>
                </c:pt>
              </c:numCache>
            </c:numRef>
          </c:cat>
          <c:val>
            <c:numRef>
              <c:f>Sheet1!$W$43:$Z$43</c:f>
              <c:numCache>
                <c:formatCode>0</c:formatCode>
                <c:ptCount val="4"/>
                <c:pt idx="0">
                  <c:v>56.000999999999998</c:v>
                </c:pt>
                <c:pt idx="1">
                  <c:v>56.49085795600196</c:v>
                </c:pt>
                <c:pt idx="2">
                  <c:v>66.87661676532251</c:v>
                </c:pt>
                <c:pt idx="3">
                  <c:v>89.707848046085033</c:v>
                </c:pt>
              </c:numCache>
            </c:numRef>
          </c:val>
          <c:smooth val="0"/>
          <c:extLst>
            <c:ext xmlns:c16="http://schemas.microsoft.com/office/drawing/2014/chart" uri="{C3380CC4-5D6E-409C-BE32-E72D297353CC}">
              <c16:uniqueId val="{00000006-BB94-41FC-809B-E273A53A5C05}"/>
            </c:ext>
          </c:extLst>
        </c:ser>
        <c:dLbls>
          <c:showLegendKey val="0"/>
          <c:showVal val="0"/>
          <c:showCatName val="0"/>
          <c:showSerName val="0"/>
          <c:showPercent val="0"/>
          <c:showBubbleSize val="0"/>
        </c:dLbls>
        <c:smooth val="0"/>
        <c:axId val="213568816"/>
        <c:axId val="17022480"/>
      </c:lineChart>
      <c:catAx>
        <c:axId val="21356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22480"/>
        <c:crosses val="autoZero"/>
        <c:auto val="1"/>
        <c:lblAlgn val="ctr"/>
        <c:lblOffset val="100"/>
        <c:noMultiLvlLbl val="0"/>
      </c:catAx>
      <c:valAx>
        <c:axId val="17022480"/>
        <c:scaling>
          <c:orientation val="minMax"/>
          <c:min val="4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568816"/>
        <c:crosses val="autoZero"/>
        <c:crossBetween val="between"/>
        <c:majorUnit val="20"/>
      </c:valAx>
      <c:spPr>
        <a:noFill/>
        <a:ln>
          <a:noFill/>
        </a:ln>
        <a:effectLst/>
      </c:spPr>
    </c:plotArea>
    <c:legend>
      <c:legendPos val="b"/>
      <c:layout>
        <c:manualLayout>
          <c:xMode val="edge"/>
          <c:yMode val="edge"/>
          <c:x val="9.6542553191489355E-2"/>
          <c:y val="0.12455952599784964"/>
          <c:w val="0.5276595744680852"/>
          <c:h val="0.232998139886155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432934926958828E-2"/>
          <c:y val="0.2837636318799468"/>
          <c:w val="0.94156706507304122"/>
          <c:h val="0.65103895226741182"/>
        </c:manualLayout>
      </c:layout>
      <c:barChart>
        <c:barDir val="col"/>
        <c:grouping val="percentStacked"/>
        <c:varyColors val="0"/>
        <c:ser>
          <c:idx val="0"/>
          <c:order val="0"/>
          <c:tx>
            <c:strRef>
              <c:f>Graphmdgandbase!$AT$26</c:f>
              <c:strCache>
                <c:ptCount val="1"/>
                <c:pt idx="0">
                  <c:v>No education</c:v>
                </c:pt>
              </c:strCache>
            </c:strRef>
          </c:tx>
          <c:spPr>
            <a:solidFill>
              <a:schemeClr val="accent1"/>
            </a:solidFill>
            <a:ln>
              <a:noFill/>
            </a:ln>
            <a:effectLst/>
          </c:spPr>
          <c:invertIfNegative val="0"/>
          <c:dLbls>
            <c:dLbl>
              <c:idx val="2"/>
              <c:layout>
                <c:manualLayout>
                  <c:x val="-8.1120006847561013E-17"/>
                  <c:y val="-1.805054151624565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85-4163-9FD9-5734E5789563}"/>
                </c:ext>
              </c:extLst>
            </c:dLbl>
            <c:dLbl>
              <c:idx val="3"/>
              <c:delete val="1"/>
              <c:extLst>
                <c:ext xmlns:c15="http://schemas.microsoft.com/office/drawing/2012/chart" uri="{CE6537A1-D6FC-4f65-9D91-7224C49458BB}"/>
                <c:ext xmlns:c16="http://schemas.microsoft.com/office/drawing/2014/chart" uri="{C3380CC4-5D6E-409C-BE32-E72D297353CC}">
                  <c16:uniqueId val="{00000001-4885-4163-9FD9-5734E57895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Graphmdgandbase!$AU$25:$BA$25</c:f>
              <c:numCache>
                <c:formatCode>General</c:formatCode>
                <c:ptCount val="4"/>
                <c:pt idx="0">
                  <c:v>2015</c:v>
                </c:pt>
                <c:pt idx="1">
                  <c:v>2020</c:v>
                </c:pt>
                <c:pt idx="2">
                  <c:v>2025</c:v>
                </c:pt>
                <c:pt idx="3">
                  <c:v>2030</c:v>
                </c:pt>
              </c:numCache>
            </c:numRef>
          </c:cat>
          <c:val>
            <c:numRef>
              <c:f>Graphmdgandbase!$AU$26:$BA$26</c:f>
              <c:numCache>
                <c:formatCode>0%</c:formatCode>
                <c:ptCount val="4"/>
                <c:pt idx="0">
                  <c:v>0.44100580270793038</c:v>
                </c:pt>
                <c:pt idx="1">
                  <c:v>0.18456299659477865</c:v>
                </c:pt>
                <c:pt idx="2">
                  <c:v>0</c:v>
                </c:pt>
                <c:pt idx="3">
                  <c:v>0</c:v>
                </c:pt>
              </c:numCache>
            </c:numRef>
          </c:val>
          <c:extLst>
            <c:ext xmlns:c16="http://schemas.microsoft.com/office/drawing/2014/chart" uri="{C3380CC4-5D6E-409C-BE32-E72D297353CC}">
              <c16:uniqueId val="{00000002-4885-4163-9FD9-5734E5789563}"/>
            </c:ext>
          </c:extLst>
        </c:ser>
        <c:ser>
          <c:idx val="1"/>
          <c:order val="1"/>
          <c:tx>
            <c:strRef>
              <c:f>Graphmdgandbase!$AT$27</c:f>
              <c:strCache>
                <c:ptCount val="1"/>
                <c:pt idx="0">
                  <c:v>Incomplete Primary</c:v>
                </c:pt>
              </c:strCache>
            </c:strRef>
          </c:tx>
          <c:spPr>
            <a:solidFill>
              <a:schemeClr val="accent2"/>
            </a:solidFill>
            <a:ln>
              <a:noFill/>
            </a:ln>
            <a:effectLst/>
          </c:spPr>
          <c:invertIfNegative val="0"/>
          <c:dLbls>
            <c:dLbl>
              <c:idx val="2"/>
              <c:layout>
                <c:manualLayout>
                  <c:x val="-8.1120006847561013E-17"/>
                  <c:y val="-1.805054151624548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85-4163-9FD9-5734E5789563}"/>
                </c:ext>
              </c:extLst>
            </c:dLbl>
            <c:dLbl>
              <c:idx val="3"/>
              <c:layout>
                <c:manualLayout>
                  <c:x val="4.4247787610619468E-3"/>
                  <c:y val="-1.805054151624565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885-4163-9FD9-5734E57895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Graphmdgandbase!$AU$25:$BA$25</c:f>
              <c:numCache>
                <c:formatCode>General</c:formatCode>
                <c:ptCount val="4"/>
                <c:pt idx="0">
                  <c:v>2015</c:v>
                </c:pt>
                <c:pt idx="1">
                  <c:v>2020</c:v>
                </c:pt>
                <c:pt idx="2">
                  <c:v>2025</c:v>
                </c:pt>
                <c:pt idx="3">
                  <c:v>2030</c:v>
                </c:pt>
              </c:numCache>
            </c:numRef>
          </c:cat>
          <c:val>
            <c:numRef>
              <c:f>Graphmdgandbase!$AU$27:$BA$27</c:f>
              <c:numCache>
                <c:formatCode>0%</c:formatCode>
                <c:ptCount val="4"/>
                <c:pt idx="0">
                  <c:v>0.14458413926499034</c:v>
                </c:pt>
                <c:pt idx="1">
                  <c:v>0.19682179341657208</c:v>
                </c:pt>
                <c:pt idx="2">
                  <c:v>0.10880829015544041</c:v>
                </c:pt>
                <c:pt idx="3">
                  <c:v>0</c:v>
                </c:pt>
              </c:numCache>
            </c:numRef>
          </c:val>
          <c:extLst>
            <c:ext xmlns:c16="http://schemas.microsoft.com/office/drawing/2014/chart" uri="{C3380CC4-5D6E-409C-BE32-E72D297353CC}">
              <c16:uniqueId val="{00000005-4885-4163-9FD9-5734E5789563}"/>
            </c:ext>
          </c:extLst>
        </c:ser>
        <c:ser>
          <c:idx val="2"/>
          <c:order val="2"/>
          <c:tx>
            <c:strRef>
              <c:f>Graphmdgandbase!$AT$28</c:f>
              <c:strCache>
                <c:ptCount val="1"/>
                <c:pt idx="0">
                  <c:v>Completed Primary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Graphmdgandbase!$AU$25:$BA$25</c:f>
              <c:numCache>
                <c:formatCode>General</c:formatCode>
                <c:ptCount val="4"/>
                <c:pt idx="0">
                  <c:v>2015</c:v>
                </c:pt>
                <c:pt idx="1">
                  <c:v>2020</c:v>
                </c:pt>
                <c:pt idx="2">
                  <c:v>2025</c:v>
                </c:pt>
                <c:pt idx="3">
                  <c:v>2030</c:v>
                </c:pt>
              </c:numCache>
            </c:numRef>
          </c:cat>
          <c:val>
            <c:numRef>
              <c:f>Graphmdgandbase!$AU$28:$BA$28</c:f>
              <c:numCache>
                <c:formatCode>0%</c:formatCode>
                <c:ptCount val="4"/>
                <c:pt idx="0">
                  <c:v>6.1170212765957445E-2</c:v>
                </c:pt>
                <c:pt idx="1">
                  <c:v>0.33552780930760501</c:v>
                </c:pt>
                <c:pt idx="2">
                  <c:v>0.50321243523316062</c:v>
                </c:pt>
                <c:pt idx="3">
                  <c:v>0.41304771178188898</c:v>
                </c:pt>
              </c:numCache>
            </c:numRef>
          </c:val>
          <c:extLst>
            <c:ext xmlns:c16="http://schemas.microsoft.com/office/drawing/2014/chart" uri="{C3380CC4-5D6E-409C-BE32-E72D297353CC}">
              <c16:uniqueId val="{00000006-4885-4163-9FD9-5734E5789563}"/>
            </c:ext>
          </c:extLst>
        </c:ser>
        <c:ser>
          <c:idx val="3"/>
          <c:order val="3"/>
          <c:tx>
            <c:strRef>
              <c:f>Graphmdgandbase!$AT$29</c:f>
              <c:strCache>
                <c:ptCount val="1"/>
                <c:pt idx="0">
                  <c:v>Completed Lower Secondary</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Graphmdgandbase!$AU$25:$BA$25</c:f>
              <c:numCache>
                <c:formatCode>General</c:formatCode>
                <c:ptCount val="4"/>
                <c:pt idx="0">
                  <c:v>2015</c:v>
                </c:pt>
                <c:pt idx="1">
                  <c:v>2020</c:v>
                </c:pt>
                <c:pt idx="2">
                  <c:v>2025</c:v>
                </c:pt>
                <c:pt idx="3">
                  <c:v>2030</c:v>
                </c:pt>
              </c:numCache>
            </c:numRef>
          </c:cat>
          <c:val>
            <c:numRef>
              <c:f>Graphmdgandbase!$AU$29:$BA$29</c:f>
              <c:numCache>
                <c:formatCode>0%</c:formatCode>
                <c:ptCount val="4"/>
                <c:pt idx="0">
                  <c:v>0.23162475822050291</c:v>
                </c:pt>
                <c:pt idx="1">
                  <c:v>0.14370034052213393</c:v>
                </c:pt>
                <c:pt idx="2">
                  <c:v>0.19046632124352331</c:v>
                </c:pt>
                <c:pt idx="3">
                  <c:v>0.31002921129503408</c:v>
                </c:pt>
              </c:numCache>
            </c:numRef>
          </c:val>
          <c:extLst>
            <c:ext xmlns:c16="http://schemas.microsoft.com/office/drawing/2014/chart" uri="{C3380CC4-5D6E-409C-BE32-E72D297353CC}">
              <c16:uniqueId val="{00000007-4885-4163-9FD9-5734E5789563}"/>
            </c:ext>
          </c:extLst>
        </c:ser>
        <c:ser>
          <c:idx val="4"/>
          <c:order val="4"/>
          <c:tx>
            <c:strRef>
              <c:f>Graphmdgandbase!$AT$30</c:f>
              <c:strCache>
                <c:ptCount val="1"/>
                <c:pt idx="0">
                  <c:v>Completed Upper Secondary</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Graphmdgandbase!$AU$25:$BA$25</c:f>
              <c:numCache>
                <c:formatCode>General</c:formatCode>
                <c:ptCount val="4"/>
                <c:pt idx="0">
                  <c:v>2015</c:v>
                </c:pt>
                <c:pt idx="1">
                  <c:v>2020</c:v>
                </c:pt>
                <c:pt idx="2">
                  <c:v>2025</c:v>
                </c:pt>
                <c:pt idx="3">
                  <c:v>2030</c:v>
                </c:pt>
              </c:numCache>
            </c:numRef>
          </c:cat>
          <c:val>
            <c:numRef>
              <c:f>Graphmdgandbase!$AU$30:$BA$30</c:f>
              <c:numCache>
                <c:formatCode>0%</c:formatCode>
                <c:ptCount val="4"/>
                <c:pt idx="0">
                  <c:v>9.6953578336557059E-2</c:v>
                </c:pt>
                <c:pt idx="1">
                  <c:v>8.3768444948921675E-2</c:v>
                </c:pt>
                <c:pt idx="2">
                  <c:v>0.13264248704663212</c:v>
                </c:pt>
                <c:pt idx="3">
                  <c:v>0.17137293086660174</c:v>
                </c:pt>
              </c:numCache>
            </c:numRef>
          </c:val>
          <c:extLst>
            <c:ext xmlns:c16="http://schemas.microsoft.com/office/drawing/2014/chart" uri="{C3380CC4-5D6E-409C-BE32-E72D297353CC}">
              <c16:uniqueId val="{00000008-4885-4163-9FD9-5734E5789563}"/>
            </c:ext>
          </c:extLst>
        </c:ser>
        <c:ser>
          <c:idx val="5"/>
          <c:order val="5"/>
          <c:tx>
            <c:strRef>
              <c:f>Graphmdgandbase!$AT$31</c:f>
              <c:strCache>
                <c:ptCount val="1"/>
                <c:pt idx="0">
                  <c:v>Some Higher</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Graphmdgandbase!$AU$25:$BA$25</c:f>
              <c:numCache>
                <c:formatCode>General</c:formatCode>
                <c:ptCount val="4"/>
                <c:pt idx="0">
                  <c:v>2015</c:v>
                </c:pt>
                <c:pt idx="1">
                  <c:v>2020</c:v>
                </c:pt>
                <c:pt idx="2">
                  <c:v>2025</c:v>
                </c:pt>
                <c:pt idx="3">
                  <c:v>2030</c:v>
                </c:pt>
              </c:numCache>
            </c:numRef>
          </c:cat>
          <c:val>
            <c:numRef>
              <c:f>Graphmdgandbase!$AU$31:$BA$31</c:f>
              <c:numCache>
                <c:formatCode>0%</c:formatCode>
                <c:ptCount val="4"/>
                <c:pt idx="0">
                  <c:v>2.4661508704061894E-2</c:v>
                </c:pt>
                <c:pt idx="1">
                  <c:v>5.5618615209988648E-2</c:v>
                </c:pt>
                <c:pt idx="2">
                  <c:v>6.487046632124352E-2</c:v>
                </c:pt>
                <c:pt idx="3">
                  <c:v>0.10555014605647517</c:v>
                </c:pt>
              </c:numCache>
            </c:numRef>
          </c:val>
          <c:extLst>
            <c:ext xmlns:c16="http://schemas.microsoft.com/office/drawing/2014/chart" uri="{C3380CC4-5D6E-409C-BE32-E72D297353CC}">
              <c16:uniqueId val="{00000009-4885-4163-9FD9-5734E5789563}"/>
            </c:ext>
          </c:extLst>
        </c:ser>
        <c:dLbls>
          <c:dLblPos val="ctr"/>
          <c:showLegendKey val="0"/>
          <c:showVal val="1"/>
          <c:showCatName val="0"/>
          <c:showSerName val="0"/>
          <c:showPercent val="0"/>
          <c:showBubbleSize val="0"/>
        </c:dLbls>
        <c:gapWidth val="79"/>
        <c:overlap val="100"/>
        <c:axId val="525902416"/>
        <c:axId val="525902808"/>
      </c:barChart>
      <c:catAx>
        <c:axId val="5259024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525902808"/>
        <c:crosses val="autoZero"/>
        <c:auto val="1"/>
        <c:lblAlgn val="ctr"/>
        <c:lblOffset val="100"/>
        <c:noMultiLvlLbl val="0"/>
      </c:catAx>
      <c:valAx>
        <c:axId val="525902808"/>
        <c:scaling>
          <c:orientation val="minMax"/>
        </c:scaling>
        <c:delete val="1"/>
        <c:axPos val="l"/>
        <c:numFmt formatCode="0%" sourceLinked="1"/>
        <c:majorTickMark val="none"/>
        <c:minorTickMark val="none"/>
        <c:tickLblPos val="nextTo"/>
        <c:crossAx val="525902416"/>
        <c:crosses val="autoZero"/>
        <c:crossBetween val="between"/>
      </c:valAx>
      <c:spPr>
        <a:noFill/>
        <a:ln>
          <a:noFill/>
        </a:ln>
        <a:effectLst/>
      </c:spPr>
    </c:plotArea>
    <c:legend>
      <c:legendPos val="t"/>
      <c:layout>
        <c:manualLayout>
          <c:xMode val="edge"/>
          <c:yMode val="edge"/>
          <c:x val="1.8953383039509438E-2"/>
          <c:y val="2.1141854904872691E-3"/>
          <c:w val="0.96112152463242984"/>
          <c:h val="0.247152065152505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000" dirty="0"/>
              <a:t>Example: one input, one output efficiency frontier line</a:t>
            </a:r>
          </a:p>
        </c:rich>
      </c:tx>
      <c:layout>
        <c:manualLayout>
          <c:xMode val="edge"/>
          <c:yMode val="edge"/>
          <c:x val="0.13223129056129701"/>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8.2200814648800566E-2"/>
          <c:y val="8.4598563781659628E-2"/>
          <c:w val="0.86462729658792703"/>
          <c:h val="0.78594758142653598"/>
        </c:manualLayout>
      </c:layout>
      <c:scatterChart>
        <c:scatterStyle val="lineMarker"/>
        <c:varyColors val="0"/>
        <c:ser>
          <c:idx val="1"/>
          <c:order val="1"/>
          <c:spPr>
            <a:ln w="25400" cap="rnd">
              <a:noFill/>
              <a:round/>
            </a:ln>
            <a:effectLst/>
          </c:spPr>
          <c:marker>
            <c:symbol val="square"/>
            <c:size val="10"/>
            <c:spPr>
              <a:solidFill>
                <a:srgbClr val="002060"/>
              </a:solidFill>
              <a:ln w="9525">
                <a:solidFill>
                  <a:schemeClr val="accent2"/>
                </a:solidFill>
              </a:ln>
              <a:effectLst/>
            </c:spPr>
          </c:marker>
          <c:dLbls>
            <c:dLbl>
              <c:idx val="3"/>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F9-4617-81D9-A4E518401B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'DEA '!$M$2583:$M$2588</c:f>
              <c:numCache>
                <c:formatCode>General</c:formatCode>
                <c:ptCount val="6"/>
                <c:pt idx="0">
                  <c:v>400</c:v>
                </c:pt>
                <c:pt idx="1">
                  <c:v>800</c:v>
                </c:pt>
                <c:pt idx="2">
                  <c:v>1600</c:v>
                </c:pt>
                <c:pt idx="3">
                  <c:v>2400</c:v>
                </c:pt>
                <c:pt idx="4">
                  <c:v>3600</c:v>
                </c:pt>
                <c:pt idx="5">
                  <c:v>4800</c:v>
                </c:pt>
              </c:numCache>
            </c:numRef>
          </c:xVal>
          <c:yVal>
            <c:numRef>
              <c:f>'DEA '!$O$2583:$O$2588</c:f>
              <c:numCache>
                <c:formatCode>General</c:formatCode>
                <c:ptCount val="6"/>
                <c:pt idx="1">
                  <c:v>75</c:v>
                </c:pt>
                <c:pt idx="2">
                  <c:v>85</c:v>
                </c:pt>
                <c:pt idx="3">
                  <c:v>80</c:v>
                </c:pt>
                <c:pt idx="4">
                  <c:v>85</c:v>
                </c:pt>
                <c:pt idx="5">
                  <c:v>85</c:v>
                </c:pt>
              </c:numCache>
            </c:numRef>
          </c:yVal>
          <c:smooth val="0"/>
          <c:extLst>
            <c:ext xmlns:c16="http://schemas.microsoft.com/office/drawing/2014/chart" uri="{C3380CC4-5D6E-409C-BE32-E72D297353CC}">
              <c16:uniqueId val="{00000001-E7F9-4617-81D9-A4E518401B05}"/>
            </c:ext>
          </c:extLst>
        </c:ser>
        <c:dLbls>
          <c:showLegendKey val="0"/>
          <c:showVal val="0"/>
          <c:showCatName val="0"/>
          <c:showSerName val="0"/>
          <c:showPercent val="0"/>
          <c:showBubbleSize val="0"/>
        </c:dLbls>
        <c:axId val="801727952"/>
        <c:axId val="801727560"/>
      </c:scatterChart>
      <c:scatterChart>
        <c:scatterStyle val="smoothMarker"/>
        <c:varyColors val="0"/>
        <c:ser>
          <c:idx val="0"/>
          <c:order val="0"/>
          <c:spPr>
            <a:ln w="53975" cap="rnd">
              <a:solidFill>
                <a:schemeClr val="accent1"/>
              </a:solidFill>
              <a:round/>
            </a:ln>
            <a:effectLst/>
          </c:spPr>
          <c:marker>
            <c:symbol val="diamond"/>
            <c:size val="12"/>
            <c:spPr>
              <a:solidFill>
                <a:srgbClr val="FF0000"/>
              </a:solidFill>
              <a:ln w="9525">
                <a:solidFill>
                  <a:srgbClr val="FF0000"/>
                </a:solidFill>
              </a:ln>
              <a:effectLst/>
            </c:spPr>
          </c:marker>
          <c:dLbls>
            <c:dLbl>
              <c:idx val="1"/>
              <c:layout>
                <c:manualLayout>
                  <c:x val="-0.105476673427992"/>
                  <c:y val="-9.776652726818070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7F9-4617-81D9-A4E518401B05}"/>
                </c:ext>
              </c:extLst>
            </c:dLbl>
            <c:dLbl>
              <c:idx val="3"/>
              <c:layout>
                <c:manualLayout>
                  <c:x val="-3.7863421230561203E-2"/>
                  <c:y val="-5.3940152975548002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7F9-4617-81D9-A4E518401B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'DEA '!$M$2583:$M$2588</c:f>
              <c:numCache>
                <c:formatCode>General</c:formatCode>
                <c:ptCount val="6"/>
                <c:pt idx="0">
                  <c:v>400</c:v>
                </c:pt>
                <c:pt idx="1">
                  <c:v>800</c:v>
                </c:pt>
                <c:pt idx="2">
                  <c:v>1600</c:v>
                </c:pt>
                <c:pt idx="3">
                  <c:v>2400</c:v>
                </c:pt>
                <c:pt idx="4">
                  <c:v>3600</c:v>
                </c:pt>
                <c:pt idx="5">
                  <c:v>4800</c:v>
                </c:pt>
              </c:numCache>
            </c:numRef>
          </c:xVal>
          <c:yVal>
            <c:numRef>
              <c:f>'DEA '!$N$2583:$N$2588</c:f>
              <c:numCache>
                <c:formatCode>General</c:formatCode>
                <c:ptCount val="6"/>
                <c:pt idx="0">
                  <c:v>66</c:v>
                </c:pt>
                <c:pt idx="1">
                  <c:v>80</c:v>
                </c:pt>
                <c:pt idx="2">
                  <c:v>90</c:v>
                </c:pt>
                <c:pt idx="3">
                  <c:v>95</c:v>
                </c:pt>
                <c:pt idx="4">
                  <c:v>100</c:v>
                </c:pt>
                <c:pt idx="5">
                  <c:v>100</c:v>
                </c:pt>
              </c:numCache>
            </c:numRef>
          </c:yVal>
          <c:smooth val="1"/>
          <c:extLst>
            <c:ext xmlns:c16="http://schemas.microsoft.com/office/drawing/2014/chart" uri="{C3380CC4-5D6E-409C-BE32-E72D297353CC}">
              <c16:uniqueId val="{00000004-E7F9-4617-81D9-A4E518401B05}"/>
            </c:ext>
          </c:extLst>
        </c:ser>
        <c:dLbls>
          <c:showLegendKey val="0"/>
          <c:showVal val="0"/>
          <c:showCatName val="0"/>
          <c:showSerName val="0"/>
          <c:showPercent val="0"/>
          <c:showBubbleSize val="0"/>
        </c:dLbls>
        <c:axId val="801727952"/>
        <c:axId val="801727560"/>
      </c:scatterChart>
      <c:valAx>
        <c:axId val="801727952"/>
        <c:scaling>
          <c:orientation val="minMax"/>
          <c:max val="5000"/>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dirty="0"/>
                  <a:t>Input (spending per student, Say Dalai)</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801727560"/>
        <c:crosses val="autoZero"/>
        <c:crossBetween val="midCat"/>
      </c:valAx>
      <c:valAx>
        <c:axId val="801727560"/>
        <c:scaling>
          <c:orientation val="minMax"/>
          <c:min val="6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dirty="0"/>
                  <a:t> (test results,</a:t>
                </a:r>
                <a:r>
                  <a:rPr lang="en-US" sz="1000" b="0" i="0" u="none" strike="noStrike" kern="1200" baseline="0" dirty="0">
                    <a:solidFill>
                      <a:sysClr val="windowText" lastClr="000000"/>
                    </a:solidFill>
                    <a:latin typeface="+mn-lt"/>
                    <a:ea typeface="+mn-ea"/>
                    <a:cs typeface="+mn-cs"/>
                  </a:rPr>
                  <a:t> percent</a:t>
                </a:r>
                <a:r>
                  <a:rPr lang="en-US" dirty="0"/>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801727952"/>
        <c:crosses val="autoZero"/>
        <c:crossBetween val="midCat"/>
      </c:valAx>
      <c:spPr>
        <a:noFill/>
        <a:ln>
          <a:noFill/>
        </a:ln>
        <a:effectLst/>
      </c:spPr>
    </c:plotArea>
    <c:plotVisOnly val="1"/>
    <c:dispBlanksAs val="gap"/>
    <c:showDLblsOverMax val="0"/>
  </c:chart>
  <c:spPr>
    <a:noFill/>
    <a:ln w="9525" cap="flat" cmpd="sng" algn="ctr">
      <a:solidFill>
        <a:srgbClr val="021F43"/>
      </a:solidFill>
      <a:round/>
    </a:ln>
    <a:effectLst/>
  </c:spPr>
  <c:txPr>
    <a:bodyPr/>
    <a:lstStyle/>
    <a:p>
      <a:pPr>
        <a:defRPr>
          <a:solidFill>
            <a:schemeClr val="tx1"/>
          </a:solidFill>
        </a:defRPr>
      </a:pPr>
      <a:endParaRPr lang="en-US"/>
    </a:p>
  </c:txPr>
  <c:externalData r:id="rId3">
    <c:autoUpdate val="0"/>
  </c:externalData>
  <c:userShapes r:id="rId4"/>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3.2407407407407406E-2"/>
          <c:w val="0.87232174103237092"/>
          <c:h val="0.75428988043161282"/>
        </c:manualLayout>
      </c:layout>
      <c:barChart>
        <c:barDir val="col"/>
        <c:grouping val="clustered"/>
        <c:varyColors val="0"/>
        <c:ser>
          <c:idx val="0"/>
          <c:order val="0"/>
          <c:tx>
            <c:strRef>
              <c:f>Sheet3!$B$1</c:f>
              <c:strCache>
                <c:ptCount val="1"/>
                <c:pt idx="0">
                  <c:v>LBS</c:v>
                </c:pt>
              </c:strCache>
            </c:strRef>
          </c:tx>
          <c:spPr>
            <a:solidFill>
              <a:schemeClr val="accent1"/>
            </a:solidFill>
            <a:ln>
              <a:noFill/>
            </a:ln>
            <a:effectLst/>
          </c:spPr>
          <c:invertIfNegative val="0"/>
          <c:cat>
            <c:strRef>
              <c:f>Sheet3!$A$2:$A$8</c:f>
              <c:strCache>
                <c:ptCount val="7"/>
                <c:pt idx="0">
                  <c:v>Region 1</c:v>
                </c:pt>
                <c:pt idx="1">
                  <c:v>Region 2</c:v>
                </c:pt>
                <c:pt idx="2">
                  <c:v>Region 3</c:v>
                </c:pt>
                <c:pt idx="3">
                  <c:v>Region 4</c:v>
                </c:pt>
                <c:pt idx="4">
                  <c:v>Region 5</c:v>
                </c:pt>
                <c:pt idx="5">
                  <c:v>Region 6</c:v>
                </c:pt>
                <c:pt idx="6">
                  <c:v>Total</c:v>
                </c:pt>
              </c:strCache>
            </c:strRef>
          </c:cat>
          <c:val>
            <c:numRef>
              <c:f>Sheet3!$B$2:$B$8</c:f>
              <c:numCache>
                <c:formatCode>0%</c:formatCode>
                <c:ptCount val="7"/>
                <c:pt idx="0">
                  <c:v>0.97</c:v>
                </c:pt>
                <c:pt idx="1">
                  <c:v>0.82</c:v>
                </c:pt>
                <c:pt idx="2">
                  <c:v>0.88</c:v>
                </c:pt>
                <c:pt idx="3">
                  <c:v>0.88</c:v>
                </c:pt>
                <c:pt idx="4">
                  <c:v>0.91</c:v>
                </c:pt>
                <c:pt idx="5">
                  <c:v>0.87</c:v>
                </c:pt>
                <c:pt idx="6">
                  <c:v>0.88</c:v>
                </c:pt>
              </c:numCache>
            </c:numRef>
          </c:val>
          <c:extLst>
            <c:ext xmlns:c16="http://schemas.microsoft.com/office/drawing/2014/chart" uri="{C3380CC4-5D6E-409C-BE32-E72D297353CC}">
              <c16:uniqueId val="{00000000-1EFA-4FE8-950B-F36FA0CB8623}"/>
            </c:ext>
          </c:extLst>
        </c:ser>
        <c:ser>
          <c:idx val="1"/>
          <c:order val="1"/>
          <c:tx>
            <c:strRef>
              <c:f>Sheet3!$C$1</c:f>
              <c:strCache>
                <c:ptCount val="1"/>
                <c:pt idx="0">
                  <c:v>UBS</c:v>
                </c:pt>
              </c:strCache>
            </c:strRef>
          </c:tx>
          <c:spPr>
            <a:solidFill>
              <a:schemeClr val="accent2"/>
            </a:solidFill>
            <a:ln>
              <a:noFill/>
            </a:ln>
            <a:effectLst/>
          </c:spPr>
          <c:invertIfNegative val="0"/>
          <c:cat>
            <c:strRef>
              <c:f>Sheet3!$A$2:$A$8</c:f>
              <c:strCache>
                <c:ptCount val="7"/>
                <c:pt idx="0">
                  <c:v>Region 1</c:v>
                </c:pt>
                <c:pt idx="1">
                  <c:v>Region 2</c:v>
                </c:pt>
                <c:pt idx="2">
                  <c:v>Region 3</c:v>
                </c:pt>
                <c:pt idx="3">
                  <c:v>Region 4</c:v>
                </c:pt>
                <c:pt idx="4">
                  <c:v>Region 5</c:v>
                </c:pt>
                <c:pt idx="5">
                  <c:v>Region 6</c:v>
                </c:pt>
                <c:pt idx="6">
                  <c:v>Total</c:v>
                </c:pt>
              </c:strCache>
            </c:strRef>
          </c:cat>
          <c:val>
            <c:numRef>
              <c:f>Sheet3!$C$2:$C$8</c:f>
              <c:numCache>
                <c:formatCode>0%</c:formatCode>
                <c:ptCount val="7"/>
                <c:pt idx="0">
                  <c:v>0.94</c:v>
                </c:pt>
                <c:pt idx="1">
                  <c:v>0.96</c:v>
                </c:pt>
                <c:pt idx="2">
                  <c:v>0.93</c:v>
                </c:pt>
                <c:pt idx="3">
                  <c:v>0.99</c:v>
                </c:pt>
                <c:pt idx="4">
                  <c:v>0.71</c:v>
                </c:pt>
                <c:pt idx="5">
                  <c:v>0.89</c:v>
                </c:pt>
                <c:pt idx="6">
                  <c:v>0.92</c:v>
                </c:pt>
              </c:numCache>
            </c:numRef>
          </c:val>
          <c:extLst>
            <c:ext xmlns:c16="http://schemas.microsoft.com/office/drawing/2014/chart" uri="{C3380CC4-5D6E-409C-BE32-E72D297353CC}">
              <c16:uniqueId val="{00000001-1EFA-4FE8-950B-F36FA0CB8623}"/>
            </c:ext>
          </c:extLst>
        </c:ser>
        <c:ser>
          <c:idx val="2"/>
          <c:order val="2"/>
          <c:tx>
            <c:strRef>
              <c:f>Sheet3!$D$1</c:f>
              <c:strCache>
                <c:ptCount val="1"/>
                <c:pt idx="0">
                  <c:v>SSS</c:v>
                </c:pt>
              </c:strCache>
            </c:strRef>
          </c:tx>
          <c:spPr>
            <a:solidFill>
              <a:schemeClr val="accent3"/>
            </a:solidFill>
            <a:ln>
              <a:noFill/>
            </a:ln>
            <a:effectLst/>
          </c:spPr>
          <c:invertIfNegative val="0"/>
          <c:cat>
            <c:strRef>
              <c:f>Sheet3!$A$2:$A$8</c:f>
              <c:strCache>
                <c:ptCount val="7"/>
                <c:pt idx="0">
                  <c:v>Region 1</c:v>
                </c:pt>
                <c:pt idx="1">
                  <c:v>Region 2</c:v>
                </c:pt>
                <c:pt idx="2">
                  <c:v>Region 3</c:v>
                </c:pt>
                <c:pt idx="3">
                  <c:v>Region 4</c:v>
                </c:pt>
                <c:pt idx="4">
                  <c:v>Region 5</c:v>
                </c:pt>
                <c:pt idx="5">
                  <c:v>Region 6</c:v>
                </c:pt>
                <c:pt idx="6">
                  <c:v>Total</c:v>
                </c:pt>
              </c:strCache>
            </c:strRef>
          </c:cat>
          <c:val>
            <c:numRef>
              <c:f>Sheet3!$D$2:$D$8</c:f>
              <c:numCache>
                <c:formatCode>0%</c:formatCode>
                <c:ptCount val="7"/>
                <c:pt idx="0">
                  <c:v>0.82</c:v>
                </c:pt>
                <c:pt idx="1">
                  <c:v>0.86</c:v>
                </c:pt>
                <c:pt idx="2">
                  <c:v>0.95</c:v>
                </c:pt>
                <c:pt idx="3">
                  <c:v>1</c:v>
                </c:pt>
                <c:pt idx="4">
                  <c:v>0.92</c:v>
                </c:pt>
                <c:pt idx="5">
                  <c:v>0.59</c:v>
                </c:pt>
                <c:pt idx="6">
                  <c:v>0.86</c:v>
                </c:pt>
              </c:numCache>
            </c:numRef>
          </c:val>
          <c:extLst>
            <c:ext xmlns:c16="http://schemas.microsoft.com/office/drawing/2014/chart" uri="{C3380CC4-5D6E-409C-BE32-E72D297353CC}">
              <c16:uniqueId val="{00000002-1EFA-4FE8-950B-F36FA0CB8623}"/>
            </c:ext>
          </c:extLst>
        </c:ser>
        <c:dLbls>
          <c:showLegendKey val="0"/>
          <c:showVal val="0"/>
          <c:showCatName val="0"/>
          <c:showSerName val="0"/>
          <c:showPercent val="0"/>
          <c:showBubbleSize val="0"/>
        </c:dLbls>
        <c:gapWidth val="219"/>
        <c:overlap val="-27"/>
        <c:axId val="199147968"/>
        <c:axId val="199132160"/>
      </c:barChart>
      <c:catAx>
        <c:axId val="19914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132160"/>
        <c:crosses val="autoZero"/>
        <c:auto val="1"/>
        <c:lblAlgn val="ctr"/>
        <c:lblOffset val="100"/>
        <c:noMultiLvlLbl val="0"/>
      </c:catAx>
      <c:valAx>
        <c:axId val="1991321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147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pivot!$L$104:$M$124</c:f>
              <c:multiLvlStrCache>
                <c:ptCount val="21"/>
                <c:lvl>
                  <c:pt idx="0">
                    <c:v>Region 1</c:v>
                  </c:pt>
                  <c:pt idx="1">
                    <c:v>Region 2</c:v>
                  </c:pt>
                  <c:pt idx="2">
                    <c:v>Region 3</c:v>
                  </c:pt>
                  <c:pt idx="3">
                    <c:v>Region 4</c:v>
                  </c:pt>
                  <c:pt idx="4">
                    <c:v>Region 5</c:v>
                  </c:pt>
                  <c:pt idx="5">
                    <c:v>Region 6</c:v>
                  </c:pt>
                  <c:pt idx="6">
                    <c:v>Average</c:v>
                  </c:pt>
                  <c:pt idx="7">
                    <c:v>Region 1</c:v>
                  </c:pt>
                  <c:pt idx="8">
                    <c:v>Region 2</c:v>
                  </c:pt>
                  <c:pt idx="9">
                    <c:v>Region 3</c:v>
                  </c:pt>
                  <c:pt idx="10">
                    <c:v>Region 4</c:v>
                  </c:pt>
                  <c:pt idx="11">
                    <c:v>Region 5</c:v>
                  </c:pt>
                  <c:pt idx="12">
                    <c:v>Region 6</c:v>
                  </c:pt>
                  <c:pt idx="13">
                    <c:v>Average</c:v>
                  </c:pt>
                  <c:pt idx="14">
                    <c:v>Region 1</c:v>
                  </c:pt>
                  <c:pt idx="15">
                    <c:v>Region 2</c:v>
                  </c:pt>
                  <c:pt idx="16">
                    <c:v>Region 3</c:v>
                  </c:pt>
                  <c:pt idx="17">
                    <c:v>Region 4</c:v>
                  </c:pt>
                  <c:pt idx="18">
                    <c:v>Region 5</c:v>
                  </c:pt>
                  <c:pt idx="19">
                    <c:v>Region 6</c:v>
                  </c:pt>
                  <c:pt idx="20">
                    <c:v>Average</c:v>
                  </c:pt>
                </c:lvl>
                <c:lvl>
                  <c:pt idx="0">
                    <c:v>LBS</c:v>
                  </c:pt>
                  <c:pt idx="7">
                    <c:v>UBS</c:v>
                  </c:pt>
                  <c:pt idx="14">
                    <c:v>SSS</c:v>
                  </c:pt>
                </c:lvl>
              </c:multiLvlStrCache>
            </c:multiLvlStrRef>
          </c:cat>
          <c:val>
            <c:numRef>
              <c:f>pivot!$N$104:$N$124</c:f>
              <c:numCache>
                <c:formatCode>0.0</c:formatCode>
                <c:ptCount val="21"/>
                <c:pt idx="0">
                  <c:v>43.076920000000001</c:v>
                </c:pt>
                <c:pt idx="1">
                  <c:v>39.915660000000003</c:v>
                </c:pt>
                <c:pt idx="2">
                  <c:v>30.48235</c:v>
                </c:pt>
                <c:pt idx="3">
                  <c:v>24.96078</c:v>
                </c:pt>
                <c:pt idx="4">
                  <c:v>29.676189999999998</c:v>
                </c:pt>
                <c:pt idx="5">
                  <c:v>35.645569999999999</c:v>
                </c:pt>
                <c:pt idx="6">
                  <c:v>33.167830000000002</c:v>
                </c:pt>
                <c:pt idx="7">
                  <c:v>48.466670000000001</c:v>
                </c:pt>
                <c:pt idx="8">
                  <c:v>50.21875</c:v>
                </c:pt>
                <c:pt idx="9">
                  <c:v>36.533329999999999</c:v>
                </c:pt>
                <c:pt idx="10">
                  <c:v>39.44444</c:v>
                </c:pt>
                <c:pt idx="11">
                  <c:v>38.428570000000001</c:v>
                </c:pt>
                <c:pt idx="12">
                  <c:v>37.75</c:v>
                </c:pt>
                <c:pt idx="13">
                  <c:v>43.587629999999997</c:v>
                </c:pt>
                <c:pt idx="14">
                  <c:v>45.846150000000002</c:v>
                </c:pt>
                <c:pt idx="15">
                  <c:v>51.04</c:v>
                </c:pt>
                <c:pt idx="16">
                  <c:v>31.210529999999999</c:v>
                </c:pt>
                <c:pt idx="17">
                  <c:v>33.75</c:v>
                </c:pt>
                <c:pt idx="18">
                  <c:v>33.666670000000003</c:v>
                </c:pt>
                <c:pt idx="19">
                  <c:v>32.799999999999997</c:v>
                </c:pt>
                <c:pt idx="20">
                  <c:v>39.850569999999998</c:v>
                </c:pt>
              </c:numCache>
            </c:numRef>
          </c:val>
          <c:extLst>
            <c:ext xmlns:c16="http://schemas.microsoft.com/office/drawing/2014/chart" uri="{C3380CC4-5D6E-409C-BE32-E72D297353CC}">
              <c16:uniqueId val="{00000000-DE07-4DED-B342-8F5B058B7D11}"/>
            </c:ext>
          </c:extLst>
        </c:ser>
        <c:dLbls>
          <c:showLegendKey val="0"/>
          <c:showVal val="0"/>
          <c:showCatName val="0"/>
          <c:showSerName val="0"/>
          <c:showPercent val="0"/>
          <c:showBubbleSize val="0"/>
        </c:dLbls>
        <c:gapWidth val="219"/>
        <c:overlap val="-27"/>
        <c:axId val="390993304"/>
        <c:axId val="390993696"/>
      </c:barChart>
      <c:catAx>
        <c:axId val="390993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0993696"/>
        <c:crosses val="autoZero"/>
        <c:auto val="1"/>
        <c:lblAlgn val="ctr"/>
        <c:lblOffset val="100"/>
        <c:noMultiLvlLbl val="0"/>
      </c:catAx>
      <c:valAx>
        <c:axId val="3909936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0993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pivot!$R$103</c:f>
              <c:strCache>
                <c:ptCount val="1"/>
                <c:pt idx="0">
                  <c:v>English</c:v>
                </c:pt>
              </c:strCache>
            </c:strRef>
          </c:tx>
          <c:spPr>
            <a:solidFill>
              <a:schemeClr val="accent1"/>
            </a:solidFill>
            <a:ln>
              <a:noFill/>
            </a:ln>
            <a:effectLst/>
          </c:spPr>
          <c:invertIfNegative val="0"/>
          <c:cat>
            <c:multiLvlStrRef>
              <c:f>pivot!$P$104:$Q$124</c:f>
              <c:multiLvlStrCache>
                <c:ptCount val="21"/>
                <c:lvl>
                  <c:pt idx="0">
                    <c:v>Region 1</c:v>
                  </c:pt>
                  <c:pt idx="1">
                    <c:v>Region 2</c:v>
                  </c:pt>
                  <c:pt idx="2">
                    <c:v>Region 3</c:v>
                  </c:pt>
                  <c:pt idx="3">
                    <c:v>Region 4</c:v>
                  </c:pt>
                  <c:pt idx="4">
                    <c:v>Region 5</c:v>
                  </c:pt>
                  <c:pt idx="5">
                    <c:v>Region 6</c:v>
                  </c:pt>
                  <c:pt idx="6">
                    <c:v>Average</c:v>
                  </c:pt>
                  <c:pt idx="7">
                    <c:v>Region 1</c:v>
                  </c:pt>
                  <c:pt idx="8">
                    <c:v>Region 2</c:v>
                  </c:pt>
                  <c:pt idx="9">
                    <c:v>Region 3</c:v>
                  </c:pt>
                  <c:pt idx="10">
                    <c:v>Region 4</c:v>
                  </c:pt>
                  <c:pt idx="11">
                    <c:v>Region 5</c:v>
                  </c:pt>
                  <c:pt idx="12">
                    <c:v>Region 6</c:v>
                  </c:pt>
                  <c:pt idx="13">
                    <c:v>Average</c:v>
                  </c:pt>
                  <c:pt idx="14">
                    <c:v>Region 1</c:v>
                  </c:pt>
                  <c:pt idx="15">
                    <c:v>Region 2</c:v>
                  </c:pt>
                  <c:pt idx="16">
                    <c:v>Region 3</c:v>
                  </c:pt>
                  <c:pt idx="17">
                    <c:v>Region 4</c:v>
                  </c:pt>
                  <c:pt idx="18">
                    <c:v>Region 5</c:v>
                  </c:pt>
                  <c:pt idx="19">
                    <c:v>Region 6</c:v>
                  </c:pt>
                  <c:pt idx="20">
                    <c:v>Average</c:v>
                  </c:pt>
                </c:lvl>
                <c:lvl>
                  <c:pt idx="0">
                    <c:v>LBS</c:v>
                  </c:pt>
                  <c:pt idx="7">
                    <c:v>BCS</c:v>
                  </c:pt>
                  <c:pt idx="14">
                    <c:v>UBS</c:v>
                  </c:pt>
                </c:lvl>
              </c:multiLvlStrCache>
            </c:multiLvlStrRef>
          </c:cat>
          <c:val>
            <c:numRef>
              <c:f>pivot!$R$104:$R$124</c:f>
              <c:numCache>
                <c:formatCode>0.0</c:formatCode>
                <c:ptCount val="21"/>
                <c:pt idx="0">
                  <c:v>4.7730769999999998</c:v>
                </c:pt>
                <c:pt idx="1">
                  <c:v>5.1038459999999999</c:v>
                </c:pt>
                <c:pt idx="2">
                  <c:v>3.0317069999999999</c:v>
                </c:pt>
                <c:pt idx="3">
                  <c:v>2.364706</c:v>
                </c:pt>
                <c:pt idx="4">
                  <c:v>8.9757890000000007</c:v>
                </c:pt>
                <c:pt idx="5">
                  <c:v>3.774648</c:v>
                </c:pt>
                <c:pt idx="6">
                  <c:v>4.9928039999999996</c:v>
                </c:pt>
                <c:pt idx="7">
                  <c:v>2.2999999999999998</c:v>
                </c:pt>
                <c:pt idx="8">
                  <c:v>2.6111110000000002</c:v>
                </c:pt>
                <c:pt idx="9">
                  <c:v>2.1818179999999998</c:v>
                </c:pt>
                <c:pt idx="10">
                  <c:v>2.75</c:v>
                </c:pt>
                <c:pt idx="11">
                  <c:v>6.0588240000000004</c:v>
                </c:pt>
                <c:pt idx="12">
                  <c:v>5.5928570000000004</c:v>
                </c:pt>
                <c:pt idx="13">
                  <c:v>3.6076090000000001</c:v>
                </c:pt>
                <c:pt idx="14">
                  <c:v>1.3857139999999999</c:v>
                </c:pt>
                <c:pt idx="15">
                  <c:v>3.807407</c:v>
                </c:pt>
                <c:pt idx="16">
                  <c:v>2</c:v>
                </c:pt>
                <c:pt idx="17">
                  <c:v>5.677778</c:v>
                </c:pt>
                <c:pt idx="18">
                  <c:v>10.6</c:v>
                </c:pt>
                <c:pt idx="19">
                  <c:v>3.3363640000000001</c:v>
                </c:pt>
                <c:pt idx="20">
                  <c:v>4.0988509999999998</c:v>
                </c:pt>
              </c:numCache>
            </c:numRef>
          </c:val>
          <c:extLst>
            <c:ext xmlns:c16="http://schemas.microsoft.com/office/drawing/2014/chart" uri="{C3380CC4-5D6E-409C-BE32-E72D297353CC}">
              <c16:uniqueId val="{00000000-2998-4F3C-8486-D45F0A298137}"/>
            </c:ext>
          </c:extLst>
        </c:ser>
        <c:ser>
          <c:idx val="1"/>
          <c:order val="1"/>
          <c:tx>
            <c:strRef>
              <c:f>pivot!$S$103</c:f>
              <c:strCache>
                <c:ptCount val="1"/>
                <c:pt idx="0">
                  <c:v>Mathematics</c:v>
                </c:pt>
              </c:strCache>
            </c:strRef>
          </c:tx>
          <c:spPr>
            <a:solidFill>
              <a:schemeClr val="accent2"/>
            </a:solidFill>
            <a:ln>
              <a:noFill/>
            </a:ln>
            <a:effectLst/>
          </c:spPr>
          <c:invertIfNegative val="0"/>
          <c:cat>
            <c:multiLvlStrRef>
              <c:f>pivot!$P$104:$Q$124</c:f>
              <c:multiLvlStrCache>
                <c:ptCount val="21"/>
                <c:lvl>
                  <c:pt idx="0">
                    <c:v>Region 1</c:v>
                  </c:pt>
                  <c:pt idx="1">
                    <c:v>Region 2</c:v>
                  </c:pt>
                  <c:pt idx="2">
                    <c:v>Region 3</c:v>
                  </c:pt>
                  <c:pt idx="3">
                    <c:v>Region 4</c:v>
                  </c:pt>
                  <c:pt idx="4">
                    <c:v>Region 5</c:v>
                  </c:pt>
                  <c:pt idx="5">
                    <c:v>Region 6</c:v>
                  </c:pt>
                  <c:pt idx="6">
                    <c:v>Average</c:v>
                  </c:pt>
                  <c:pt idx="7">
                    <c:v>Region 1</c:v>
                  </c:pt>
                  <c:pt idx="8">
                    <c:v>Region 2</c:v>
                  </c:pt>
                  <c:pt idx="9">
                    <c:v>Region 3</c:v>
                  </c:pt>
                  <c:pt idx="10">
                    <c:v>Region 4</c:v>
                  </c:pt>
                  <c:pt idx="11">
                    <c:v>Region 5</c:v>
                  </c:pt>
                  <c:pt idx="12">
                    <c:v>Region 6</c:v>
                  </c:pt>
                  <c:pt idx="13">
                    <c:v>Average</c:v>
                  </c:pt>
                  <c:pt idx="14">
                    <c:v>Region 1</c:v>
                  </c:pt>
                  <c:pt idx="15">
                    <c:v>Region 2</c:v>
                  </c:pt>
                  <c:pt idx="16">
                    <c:v>Region 3</c:v>
                  </c:pt>
                  <c:pt idx="17">
                    <c:v>Region 4</c:v>
                  </c:pt>
                  <c:pt idx="18">
                    <c:v>Region 5</c:v>
                  </c:pt>
                  <c:pt idx="19">
                    <c:v>Region 6</c:v>
                  </c:pt>
                  <c:pt idx="20">
                    <c:v>Average</c:v>
                  </c:pt>
                </c:lvl>
                <c:lvl>
                  <c:pt idx="0">
                    <c:v>LBS</c:v>
                  </c:pt>
                  <c:pt idx="7">
                    <c:v>BCS</c:v>
                  </c:pt>
                  <c:pt idx="14">
                    <c:v>UBS</c:v>
                  </c:pt>
                </c:lvl>
              </c:multiLvlStrCache>
            </c:multiLvlStrRef>
          </c:cat>
          <c:val>
            <c:numRef>
              <c:f>pivot!$S$104:$S$124</c:f>
              <c:numCache>
                <c:formatCode>0.0</c:formatCode>
                <c:ptCount val="21"/>
                <c:pt idx="0">
                  <c:v>3.9384610000000002</c:v>
                </c:pt>
                <c:pt idx="1">
                  <c:v>5.1512820000000001</c:v>
                </c:pt>
                <c:pt idx="2">
                  <c:v>2.36747</c:v>
                </c:pt>
                <c:pt idx="3">
                  <c:v>2.0215689999999999</c:v>
                </c:pt>
                <c:pt idx="4">
                  <c:v>7.9610529999999997</c:v>
                </c:pt>
                <c:pt idx="5">
                  <c:v>2.6718310000000001</c:v>
                </c:pt>
                <c:pt idx="6">
                  <c:v>4.331188</c:v>
                </c:pt>
                <c:pt idx="7">
                  <c:v>2</c:v>
                </c:pt>
                <c:pt idx="8">
                  <c:v>2.5259260000000001</c:v>
                </c:pt>
                <c:pt idx="9">
                  <c:v>2</c:v>
                </c:pt>
                <c:pt idx="10">
                  <c:v>1.97</c:v>
                </c:pt>
                <c:pt idx="11">
                  <c:v>3.5529410000000001</c:v>
                </c:pt>
                <c:pt idx="12">
                  <c:v>3.4857140000000002</c:v>
                </c:pt>
                <c:pt idx="13">
                  <c:v>2.6641300000000001</c:v>
                </c:pt>
                <c:pt idx="14">
                  <c:v>1.428571</c:v>
                </c:pt>
                <c:pt idx="15">
                  <c:v>3.2962959999999999</c:v>
                </c:pt>
                <c:pt idx="16">
                  <c:v>1.5933330000000001</c:v>
                </c:pt>
                <c:pt idx="17">
                  <c:v>11.811109999999999</c:v>
                </c:pt>
                <c:pt idx="18">
                  <c:v>2.0249999999999999</c:v>
                </c:pt>
                <c:pt idx="19">
                  <c:v>2.4090910000000001</c:v>
                </c:pt>
                <c:pt idx="20">
                  <c:v>3.295455</c:v>
                </c:pt>
              </c:numCache>
            </c:numRef>
          </c:val>
          <c:extLst>
            <c:ext xmlns:c16="http://schemas.microsoft.com/office/drawing/2014/chart" uri="{C3380CC4-5D6E-409C-BE32-E72D297353CC}">
              <c16:uniqueId val="{00000001-2998-4F3C-8486-D45F0A298137}"/>
            </c:ext>
          </c:extLst>
        </c:ser>
        <c:dLbls>
          <c:showLegendKey val="0"/>
          <c:showVal val="0"/>
          <c:showCatName val="0"/>
          <c:showSerName val="0"/>
          <c:showPercent val="0"/>
          <c:showBubbleSize val="0"/>
        </c:dLbls>
        <c:gapWidth val="219"/>
        <c:overlap val="-27"/>
        <c:axId val="391294064"/>
        <c:axId val="391294456"/>
      </c:barChart>
      <c:catAx>
        <c:axId val="391294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294456"/>
        <c:crosses val="autoZero"/>
        <c:auto val="1"/>
        <c:lblAlgn val="ctr"/>
        <c:lblOffset val="100"/>
        <c:noMultiLvlLbl val="0"/>
      </c:catAx>
      <c:valAx>
        <c:axId val="3912944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294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48642834516274"/>
          <c:y val="4.0688646473605053E-2"/>
          <c:w val="0.82456717602152307"/>
          <c:h val="0.93717988041681166"/>
        </c:manualLayout>
      </c:layout>
      <c:barChart>
        <c:barDir val="bar"/>
        <c:grouping val="clustered"/>
        <c:varyColors val="0"/>
        <c:ser>
          <c:idx val="0"/>
          <c:order val="0"/>
          <c:tx>
            <c:strRef>
              <c:f>'District GER'!$C$192</c:f>
              <c:strCache>
                <c:ptCount val="1"/>
                <c:pt idx="0">
                  <c:v>UBS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'District GER'!$A$193:$B$245</c:f>
              <c:multiLvlStrCache>
                <c:ptCount val="53"/>
                <c:lvl>
                  <c:pt idx="0">
                    <c:v>New Jeshwang</c:v>
                  </c:pt>
                  <c:pt idx="1">
                    <c:v>Sere Kunda West</c:v>
                  </c:pt>
                  <c:pt idx="2">
                    <c:v>Banjul city council</c:v>
                  </c:pt>
                  <c:pt idx="3">
                    <c:v>Sere Kunda East</c:v>
                  </c:pt>
                  <c:pt idx="4">
                    <c:v>Banjul city council</c:v>
                  </c:pt>
                  <c:pt idx="5">
                    <c:v>Sere Kunda Central</c:v>
                  </c:pt>
                  <c:pt idx="6">
                    <c:v>Banjul city council</c:v>
                  </c:pt>
                  <c:pt idx="7">
                    <c:v>Bakau</c:v>
                  </c:pt>
                  <c:pt idx="9">
                    <c:v>Kombo South</c:v>
                  </c:pt>
                  <c:pt idx="10">
                    <c:v>Kombo North</c:v>
                  </c:pt>
                  <c:pt idx="11">
                    <c:v>Foni Bondali</c:v>
                  </c:pt>
                  <c:pt idx="12">
                    <c:v>Kombo East</c:v>
                  </c:pt>
                  <c:pt idx="13">
                    <c:v>Kombo Central</c:v>
                  </c:pt>
                  <c:pt idx="14">
                    <c:v>Foni Brefet</c:v>
                  </c:pt>
                  <c:pt idx="15">
                    <c:v>Foni Jarrol</c:v>
                  </c:pt>
                  <c:pt idx="16">
                    <c:v>Foni Bintang Karanai</c:v>
                  </c:pt>
                  <c:pt idx="17">
                    <c:v>Foni Kansala</c:v>
                  </c:pt>
                  <c:pt idx="19">
                    <c:v>Sabach Sanjar</c:v>
                  </c:pt>
                  <c:pt idx="20">
                    <c:v>Illiasa</c:v>
                  </c:pt>
                  <c:pt idx="21">
                    <c:v>Central Badibu</c:v>
                  </c:pt>
                  <c:pt idx="22">
                    <c:v>Upper Niumi</c:v>
                  </c:pt>
                  <c:pt idx="23">
                    <c:v>Jokadu</c:v>
                  </c:pt>
                  <c:pt idx="24">
                    <c:v>Lower Badibu</c:v>
                  </c:pt>
                  <c:pt idx="25">
                    <c:v>Lower Niumi</c:v>
                  </c:pt>
                  <c:pt idx="27">
                    <c:v>Jarra Central</c:v>
                  </c:pt>
                  <c:pt idx="28">
                    <c:v>Kiang East</c:v>
                  </c:pt>
                  <c:pt idx="29">
                    <c:v>Jarra East</c:v>
                  </c:pt>
                  <c:pt idx="30">
                    <c:v>Kiang Central</c:v>
                  </c:pt>
                  <c:pt idx="31">
                    <c:v>Jarra West</c:v>
                  </c:pt>
                  <c:pt idx="32">
                    <c:v>Kiang West</c:v>
                  </c:pt>
                  <c:pt idx="34">
                    <c:v>Upper Saloum</c:v>
                  </c:pt>
                  <c:pt idx="35">
                    <c:v>Nianija</c:v>
                  </c:pt>
                  <c:pt idx="36">
                    <c:v>Sami</c:v>
                  </c:pt>
                  <c:pt idx="37">
                    <c:v>Niamina East</c:v>
                  </c:pt>
                  <c:pt idx="38">
                    <c:v>Lower Saloum</c:v>
                  </c:pt>
                  <c:pt idx="39">
                    <c:v>Niani</c:v>
                  </c:pt>
                  <c:pt idx="40">
                    <c:v>Lower Fuladu West</c:v>
                  </c:pt>
                  <c:pt idx="41">
                    <c:v>Niamina Dankunku</c:v>
                  </c:pt>
                  <c:pt idx="42">
                    <c:v>Niamina West</c:v>
                  </c:pt>
                  <c:pt idx="43">
                    <c:v>Upper Fuladu West</c:v>
                  </c:pt>
                  <c:pt idx="44">
                    <c:v>Janjanbureh</c:v>
                  </c:pt>
                  <c:pt idx="46">
                    <c:v>Kantora</c:v>
                  </c:pt>
                  <c:pt idx="47">
                    <c:v>Sandu</c:v>
                  </c:pt>
                  <c:pt idx="48">
                    <c:v>Wuli East</c:v>
                  </c:pt>
                  <c:pt idx="49">
                    <c:v>Wuli West</c:v>
                  </c:pt>
                  <c:pt idx="50">
                    <c:v>Tumana</c:v>
                  </c:pt>
                  <c:pt idx="51">
                    <c:v>Jimara</c:v>
                  </c:pt>
                  <c:pt idx="52">
                    <c:v>Basse</c:v>
                  </c:pt>
                </c:lvl>
                <c:lvl>
                  <c:pt idx="0">
                    <c:v>Region1</c:v>
                  </c:pt>
                  <c:pt idx="9">
                    <c:v>Region2</c:v>
                  </c:pt>
                  <c:pt idx="19">
                    <c:v>Region3</c:v>
                  </c:pt>
                  <c:pt idx="27">
                    <c:v>Region4</c:v>
                  </c:pt>
                  <c:pt idx="34">
                    <c:v>Region5</c:v>
                  </c:pt>
                  <c:pt idx="46">
                    <c:v>Region6</c:v>
                  </c:pt>
                </c:lvl>
              </c:multiLvlStrCache>
            </c:multiLvlStrRef>
          </c:cat>
          <c:val>
            <c:numRef>
              <c:f>'District GER'!$C$193:$C$245</c:f>
              <c:numCache>
                <c:formatCode>_*\ #,##0.0;_*\ #,##0.0;_(* "-"??_);_(@_)</c:formatCode>
                <c:ptCount val="53"/>
                <c:pt idx="0">
                  <c:v>-62.5</c:v>
                </c:pt>
                <c:pt idx="1">
                  <c:v>-63.140989999999995</c:v>
                </c:pt>
                <c:pt idx="2">
                  <c:v>-68.216880000000003</c:v>
                </c:pt>
                <c:pt idx="3">
                  <c:v>-69.929879999999997</c:v>
                </c:pt>
                <c:pt idx="4">
                  <c:v>-73.975519999999989</c:v>
                </c:pt>
                <c:pt idx="5">
                  <c:v>-86.878889999999998</c:v>
                </c:pt>
                <c:pt idx="6">
                  <c:v>-106.90299999999999</c:v>
                </c:pt>
                <c:pt idx="7">
                  <c:v>-166.58170000000001</c:v>
                </c:pt>
                <c:pt idx="9">
                  <c:v>-66.232429999999994</c:v>
                </c:pt>
                <c:pt idx="10">
                  <c:v>-76.505949999999999</c:v>
                </c:pt>
                <c:pt idx="11">
                  <c:v>-76.619529999999997</c:v>
                </c:pt>
                <c:pt idx="12">
                  <c:v>-77.888539999999992</c:v>
                </c:pt>
                <c:pt idx="13">
                  <c:v>-87.254580000000004</c:v>
                </c:pt>
                <c:pt idx="14">
                  <c:v>-88.522880000000001</c:v>
                </c:pt>
                <c:pt idx="15">
                  <c:v>-90.26576</c:v>
                </c:pt>
                <c:pt idx="16">
                  <c:v>-91.533050000000003</c:v>
                </c:pt>
                <c:pt idx="17">
                  <c:v>-96.857740000000007</c:v>
                </c:pt>
                <c:pt idx="19">
                  <c:v>-21.954529999999998</c:v>
                </c:pt>
                <c:pt idx="20">
                  <c:v>-37.524090000000001</c:v>
                </c:pt>
                <c:pt idx="21">
                  <c:v>-38.737079999999999</c:v>
                </c:pt>
                <c:pt idx="22">
                  <c:v>-41.231819999999999</c:v>
                </c:pt>
                <c:pt idx="23">
                  <c:v>-51.35333</c:v>
                </c:pt>
                <c:pt idx="24">
                  <c:v>-61.866220000000006</c:v>
                </c:pt>
                <c:pt idx="25">
                  <c:v>-82.494959999999992</c:v>
                </c:pt>
                <c:pt idx="27">
                  <c:v>-34.797960000000003</c:v>
                </c:pt>
                <c:pt idx="28">
                  <c:v>-46.74324</c:v>
                </c:pt>
                <c:pt idx="29">
                  <c:v>-47.253050000000002</c:v>
                </c:pt>
                <c:pt idx="30">
                  <c:v>-56.905130000000007</c:v>
                </c:pt>
                <c:pt idx="31">
                  <c:v>-64.425910000000002</c:v>
                </c:pt>
                <c:pt idx="32">
                  <c:v>-86.460000000000008</c:v>
                </c:pt>
                <c:pt idx="34">
                  <c:v>-10.298359999999999</c:v>
                </c:pt>
                <c:pt idx="35">
                  <c:v>-18.330750000000002</c:v>
                </c:pt>
                <c:pt idx="36">
                  <c:v>-22.820770000000003</c:v>
                </c:pt>
                <c:pt idx="37">
                  <c:v>-24.79336</c:v>
                </c:pt>
                <c:pt idx="38">
                  <c:v>-28.073989999999998</c:v>
                </c:pt>
                <c:pt idx="39">
                  <c:v>-28.727259999999998</c:v>
                </c:pt>
                <c:pt idx="40">
                  <c:v>-31.926120000000001</c:v>
                </c:pt>
                <c:pt idx="41">
                  <c:v>-39.000779999999999</c:v>
                </c:pt>
                <c:pt idx="42">
                  <c:v>-47.27205</c:v>
                </c:pt>
                <c:pt idx="43">
                  <c:v>-47.27563</c:v>
                </c:pt>
                <c:pt idx="44">
                  <c:v>-99.251019999999997</c:v>
                </c:pt>
                <c:pt idx="46">
                  <c:v>-16.25835</c:v>
                </c:pt>
                <c:pt idx="47">
                  <c:v>-19.837150000000001</c:v>
                </c:pt>
                <c:pt idx="48">
                  <c:v>-20.825990000000001</c:v>
                </c:pt>
                <c:pt idx="49">
                  <c:v>-22.10838</c:v>
                </c:pt>
                <c:pt idx="50">
                  <c:v>-23.553279999999997</c:v>
                </c:pt>
                <c:pt idx="51">
                  <c:v>-32.81382</c:v>
                </c:pt>
                <c:pt idx="52">
                  <c:v>-54.885959999999997</c:v>
                </c:pt>
              </c:numCache>
            </c:numRef>
          </c:val>
          <c:extLst>
            <c:ext xmlns:c16="http://schemas.microsoft.com/office/drawing/2014/chart" uri="{C3380CC4-5D6E-409C-BE32-E72D297353CC}">
              <c16:uniqueId val="{00000000-47BC-499C-A4C3-E79D00B43CD2}"/>
            </c:ext>
          </c:extLst>
        </c:ser>
        <c:ser>
          <c:idx val="1"/>
          <c:order val="1"/>
          <c:tx>
            <c:strRef>
              <c:f>'District GER'!$D$192</c:f>
              <c:strCache>
                <c:ptCount val="1"/>
                <c:pt idx="0">
                  <c:v>SSS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'District GER'!$A$193:$B$245</c:f>
              <c:multiLvlStrCache>
                <c:ptCount val="53"/>
                <c:lvl>
                  <c:pt idx="0">
                    <c:v>New Jeshwang</c:v>
                  </c:pt>
                  <c:pt idx="1">
                    <c:v>Sere Kunda West</c:v>
                  </c:pt>
                  <c:pt idx="2">
                    <c:v>Banjul city council</c:v>
                  </c:pt>
                  <c:pt idx="3">
                    <c:v>Sere Kunda East</c:v>
                  </c:pt>
                  <c:pt idx="4">
                    <c:v>Banjul city council</c:v>
                  </c:pt>
                  <c:pt idx="5">
                    <c:v>Sere Kunda Central</c:v>
                  </c:pt>
                  <c:pt idx="6">
                    <c:v>Banjul city council</c:v>
                  </c:pt>
                  <c:pt idx="7">
                    <c:v>Bakau</c:v>
                  </c:pt>
                  <c:pt idx="9">
                    <c:v>Kombo South</c:v>
                  </c:pt>
                  <c:pt idx="10">
                    <c:v>Kombo North</c:v>
                  </c:pt>
                  <c:pt idx="11">
                    <c:v>Foni Bondali</c:v>
                  </c:pt>
                  <c:pt idx="12">
                    <c:v>Kombo East</c:v>
                  </c:pt>
                  <c:pt idx="13">
                    <c:v>Kombo Central</c:v>
                  </c:pt>
                  <c:pt idx="14">
                    <c:v>Foni Brefet</c:v>
                  </c:pt>
                  <c:pt idx="15">
                    <c:v>Foni Jarrol</c:v>
                  </c:pt>
                  <c:pt idx="16">
                    <c:v>Foni Bintang Karanai</c:v>
                  </c:pt>
                  <c:pt idx="17">
                    <c:v>Foni Kansala</c:v>
                  </c:pt>
                  <c:pt idx="19">
                    <c:v>Sabach Sanjar</c:v>
                  </c:pt>
                  <c:pt idx="20">
                    <c:v>Illiasa</c:v>
                  </c:pt>
                  <c:pt idx="21">
                    <c:v>Central Badibu</c:v>
                  </c:pt>
                  <c:pt idx="22">
                    <c:v>Upper Niumi</c:v>
                  </c:pt>
                  <c:pt idx="23">
                    <c:v>Jokadu</c:v>
                  </c:pt>
                  <c:pt idx="24">
                    <c:v>Lower Badibu</c:v>
                  </c:pt>
                  <c:pt idx="25">
                    <c:v>Lower Niumi</c:v>
                  </c:pt>
                  <c:pt idx="27">
                    <c:v>Jarra Central</c:v>
                  </c:pt>
                  <c:pt idx="28">
                    <c:v>Kiang East</c:v>
                  </c:pt>
                  <c:pt idx="29">
                    <c:v>Jarra East</c:v>
                  </c:pt>
                  <c:pt idx="30">
                    <c:v>Kiang Central</c:v>
                  </c:pt>
                  <c:pt idx="31">
                    <c:v>Jarra West</c:v>
                  </c:pt>
                  <c:pt idx="32">
                    <c:v>Kiang West</c:v>
                  </c:pt>
                  <c:pt idx="34">
                    <c:v>Upper Saloum</c:v>
                  </c:pt>
                  <c:pt idx="35">
                    <c:v>Nianija</c:v>
                  </c:pt>
                  <c:pt idx="36">
                    <c:v>Sami</c:v>
                  </c:pt>
                  <c:pt idx="37">
                    <c:v>Niamina East</c:v>
                  </c:pt>
                  <c:pt idx="38">
                    <c:v>Lower Saloum</c:v>
                  </c:pt>
                  <c:pt idx="39">
                    <c:v>Niani</c:v>
                  </c:pt>
                  <c:pt idx="40">
                    <c:v>Lower Fuladu West</c:v>
                  </c:pt>
                  <c:pt idx="41">
                    <c:v>Niamina Dankunku</c:v>
                  </c:pt>
                  <c:pt idx="42">
                    <c:v>Niamina West</c:v>
                  </c:pt>
                  <c:pt idx="43">
                    <c:v>Upper Fuladu West</c:v>
                  </c:pt>
                  <c:pt idx="44">
                    <c:v>Janjanbureh</c:v>
                  </c:pt>
                  <c:pt idx="46">
                    <c:v>Kantora</c:v>
                  </c:pt>
                  <c:pt idx="47">
                    <c:v>Sandu</c:v>
                  </c:pt>
                  <c:pt idx="48">
                    <c:v>Wuli East</c:v>
                  </c:pt>
                  <c:pt idx="49">
                    <c:v>Wuli West</c:v>
                  </c:pt>
                  <c:pt idx="50">
                    <c:v>Tumana</c:v>
                  </c:pt>
                  <c:pt idx="51">
                    <c:v>Jimara</c:v>
                  </c:pt>
                  <c:pt idx="52">
                    <c:v>Basse</c:v>
                  </c:pt>
                </c:lvl>
                <c:lvl>
                  <c:pt idx="0">
                    <c:v>Region1</c:v>
                  </c:pt>
                  <c:pt idx="9">
                    <c:v>Region2</c:v>
                  </c:pt>
                  <c:pt idx="19">
                    <c:v>Region3</c:v>
                  </c:pt>
                  <c:pt idx="27">
                    <c:v>Region4</c:v>
                  </c:pt>
                  <c:pt idx="34">
                    <c:v>Region5</c:v>
                  </c:pt>
                  <c:pt idx="46">
                    <c:v>Region6</c:v>
                  </c:pt>
                </c:lvl>
              </c:multiLvlStrCache>
            </c:multiLvlStrRef>
          </c:cat>
          <c:val>
            <c:numRef>
              <c:f>'District GER'!$D$193:$D$245</c:f>
              <c:numCache>
                <c:formatCode>0.0</c:formatCode>
                <c:ptCount val="53"/>
                <c:pt idx="0">
                  <c:v>81.240989999999996</c:v>
                </c:pt>
                <c:pt idx="1">
                  <c:v>46.890150000000006</c:v>
                </c:pt>
                <c:pt idx="2">
                  <c:v>50.448879999999996</c:v>
                </c:pt>
                <c:pt idx="3">
                  <c:v>52.989690000000003</c:v>
                </c:pt>
                <c:pt idx="4">
                  <c:v>73.407799999999995</c:v>
                </c:pt>
                <c:pt idx="5">
                  <c:v>66.653169999999989</c:v>
                </c:pt>
                <c:pt idx="6">
                  <c:v>60.334030000000006</c:v>
                </c:pt>
                <c:pt idx="7">
                  <c:v>53.818999999999996</c:v>
                </c:pt>
                <c:pt idx="9">
                  <c:v>47.399590000000003</c:v>
                </c:pt>
                <c:pt idx="10">
                  <c:v>51.508390000000006</c:v>
                </c:pt>
                <c:pt idx="11">
                  <c:v>50.50949</c:v>
                </c:pt>
                <c:pt idx="12">
                  <c:v>38.936959999999999</c:v>
                </c:pt>
                <c:pt idx="13">
                  <c:v>63.755389999999998</c:v>
                </c:pt>
                <c:pt idx="14">
                  <c:v>16.362690000000001</c:v>
                </c:pt>
                <c:pt idx="15">
                  <c:v>51.054180000000002</c:v>
                </c:pt>
                <c:pt idx="16">
                  <c:v>40.998830000000005</c:v>
                </c:pt>
                <c:pt idx="17">
                  <c:v>64.273830000000004</c:v>
                </c:pt>
                <c:pt idx="19">
                  <c:v>15.584670000000001</c:v>
                </c:pt>
                <c:pt idx="20">
                  <c:v>32.695410000000003</c:v>
                </c:pt>
                <c:pt idx="21">
                  <c:v>23.683989999999998</c:v>
                </c:pt>
                <c:pt idx="22">
                  <c:v>26.032919999999997</c:v>
                </c:pt>
                <c:pt idx="23">
                  <c:v>30.981550000000002</c:v>
                </c:pt>
                <c:pt idx="24">
                  <c:v>35.124899999999997</c:v>
                </c:pt>
                <c:pt idx="25">
                  <c:v>67.856130000000007</c:v>
                </c:pt>
                <c:pt idx="27">
                  <c:v>11.37668</c:v>
                </c:pt>
                <c:pt idx="28">
                  <c:v>22.76763</c:v>
                </c:pt>
                <c:pt idx="29">
                  <c:v>17.973040000000001</c:v>
                </c:pt>
                <c:pt idx="30">
                  <c:v>37.941330000000001</c:v>
                </c:pt>
                <c:pt idx="31">
                  <c:v>36.023939999999996</c:v>
                </c:pt>
                <c:pt idx="32">
                  <c:v>44.03051</c:v>
                </c:pt>
                <c:pt idx="34">
                  <c:v>12.30026</c:v>
                </c:pt>
                <c:pt idx="35">
                  <c:v>13.65789</c:v>
                </c:pt>
                <c:pt idx="36">
                  <c:v>13.031799999999999</c:v>
                </c:pt>
                <c:pt idx="37">
                  <c:v>16.876809999999999</c:v>
                </c:pt>
                <c:pt idx="38">
                  <c:v>32.476690000000005</c:v>
                </c:pt>
                <c:pt idx="39">
                  <c:v>15.903320000000001</c:v>
                </c:pt>
                <c:pt idx="40">
                  <c:v>29.76473</c:v>
                </c:pt>
                <c:pt idx="41">
                  <c:v>15.522679999999999</c:v>
                </c:pt>
                <c:pt idx="42">
                  <c:v>24.82002</c:v>
                </c:pt>
                <c:pt idx="43">
                  <c:v>39.090970000000006</c:v>
                </c:pt>
                <c:pt idx="44">
                  <c:v>73.369569999999996</c:v>
                </c:pt>
                <c:pt idx="46">
                  <c:v>5.3342499999999999</c:v>
                </c:pt>
                <c:pt idx="47">
                  <c:v>7.5792700000000002</c:v>
                </c:pt>
                <c:pt idx="48">
                  <c:v>6.6516900000000003</c:v>
                </c:pt>
                <c:pt idx="49">
                  <c:v>9.2641000000000009</c:v>
                </c:pt>
                <c:pt idx="50">
                  <c:v>10.40227</c:v>
                </c:pt>
                <c:pt idx="51">
                  <c:v>8.1670700000000007</c:v>
                </c:pt>
                <c:pt idx="52">
                  <c:v>36.985399999999998</c:v>
                </c:pt>
              </c:numCache>
            </c:numRef>
          </c:val>
          <c:extLst>
            <c:ext xmlns:c16="http://schemas.microsoft.com/office/drawing/2014/chart" uri="{C3380CC4-5D6E-409C-BE32-E72D297353CC}">
              <c16:uniqueId val="{00000001-47BC-499C-A4C3-E79D00B43CD2}"/>
            </c:ext>
          </c:extLst>
        </c:ser>
        <c:dLbls>
          <c:showLegendKey val="0"/>
          <c:showVal val="0"/>
          <c:showCatName val="0"/>
          <c:showSerName val="0"/>
          <c:showPercent val="0"/>
          <c:showBubbleSize val="0"/>
        </c:dLbls>
        <c:gapWidth val="10"/>
        <c:overlap val="100"/>
        <c:axId val="232819024"/>
        <c:axId val="232819416"/>
      </c:barChart>
      <c:catAx>
        <c:axId val="232819024"/>
        <c:scaling>
          <c:orientation val="maxMin"/>
        </c:scaling>
        <c:delete val="0"/>
        <c:axPos val="l"/>
        <c:majorGridlines>
          <c:spPr>
            <a:ln w="9525" cap="flat" cmpd="sng" algn="ctr">
              <a:noFill/>
              <a:round/>
            </a:ln>
            <a:effectLst/>
          </c:spPr>
        </c:majorGridlines>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232819416"/>
        <c:crosses val="autoZero"/>
        <c:auto val="1"/>
        <c:lblAlgn val="ctr"/>
        <c:lblOffset val="100"/>
        <c:noMultiLvlLbl val="0"/>
      </c:catAx>
      <c:valAx>
        <c:axId val="232819416"/>
        <c:scaling>
          <c:orientation val="minMax"/>
        </c:scaling>
        <c:delete val="0"/>
        <c:axPos val="b"/>
        <c:majorGridlines>
          <c:spPr>
            <a:ln w="9525" cap="flat" cmpd="sng" algn="ctr">
              <a:solidFill>
                <a:schemeClr val="tx1">
                  <a:lumMod val="15000"/>
                  <a:lumOff val="85000"/>
                </a:schemeClr>
              </a:solidFill>
              <a:round/>
            </a:ln>
            <a:effectLst/>
          </c:spPr>
        </c:majorGridlines>
        <c:numFmt formatCode="#,##0.00_);[Black]#,##0.00" sourceLinked="0"/>
        <c:majorTickMark val="out"/>
        <c:minorTickMark val="none"/>
        <c:tickLblPos val="high"/>
        <c:spPr>
          <a:noFill/>
          <a:ln>
            <a:solidFill>
              <a:schemeClr val="tx1"/>
            </a:solidFill>
          </a:ln>
          <a:effectLst/>
        </c:spPr>
        <c:txPr>
          <a:bodyPr rot="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232819024"/>
        <c:crosses val="max"/>
        <c:crossBetween val="midCat"/>
      </c:valAx>
      <c:spPr>
        <a:noFill/>
        <a:ln>
          <a:noFill/>
        </a:ln>
        <a:effectLst/>
      </c:spPr>
    </c:plotArea>
    <c:legend>
      <c:legendPos val="b"/>
      <c:layout>
        <c:manualLayout>
          <c:xMode val="edge"/>
          <c:yMode val="edge"/>
          <c:x val="0.56261876856585513"/>
          <c:y val="7.9781601282485626E-3"/>
          <c:w val="0.21882137241287333"/>
          <c:h val="2.254517454335160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600"/>
      </a:pPr>
      <a:endParaRPr lang="en-US"/>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Sheet8!$K$45</c:f>
              <c:strCache>
                <c:ptCount val="1"/>
                <c:pt idx="0">
                  <c:v>Fees</c:v>
                </c:pt>
              </c:strCache>
            </c:strRef>
          </c:tx>
          <c:spPr>
            <a:solidFill>
              <a:schemeClr val="accent1"/>
            </a:solidFill>
            <a:ln>
              <a:noFill/>
            </a:ln>
            <a:effectLst/>
          </c:spPr>
          <c:invertIfNegative val="0"/>
          <c:cat>
            <c:multiLvlStrRef>
              <c:f>Sheet8!$I$46:$J$79</c:f>
              <c:multiLvlStrCache>
                <c:ptCount val="34"/>
                <c:lvl>
                  <c:pt idx="0">
                    <c:v>Q1</c:v>
                  </c:pt>
                  <c:pt idx="1">
                    <c:v>Q2</c:v>
                  </c:pt>
                  <c:pt idx="2">
                    <c:v>Q3</c:v>
                  </c:pt>
                  <c:pt idx="3">
                    <c:v>Q4</c:v>
                  </c:pt>
                  <c:pt idx="4">
                    <c:v>Q5</c:v>
                  </c:pt>
                  <c:pt idx="5">
                    <c:v>Average</c:v>
                  </c:pt>
                  <c:pt idx="7">
                    <c:v>Q1</c:v>
                  </c:pt>
                  <c:pt idx="8">
                    <c:v>Q2</c:v>
                  </c:pt>
                  <c:pt idx="9">
                    <c:v>Q3</c:v>
                  </c:pt>
                  <c:pt idx="10">
                    <c:v>Q4</c:v>
                  </c:pt>
                  <c:pt idx="11">
                    <c:v>Q5</c:v>
                  </c:pt>
                  <c:pt idx="12">
                    <c:v>Average</c:v>
                  </c:pt>
                  <c:pt idx="14">
                    <c:v>Q1</c:v>
                  </c:pt>
                  <c:pt idx="15">
                    <c:v>Q2</c:v>
                  </c:pt>
                  <c:pt idx="16">
                    <c:v>Q3</c:v>
                  </c:pt>
                  <c:pt idx="17">
                    <c:v>Q4</c:v>
                  </c:pt>
                  <c:pt idx="18">
                    <c:v>Q5</c:v>
                  </c:pt>
                  <c:pt idx="19">
                    <c:v>Average</c:v>
                  </c:pt>
                  <c:pt idx="21">
                    <c:v>Q1</c:v>
                  </c:pt>
                  <c:pt idx="22">
                    <c:v>Q2</c:v>
                  </c:pt>
                  <c:pt idx="23">
                    <c:v>Q3</c:v>
                  </c:pt>
                  <c:pt idx="24">
                    <c:v>Q4</c:v>
                  </c:pt>
                  <c:pt idx="25">
                    <c:v>Q5</c:v>
                  </c:pt>
                  <c:pt idx="26">
                    <c:v>Average</c:v>
                  </c:pt>
                  <c:pt idx="28">
                    <c:v>Q1</c:v>
                  </c:pt>
                  <c:pt idx="29">
                    <c:v>Q2</c:v>
                  </c:pt>
                  <c:pt idx="30">
                    <c:v>Q3</c:v>
                  </c:pt>
                  <c:pt idx="31">
                    <c:v>Q4</c:v>
                  </c:pt>
                  <c:pt idx="32">
                    <c:v>Q5</c:v>
                  </c:pt>
                  <c:pt idx="33">
                    <c:v>Average</c:v>
                  </c:pt>
                </c:lvl>
                <c:lvl>
                  <c:pt idx="0">
                    <c:v>Preschools</c:v>
                  </c:pt>
                  <c:pt idx="7">
                    <c:v>LBS</c:v>
                  </c:pt>
                  <c:pt idx="14">
                    <c:v>UBS</c:v>
                  </c:pt>
                  <c:pt idx="21">
                    <c:v>SSS</c:v>
                  </c:pt>
                  <c:pt idx="28">
                    <c:v>Higher</c:v>
                  </c:pt>
                </c:lvl>
              </c:multiLvlStrCache>
            </c:multiLvlStrRef>
          </c:cat>
          <c:val>
            <c:numRef>
              <c:f>Sheet8!$K$46:$K$79</c:f>
              <c:numCache>
                <c:formatCode>0%</c:formatCode>
                <c:ptCount val="34"/>
                <c:pt idx="0">
                  <c:v>2.9019117503219026E-2</c:v>
                </c:pt>
                <c:pt idx="1">
                  <c:v>4.0246651505283289E-2</c:v>
                </c:pt>
                <c:pt idx="2">
                  <c:v>7.9353390686309186E-2</c:v>
                </c:pt>
                <c:pt idx="3">
                  <c:v>5.988859865462292E-2</c:v>
                </c:pt>
                <c:pt idx="4">
                  <c:v>0.25455797293067206</c:v>
                </c:pt>
                <c:pt idx="5">
                  <c:v>0.12287564940236448</c:v>
                </c:pt>
                <c:pt idx="7">
                  <c:v>4.230267038076984E-2</c:v>
                </c:pt>
                <c:pt idx="8">
                  <c:v>1.5229974618109109E-2</c:v>
                </c:pt>
                <c:pt idx="9">
                  <c:v>2.0616845920212356E-2</c:v>
                </c:pt>
                <c:pt idx="10">
                  <c:v>4.8108132355814757E-2</c:v>
                </c:pt>
                <c:pt idx="11">
                  <c:v>3.9298726172775356E-2</c:v>
                </c:pt>
                <c:pt idx="12">
                  <c:v>3.1237980051775163E-2</c:v>
                </c:pt>
                <c:pt idx="14">
                  <c:v>4.3711889446503921E-2</c:v>
                </c:pt>
                <c:pt idx="15">
                  <c:v>5.1015109884772598E-2</c:v>
                </c:pt>
                <c:pt idx="16">
                  <c:v>4.1308742208162774E-2</c:v>
                </c:pt>
                <c:pt idx="17">
                  <c:v>0.10409257753423476</c:v>
                </c:pt>
                <c:pt idx="18">
                  <c:v>0.11787062478286989</c:v>
                </c:pt>
                <c:pt idx="19">
                  <c:v>7.9148295318961601E-2</c:v>
                </c:pt>
                <c:pt idx="21">
                  <c:v>6.7426802803162281E-2</c:v>
                </c:pt>
                <c:pt idx="22">
                  <c:v>7.8978463684835729E-2</c:v>
                </c:pt>
                <c:pt idx="23">
                  <c:v>0.11780800919523009</c:v>
                </c:pt>
                <c:pt idx="24">
                  <c:v>0.17392399063722108</c:v>
                </c:pt>
                <c:pt idx="25">
                  <c:v>0.16253183733981366</c:v>
                </c:pt>
                <c:pt idx="26">
                  <c:v>0.13270590547545102</c:v>
                </c:pt>
                <c:pt idx="28">
                  <c:v>0.16799446123411652</c:v>
                </c:pt>
                <c:pt idx="29">
                  <c:v>0.82045686902274517</c:v>
                </c:pt>
                <c:pt idx="30">
                  <c:v>0.28631291840648943</c:v>
                </c:pt>
                <c:pt idx="31">
                  <c:v>0.25287302334113582</c:v>
                </c:pt>
                <c:pt idx="32">
                  <c:v>0.45594614115759702</c:v>
                </c:pt>
                <c:pt idx="33">
                  <c:v>0.34430755563210447</c:v>
                </c:pt>
              </c:numCache>
            </c:numRef>
          </c:val>
          <c:extLst>
            <c:ext xmlns:c16="http://schemas.microsoft.com/office/drawing/2014/chart" uri="{C3380CC4-5D6E-409C-BE32-E72D297353CC}">
              <c16:uniqueId val="{00000000-387D-4188-BD74-D16059876672}"/>
            </c:ext>
          </c:extLst>
        </c:ser>
        <c:ser>
          <c:idx val="1"/>
          <c:order val="1"/>
          <c:tx>
            <c:strRef>
              <c:f>Sheet8!$L$45</c:f>
              <c:strCache>
                <c:ptCount val="1"/>
                <c:pt idx="0">
                  <c:v>Uniform</c:v>
                </c:pt>
              </c:strCache>
            </c:strRef>
          </c:tx>
          <c:spPr>
            <a:solidFill>
              <a:schemeClr val="accent2"/>
            </a:solidFill>
            <a:ln>
              <a:noFill/>
            </a:ln>
            <a:effectLst/>
          </c:spPr>
          <c:invertIfNegative val="0"/>
          <c:cat>
            <c:multiLvlStrRef>
              <c:f>Sheet8!$I$46:$J$79</c:f>
              <c:multiLvlStrCache>
                <c:ptCount val="34"/>
                <c:lvl>
                  <c:pt idx="0">
                    <c:v>Q1</c:v>
                  </c:pt>
                  <c:pt idx="1">
                    <c:v>Q2</c:v>
                  </c:pt>
                  <c:pt idx="2">
                    <c:v>Q3</c:v>
                  </c:pt>
                  <c:pt idx="3">
                    <c:v>Q4</c:v>
                  </c:pt>
                  <c:pt idx="4">
                    <c:v>Q5</c:v>
                  </c:pt>
                  <c:pt idx="5">
                    <c:v>Average</c:v>
                  </c:pt>
                  <c:pt idx="7">
                    <c:v>Q1</c:v>
                  </c:pt>
                  <c:pt idx="8">
                    <c:v>Q2</c:v>
                  </c:pt>
                  <c:pt idx="9">
                    <c:v>Q3</c:v>
                  </c:pt>
                  <c:pt idx="10">
                    <c:v>Q4</c:v>
                  </c:pt>
                  <c:pt idx="11">
                    <c:v>Q5</c:v>
                  </c:pt>
                  <c:pt idx="12">
                    <c:v>Average</c:v>
                  </c:pt>
                  <c:pt idx="14">
                    <c:v>Q1</c:v>
                  </c:pt>
                  <c:pt idx="15">
                    <c:v>Q2</c:v>
                  </c:pt>
                  <c:pt idx="16">
                    <c:v>Q3</c:v>
                  </c:pt>
                  <c:pt idx="17">
                    <c:v>Q4</c:v>
                  </c:pt>
                  <c:pt idx="18">
                    <c:v>Q5</c:v>
                  </c:pt>
                  <c:pt idx="19">
                    <c:v>Average</c:v>
                  </c:pt>
                  <c:pt idx="21">
                    <c:v>Q1</c:v>
                  </c:pt>
                  <c:pt idx="22">
                    <c:v>Q2</c:v>
                  </c:pt>
                  <c:pt idx="23">
                    <c:v>Q3</c:v>
                  </c:pt>
                  <c:pt idx="24">
                    <c:v>Q4</c:v>
                  </c:pt>
                  <c:pt idx="25">
                    <c:v>Q5</c:v>
                  </c:pt>
                  <c:pt idx="26">
                    <c:v>Average</c:v>
                  </c:pt>
                  <c:pt idx="28">
                    <c:v>Q1</c:v>
                  </c:pt>
                  <c:pt idx="29">
                    <c:v>Q2</c:v>
                  </c:pt>
                  <c:pt idx="30">
                    <c:v>Q3</c:v>
                  </c:pt>
                  <c:pt idx="31">
                    <c:v>Q4</c:v>
                  </c:pt>
                  <c:pt idx="32">
                    <c:v>Q5</c:v>
                  </c:pt>
                  <c:pt idx="33">
                    <c:v>Average</c:v>
                  </c:pt>
                </c:lvl>
                <c:lvl>
                  <c:pt idx="0">
                    <c:v>Preschools</c:v>
                  </c:pt>
                  <c:pt idx="7">
                    <c:v>LBS</c:v>
                  </c:pt>
                  <c:pt idx="14">
                    <c:v>UBS</c:v>
                  </c:pt>
                  <c:pt idx="21">
                    <c:v>SSS</c:v>
                  </c:pt>
                  <c:pt idx="28">
                    <c:v>Higher</c:v>
                  </c:pt>
                </c:lvl>
              </c:multiLvlStrCache>
            </c:multiLvlStrRef>
          </c:cat>
          <c:val>
            <c:numRef>
              <c:f>Sheet8!$L$46:$L$79</c:f>
              <c:numCache>
                <c:formatCode>0%</c:formatCode>
                <c:ptCount val="34"/>
                <c:pt idx="0">
                  <c:v>0.12602819164058429</c:v>
                </c:pt>
                <c:pt idx="1">
                  <c:v>0.14580983519514004</c:v>
                </c:pt>
                <c:pt idx="2">
                  <c:v>0.10123415968466826</c:v>
                </c:pt>
                <c:pt idx="3">
                  <c:v>0.11354036576739829</c:v>
                </c:pt>
                <c:pt idx="4">
                  <c:v>0.10689035243755744</c:v>
                </c:pt>
                <c:pt idx="5">
                  <c:v>0.1221293853303818</c:v>
                </c:pt>
                <c:pt idx="7">
                  <c:v>0.14846413081782997</c:v>
                </c:pt>
                <c:pt idx="8">
                  <c:v>0.14680448748945016</c:v>
                </c:pt>
                <c:pt idx="9">
                  <c:v>0.13291499605069484</c:v>
                </c:pt>
                <c:pt idx="10">
                  <c:v>0.13667614248422993</c:v>
                </c:pt>
                <c:pt idx="11">
                  <c:v>7.6788839456836261E-2</c:v>
                </c:pt>
                <c:pt idx="12">
                  <c:v>0.11309640629636916</c:v>
                </c:pt>
                <c:pt idx="14">
                  <c:v>0.10420291094299731</c:v>
                </c:pt>
                <c:pt idx="15">
                  <c:v>9.7585976191785967E-2</c:v>
                </c:pt>
                <c:pt idx="16">
                  <c:v>0.10330261523692987</c:v>
                </c:pt>
                <c:pt idx="17">
                  <c:v>9.2192687361777076E-2</c:v>
                </c:pt>
                <c:pt idx="18">
                  <c:v>0.10324798707263307</c:v>
                </c:pt>
                <c:pt idx="19">
                  <c:v>0.10196431495484902</c:v>
                </c:pt>
                <c:pt idx="21">
                  <c:v>6.629531628624688E-2</c:v>
                </c:pt>
                <c:pt idx="22">
                  <c:v>5.2501750628867513E-2</c:v>
                </c:pt>
                <c:pt idx="23">
                  <c:v>0.11899800601898512</c:v>
                </c:pt>
                <c:pt idx="24">
                  <c:v>6.1829098447019996E-2</c:v>
                </c:pt>
                <c:pt idx="25">
                  <c:v>4.5957577507499361E-2</c:v>
                </c:pt>
                <c:pt idx="26">
                  <c:v>6.382002697571873E-2</c:v>
                </c:pt>
                <c:pt idx="28">
                  <c:v>7.2531236252927525E-2</c:v>
                </c:pt>
                <c:pt idx="29">
                  <c:v>9.3492931760434678E-3</c:v>
                </c:pt>
                <c:pt idx="30">
                  <c:v>8.8519291794871599E-2</c:v>
                </c:pt>
                <c:pt idx="31">
                  <c:v>1.2773670586365183E-2</c:v>
                </c:pt>
                <c:pt idx="32">
                  <c:v>4.1426694928837993E-2</c:v>
                </c:pt>
                <c:pt idx="33">
                  <c:v>2.577154056034707E-2</c:v>
                </c:pt>
              </c:numCache>
            </c:numRef>
          </c:val>
          <c:extLst>
            <c:ext xmlns:c16="http://schemas.microsoft.com/office/drawing/2014/chart" uri="{C3380CC4-5D6E-409C-BE32-E72D297353CC}">
              <c16:uniqueId val="{00000001-387D-4188-BD74-D16059876672}"/>
            </c:ext>
          </c:extLst>
        </c:ser>
        <c:ser>
          <c:idx val="2"/>
          <c:order val="2"/>
          <c:tx>
            <c:strRef>
              <c:f>Sheet8!$M$45</c:f>
              <c:strCache>
                <c:ptCount val="1"/>
                <c:pt idx="0">
                  <c:v>Boarding and Food</c:v>
                </c:pt>
              </c:strCache>
            </c:strRef>
          </c:tx>
          <c:spPr>
            <a:solidFill>
              <a:schemeClr val="accent3"/>
            </a:solidFill>
            <a:ln>
              <a:noFill/>
            </a:ln>
            <a:effectLst/>
          </c:spPr>
          <c:invertIfNegative val="0"/>
          <c:cat>
            <c:multiLvlStrRef>
              <c:f>Sheet8!$I$46:$J$79</c:f>
              <c:multiLvlStrCache>
                <c:ptCount val="34"/>
                <c:lvl>
                  <c:pt idx="0">
                    <c:v>Q1</c:v>
                  </c:pt>
                  <c:pt idx="1">
                    <c:v>Q2</c:v>
                  </c:pt>
                  <c:pt idx="2">
                    <c:v>Q3</c:v>
                  </c:pt>
                  <c:pt idx="3">
                    <c:v>Q4</c:v>
                  </c:pt>
                  <c:pt idx="4">
                    <c:v>Q5</c:v>
                  </c:pt>
                  <c:pt idx="5">
                    <c:v>Average</c:v>
                  </c:pt>
                  <c:pt idx="7">
                    <c:v>Q1</c:v>
                  </c:pt>
                  <c:pt idx="8">
                    <c:v>Q2</c:v>
                  </c:pt>
                  <c:pt idx="9">
                    <c:v>Q3</c:v>
                  </c:pt>
                  <c:pt idx="10">
                    <c:v>Q4</c:v>
                  </c:pt>
                  <c:pt idx="11">
                    <c:v>Q5</c:v>
                  </c:pt>
                  <c:pt idx="12">
                    <c:v>Average</c:v>
                  </c:pt>
                  <c:pt idx="14">
                    <c:v>Q1</c:v>
                  </c:pt>
                  <c:pt idx="15">
                    <c:v>Q2</c:v>
                  </c:pt>
                  <c:pt idx="16">
                    <c:v>Q3</c:v>
                  </c:pt>
                  <c:pt idx="17">
                    <c:v>Q4</c:v>
                  </c:pt>
                  <c:pt idx="18">
                    <c:v>Q5</c:v>
                  </c:pt>
                  <c:pt idx="19">
                    <c:v>Average</c:v>
                  </c:pt>
                  <c:pt idx="21">
                    <c:v>Q1</c:v>
                  </c:pt>
                  <c:pt idx="22">
                    <c:v>Q2</c:v>
                  </c:pt>
                  <c:pt idx="23">
                    <c:v>Q3</c:v>
                  </c:pt>
                  <c:pt idx="24">
                    <c:v>Q4</c:v>
                  </c:pt>
                  <c:pt idx="25">
                    <c:v>Q5</c:v>
                  </c:pt>
                  <c:pt idx="26">
                    <c:v>Average</c:v>
                  </c:pt>
                  <c:pt idx="28">
                    <c:v>Q1</c:v>
                  </c:pt>
                  <c:pt idx="29">
                    <c:v>Q2</c:v>
                  </c:pt>
                  <c:pt idx="30">
                    <c:v>Q3</c:v>
                  </c:pt>
                  <c:pt idx="31">
                    <c:v>Q4</c:v>
                  </c:pt>
                  <c:pt idx="32">
                    <c:v>Q5</c:v>
                  </c:pt>
                  <c:pt idx="33">
                    <c:v>Average</c:v>
                  </c:pt>
                </c:lvl>
                <c:lvl>
                  <c:pt idx="0">
                    <c:v>Preschools</c:v>
                  </c:pt>
                  <c:pt idx="7">
                    <c:v>LBS</c:v>
                  </c:pt>
                  <c:pt idx="14">
                    <c:v>UBS</c:v>
                  </c:pt>
                  <c:pt idx="21">
                    <c:v>SSS</c:v>
                  </c:pt>
                  <c:pt idx="28">
                    <c:v>Higher</c:v>
                  </c:pt>
                </c:lvl>
              </c:multiLvlStrCache>
            </c:multiLvlStrRef>
          </c:cat>
          <c:val>
            <c:numRef>
              <c:f>Sheet8!$M$46:$M$79</c:f>
              <c:numCache>
                <c:formatCode>0%</c:formatCode>
                <c:ptCount val="34"/>
                <c:pt idx="0">
                  <c:v>0.52474216125219275</c:v>
                </c:pt>
                <c:pt idx="1">
                  <c:v>0.64160105593272232</c:v>
                </c:pt>
                <c:pt idx="2">
                  <c:v>0.78088310959542195</c:v>
                </c:pt>
                <c:pt idx="3">
                  <c:v>0.46647925542852792</c:v>
                </c:pt>
                <c:pt idx="4">
                  <c:v>0.57311098329401944</c:v>
                </c:pt>
                <c:pt idx="5">
                  <c:v>0.62903018669831445</c:v>
                </c:pt>
                <c:pt idx="7">
                  <c:v>0.5711587357942467</c:v>
                </c:pt>
                <c:pt idx="8">
                  <c:v>0.69446932437165088</c:v>
                </c:pt>
                <c:pt idx="9">
                  <c:v>0.65477605355444413</c:v>
                </c:pt>
                <c:pt idx="10">
                  <c:v>0.61047938994022655</c:v>
                </c:pt>
                <c:pt idx="11">
                  <c:v>0.38647769687600753</c:v>
                </c:pt>
                <c:pt idx="12">
                  <c:v>0.52112809948935712</c:v>
                </c:pt>
                <c:pt idx="14">
                  <c:v>0.49915404513566275</c:v>
                </c:pt>
                <c:pt idx="15">
                  <c:v>0.45623465666856955</c:v>
                </c:pt>
                <c:pt idx="16">
                  <c:v>0.56000017627344711</c:v>
                </c:pt>
                <c:pt idx="17">
                  <c:v>0.4575917206603502</c:v>
                </c:pt>
                <c:pt idx="18">
                  <c:v>0.49824749665217183</c:v>
                </c:pt>
                <c:pt idx="19">
                  <c:v>0.50404322064186735</c:v>
                </c:pt>
                <c:pt idx="21">
                  <c:v>0.27156760205315739</c:v>
                </c:pt>
                <c:pt idx="22">
                  <c:v>0.32220482348707252</c:v>
                </c:pt>
                <c:pt idx="23">
                  <c:v>0.38654726417805113</c:v>
                </c:pt>
                <c:pt idx="24">
                  <c:v>0.36852094622836529</c:v>
                </c:pt>
                <c:pt idx="25">
                  <c:v>0.3188200476094013</c:v>
                </c:pt>
                <c:pt idx="26">
                  <c:v>0.33153811831240093</c:v>
                </c:pt>
                <c:pt idx="28">
                  <c:v>0.42821249193266125</c:v>
                </c:pt>
                <c:pt idx="29">
                  <c:v>7.8925278288830267E-2</c:v>
                </c:pt>
                <c:pt idx="30">
                  <c:v>0.34140288164392041</c:v>
                </c:pt>
                <c:pt idx="31">
                  <c:v>7.8938249698077598E-2</c:v>
                </c:pt>
                <c:pt idx="32">
                  <c:v>0.22286240757493392</c:v>
                </c:pt>
                <c:pt idx="33">
                  <c:v>0.13985789160186868</c:v>
                </c:pt>
              </c:numCache>
            </c:numRef>
          </c:val>
          <c:extLst>
            <c:ext xmlns:c16="http://schemas.microsoft.com/office/drawing/2014/chart" uri="{C3380CC4-5D6E-409C-BE32-E72D297353CC}">
              <c16:uniqueId val="{00000002-387D-4188-BD74-D16059876672}"/>
            </c:ext>
          </c:extLst>
        </c:ser>
        <c:ser>
          <c:idx val="3"/>
          <c:order val="3"/>
          <c:tx>
            <c:strRef>
              <c:f>Sheet8!$N$45</c:f>
              <c:strCache>
                <c:ptCount val="1"/>
                <c:pt idx="0">
                  <c:v>Books</c:v>
                </c:pt>
              </c:strCache>
            </c:strRef>
          </c:tx>
          <c:spPr>
            <a:solidFill>
              <a:schemeClr val="accent4"/>
            </a:solidFill>
            <a:ln>
              <a:noFill/>
            </a:ln>
            <a:effectLst/>
          </c:spPr>
          <c:invertIfNegative val="0"/>
          <c:cat>
            <c:multiLvlStrRef>
              <c:f>Sheet8!$I$46:$J$79</c:f>
              <c:multiLvlStrCache>
                <c:ptCount val="34"/>
                <c:lvl>
                  <c:pt idx="0">
                    <c:v>Q1</c:v>
                  </c:pt>
                  <c:pt idx="1">
                    <c:v>Q2</c:v>
                  </c:pt>
                  <c:pt idx="2">
                    <c:v>Q3</c:v>
                  </c:pt>
                  <c:pt idx="3">
                    <c:v>Q4</c:v>
                  </c:pt>
                  <c:pt idx="4">
                    <c:v>Q5</c:v>
                  </c:pt>
                  <c:pt idx="5">
                    <c:v>Average</c:v>
                  </c:pt>
                  <c:pt idx="7">
                    <c:v>Q1</c:v>
                  </c:pt>
                  <c:pt idx="8">
                    <c:v>Q2</c:v>
                  </c:pt>
                  <c:pt idx="9">
                    <c:v>Q3</c:v>
                  </c:pt>
                  <c:pt idx="10">
                    <c:v>Q4</c:v>
                  </c:pt>
                  <c:pt idx="11">
                    <c:v>Q5</c:v>
                  </c:pt>
                  <c:pt idx="12">
                    <c:v>Average</c:v>
                  </c:pt>
                  <c:pt idx="14">
                    <c:v>Q1</c:v>
                  </c:pt>
                  <c:pt idx="15">
                    <c:v>Q2</c:v>
                  </c:pt>
                  <c:pt idx="16">
                    <c:v>Q3</c:v>
                  </c:pt>
                  <c:pt idx="17">
                    <c:v>Q4</c:v>
                  </c:pt>
                  <c:pt idx="18">
                    <c:v>Q5</c:v>
                  </c:pt>
                  <c:pt idx="19">
                    <c:v>Average</c:v>
                  </c:pt>
                  <c:pt idx="21">
                    <c:v>Q1</c:v>
                  </c:pt>
                  <c:pt idx="22">
                    <c:v>Q2</c:v>
                  </c:pt>
                  <c:pt idx="23">
                    <c:v>Q3</c:v>
                  </c:pt>
                  <c:pt idx="24">
                    <c:v>Q4</c:v>
                  </c:pt>
                  <c:pt idx="25">
                    <c:v>Q5</c:v>
                  </c:pt>
                  <c:pt idx="26">
                    <c:v>Average</c:v>
                  </c:pt>
                  <c:pt idx="28">
                    <c:v>Q1</c:v>
                  </c:pt>
                  <c:pt idx="29">
                    <c:v>Q2</c:v>
                  </c:pt>
                  <c:pt idx="30">
                    <c:v>Q3</c:v>
                  </c:pt>
                  <c:pt idx="31">
                    <c:v>Q4</c:v>
                  </c:pt>
                  <c:pt idx="32">
                    <c:v>Q5</c:v>
                  </c:pt>
                  <c:pt idx="33">
                    <c:v>Average</c:v>
                  </c:pt>
                </c:lvl>
                <c:lvl>
                  <c:pt idx="0">
                    <c:v>Preschools</c:v>
                  </c:pt>
                  <c:pt idx="7">
                    <c:v>LBS</c:v>
                  </c:pt>
                  <c:pt idx="14">
                    <c:v>UBS</c:v>
                  </c:pt>
                  <c:pt idx="21">
                    <c:v>SSS</c:v>
                  </c:pt>
                  <c:pt idx="28">
                    <c:v>Higher</c:v>
                  </c:pt>
                </c:lvl>
              </c:multiLvlStrCache>
            </c:multiLvlStrRef>
          </c:cat>
          <c:val>
            <c:numRef>
              <c:f>Sheet8!$N$46:$N$79</c:f>
              <c:numCache>
                <c:formatCode>0%</c:formatCode>
                <c:ptCount val="34"/>
                <c:pt idx="0">
                  <c:v>1.364492253025134E-2</c:v>
                </c:pt>
                <c:pt idx="1">
                  <c:v>1.9610615914375899E-2</c:v>
                </c:pt>
                <c:pt idx="2">
                  <c:v>1.3669279690052967E-2</c:v>
                </c:pt>
                <c:pt idx="3">
                  <c:v>1.6579392520572816E-2</c:v>
                </c:pt>
                <c:pt idx="4">
                  <c:v>2.6982712487596566E-2</c:v>
                </c:pt>
                <c:pt idx="5">
                  <c:v>2.0192782452335301E-2</c:v>
                </c:pt>
                <c:pt idx="7">
                  <c:v>4.583842996761011E-2</c:v>
                </c:pt>
                <c:pt idx="8">
                  <c:v>5.1582227062641234E-2</c:v>
                </c:pt>
                <c:pt idx="9">
                  <c:v>5.9533254084445389E-2</c:v>
                </c:pt>
                <c:pt idx="10">
                  <c:v>5.2720899908310664E-2</c:v>
                </c:pt>
                <c:pt idx="11">
                  <c:v>5.4980483929166921E-2</c:v>
                </c:pt>
                <c:pt idx="12">
                  <c:v>4.9038764347299091E-2</c:v>
                </c:pt>
                <c:pt idx="14">
                  <c:v>7.7550794503430165E-2</c:v>
                </c:pt>
                <c:pt idx="15">
                  <c:v>6.2155693020690628E-2</c:v>
                </c:pt>
                <c:pt idx="16">
                  <c:v>8.4023500188392233E-2</c:v>
                </c:pt>
                <c:pt idx="17">
                  <c:v>8.4979414181267213E-2</c:v>
                </c:pt>
                <c:pt idx="18">
                  <c:v>6.1542081161471536E-2</c:v>
                </c:pt>
                <c:pt idx="19">
                  <c:v>7.5583513308168052E-2</c:v>
                </c:pt>
                <c:pt idx="21">
                  <c:v>0.10514185741255992</c:v>
                </c:pt>
                <c:pt idx="22">
                  <c:v>7.460723082927187E-2</c:v>
                </c:pt>
                <c:pt idx="23">
                  <c:v>9.5638771054744956E-2</c:v>
                </c:pt>
                <c:pt idx="24">
                  <c:v>7.6744806146747196E-2</c:v>
                </c:pt>
                <c:pt idx="25">
                  <c:v>7.0185407193491728E-2</c:v>
                </c:pt>
                <c:pt idx="26">
                  <c:v>7.7517630845927527E-2</c:v>
                </c:pt>
                <c:pt idx="28">
                  <c:v>7.0784527051934804E-2</c:v>
                </c:pt>
                <c:pt idx="29">
                  <c:v>5.7164174371255448E-2</c:v>
                </c:pt>
                <c:pt idx="30">
                  <c:v>0.18905783781819899</c:v>
                </c:pt>
                <c:pt idx="31">
                  <c:v>3.3359546413258827E-2</c:v>
                </c:pt>
                <c:pt idx="32">
                  <c:v>8.4252076762155639E-2</c:v>
                </c:pt>
                <c:pt idx="33">
                  <c:v>5.6940007246837336E-2</c:v>
                </c:pt>
              </c:numCache>
            </c:numRef>
          </c:val>
          <c:extLst>
            <c:ext xmlns:c16="http://schemas.microsoft.com/office/drawing/2014/chart" uri="{C3380CC4-5D6E-409C-BE32-E72D297353CC}">
              <c16:uniqueId val="{00000003-387D-4188-BD74-D16059876672}"/>
            </c:ext>
          </c:extLst>
        </c:ser>
        <c:ser>
          <c:idx val="4"/>
          <c:order val="4"/>
          <c:tx>
            <c:strRef>
              <c:f>Sheet8!$O$45</c:f>
              <c:strCache>
                <c:ptCount val="1"/>
                <c:pt idx="0">
                  <c:v>Transportations</c:v>
                </c:pt>
              </c:strCache>
            </c:strRef>
          </c:tx>
          <c:spPr>
            <a:solidFill>
              <a:schemeClr val="accent5"/>
            </a:solidFill>
            <a:ln>
              <a:noFill/>
            </a:ln>
            <a:effectLst/>
          </c:spPr>
          <c:invertIfNegative val="0"/>
          <c:cat>
            <c:multiLvlStrRef>
              <c:f>Sheet8!$I$46:$J$79</c:f>
              <c:multiLvlStrCache>
                <c:ptCount val="34"/>
                <c:lvl>
                  <c:pt idx="0">
                    <c:v>Q1</c:v>
                  </c:pt>
                  <c:pt idx="1">
                    <c:v>Q2</c:v>
                  </c:pt>
                  <c:pt idx="2">
                    <c:v>Q3</c:v>
                  </c:pt>
                  <c:pt idx="3">
                    <c:v>Q4</c:v>
                  </c:pt>
                  <c:pt idx="4">
                    <c:v>Q5</c:v>
                  </c:pt>
                  <c:pt idx="5">
                    <c:v>Average</c:v>
                  </c:pt>
                  <c:pt idx="7">
                    <c:v>Q1</c:v>
                  </c:pt>
                  <c:pt idx="8">
                    <c:v>Q2</c:v>
                  </c:pt>
                  <c:pt idx="9">
                    <c:v>Q3</c:v>
                  </c:pt>
                  <c:pt idx="10">
                    <c:v>Q4</c:v>
                  </c:pt>
                  <c:pt idx="11">
                    <c:v>Q5</c:v>
                  </c:pt>
                  <c:pt idx="12">
                    <c:v>Average</c:v>
                  </c:pt>
                  <c:pt idx="14">
                    <c:v>Q1</c:v>
                  </c:pt>
                  <c:pt idx="15">
                    <c:v>Q2</c:v>
                  </c:pt>
                  <c:pt idx="16">
                    <c:v>Q3</c:v>
                  </c:pt>
                  <c:pt idx="17">
                    <c:v>Q4</c:v>
                  </c:pt>
                  <c:pt idx="18">
                    <c:v>Q5</c:v>
                  </c:pt>
                  <c:pt idx="19">
                    <c:v>Average</c:v>
                  </c:pt>
                  <c:pt idx="21">
                    <c:v>Q1</c:v>
                  </c:pt>
                  <c:pt idx="22">
                    <c:v>Q2</c:v>
                  </c:pt>
                  <c:pt idx="23">
                    <c:v>Q3</c:v>
                  </c:pt>
                  <c:pt idx="24">
                    <c:v>Q4</c:v>
                  </c:pt>
                  <c:pt idx="25">
                    <c:v>Q5</c:v>
                  </c:pt>
                  <c:pt idx="26">
                    <c:v>Average</c:v>
                  </c:pt>
                  <c:pt idx="28">
                    <c:v>Q1</c:v>
                  </c:pt>
                  <c:pt idx="29">
                    <c:v>Q2</c:v>
                  </c:pt>
                  <c:pt idx="30">
                    <c:v>Q3</c:v>
                  </c:pt>
                  <c:pt idx="31">
                    <c:v>Q4</c:v>
                  </c:pt>
                  <c:pt idx="32">
                    <c:v>Q5</c:v>
                  </c:pt>
                  <c:pt idx="33">
                    <c:v>Average</c:v>
                  </c:pt>
                </c:lvl>
                <c:lvl>
                  <c:pt idx="0">
                    <c:v>Preschools</c:v>
                  </c:pt>
                  <c:pt idx="7">
                    <c:v>LBS</c:v>
                  </c:pt>
                  <c:pt idx="14">
                    <c:v>UBS</c:v>
                  </c:pt>
                  <c:pt idx="21">
                    <c:v>SSS</c:v>
                  </c:pt>
                  <c:pt idx="28">
                    <c:v>Higher</c:v>
                  </c:pt>
                </c:lvl>
              </c:multiLvlStrCache>
            </c:multiLvlStrRef>
          </c:cat>
          <c:val>
            <c:numRef>
              <c:f>Sheet8!$O$46:$O$79</c:f>
              <c:numCache>
                <c:formatCode>0%</c:formatCode>
                <c:ptCount val="34"/>
                <c:pt idx="0">
                  <c:v>6.2688507519474527E-4</c:v>
                </c:pt>
                <c:pt idx="1">
                  <c:v>4.1413373546896385E-4</c:v>
                </c:pt>
                <c:pt idx="2">
                  <c:v>1.5080314469813425E-4</c:v>
                </c:pt>
                <c:pt idx="3">
                  <c:v>8.8389468756655404E-2</c:v>
                </c:pt>
                <c:pt idx="4">
                  <c:v>3.8457978850154638E-2</c:v>
                </c:pt>
                <c:pt idx="5">
                  <c:v>3.577557769111929E-2</c:v>
                </c:pt>
                <c:pt idx="7">
                  <c:v>1.6153933429268619E-2</c:v>
                </c:pt>
                <c:pt idx="8">
                  <c:v>2.2313800532820564E-2</c:v>
                </c:pt>
                <c:pt idx="9">
                  <c:v>2.4301504491890794E-2</c:v>
                </c:pt>
                <c:pt idx="10">
                  <c:v>7.4173363307730472E-2</c:v>
                </c:pt>
                <c:pt idx="11">
                  <c:v>0.11125766845308627</c:v>
                </c:pt>
                <c:pt idx="12">
                  <c:v>5.2587247189479221E-2</c:v>
                </c:pt>
                <c:pt idx="14">
                  <c:v>3.9358046954926611E-2</c:v>
                </c:pt>
                <c:pt idx="15">
                  <c:v>6.280776315200183E-2</c:v>
                </c:pt>
                <c:pt idx="16">
                  <c:v>6.8562732414703842E-2</c:v>
                </c:pt>
                <c:pt idx="17">
                  <c:v>0.11145311625272736</c:v>
                </c:pt>
                <c:pt idx="18">
                  <c:v>0.21271210870721166</c:v>
                </c:pt>
                <c:pt idx="19">
                  <c:v>0.10987294210602079</c:v>
                </c:pt>
                <c:pt idx="21">
                  <c:v>6.9997771905599679E-2</c:v>
                </c:pt>
                <c:pt idx="22">
                  <c:v>7.43587534131529E-2</c:v>
                </c:pt>
                <c:pt idx="23">
                  <c:v>0.15767544436380909</c:v>
                </c:pt>
                <c:pt idx="24">
                  <c:v>0.16770785293806309</c:v>
                </c:pt>
                <c:pt idx="25">
                  <c:v>0.23276169435451988</c:v>
                </c:pt>
                <c:pt idx="26">
                  <c:v>0.1640419949287342</c:v>
                </c:pt>
                <c:pt idx="28">
                  <c:v>0.26047728352835997</c:v>
                </c:pt>
                <c:pt idx="29">
                  <c:v>3.4104385141125786E-2</c:v>
                </c:pt>
                <c:pt idx="30">
                  <c:v>9.4707070336519428E-2</c:v>
                </c:pt>
                <c:pt idx="31">
                  <c:v>0.11019968156071677</c:v>
                </c:pt>
                <c:pt idx="32">
                  <c:v>0.19551267957647545</c:v>
                </c:pt>
                <c:pt idx="33">
                  <c:v>0.13118759599199056</c:v>
                </c:pt>
              </c:numCache>
            </c:numRef>
          </c:val>
          <c:extLst>
            <c:ext xmlns:c16="http://schemas.microsoft.com/office/drawing/2014/chart" uri="{C3380CC4-5D6E-409C-BE32-E72D297353CC}">
              <c16:uniqueId val="{00000004-387D-4188-BD74-D16059876672}"/>
            </c:ext>
          </c:extLst>
        </c:ser>
        <c:ser>
          <c:idx val="5"/>
          <c:order val="5"/>
          <c:tx>
            <c:strRef>
              <c:f>Sheet8!$P$45</c:f>
              <c:strCache>
                <c:ptCount val="1"/>
                <c:pt idx="0">
                  <c:v>Others</c:v>
                </c:pt>
              </c:strCache>
            </c:strRef>
          </c:tx>
          <c:spPr>
            <a:solidFill>
              <a:schemeClr val="accent6"/>
            </a:solidFill>
            <a:ln>
              <a:noFill/>
            </a:ln>
            <a:effectLst/>
          </c:spPr>
          <c:invertIfNegative val="0"/>
          <c:cat>
            <c:multiLvlStrRef>
              <c:f>Sheet8!$I$46:$J$79</c:f>
              <c:multiLvlStrCache>
                <c:ptCount val="34"/>
                <c:lvl>
                  <c:pt idx="0">
                    <c:v>Q1</c:v>
                  </c:pt>
                  <c:pt idx="1">
                    <c:v>Q2</c:v>
                  </c:pt>
                  <c:pt idx="2">
                    <c:v>Q3</c:v>
                  </c:pt>
                  <c:pt idx="3">
                    <c:v>Q4</c:v>
                  </c:pt>
                  <c:pt idx="4">
                    <c:v>Q5</c:v>
                  </c:pt>
                  <c:pt idx="5">
                    <c:v>Average</c:v>
                  </c:pt>
                  <c:pt idx="7">
                    <c:v>Q1</c:v>
                  </c:pt>
                  <c:pt idx="8">
                    <c:v>Q2</c:v>
                  </c:pt>
                  <c:pt idx="9">
                    <c:v>Q3</c:v>
                  </c:pt>
                  <c:pt idx="10">
                    <c:v>Q4</c:v>
                  </c:pt>
                  <c:pt idx="11">
                    <c:v>Q5</c:v>
                  </c:pt>
                  <c:pt idx="12">
                    <c:v>Average</c:v>
                  </c:pt>
                  <c:pt idx="14">
                    <c:v>Q1</c:v>
                  </c:pt>
                  <c:pt idx="15">
                    <c:v>Q2</c:v>
                  </c:pt>
                  <c:pt idx="16">
                    <c:v>Q3</c:v>
                  </c:pt>
                  <c:pt idx="17">
                    <c:v>Q4</c:v>
                  </c:pt>
                  <c:pt idx="18">
                    <c:v>Q5</c:v>
                  </c:pt>
                  <c:pt idx="19">
                    <c:v>Average</c:v>
                  </c:pt>
                  <c:pt idx="21">
                    <c:v>Q1</c:v>
                  </c:pt>
                  <c:pt idx="22">
                    <c:v>Q2</c:v>
                  </c:pt>
                  <c:pt idx="23">
                    <c:v>Q3</c:v>
                  </c:pt>
                  <c:pt idx="24">
                    <c:v>Q4</c:v>
                  </c:pt>
                  <c:pt idx="25">
                    <c:v>Q5</c:v>
                  </c:pt>
                  <c:pt idx="26">
                    <c:v>Average</c:v>
                  </c:pt>
                  <c:pt idx="28">
                    <c:v>Q1</c:v>
                  </c:pt>
                  <c:pt idx="29">
                    <c:v>Q2</c:v>
                  </c:pt>
                  <c:pt idx="30">
                    <c:v>Q3</c:v>
                  </c:pt>
                  <c:pt idx="31">
                    <c:v>Q4</c:v>
                  </c:pt>
                  <c:pt idx="32">
                    <c:v>Q5</c:v>
                  </c:pt>
                  <c:pt idx="33">
                    <c:v>Average</c:v>
                  </c:pt>
                </c:lvl>
                <c:lvl>
                  <c:pt idx="0">
                    <c:v>Preschools</c:v>
                  </c:pt>
                  <c:pt idx="7">
                    <c:v>LBS</c:v>
                  </c:pt>
                  <c:pt idx="14">
                    <c:v>UBS</c:v>
                  </c:pt>
                  <c:pt idx="21">
                    <c:v>SSS</c:v>
                  </c:pt>
                  <c:pt idx="28">
                    <c:v>Higher</c:v>
                  </c:pt>
                </c:lvl>
              </c:multiLvlStrCache>
            </c:multiLvlStrRef>
          </c:cat>
          <c:val>
            <c:numRef>
              <c:f>Sheet8!$P$46:$P$79</c:f>
              <c:numCache>
                <c:formatCode>0%</c:formatCode>
                <c:ptCount val="34"/>
                <c:pt idx="0">
                  <c:v>0.30593872199855776</c:v>
                </c:pt>
                <c:pt idx="1">
                  <c:v>0.15231770771700945</c:v>
                </c:pt>
                <c:pt idx="2">
                  <c:v>2.4709257198849546E-2</c:v>
                </c:pt>
                <c:pt idx="3">
                  <c:v>0.25512291887222266</c:v>
                </c:pt>
                <c:pt idx="4">
                  <c:v>0</c:v>
                </c:pt>
                <c:pt idx="5">
                  <c:v>6.9996418425484694E-2</c:v>
                </c:pt>
                <c:pt idx="7">
                  <c:v>0.17608209961027468</c:v>
                </c:pt>
                <c:pt idx="8">
                  <c:v>6.9600185925328142E-2</c:v>
                </c:pt>
                <c:pt idx="9">
                  <c:v>0.10785734589831253</c:v>
                </c:pt>
                <c:pt idx="10">
                  <c:v>7.7842072003687618E-2</c:v>
                </c:pt>
                <c:pt idx="11">
                  <c:v>0.33119658511212779</c:v>
                </c:pt>
                <c:pt idx="12">
                  <c:v>0.23291150262572025</c:v>
                </c:pt>
                <c:pt idx="14">
                  <c:v>0.23602231301647925</c:v>
                </c:pt>
                <c:pt idx="15">
                  <c:v>0.27020080108217925</c:v>
                </c:pt>
                <c:pt idx="16">
                  <c:v>0.14280223367836412</c:v>
                </c:pt>
                <c:pt idx="17">
                  <c:v>0.14969048400964333</c:v>
                </c:pt>
                <c:pt idx="18">
                  <c:v>6.3797016236420119E-3</c:v>
                </c:pt>
                <c:pt idx="19">
                  <c:v>0.12938771367013319</c:v>
                </c:pt>
                <c:pt idx="21">
                  <c:v>0.41957064953927403</c:v>
                </c:pt>
                <c:pt idx="22">
                  <c:v>0.39734897795679947</c:v>
                </c:pt>
                <c:pt idx="23">
                  <c:v>0.12333250518917963</c:v>
                </c:pt>
                <c:pt idx="24">
                  <c:v>0.15127330560258323</c:v>
                </c:pt>
                <c:pt idx="25">
                  <c:v>0.169743435995274</c:v>
                </c:pt>
                <c:pt idx="26">
                  <c:v>0.23037632346176753</c:v>
                </c:pt>
                <c:pt idx="28">
                  <c:v>0</c:v>
                </c:pt>
                <c:pt idx="31">
                  <c:v>0.51185582840044586</c:v>
                </c:pt>
                <c:pt idx="32">
                  <c:v>0</c:v>
                </c:pt>
                <c:pt idx="33">
                  <c:v>0.30193540896685184</c:v>
                </c:pt>
              </c:numCache>
            </c:numRef>
          </c:val>
          <c:extLst>
            <c:ext xmlns:c16="http://schemas.microsoft.com/office/drawing/2014/chart" uri="{C3380CC4-5D6E-409C-BE32-E72D297353CC}">
              <c16:uniqueId val="{00000005-387D-4188-BD74-D16059876672}"/>
            </c:ext>
          </c:extLst>
        </c:ser>
        <c:dLbls>
          <c:showLegendKey val="0"/>
          <c:showVal val="0"/>
          <c:showCatName val="0"/>
          <c:showSerName val="0"/>
          <c:showPercent val="0"/>
          <c:showBubbleSize val="0"/>
        </c:dLbls>
        <c:gapWidth val="150"/>
        <c:overlap val="100"/>
        <c:axId val="432333136"/>
        <c:axId val="432333968"/>
      </c:barChart>
      <c:catAx>
        <c:axId val="432333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333968"/>
        <c:crosses val="autoZero"/>
        <c:auto val="1"/>
        <c:lblAlgn val="ctr"/>
        <c:lblOffset val="100"/>
        <c:noMultiLvlLbl val="0"/>
      </c:catAx>
      <c:valAx>
        <c:axId val="432333968"/>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3331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'Reason for out-ofschoo'!$C$248</c:f>
              <c:strCache>
                <c:ptCount val="1"/>
                <c:pt idx="0">
                  <c:v>Religious</c:v>
                </c:pt>
              </c:strCache>
            </c:strRef>
          </c:tx>
          <c:spPr>
            <a:solidFill>
              <a:schemeClr val="accent1"/>
            </a:solidFill>
            <a:ln>
              <a:noFill/>
            </a:ln>
            <a:effectLst/>
          </c:spPr>
          <c:invertIfNegative val="0"/>
          <c:cat>
            <c:multiLvlStrRef>
              <c:f>'Reason for out-ofschoo'!$A$249:$B$301</c:f>
              <c:multiLvlStrCache>
                <c:ptCount val="53"/>
                <c:lvl>
                  <c:pt idx="0">
                    <c:v>Banjul city council</c:v>
                  </c:pt>
                  <c:pt idx="1">
                    <c:v>Banjul city council</c:v>
                  </c:pt>
                  <c:pt idx="2">
                    <c:v>Banjul city council</c:v>
                  </c:pt>
                  <c:pt idx="3">
                    <c:v>Bakau</c:v>
                  </c:pt>
                  <c:pt idx="4">
                    <c:v>New Jeshwang</c:v>
                  </c:pt>
                  <c:pt idx="5">
                    <c:v>Sere Kunda Central</c:v>
                  </c:pt>
                  <c:pt idx="6">
                    <c:v>Sere Kunda East</c:v>
                  </c:pt>
                  <c:pt idx="7">
                    <c:v>Sere Kunda West</c:v>
                  </c:pt>
                  <c:pt idx="9">
                    <c:v>Kombo North</c:v>
                  </c:pt>
                  <c:pt idx="10">
                    <c:v>Kombo South</c:v>
                  </c:pt>
                  <c:pt idx="11">
                    <c:v>Kombo Central</c:v>
                  </c:pt>
                  <c:pt idx="12">
                    <c:v>Kombo East</c:v>
                  </c:pt>
                  <c:pt idx="13">
                    <c:v>Foni Brefet</c:v>
                  </c:pt>
                  <c:pt idx="14">
                    <c:v>Foni Bintang Karanai</c:v>
                  </c:pt>
                  <c:pt idx="15">
                    <c:v>Foni Kansala</c:v>
                  </c:pt>
                  <c:pt idx="16">
                    <c:v>Foni Bondali</c:v>
                  </c:pt>
                  <c:pt idx="17">
                    <c:v>Foni Jarrol</c:v>
                  </c:pt>
                  <c:pt idx="19">
                    <c:v>Lower Niumi</c:v>
                  </c:pt>
                  <c:pt idx="20">
                    <c:v>Upper Niumi</c:v>
                  </c:pt>
                  <c:pt idx="21">
                    <c:v>Jokadu</c:v>
                  </c:pt>
                  <c:pt idx="22">
                    <c:v>Lower Badibu</c:v>
                  </c:pt>
                  <c:pt idx="23">
                    <c:v>Central Badibu</c:v>
                  </c:pt>
                  <c:pt idx="24">
                    <c:v>Illiasa</c:v>
                  </c:pt>
                  <c:pt idx="25">
                    <c:v>Sabach Sanjar</c:v>
                  </c:pt>
                  <c:pt idx="27">
                    <c:v>Kiang West</c:v>
                  </c:pt>
                  <c:pt idx="28">
                    <c:v>Kiang Central</c:v>
                  </c:pt>
                  <c:pt idx="29">
                    <c:v>Kiang East</c:v>
                  </c:pt>
                  <c:pt idx="30">
                    <c:v>Jarra West</c:v>
                  </c:pt>
                  <c:pt idx="31">
                    <c:v>Jarra Central</c:v>
                  </c:pt>
                  <c:pt idx="32">
                    <c:v>Jarra East</c:v>
                  </c:pt>
                  <c:pt idx="34">
                    <c:v>Lower Saloum</c:v>
                  </c:pt>
                  <c:pt idx="35">
                    <c:v>Upper Saloum</c:v>
                  </c:pt>
                  <c:pt idx="36">
                    <c:v>Nianija</c:v>
                  </c:pt>
                  <c:pt idx="37">
                    <c:v>Niani</c:v>
                  </c:pt>
                  <c:pt idx="38">
                    <c:v>Sami</c:v>
                  </c:pt>
                  <c:pt idx="39">
                    <c:v>Niamina Dankunku</c:v>
                  </c:pt>
                  <c:pt idx="40">
                    <c:v>Niamina West</c:v>
                  </c:pt>
                  <c:pt idx="41">
                    <c:v>Niamina East</c:v>
                  </c:pt>
                  <c:pt idx="42">
                    <c:v>Lower Fuladu West</c:v>
                  </c:pt>
                  <c:pt idx="43">
                    <c:v>Upper Fuladu West</c:v>
                  </c:pt>
                  <c:pt idx="44">
                    <c:v>Janjanbureh</c:v>
                  </c:pt>
                  <c:pt idx="46">
                    <c:v>Jimara</c:v>
                  </c:pt>
                  <c:pt idx="47">
                    <c:v>Basse</c:v>
                  </c:pt>
                  <c:pt idx="48">
                    <c:v>Tumana</c:v>
                  </c:pt>
                  <c:pt idx="49">
                    <c:v>Kantora</c:v>
                  </c:pt>
                  <c:pt idx="50">
                    <c:v>Wuli West</c:v>
                  </c:pt>
                  <c:pt idx="51">
                    <c:v>Wuli East</c:v>
                  </c:pt>
                  <c:pt idx="52">
                    <c:v>Sandu</c:v>
                  </c:pt>
                </c:lvl>
                <c:lvl>
                  <c:pt idx="0">
                    <c:v>Region1</c:v>
                  </c:pt>
                  <c:pt idx="9">
                    <c:v>Region2</c:v>
                  </c:pt>
                  <c:pt idx="19">
                    <c:v>Region3</c:v>
                  </c:pt>
                  <c:pt idx="27">
                    <c:v>Region4</c:v>
                  </c:pt>
                  <c:pt idx="34">
                    <c:v>Region5</c:v>
                  </c:pt>
                  <c:pt idx="46">
                    <c:v>Region6</c:v>
                  </c:pt>
                </c:lvl>
              </c:multiLvlStrCache>
            </c:multiLvlStrRef>
          </c:cat>
          <c:val>
            <c:numRef>
              <c:f>'Reason for out-ofschoo'!$C$249:$C$301</c:f>
              <c:numCache>
                <c:formatCode>_(* #,##0.0_);_(* \(#,##0.0\);_(* "-"??_);_(@_)</c:formatCode>
                <c:ptCount val="53"/>
                <c:pt idx="0">
                  <c:v>0</c:v>
                </c:pt>
                <c:pt idx="1">
                  <c:v>100</c:v>
                </c:pt>
                <c:pt idx="2">
                  <c:v>80</c:v>
                </c:pt>
                <c:pt idx="3">
                  <c:v>60</c:v>
                </c:pt>
                <c:pt idx="4">
                  <c:v>25</c:v>
                </c:pt>
                <c:pt idx="5">
                  <c:v>92.32</c:v>
                </c:pt>
                <c:pt idx="6">
                  <c:v>68.8</c:v>
                </c:pt>
                <c:pt idx="7">
                  <c:v>70</c:v>
                </c:pt>
                <c:pt idx="9">
                  <c:v>67.2</c:v>
                </c:pt>
                <c:pt idx="10">
                  <c:v>79.62</c:v>
                </c:pt>
                <c:pt idx="11">
                  <c:v>69.489999999999995</c:v>
                </c:pt>
                <c:pt idx="12">
                  <c:v>75.55</c:v>
                </c:pt>
                <c:pt idx="13">
                  <c:v>45.08</c:v>
                </c:pt>
                <c:pt idx="14">
                  <c:v>29.01</c:v>
                </c:pt>
                <c:pt idx="15">
                  <c:v>67.63</c:v>
                </c:pt>
                <c:pt idx="16">
                  <c:v>71.459999999999994</c:v>
                </c:pt>
                <c:pt idx="17">
                  <c:v>62.09</c:v>
                </c:pt>
                <c:pt idx="19">
                  <c:v>76.09</c:v>
                </c:pt>
                <c:pt idx="20">
                  <c:v>78.41</c:v>
                </c:pt>
                <c:pt idx="21">
                  <c:v>67.12</c:v>
                </c:pt>
                <c:pt idx="22">
                  <c:v>67.760000000000005</c:v>
                </c:pt>
                <c:pt idx="23">
                  <c:v>62.49</c:v>
                </c:pt>
                <c:pt idx="24">
                  <c:v>68.680000000000007</c:v>
                </c:pt>
                <c:pt idx="25">
                  <c:v>79.150000000000006</c:v>
                </c:pt>
                <c:pt idx="27">
                  <c:v>65.78</c:v>
                </c:pt>
                <c:pt idx="28">
                  <c:v>52.88</c:v>
                </c:pt>
                <c:pt idx="29">
                  <c:v>60.27</c:v>
                </c:pt>
                <c:pt idx="30">
                  <c:v>48.8</c:v>
                </c:pt>
                <c:pt idx="31">
                  <c:v>69.58</c:v>
                </c:pt>
                <c:pt idx="32">
                  <c:v>73.66</c:v>
                </c:pt>
                <c:pt idx="34">
                  <c:v>89.18</c:v>
                </c:pt>
                <c:pt idx="35">
                  <c:v>86.3</c:v>
                </c:pt>
                <c:pt idx="36">
                  <c:v>86.09</c:v>
                </c:pt>
                <c:pt idx="37">
                  <c:v>75.34</c:v>
                </c:pt>
                <c:pt idx="38">
                  <c:v>71.650000000000006</c:v>
                </c:pt>
                <c:pt idx="39">
                  <c:v>77.87</c:v>
                </c:pt>
                <c:pt idx="40">
                  <c:v>71.760000000000005</c:v>
                </c:pt>
                <c:pt idx="41">
                  <c:v>85.95</c:v>
                </c:pt>
                <c:pt idx="42">
                  <c:v>70.16</c:v>
                </c:pt>
                <c:pt idx="43">
                  <c:v>61.55</c:v>
                </c:pt>
                <c:pt idx="44">
                  <c:v>20.18</c:v>
                </c:pt>
                <c:pt idx="46">
                  <c:v>54.74</c:v>
                </c:pt>
                <c:pt idx="47">
                  <c:v>33.42</c:v>
                </c:pt>
                <c:pt idx="48">
                  <c:v>37.04</c:v>
                </c:pt>
                <c:pt idx="49">
                  <c:v>15.81</c:v>
                </c:pt>
                <c:pt idx="50">
                  <c:v>12.76</c:v>
                </c:pt>
                <c:pt idx="51">
                  <c:v>4.78</c:v>
                </c:pt>
                <c:pt idx="52">
                  <c:v>9.7799999999999994</c:v>
                </c:pt>
              </c:numCache>
            </c:numRef>
          </c:val>
          <c:extLst>
            <c:ext xmlns:c16="http://schemas.microsoft.com/office/drawing/2014/chart" uri="{C3380CC4-5D6E-409C-BE32-E72D297353CC}">
              <c16:uniqueId val="{00000000-50C9-4253-AD6A-46FD7ED8E2C5}"/>
            </c:ext>
          </c:extLst>
        </c:ser>
        <c:ser>
          <c:idx val="1"/>
          <c:order val="1"/>
          <c:tx>
            <c:strRef>
              <c:f>'Reason for out-ofschoo'!$D$248</c:f>
              <c:strCache>
                <c:ptCount val="1"/>
                <c:pt idx="0">
                  <c:v>Too Young</c:v>
                </c:pt>
              </c:strCache>
            </c:strRef>
          </c:tx>
          <c:spPr>
            <a:solidFill>
              <a:schemeClr val="accent2"/>
            </a:solidFill>
            <a:ln>
              <a:noFill/>
            </a:ln>
            <a:effectLst/>
          </c:spPr>
          <c:invertIfNegative val="0"/>
          <c:cat>
            <c:multiLvlStrRef>
              <c:f>'Reason for out-ofschoo'!$A$249:$B$301</c:f>
              <c:multiLvlStrCache>
                <c:ptCount val="53"/>
                <c:lvl>
                  <c:pt idx="0">
                    <c:v>Banjul city council</c:v>
                  </c:pt>
                  <c:pt idx="1">
                    <c:v>Banjul city council</c:v>
                  </c:pt>
                  <c:pt idx="2">
                    <c:v>Banjul city council</c:v>
                  </c:pt>
                  <c:pt idx="3">
                    <c:v>Bakau</c:v>
                  </c:pt>
                  <c:pt idx="4">
                    <c:v>New Jeshwang</c:v>
                  </c:pt>
                  <c:pt idx="5">
                    <c:v>Sere Kunda Central</c:v>
                  </c:pt>
                  <c:pt idx="6">
                    <c:v>Sere Kunda East</c:v>
                  </c:pt>
                  <c:pt idx="7">
                    <c:v>Sere Kunda West</c:v>
                  </c:pt>
                  <c:pt idx="9">
                    <c:v>Kombo North</c:v>
                  </c:pt>
                  <c:pt idx="10">
                    <c:v>Kombo South</c:v>
                  </c:pt>
                  <c:pt idx="11">
                    <c:v>Kombo Central</c:v>
                  </c:pt>
                  <c:pt idx="12">
                    <c:v>Kombo East</c:v>
                  </c:pt>
                  <c:pt idx="13">
                    <c:v>Foni Brefet</c:v>
                  </c:pt>
                  <c:pt idx="14">
                    <c:v>Foni Bintang Karanai</c:v>
                  </c:pt>
                  <c:pt idx="15">
                    <c:v>Foni Kansala</c:v>
                  </c:pt>
                  <c:pt idx="16">
                    <c:v>Foni Bondali</c:v>
                  </c:pt>
                  <c:pt idx="17">
                    <c:v>Foni Jarrol</c:v>
                  </c:pt>
                  <c:pt idx="19">
                    <c:v>Lower Niumi</c:v>
                  </c:pt>
                  <c:pt idx="20">
                    <c:v>Upper Niumi</c:v>
                  </c:pt>
                  <c:pt idx="21">
                    <c:v>Jokadu</c:v>
                  </c:pt>
                  <c:pt idx="22">
                    <c:v>Lower Badibu</c:v>
                  </c:pt>
                  <c:pt idx="23">
                    <c:v>Central Badibu</c:v>
                  </c:pt>
                  <c:pt idx="24">
                    <c:v>Illiasa</c:v>
                  </c:pt>
                  <c:pt idx="25">
                    <c:v>Sabach Sanjar</c:v>
                  </c:pt>
                  <c:pt idx="27">
                    <c:v>Kiang West</c:v>
                  </c:pt>
                  <c:pt idx="28">
                    <c:v>Kiang Central</c:v>
                  </c:pt>
                  <c:pt idx="29">
                    <c:v>Kiang East</c:v>
                  </c:pt>
                  <c:pt idx="30">
                    <c:v>Jarra West</c:v>
                  </c:pt>
                  <c:pt idx="31">
                    <c:v>Jarra Central</c:v>
                  </c:pt>
                  <c:pt idx="32">
                    <c:v>Jarra East</c:v>
                  </c:pt>
                  <c:pt idx="34">
                    <c:v>Lower Saloum</c:v>
                  </c:pt>
                  <c:pt idx="35">
                    <c:v>Upper Saloum</c:v>
                  </c:pt>
                  <c:pt idx="36">
                    <c:v>Nianija</c:v>
                  </c:pt>
                  <c:pt idx="37">
                    <c:v>Niani</c:v>
                  </c:pt>
                  <c:pt idx="38">
                    <c:v>Sami</c:v>
                  </c:pt>
                  <c:pt idx="39">
                    <c:v>Niamina Dankunku</c:v>
                  </c:pt>
                  <c:pt idx="40">
                    <c:v>Niamina West</c:v>
                  </c:pt>
                  <c:pt idx="41">
                    <c:v>Niamina East</c:v>
                  </c:pt>
                  <c:pt idx="42">
                    <c:v>Lower Fuladu West</c:v>
                  </c:pt>
                  <c:pt idx="43">
                    <c:v>Upper Fuladu West</c:v>
                  </c:pt>
                  <c:pt idx="44">
                    <c:v>Janjanbureh</c:v>
                  </c:pt>
                  <c:pt idx="46">
                    <c:v>Jimara</c:v>
                  </c:pt>
                  <c:pt idx="47">
                    <c:v>Basse</c:v>
                  </c:pt>
                  <c:pt idx="48">
                    <c:v>Tumana</c:v>
                  </c:pt>
                  <c:pt idx="49">
                    <c:v>Kantora</c:v>
                  </c:pt>
                  <c:pt idx="50">
                    <c:v>Wuli West</c:v>
                  </c:pt>
                  <c:pt idx="51">
                    <c:v>Wuli East</c:v>
                  </c:pt>
                  <c:pt idx="52">
                    <c:v>Sandu</c:v>
                  </c:pt>
                </c:lvl>
                <c:lvl>
                  <c:pt idx="0">
                    <c:v>Region1</c:v>
                  </c:pt>
                  <c:pt idx="9">
                    <c:v>Region2</c:v>
                  </c:pt>
                  <c:pt idx="19">
                    <c:v>Region3</c:v>
                  </c:pt>
                  <c:pt idx="27">
                    <c:v>Region4</c:v>
                  </c:pt>
                  <c:pt idx="34">
                    <c:v>Region5</c:v>
                  </c:pt>
                  <c:pt idx="46">
                    <c:v>Region6</c:v>
                  </c:pt>
                </c:lvl>
              </c:multiLvlStrCache>
            </c:multiLvlStrRef>
          </c:cat>
          <c:val>
            <c:numRef>
              <c:f>'Reason for out-ofschoo'!$D$249:$D$301</c:f>
              <c:numCache>
                <c:formatCode>_(* #,##0.0_);_(* \(#,##0.0\);_(* "-"??_);_(@_)</c:formatCode>
                <c:ptCount val="53"/>
                <c:pt idx="0">
                  <c:v>0</c:v>
                </c:pt>
                <c:pt idx="1">
                  <c:v>0</c:v>
                </c:pt>
                <c:pt idx="2">
                  <c:v>0</c:v>
                </c:pt>
                <c:pt idx="3">
                  <c:v>20</c:v>
                </c:pt>
                <c:pt idx="4">
                  <c:v>50</c:v>
                </c:pt>
                <c:pt idx="5">
                  <c:v>0</c:v>
                </c:pt>
                <c:pt idx="6">
                  <c:v>18.71</c:v>
                </c:pt>
                <c:pt idx="7">
                  <c:v>5</c:v>
                </c:pt>
                <c:pt idx="9">
                  <c:v>13.43</c:v>
                </c:pt>
                <c:pt idx="10">
                  <c:v>15.31</c:v>
                </c:pt>
                <c:pt idx="11">
                  <c:v>23.15</c:v>
                </c:pt>
                <c:pt idx="12">
                  <c:v>17.329999999999998</c:v>
                </c:pt>
                <c:pt idx="13">
                  <c:v>37.299999999999997</c:v>
                </c:pt>
                <c:pt idx="14">
                  <c:v>45.18</c:v>
                </c:pt>
                <c:pt idx="15">
                  <c:v>2.96</c:v>
                </c:pt>
                <c:pt idx="16">
                  <c:v>11.05</c:v>
                </c:pt>
                <c:pt idx="17">
                  <c:v>13.8</c:v>
                </c:pt>
                <c:pt idx="19">
                  <c:v>13.47</c:v>
                </c:pt>
                <c:pt idx="20">
                  <c:v>12.64</c:v>
                </c:pt>
                <c:pt idx="21">
                  <c:v>14.59</c:v>
                </c:pt>
                <c:pt idx="22">
                  <c:v>24.02</c:v>
                </c:pt>
                <c:pt idx="23">
                  <c:v>27.3</c:v>
                </c:pt>
                <c:pt idx="24">
                  <c:v>17.239999999999998</c:v>
                </c:pt>
                <c:pt idx="25">
                  <c:v>14.29</c:v>
                </c:pt>
                <c:pt idx="27">
                  <c:v>13.23</c:v>
                </c:pt>
                <c:pt idx="28">
                  <c:v>5.9</c:v>
                </c:pt>
                <c:pt idx="29">
                  <c:v>19.23</c:v>
                </c:pt>
                <c:pt idx="30">
                  <c:v>30.21</c:v>
                </c:pt>
                <c:pt idx="31">
                  <c:v>11.8</c:v>
                </c:pt>
                <c:pt idx="32">
                  <c:v>11.85</c:v>
                </c:pt>
                <c:pt idx="34">
                  <c:v>7.22</c:v>
                </c:pt>
                <c:pt idx="35">
                  <c:v>5.82</c:v>
                </c:pt>
                <c:pt idx="36">
                  <c:v>6.39</c:v>
                </c:pt>
                <c:pt idx="37">
                  <c:v>7.05</c:v>
                </c:pt>
                <c:pt idx="38">
                  <c:v>5.37</c:v>
                </c:pt>
                <c:pt idx="39">
                  <c:v>9.3800000000000008</c:v>
                </c:pt>
                <c:pt idx="40">
                  <c:v>22.74</c:v>
                </c:pt>
                <c:pt idx="41">
                  <c:v>10.68</c:v>
                </c:pt>
                <c:pt idx="42">
                  <c:v>22.81</c:v>
                </c:pt>
                <c:pt idx="43">
                  <c:v>10</c:v>
                </c:pt>
                <c:pt idx="44">
                  <c:v>62.7</c:v>
                </c:pt>
                <c:pt idx="46">
                  <c:v>13.53</c:v>
                </c:pt>
                <c:pt idx="47">
                  <c:v>27.71</c:v>
                </c:pt>
                <c:pt idx="48">
                  <c:v>26.48</c:v>
                </c:pt>
                <c:pt idx="49">
                  <c:v>17.39</c:v>
                </c:pt>
                <c:pt idx="50">
                  <c:v>14.94</c:v>
                </c:pt>
                <c:pt idx="51">
                  <c:v>20.329999999999998</c:v>
                </c:pt>
                <c:pt idx="52">
                  <c:v>18.66</c:v>
                </c:pt>
              </c:numCache>
            </c:numRef>
          </c:val>
          <c:extLst>
            <c:ext xmlns:c16="http://schemas.microsoft.com/office/drawing/2014/chart" uri="{C3380CC4-5D6E-409C-BE32-E72D297353CC}">
              <c16:uniqueId val="{00000001-50C9-4253-AD6A-46FD7ED8E2C5}"/>
            </c:ext>
          </c:extLst>
        </c:ser>
        <c:ser>
          <c:idx val="2"/>
          <c:order val="2"/>
          <c:tx>
            <c:strRef>
              <c:f>'Reason for out-ofschoo'!$E$248</c:f>
              <c:strCache>
                <c:ptCount val="1"/>
                <c:pt idx="0">
                  <c:v>Costs</c:v>
                </c:pt>
              </c:strCache>
            </c:strRef>
          </c:tx>
          <c:spPr>
            <a:solidFill>
              <a:schemeClr val="accent3"/>
            </a:solidFill>
            <a:ln>
              <a:noFill/>
            </a:ln>
            <a:effectLst/>
          </c:spPr>
          <c:invertIfNegative val="0"/>
          <c:cat>
            <c:multiLvlStrRef>
              <c:f>'Reason for out-ofschoo'!$A$249:$B$301</c:f>
              <c:multiLvlStrCache>
                <c:ptCount val="53"/>
                <c:lvl>
                  <c:pt idx="0">
                    <c:v>Banjul city council</c:v>
                  </c:pt>
                  <c:pt idx="1">
                    <c:v>Banjul city council</c:v>
                  </c:pt>
                  <c:pt idx="2">
                    <c:v>Banjul city council</c:v>
                  </c:pt>
                  <c:pt idx="3">
                    <c:v>Bakau</c:v>
                  </c:pt>
                  <c:pt idx="4">
                    <c:v>New Jeshwang</c:v>
                  </c:pt>
                  <c:pt idx="5">
                    <c:v>Sere Kunda Central</c:v>
                  </c:pt>
                  <c:pt idx="6">
                    <c:v>Sere Kunda East</c:v>
                  </c:pt>
                  <c:pt idx="7">
                    <c:v>Sere Kunda West</c:v>
                  </c:pt>
                  <c:pt idx="9">
                    <c:v>Kombo North</c:v>
                  </c:pt>
                  <c:pt idx="10">
                    <c:v>Kombo South</c:v>
                  </c:pt>
                  <c:pt idx="11">
                    <c:v>Kombo Central</c:v>
                  </c:pt>
                  <c:pt idx="12">
                    <c:v>Kombo East</c:v>
                  </c:pt>
                  <c:pt idx="13">
                    <c:v>Foni Brefet</c:v>
                  </c:pt>
                  <c:pt idx="14">
                    <c:v>Foni Bintang Karanai</c:v>
                  </c:pt>
                  <c:pt idx="15">
                    <c:v>Foni Kansala</c:v>
                  </c:pt>
                  <c:pt idx="16">
                    <c:v>Foni Bondali</c:v>
                  </c:pt>
                  <c:pt idx="17">
                    <c:v>Foni Jarrol</c:v>
                  </c:pt>
                  <c:pt idx="19">
                    <c:v>Lower Niumi</c:v>
                  </c:pt>
                  <c:pt idx="20">
                    <c:v>Upper Niumi</c:v>
                  </c:pt>
                  <c:pt idx="21">
                    <c:v>Jokadu</c:v>
                  </c:pt>
                  <c:pt idx="22">
                    <c:v>Lower Badibu</c:v>
                  </c:pt>
                  <c:pt idx="23">
                    <c:v>Central Badibu</c:v>
                  </c:pt>
                  <c:pt idx="24">
                    <c:v>Illiasa</c:v>
                  </c:pt>
                  <c:pt idx="25">
                    <c:v>Sabach Sanjar</c:v>
                  </c:pt>
                  <c:pt idx="27">
                    <c:v>Kiang West</c:v>
                  </c:pt>
                  <c:pt idx="28">
                    <c:v>Kiang Central</c:v>
                  </c:pt>
                  <c:pt idx="29">
                    <c:v>Kiang East</c:v>
                  </c:pt>
                  <c:pt idx="30">
                    <c:v>Jarra West</c:v>
                  </c:pt>
                  <c:pt idx="31">
                    <c:v>Jarra Central</c:v>
                  </c:pt>
                  <c:pt idx="32">
                    <c:v>Jarra East</c:v>
                  </c:pt>
                  <c:pt idx="34">
                    <c:v>Lower Saloum</c:v>
                  </c:pt>
                  <c:pt idx="35">
                    <c:v>Upper Saloum</c:v>
                  </c:pt>
                  <c:pt idx="36">
                    <c:v>Nianija</c:v>
                  </c:pt>
                  <c:pt idx="37">
                    <c:v>Niani</c:v>
                  </c:pt>
                  <c:pt idx="38">
                    <c:v>Sami</c:v>
                  </c:pt>
                  <c:pt idx="39">
                    <c:v>Niamina Dankunku</c:v>
                  </c:pt>
                  <c:pt idx="40">
                    <c:v>Niamina West</c:v>
                  </c:pt>
                  <c:pt idx="41">
                    <c:v>Niamina East</c:v>
                  </c:pt>
                  <c:pt idx="42">
                    <c:v>Lower Fuladu West</c:v>
                  </c:pt>
                  <c:pt idx="43">
                    <c:v>Upper Fuladu West</c:v>
                  </c:pt>
                  <c:pt idx="44">
                    <c:v>Janjanbureh</c:v>
                  </c:pt>
                  <c:pt idx="46">
                    <c:v>Jimara</c:v>
                  </c:pt>
                  <c:pt idx="47">
                    <c:v>Basse</c:v>
                  </c:pt>
                  <c:pt idx="48">
                    <c:v>Tumana</c:v>
                  </c:pt>
                  <c:pt idx="49">
                    <c:v>Kantora</c:v>
                  </c:pt>
                  <c:pt idx="50">
                    <c:v>Wuli West</c:v>
                  </c:pt>
                  <c:pt idx="51">
                    <c:v>Wuli East</c:v>
                  </c:pt>
                  <c:pt idx="52">
                    <c:v>Sandu</c:v>
                  </c:pt>
                </c:lvl>
                <c:lvl>
                  <c:pt idx="0">
                    <c:v>Region1</c:v>
                  </c:pt>
                  <c:pt idx="9">
                    <c:v>Region2</c:v>
                  </c:pt>
                  <c:pt idx="19">
                    <c:v>Region3</c:v>
                  </c:pt>
                  <c:pt idx="27">
                    <c:v>Region4</c:v>
                  </c:pt>
                  <c:pt idx="34">
                    <c:v>Region5</c:v>
                  </c:pt>
                  <c:pt idx="46">
                    <c:v>Region6</c:v>
                  </c:pt>
                </c:lvl>
              </c:multiLvlStrCache>
            </c:multiLvlStrRef>
          </c:cat>
          <c:val>
            <c:numRef>
              <c:f>'Reason for out-ofschoo'!$E$249:$E$301</c:f>
              <c:numCache>
                <c:formatCode>_(* #,##0.0_);_(* \(#,##0.0\);_(* "-"??_);_(@_)</c:formatCode>
                <c:ptCount val="53"/>
                <c:pt idx="0">
                  <c:v>0</c:v>
                </c:pt>
                <c:pt idx="1">
                  <c:v>0</c:v>
                </c:pt>
                <c:pt idx="2">
                  <c:v>0</c:v>
                </c:pt>
                <c:pt idx="3">
                  <c:v>0</c:v>
                </c:pt>
                <c:pt idx="4">
                  <c:v>25</c:v>
                </c:pt>
                <c:pt idx="5">
                  <c:v>7.68</c:v>
                </c:pt>
                <c:pt idx="6">
                  <c:v>6.23</c:v>
                </c:pt>
                <c:pt idx="7">
                  <c:v>15.01</c:v>
                </c:pt>
                <c:pt idx="9">
                  <c:v>7.46</c:v>
                </c:pt>
                <c:pt idx="10">
                  <c:v>0.56000000000000005</c:v>
                </c:pt>
                <c:pt idx="11">
                  <c:v>4.21</c:v>
                </c:pt>
                <c:pt idx="12">
                  <c:v>1.59</c:v>
                </c:pt>
                <c:pt idx="13">
                  <c:v>3.9</c:v>
                </c:pt>
                <c:pt idx="14">
                  <c:v>0</c:v>
                </c:pt>
                <c:pt idx="15">
                  <c:v>2.94</c:v>
                </c:pt>
                <c:pt idx="16">
                  <c:v>1.27</c:v>
                </c:pt>
                <c:pt idx="17">
                  <c:v>3.46</c:v>
                </c:pt>
                <c:pt idx="19">
                  <c:v>4.4800000000000004</c:v>
                </c:pt>
                <c:pt idx="20">
                  <c:v>3.69</c:v>
                </c:pt>
                <c:pt idx="21">
                  <c:v>6.1</c:v>
                </c:pt>
                <c:pt idx="22">
                  <c:v>5.48</c:v>
                </c:pt>
                <c:pt idx="23">
                  <c:v>2.83</c:v>
                </c:pt>
                <c:pt idx="24">
                  <c:v>5.86</c:v>
                </c:pt>
                <c:pt idx="25">
                  <c:v>3.28</c:v>
                </c:pt>
                <c:pt idx="27">
                  <c:v>5.38</c:v>
                </c:pt>
                <c:pt idx="28">
                  <c:v>0</c:v>
                </c:pt>
                <c:pt idx="29">
                  <c:v>0</c:v>
                </c:pt>
                <c:pt idx="30">
                  <c:v>0</c:v>
                </c:pt>
                <c:pt idx="31">
                  <c:v>0</c:v>
                </c:pt>
                <c:pt idx="32">
                  <c:v>2.59</c:v>
                </c:pt>
                <c:pt idx="34">
                  <c:v>2.96</c:v>
                </c:pt>
                <c:pt idx="35">
                  <c:v>2.5</c:v>
                </c:pt>
                <c:pt idx="36">
                  <c:v>2.78</c:v>
                </c:pt>
                <c:pt idx="37">
                  <c:v>4.42</c:v>
                </c:pt>
                <c:pt idx="38">
                  <c:v>7.86</c:v>
                </c:pt>
                <c:pt idx="39">
                  <c:v>2.68</c:v>
                </c:pt>
                <c:pt idx="40">
                  <c:v>4.41</c:v>
                </c:pt>
                <c:pt idx="41">
                  <c:v>0.84</c:v>
                </c:pt>
                <c:pt idx="42">
                  <c:v>3.8</c:v>
                </c:pt>
                <c:pt idx="43">
                  <c:v>7.13</c:v>
                </c:pt>
                <c:pt idx="44">
                  <c:v>3.98</c:v>
                </c:pt>
                <c:pt idx="46">
                  <c:v>3.98</c:v>
                </c:pt>
                <c:pt idx="47">
                  <c:v>12.99</c:v>
                </c:pt>
                <c:pt idx="48">
                  <c:v>6.45</c:v>
                </c:pt>
                <c:pt idx="49">
                  <c:v>28.9</c:v>
                </c:pt>
                <c:pt idx="50">
                  <c:v>40.42</c:v>
                </c:pt>
                <c:pt idx="51">
                  <c:v>36.590000000000003</c:v>
                </c:pt>
                <c:pt idx="52">
                  <c:v>35.1</c:v>
                </c:pt>
              </c:numCache>
            </c:numRef>
          </c:val>
          <c:extLst>
            <c:ext xmlns:c16="http://schemas.microsoft.com/office/drawing/2014/chart" uri="{C3380CC4-5D6E-409C-BE32-E72D297353CC}">
              <c16:uniqueId val="{00000002-50C9-4253-AD6A-46FD7ED8E2C5}"/>
            </c:ext>
          </c:extLst>
        </c:ser>
        <c:ser>
          <c:idx val="3"/>
          <c:order val="3"/>
          <c:tx>
            <c:strRef>
              <c:f>'Reason for out-ofschoo'!$F$248</c:f>
              <c:strCache>
                <c:ptCount val="1"/>
                <c:pt idx="0">
                  <c:v>Quality</c:v>
                </c:pt>
              </c:strCache>
            </c:strRef>
          </c:tx>
          <c:spPr>
            <a:solidFill>
              <a:schemeClr val="accent4"/>
            </a:solidFill>
            <a:ln>
              <a:noFill/>
            </a:ln>
            <a:effectLst/>
          </c:spPr>
          <c:invertIfNegative val="0"/>
          <c:cat>
            <c:multiLvlStrRef>
              <c:f>'Reason for out-ofschoo'!$A$249:$B$301</c:f>
              <c:multiLvlStrCache>
                <c:ptCount val="53"/>
                <c:lvl>
                  <c:pt idx="0">
                    <c:v>Banjul city council</c:v>
                  </c:pt>
                  <c:pt idx="1">
                    <c:v>Banjul city council</c:v>
                  </c:pt>
                  <c:pt idx="2">
                    <c:v>Banjul city council</c:v>
                  </c:pt>
                  <c:pt idx="3">
                    <c:v>Bakau</c:v>
                  </c:pt>
                  <c:pt idx="4">
                    <c:v>New Jeshwang</c:v>
                  </c:pt>
                  <c:pt idx="5">
                    <c:v>Sere Kunda Central</c:v>
                  </c:pt>
                  <c:pt idx="6">
                    <c:v>Sere Kunda East</c:v>
                  </c:pt>
                  <c:pt idx="7">
                    <c:v>Sere Kunda West</c:v>
                  </c:pt>
                  <c:pt idx="9">
                    <c:v>Kombo North</c:v>
                  </c:pt>
                  <c:pt idx="10">
                    <c:v>Kombo South</c:v>
                  </c:pt>
                  <c:pt idx="11">
                    <c:v>Kombo Central</c:v>
                  </c:pt>
                  <c:pt idx="12">
                    <c:v>Kombo East</c:v>
                  </c:pt>
                  <c:pt idx="13">
                    <c:v>Foni Brefet</c:v>
                  </c:pt>
                  <c:pt idx="14">
                    <c:v>Foni Bintang Karanai</c:v>
                  </c:pt>
                  <c:pt idx="15">
                    <c:v>Foni Kansala</c:v>
                  </c:pt>
                  <c:pt idx="16">
                    <c:v>Foni Bondali</c:v>
                  </c:pt>
                  <c:pt idx="17">
                    <c:v>Foni Jarrol</c:v>
                  </c:pt>
                  <c:pt idx="19">
                    <c:v>Lower Niumi</c:v>
                  </c:pt>
                  <c:pt idx="20">
                    <c:v>Upper Niumi</c:v>
                  </c:pt>
                  <c:pt idx="21">
                    <c:v>Jokadu</c:v>
                  </c:pt>
                  <c:pt idx="22">
                    <c:v>Lower Badibu</c:v>
                  </c:pt>
                  <c:pt idx="23">
                    <c:v>Central Badibu</c:v>
                  </c:pt>
                  <c:pt idx="24">
                    <c:v>Illiasa</c:v>
                  </c:pt>
                  <c:pt idx="25">
                    <c:v>Sabach Sanjar</c:v>
                  </c:pt>
                  <c:pt idx="27">
                    <c:v>Kiang West</c:v>
                  </c:pt>
                  <c:pt idx="28">
                    <c:v>Kiang Central</c:v>
                  </c:pt>
                  <c:pt idx="29">
                    <c:v>Kiang East</c:v>
                  </c:pt>
                  <c:pt idx="30">
                    <c:v>Jarra West</c:v>
                  </c:pt>
                  <c:pt idx="31">
                    <c:v>Jarra Central</c:v>
                  </c:pt>
                  <c:pt idx="32">
                    <c:v>Jarra East</c:v>
                  </c:pt>
                  <c:pt idx="34">
                    <c:v>Lower Saloum</c:v>
                  </c:pt>
                  <c:pt idx="35">
                    <c:v>Upper Saloum</c:v>
                  </c:pt>
                  <c:pt idx="36">
                    <c:v>Nianija</c:v>
                  </c:pt>
                  <c:pt idx="37">
                    <c:v>Niani</c:v>
                  </c:pt>
                  <c:pt idx="38">
                    <c:v>Sami</c:v>
                  </c:pt>
                  <c:pt idx="39">
                    <c:v>Niamina Dankunku</c:v>
                  </c:pt>
                  <c:pt idx="40">
                    <c:v>Niamina West</c:v>
                  </c:pt>
                  <c:pt idx="41">
                    <c:v>Niamina East</c:v>
                  </c:pt>
                  <c:pt idx="42">
                    <c:v>Lower Fuladu West</c:v>
                  </c:pt>
                  <c:pt idx="43">
                    <c:v>Upper Fuladu West</c:v>
                  </c:pt>
                  <c:pt idx="44">
                    <c:v>Janjanbureh</c:v>
                  </c:pt>
                  <c:pt idx="46">
                    <c:v>Jimara</c:v>
                  </c:pt>
                  <c:pt idx="47">
                    <c:v>Basse</c:v>
                  </c:pt>
                  <c:pt idx="48">
                    <c:v>Tumana</c:v>
                  </c:pt>
                  <c:pt idx="49">
                    <c:v>Kantora</c:v>
                  </c:pt>
                  <c:pt idx="50">
                    <c:v>Wuli West</c:v>
                  </c:pt>
                  <c:pt idx="51">
                    <c:v>Wuli East</c:v>
                  </c:pt>
                  <c:pt idx="52">
                    <c:v>Sandu</c:v>
                  </c:pt>
                </c:lvl>
                <c:lvl>
                  <c:pt idx="0">
                    <c:v>Region1</c:v>
                  </c:pt>
                  <c:pt idx="9">
                    <c:v>Region2</c:v>
                  </c:pt>
                  <c:pt idx="19">
                    <c:v>Region3</c:v>
                  </c:pt>
                  <c:pt idx="27">
                    <c:v>Region4</c:v>
                  </c:pt>
                  <c:pt idx="34">
                    <c:v>Region5</c:v>
                  </c:pt>
                  <c:pt idx="46">
                    <c:v>Region6</c:v>
                  </c:pt>
                </c:lvl>
              </c:multiLvlStrCache>
            </c:multiLvlStrRef>
          </c:cat>
          <c:val>
            <c:numRef>
              <c:f>'Reason for out-ofschoo'!$F$249:$F$301</c:f>
              <c:numCache>
                <c:formatCode>_(* #,##0.0_);_(* \(#,##0.0\);_(* "-"??_);_(@_)</c:formatCode>
                <c:ptCount val="53"/>
                <c:pt idx="0">
                  <c:v>0</c:v>
                </c:pt>
                <c:pt idx="1">
                  <c:v>0</c:v>
                </c:pt>
                <c:pt idx="2">
                  <c:v>20</c:v>
                </c:pt>
                <c:pt idx="3">
                  <c:v>0</c:v>
                </c:pt>
                <c:pt idx="4">
                  <c:v>0</c:v>
                </c:pt>
                <c:pt idx="5">
                  <c:v>0</c:v>
                </c:pt>
                <c:pt idx="6">
                  <c:v>0</c:v>
                </c:pt>
                <c:pt idx="7">
                  <c:v>0</c:v>
                </c:pt>
                <c:pt idx="9">
                  <c:v>0</c:v>
                </c:pt>
                <c:pt idx="10">
                  <c:v>1.1299999999999999</c:v>
                </c:pt>
                <c:pt idx="11">
                  <c:v>0</c:v>
                </c:pt>
                <c:pt idx="12">
                  <c:v>3.95</c:v>
                </c:pt>
                <c:pt idx="13">
                  <c:v>5.85</c:v>
                </c:pt>
                <c:pt idx="14">
                  <c:v>0</c:v>
                </c:pt>
                <c:pt idx="15">
                  <c:v>0</c:v>
                </c:pt>
                <c:pt idx="16">
                  <c:v>1.27</c:v>
                </c:pt>
                <c:pt idx="17">
                  <c:v>0</c:v>
                </c:pt>
                <c:pt idx="19">
                  <c:v>1.49</c:v>
                </c:pt>
                <c:pt idx="20">
                  <c:v>2.11</c:v>
                </c:pt>
                <c:pt idx="21">
                  <c:v>4.5599999999999996</c:v>
                </c:pt>
                <c:pt idx="22">
                  <c:v>0</c:v>
                </c:pt>
                <c:pt idx="23">
                  <c:v>2.27</c:v>
                </c:pt>
                <c:pt idx="24">
                  <c:v>0</c:v>
                </c:pt>
                <c:pt idx="25">
                  <c:v>0</c:v>
                </c:pt>
                <c:pt idx="27">
                  <c:v>5.22</c:v>
                </c:pt>
                <c:pt idx="28">
                  <c:v>5.91</c:v>
                </c:pt>
                <c:pt idx="29">
                  <c:v>3.84</c:v>
                </c:pt>
                <c:pt idx="30">
                  <c:v>3.48</c:v>
                </c:pt>
                <c:pt idx="31">
                  <c:v>1.95</c:v>
                </c:pt>
                <c:pt idx="32">
                  <c:v>0.52</c:v>
                </c:pt>
                <c:pt idx="34">
                  <c:v>0</c:v>
                </c:pt>
                <c:pt idx="35">
                  <c:v>0.67</c:v>
                </c:pt>
                <c:pt idx="36">
                  <c:v>2.23</c:v>
                </c:pt>
                <c:pt idx="37">
                  <c:v>0.61</c:v>
                </c:pt>
                <c:pt idx="38">
                  <c:v>0.94</c:v>
                </c:pt>
                <c:pt idx="39">
                  <c:v>1.34</c:v>
                </c:pt>
                <c:pt idx="40">
                  <c:v>0.55000000000000004</c:v>
                </c:pt>
                <c:pt idx="41">
                  <c:v>0.56000000000000005</c:v>
                </c:pt>
                <c:pt idx="42">
                  <c:v>0</c:v>
                </c:pt>
                <c:pt idx="43">
                  <c:v>0</c:v>
                </c:pt>
                <c:pt idx="44">
                  <c:v>0</c:v>
                </c:pt>
                <c:pt idx="46">
                  <c:v>7.1</c:v>
                </c:pt>
                <c:pt idx="47">
                  <c:v>0</c:v>
                </c:pt>
                <c:pt idx="48">
                  <c:v>7.88</c:v>
                </c:pt>
                <c:pt idx="49">
                  <c:v>27.67</c:v>
                </c:pt>
                <c:pt idx="50">
                  <c:v>22.39</c:v>
                </c:pt>
                <c:pt idx="51">
                  <c:v>23.91</c:v>
                </c:pt>
                <c:pt idx="52">
                  <c:v>26.11</c:v>
                </c:pt>
              </c:numCache>
            </c:numRef>
          </c:val>
          <c:extLst>
            <c:ext xmlns:c16="http://schemas.microsoft.com/office/drawing/2014/chart" uri="{C3380CC4-5D6E-409C-BE32-E72D297353CC}">
              <c16:uniqueId val="{00000003-50C9-4253-AD6A-46FD7ED8E2C5}"/>
            </c:ext>
          </c:extLst>
        </c:ser>
        <c:ser>
          <c:idx val="4"/>
          <c:order val="4"/>
          <c:tx>
            <c:strRef>
              <c:f>'Reason for out-ofschoo'!$G$248</c:f>
              <c:strCache>
                <c:ptCount val="1"/>
                <c:pt idx="0">
                  <c:v>Work</c:v>
                </c:pt>
              </c:strCache>
            </c:strRef>
          </c:tx>
          <c:spPr>
            <a:solidFill>
              <a:schemeClr val="accent5"/>
            </a:solidFill>
            <a:ln>
              <a:noFill/>
            </a:ln>
            <a:effectLst/>
          </c:spPr>
          <c:invertIfNegative val="0"/>
          <c:cat>
            <c:multiLvlStrRef>
              <c:f>'Reason for out-ofschoo'!$A$249:$B$301</c:f>
              <c:multiLvlStrCache>
                <c:ptCount val="53"/>
                <c:lvl>
                  <c:pt idx="0">
                    <c:v>Banjul city council</c:v>
                  </c:pt>
                  <c:pt idx="1">
                    <c:v>Banjul city council</c:v>
                  </c:pt>
                  <c:pt idx="2">
                    <c:v>Banjul city council</c:v>
                  </c:pt>
                  <c:pt idx="3">
                    <c:v>Bakau</c:v>
                  </c:pt>
                  <c:pt idx="4">
                    <c:v>New Jeshwang</c:v>
                  </c:pt>
                  <c:pt idx="5">
                    <c:v>Sere Kunda Central</c:v>
                  </c:pt>
                  <c:pt idx="6">
                    <c:v>Sere Kunda East</c:v>
                  </c:pt>
                  <c:pt idx="7">
                    <c:v>Sere Kunda West</c:v>
                  </c:pt>
                  <c:pt idx="9">
                    <c:v>Kombo North</c:v>
                  </c:pt>
                  <c:pt idx="10">
                    <c:v>Kombo South</c:v>
                  </c:pt>
                  <c:pt idx="11">
                    <c:v>Kombo Central</c:v>
                  </c:pt>
                  <c:pt idx="12">
                    <c:v>Kombo East</c:v>
                  </c:pt>
                  <c:pt idx="13">
                    <c:v>Foni Brefet</c:v>
                  </c:pt>
                  <c:pt idx="14">
                    <c:v>Foni Bintang Karanai</c:v>
                  </c:pt>
                  <c:pt idx="15">
                    <c:v>Foni Kansala</c:v>
                  </c:pt>
                  <c:pt idx="16">
                    <c:v>Foni Bondali</c:v>
                  </c:pt>
                  <c:pt idx="17">
                    <c:v>Foni Jarrol</c:v>
                  </c:pt>
                  <c:pt idx="19">
                    <c:v>Lower Niumi</c:v>
                  </c:pt>
                  <c:pt idx="20">
                    <c:v>Upper Niumi</c:v>
                  </c:pt>
                  <c:pt idx="21">
                    <c:v>Jokadu</c:v>
                  </c:pt>
                  <c:pt idx="22">
                    <c:v>Lower Badibu</c:v>
                  </c:pt>
                  <c:pt idx="23">
                    <c:v>Central Badibu</c:v>
                  </c:pt>
                  <c:pt idx="24">
                    <c:v>Illiasa</c:v>
                  </c:pt>
                  <c:pt idx="25">
                    <c:v>Sabach Sanjar</c:v>
                  </c:pt>
                  <c:pt idx="27">
                    <c:v>Kiang West</c:v>
                  </c:pt>
                  <c:pt idx="28">
                    <c:v>Kiang Central</c:v>
                  </c:pt>
                  <c:pt idx="29">
                    <c:v>Kiang East</c:v>
                  </c:pt>
                  <c:pt idx="30">
                    <c:v>Jarra West</c:v>
                  </c:pt>
                  <c:pt idx="31">
                    <c:v>Jarra Central</c:v>
                  </c:pt>
                  <c:pt idx="32">
                    <c:v>Jarra East</c:v>
                  </c:pt>
                  <c:pt idx="34">
                    <c:v>Lower Saloum</c:v>
                  </c:pt>
                  <c:pt idx="35">
                    <c:v>Upper Saloum</c:v>
                  </c:pt>
                  <c:pt idx="36">
                    <c:v>Nianija</c:v>
                  </c:pt>
                  <c:pt idx="37">
                    <c:v>Niani</c:v>
                  </c:pt>
                  <c:pt idx="38">
                    <c:v>Sami</c:v>
                  </c:pt>
                  <c:pt idx="39">
                    <c:v>Niamina Dankunku</c:v>
                  </c:pt>
                  <c:pt idx="40">
                    <c:v>Niamina West</c:v>
                  </c:pt>
                  <c:pt idx="41">
                    <c:v>Niamina East</c:v>
                  </c:pt>
                  <c:pt idx="42">
                    <c:v>Lower Fuladu West</c:v>
                  </c:pt>
                  <c:pt idx="43">
                    <c:v>Upper Fuladu West</c:v>
                  </c:pt>
                  <c:pt idx="44">
                    <c:v>Janjanbureh</c:v>
                  </c:pt>
                  <c:pt idx="46">
                    <c:v>Jimara</c:v>
                  </c:pt>
                  <c:pt idx="47">
                    <c:v>Basse</c:v>
                  </c:pt>
                  <c:pt idx="48">
                    <c:v>Tumana</c:v>
                  </c:pt>
                  <c:pt idx="49">
                    <c:v>Kantora</c:v>
                  </c:pt>
                  <c:pt idx="50">
                    <c:v>Wuli West</c:v>
                  </c:pt>
                  <c:pt idx="51">
                    <c:v>Wuli East</c:v>
                  </c:pt>
                  <c:pt idx="52">
                    <c:v>Sandu</c:v>
                  </c:pt>
                </c:lvl>
                <c:lvl>
                  <c:pt idx="0">
                    <c:v>Region1</c:v>
                  </c:pt>
                  <c:pt idx="9">
                    <c:v>Region2</c:v>
                  </c:pt>
                  <c:pt idx="19">
                    <c:v>Region3</c:v>
                  </c:pt>
                  <c:pt idx="27">
                    <c:v>Region4</c:v>
                  </c:pt>
                  <c:pt idx="34">
                    <c:v>Region5</c:v>
                  </c:pt>
                  <c:pt idx="46">
                    <c:v>Region6</c:v>
                  </c:pt>
                </c:lvl>
              </c:multiLvlStrCache>
            </c:multiLvlStrRef>
          </c:cat>
          <c:val>
            <c:numRef>
              <c:f>'Reason for out-ofschoo'!$G$249:$G$301</c:f>
              <c:numCache>
                <c:formatCode>_(* #,##0.0_);_(* \(#,##0.0\);_(* "-"??_);_(@_)</c:formatCode>
                <c:ptCount val="53"/>
                <c:pt idx="0">
                  <c:v>0</c:v>
                </c:pt>
                <c:pt idx="1">
                  <c:v>0</c:v>
                </c:pt>
                <c:pt idx="2">
                  <c:v>0</c:v>
                </c:pt>
                <c:pt idx="3">
                  <c:v>0</c:v>
                </c:pt>
                <c:pt idx="4">
                  <c:v>0</c:v>
                </c:pt>
                <c:pt idx="5">
                  <c:v>0</c:v>
                </c:pt>
                <c:pt idx="6">
                  <c:v>0</c:v>
                </c:pt>
                <c:pt idx="7">
                  <c:v>0</c:v>
                </c:pt>
                <c:pt idx="9">
                  <c:v>0</c:v>
                </c:pt>
                <c:pt idx="10">
                  <c:v>0</c:v>
                </c:pt>
                <c:pt idx="11">
                  <c:v>0</c:v>
                </c:pt>
                <c:pt idx="12">
                  <c:v>0</c:v>
                </c:pt>
                <c:pt idx="13">
                  <c:v>0</c:v>
                </c:pt>
                <c:pt idx="14">
                  <c:v>0</c:v>
                </c:pt>
                <c:pt idx="15">
                  <c:v>8.8000000000000007</c:v>
                </c:pt>
                <c:pt idx="16">
                  <c:v>1.96</c:v>
                </c:pt>
                <c:pt idx="17">
                  <c:v>6.93</c:v>
                </c:pt>
                <c:pt idx="19">
                  <c:v>0</c:v>
                </c:pt>
                <c:pt idx="20">
                  <c:v>1.58</c:v>
                </c:pt>
                <c:pt idx="21">
                  <c:v>2.29</c:v>
                </c:pt>
                <c:pt idx="22">
                  <c:v>1.37</c:v>
                </c:pt>
                <c:pt idx="23">
                  <c:v>3.98</c:v>
                </c:pt>
                <c:pt idx="24">
                  <c:v>4.32</c:v>
                </c:pt>
                <c:pt idx="25">
                  <c:v>2.19</c:v>
                </c:pt>
                <c:pt idx="27">
                  <c:v>10.4</c:v>
                </c:pt>
                <c:pt idx="28">
                  <c:v>11.74</c:v>
                </c:pt>
                <c:pt idx="29">
                  <c:v>7.69</c:v>
                </c:pt>
                <c:pt idx="30">
                  <c:v>4.66</c:v>
                </c:pt>
                <c:pt idx="31">
                  <c:v>1.98</c:v>
                </c:pt>
                <c:pt idx="32">
                  <c:v>0</c:v>
                </c:pt>
                <c:pt idx="34">
                  <c:v>0.65</c:v>
                </c:pt>
                <c:pt idx="35">
                  <c:v>2.7</c:v>
                </c:pt>
                <c:pt idx="36">
                  <c:v>1.4</c:v>
                </c:pt>
                <c:pt idx="37">
                  <c:v>6.71</c:v>
                </c:pt>
                <c:pt idx="38">
                  <c:v>12.58</c:v>
                </c:pt>
                <c:pt idx="39">
                  <c:v>5.34</c:v>
                </c:pt>
                <c:pt idx="40">
                  <c:v>0.54</c:v>
                </c:pt>
                <c:pt idx="41">
                  <c:v>1.1200000000000001</c:v>
                </c:pt>
                <c:pt idx="42">
                  <c:v>2.64</c:v>
                </c:pt>
                <c:pt idx="43">
                  <c:v>16.09</c:v>
                </c:pt>
                <c:pt idx="44">
                  <c:v>9.14</c:v>
                </c:pt>
                <c:pt idx="46">
                  <c:v>19.059999999999999</c:v>
                </c:pt>
                <c:pt idx="47">
                  <c:v>7.39</c:v>
                </c:pt>
                <c:pt idx="48">
                  <c:v>19.28</c:v>
                </c:pt>
                <c:pt idx="49">
                  <c:v>5.51</c:v>
                </c:pt>
                <c:pt idx="50">
                  <c:v>5.69</c:v>
                </c:pt>
                <c:pt idx="51">
                  <c:v>5.29</c:v>
                </c:pt>
                <c:pt idx="52">
                  <c:v>6.97</c:v>
                </c:pt>
              </c:numCache>
            </c:numRef>
          </c:val>
          <c:extLst>
            <c:ext xmlns:c16="http://schemas.microsoft.com/office/drawing/2014/chart" uri="{C3380CC4-5D6E-409C-BE32-E72D297353CC}">
              <c16:uniqueId val="{00000004-50C9-4253-AD6A-46FD7ED8E2C5}"/>
            </c:ext>
          </c:extLst>
        </c:ser>
        <c:ser>
          <c:idx val="5"/>
          <c:order val="5"/>
          <c:tx>
            <c:strRef>
              <c:f>'Reason for out-ofschoo'!$H$248</c:f>
              <c:strCache>
                <c:ptCount val="1"/>
                <c:pt idx="0">
                  <c:v>Others</c:v>
                </c:pt>
              </c:strCache>
            </c:strRef>
          </c:tx>
          <c:spPr>
            <a:solidFill>
              <a:schemeClr val="accent6"/>
            </a:solidFill>
            <a:ln>
              <a:noFill/>
            </a:ln>
            <a:effectLst/>
          </c:spPr>
          <c:invertIfNegative val="0"/>
          <c:cat>
            <c:multiLvlStrRef>
              <c:f>'Reason for out-ofschoo'!$A$249:$B$301</c:f>
              <c:multiLvlStrCache>
                <c:ptCount val="53"/>
                <c:lvl>
                  <c:pt idx="0">
                    <c:v>Banjul city council</c:v>
                  </c:pt>
                  <c:pt idx="1">
                    <c:v>Banjul city council</c:v>
                  </c:pt>
                  <c:pt idx="2">
                    <c:v>Banjul city council</c:v>
                  </c:pt>
                  <c:pt idx="3">
                    <c:v>Bakau</c:v>
                  </c:pt>
                  <c:pt idx="4">
                    <c:v>New Jeshwang</c:v>
                  </c:pt>
                  <c:pt idx="5">
                    <c:v>Sere Kunda Central</c:v>
                  </c:pt>
                  <c:pt idx="6">
                    <c:v>Sere Kunda East</c:v>
                  </c:pt>
                  <c:pt idx="7">
                    <c:v>Sere Kunda West</c:v>
                  </c:pt>
                  <c:pt idx="9">
                    <c:v>Kombo North</c:v>
                  </c:pt>
                  <c:pt idx="10">
                    <c:v>Kombo South</c:v>
                  </c:pt>
                  <c:pt idx="11">
                    <c:v>Kombo Central</c:v>
                  </c:pt>
                  <c:pt idx="12">
                    <c:v>Kombo East</c:v>
                  </c:pt>
                  <c:pt idx="13">
                    <c:v>Foni Brefet</c:v>
                  </c:pt>
                  <c:pt idx="14">
                    <c:v>Foni Bintang Karanai</c:v>
                  </c:pt>
                  <c:pt idx="15">
                    <c:v>Foni Kansala</c:v>
                  </c:pt>
                  <c:pt idx="16">
                    <c:v>Foni Bondali</c:v>
                  </c:pt>
                  <c:pt idx="17">
                    <c:v>Foni Jarrol</c:v>
                  </c:pt>
                  <c:pt idx="19">
                    <c:v>Lower Niumi</c:v>
                  </c:pt>
                  <c:pt idx="20">
                    <c:v>Upper Niumi</c:v>
                  </c:pt>
                  <c:pt idx="21">
                    <c:v>Jokadu</c:v>
                  </c:pt>
                  <c:pt idx="22">
                    <c:v>Lower Badibu</c:v>
                  </c:pt>
                  <c:pt idx="23">
                    <c:v>Central Badibu</c:v>
                  </c:pt>
                  <c:pt idx="24">
                    <c:v>Illiasa</c:v>
                  </c:pt>
                  <c:pt idx="25">
                    <c:v>Sabach Sanjar</c:v>
                  </c:pt>
                  <c:pt idx="27">
                    <c:v>Kiang West</c:v>
                  </c:pt>
                  <c:pt idx="28">
                    <c:v>Kiang Central</c:v>
                  </c:pt>
                  <c:pt idx="29">
                    <c:v>Kiang East</c:v>
                  </c:pt>
                  <c:pt idx="30">
                    <c:v>Jarra West</c:v>
                  </c:pt>
                  <c:pt idx="31">
                    <c:v>Jarra Central</c:v>
                  </c:pt>
                  <c:pt idx="32">
                    <c:v>Jarra East</c:v>
                  </c:pt>
                  <c:pt idx="34">
                    <c:v>Lower Saloum</c:v>
                  </c:pt>
                  <c:pt idx="35">
                    <c:v>Upper Saloum</c:v>
                  </c:pt>
                  <c:pt idx="36">
                    <c:v>Nianija</c:v>
                  </c:pt>
                  <c:pt idx="37">
                    <c:v>Niani</c:v>
                  </c:pt>
                  <c:pt idx="38">
                    <c:v>Sami</c:v>
                  </c:pt>
                  <c:pt idx="39">
                    <c:v>Niamina Dankunku</c:v>
                  </c:pt>
                  <c:pt idx="40">
                    <c:v>Niamina West</c:v>
                  </c:pt>
                  <c:pt idx="41">
                    <c:v>Niamina East</c:v>
                  </c:pt>
                  <c:pt idx="42">
                    <c:v>Lower Fuladu West</c:v>
                  </c:pt>
                  <c:pt idx="43">
                    <c:v>Upper Fuladu West</c:v>
                  </c:pt>
                  <c:pt idx="44">
                    <c:v>Janjanbureh</c:v>
                  </c:pt>
                  <c:pt idx="46">
                    <c:v>Jimara</c:v>
                  </c:pt>
                  <c:pt idx="47">
                    <c:v>Basse</c:v>
                  </c:pt>
                  <c:pt idx="48">
                    <c:v>Tumana</c:v>
                  </c:pt>
                  <c:pt idx="49">
                    <c:v>Kantora</c:v>
                  </c:pt>
                  <c:pt idx="50">
                    <c:v>Wuli West</c:v>
                  </c:pt>
                  <c:pt idx="51">
                    <c:v>Wuli East</c:v>
                  </c:pt>
                  <c:pt idx="52">
                    <c:v>Sandu</c:v>
                  </c:pt>
                </c:lvl>
                <c:lvl>
                  <c:pt idx="0">
                    <c:v>Region1</c:v>
                  </c:pt>
                  <c:pt idx="9">
                    <c:v>Region2</c:v>
                  </c:pt>
                  <c:pt idx="19">
                    <c:v>Region3</c:v>
                  </c:pt>
                  <c:pt idx="27">
                    <c:v>Region4</c:v>
                  </c:pt>
                  <c:pt idx="34">
                    <c:v>Region5</c:v>
                  </c:pt>
                  <c:pt idx="46">
                    <c:v>Region6</c:v>
                  </c:pt>
                </c:lvl>
              </c:multiLvlStrCache>
            </c:multiLvlStrRef>
          </c:cat>
          <c:val>
            <c:numRef>
              <c:f>'Reason for out-ofschoo'!$H$249:$H$301</c:f>
              <c:numCache>
                <c:formatCode>_(* #,##0.0_);_(* \(#,##0.0\);_(* "-"??_);_(@_)</c:formatCode>
                <c:ptCount val="53"/>
                <c:pt idx="0">
                  <c:v>100</c:v>
                </c:pt>
                <c:pt idx="1">
                  <c:v>0</c:v>
                </c:pt>
                <c:pt idx="2">
                  <c:v>0</c:v>
                </c:pt>
                <c:pt idx="3">
                  <c:v>20</c:v>
                </c:pt>
                <c:pt idx="4">
                  <c:v>0</c:v>
                </c:pt>
                <c:pt idx="5">
                  <c:v>0</c:v>
                </c:pt>
                <c:pt idx="6">
                  <c:v>6.26</c:v>
                </c:pt>
                <c:pt idx="7">
                  <c:v>10</c:v>
                </c:pt>
                <c:pt idx="9">
                  <c:v>11.91</c:v>
                </c:pt>
                <c:pt idx="10">
                  <c:v>3.39</c:v>
                </c:pt>
                <c:pt idx="11">
                  <c:v>3.15</c:v>
                </c:pt>
                <c:pt idx="12">
                  <c:v>1.58</c:v>
                </c:pt>
                <c:pt idx="13">
                  <c:v>7.88</c:v>
                </c:pt>
                <c:pt idx="14">
                  <c:v>25.81</c:v>
                </c:pt>
                <c:pt idx="15">
                  <c:v>17.670000000000002</c:v>
                </c:pt>
                <c:pt idx="16">
                  <c:v>12.99</c:v>
                </c:pt>
                <c:pt idx="17">
                  <c:v>13.73</c:v>
                </c:pt>
                <c:pt idx="19">
                  <c:v>4.47</c:v>
                </c:pt>
                <c:pt idx="20">
                  <c:v>1.57</c:v>
                </c:pt>
                <c:pt idx="21">
                  <c:v>5.34</c:v>
                </c:pt>
                <c:pt idx="22">
                  <c:v>1.37</c:v>
                </c:pt>
                <c:pt idx="23">
                  <c:v>1.1399999999999999</c:v>
                </c:pt>
                <c:pt idx="24">
                  <c:v>3.9</c:v>
                </c:pt>
                <c:pt idx="25">
                  <c:v>1.0900000000000001</c:v>
                </c:pt>
                <c:pt idx="27">
                  <c:v>0</c:v>
                </c:pt>
                <c:pt idx="28">
                  <c:v>23.56</c:v>
                </c:pt>
                <c:pt idx="29">
                  <c:v>8.9700000000000006</c:v>
                </c:pt>
                <c:pt idx="30">
                  <c:v>12.85</c:v>
                </c:pt>
                <c:pt idx="31">
                  <c:v>14.7</c:v>
                </c:pt>
                <c:pt idx="32">
                  <c:v>11.38</c:v>
                </c:pt>
                <c:pt idx="34">
                  <c:v>0</c:v>
                </c:pt>
                <c:pt idx="35">
                  <c:v>2.0099999999999998</c:v>
                </c:pt>
                <c:pt idx="36">
                  <c:v>1.1100000000000001</c:v>
                </c:pt>
                <c:pt idx="37">
                  <c:v>5.86</c:v>
                </c:pt>
                <c:pt idx="38">
                  <c:v>1.58</c:v>
                </c:pt>
                <c:pt idx="39">
                  <c:v>3.38</c:v>
                </c:pt>
                <c:pt idx="40">
                  <c:v>0</c:v>
                </c:pt>
                <c:pt idx="41">
                  <c:v>0.85</c:v>
                </c:pt>
                <c:pt idx="42">
                  <c:v>0.59</c:v>
                </c:pt>
                <c:pt idx="43">
                  <c:v>5.23</c:v>
                </c:pt>
                <c:pt idx="44">
                  <c:v>3.98</c:v>
                </c:pt>
                <c:pt idx="46">
                  <c:v>1.6</c:v>
                </c:pt>
                <c:pt idx="47">
                  <c:v>18.489999999999998</c:v>
                </c:pt>
                <c:pt idx="48">
                  <c:v>2.86</c:v>
                </c:pt>
                <c:pt idx="49">
                  <c:v>4.72</c:v>
                </c:pt>
                <c:pt idx="50">
                  <c:v>3.81</c:v>
                </c:pt>
                <c:pt idx="51">
                  <c:v>9.1</c:v>
                </c:pt>
                <c:pt idx="52">
                  <c:v>3.38</c:v>
                </c:pt>
              </c:numCache>
            </c:numRef>
          </c:val>
          <c:extLst>
            <c:ext xmlns:c16="http://schemas.microsoft.com/office/drawing/2014/chart" uri="{C3380CC4-5D6E-409C-BE32-E72D297353CC}">
              <c16:uniqueId val="{00000005-50C9-4253-AD6A-46FD7ED8E2C5}"/>
            </c:ext>
          </c:extLst>
        </c:ser>
        <c:dLbls>
          <c:showLegendKey val="0"/>
          <c:showVal val="0"/>
          <c:showCatName val="0"/>
          <c:showSerName val="0"/>
          <c:showPercent val="0"/>
          <c:showBubbleSize val="0"/>
        </c:dLbls>
        <c:gapWidth val="150"/>
        <c:overlap val="100"/>
        <c:axId val="603010872"/>
        <c:axId val="603011264"/>
      </c:barChart>
      <c:catAx>
        <c:axId val="603010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603011264"/>
        <c:crosses val="autoZero"/>
        <c:auto val="1"/>
        <c:lblAlgn val="ctr"/>
        <c:lblOffset val="100"/>
        <c:noMultiLvlLbl val="0"/>
      </c:catAx>
      <c:valAx>
        <c:axId val="603011264"/>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30108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907168394896045E-2"/>
          <c:y val="0.11127870175621588"/>
          <c:w val="0.91856331540448255"/>
          <c:h val="0.45540761524731438"/>
        </c:manualLayout>
      </c:layout>
      <c:barChart>
        <c:barDir val="col"/>
        <c:grouping val="stacked"/>
        <c:varyColors val="0"/>
        <c:ser>
          <c:idx val="0"/>
          <c:order val="0"/>
          <c:tx>
            <c:strRef>
              <c:f>'Out-of-school'!$Q$80</c:f>
              <c:strCache>
                <c:ptCount val="1"/>
                <c:pt idx="0">
                  <c:v>Never attended</c:v>
                </c:pt>
              </c:strCache>
            </c:strRef>
          </c:tx>
          <c:spPr>
            <a:solidFill>
              <a:schemeClr val="accent1"/>
            </a:solidFill>
            <a:ln>
              <a:noFill/>
            </a:ln>
            <a:effectLst/>
          </c:spPr>
          <c:invertIfNegative val="0"/>
          <c:cat>
            <c:multiLvlStrRef>
              <c:f>'Out-of-school'!$O$81:$P$118</c:f>
              <c:multiLvlStrCache>
                <c:ptCount val="38"/>
                <c:lvl>
                  <c:pt idx="0">
                    <c:v>No education</c:v>
                  </c:pt>
                  <c:pt idx="1">
                    <c:v>Some primary</c:v>
                  </c:pt>
                  <c:pt idx="2">
                    <c:v>Some lower secondary</c:v>
                  </c:pt>
                  <c:pt idx="3">
                    <c:v>Some upper secondary plus</c:v>
                  </c:pt>
                  <c:pt idx="5">
                    <c:v>Agriculture</c:v>
                  </c:pt>
                  <c:pt idx="6">
                    <c:v>Industry</c:v>
                  </c:pt>
                  <c:pt idx="7">
                    <c:v>Services</c:v>
                  </c:pt>
                  <c:pt idx="9">
                    <c:v>wage</c:v>
                  </c:pt>
                  <c:pt idx="10">
                    <c:v>non-wage_non-agriculture</c:v>
                  </c:pt>
                  <c:pt idx="11">
                    <c:v>agriculture</c:v>
                  </c:pt>
                  <c:pt idx="13">
                    <c:v>No education</c:v>
                  </c:pt>
                  <c:pt idx="14">
                    <c:v>Some primary</c:v>
                  </c:pt>
                  <c:pt idx="15">
                    <c:v>Some lower secondary</c:v>
                  </c:pt>
                  <c:pt idx="16">
                    <c:v>Some upper secondary plus</c:v>
                  </c:pt>
                  <c:pt idx="18">
                    <c:v>Agriculture</c:v>
                  </c:pt>
                  <c:pt idx="19">
                    <c:v>Industry</c:v>
                  </c:pt>
                  <c:pt idx="20">
                    <c:v>Services</c:v>
                  </c:pt>
                  <c:pt idx="22">
                    <c:v>wage</c:v>
                  </c:pt>
                  <c:pt idx="23">
                    <c:v>non-wage_non-agriculture</c:v>
                  </c:pt>
                  <c:pt idx="24">
                    <c:v>agriculture</c:v>
                  </c:pt>
                  <c:pt idx="26">
                    <c:v>No education</c:v>
                  </c:pt>
                  <c:pt idx="27">
                    <c:v>Some primary</c:v>
                  </c:pt>
                  <c:pt idx="28">
                    <c:v>Some lower secondary</c:v>
                  </c:pt>
                  <c:pt idx="29">
                    <c:v>Some upper secondary plus</c:v>
                  </c:pt>
                  <c:pt idx="31">
                    <c:v>Agriculture</c:v>
                  </c:pt>
                  <c:pt idx="32">
                    <c:v>Industry</c:v>
                  </c:pt>
                  <c:pt idx="33">
                    <c:v>Services</c:v>
                  </c:pt>
                  <c:pt idx="35">
                    <c:v>wage</c:v>
                  </c:pt>
                  <c:pt idx="36">
                    <c:v>non-wage_non-agriculture</c:v>
                  </c:pt>
                  <c:pt idx="37">
                    <c:v>agriculture</c:v>
                  </c:pt>
                </c:lvl>
                <c:lvl>
                  <c:pt idx="0">
                    <c:v>LBS</c:v>
                  </c:pt>
                  <c:pt idx="13">
                    <c:v>UBS</c:v>
                  </c:pt>
                  <c:pt idx="26">
                    <c:v>SSS</c:v>
                  </c:pt>
                </c:lvl>
              </c:multiLvlStrCache>
            </c:multiLvlStrRef>
          </c:cat>
          <c:val>
            <c:numRef>
              <c:f>'Out-of-school'!$Q$81:$Q$118</c:f>
              <c:numCache>
                <c:formatCode>_(* #,##0.0_);_(* \(#,##0.0\);_(* "-"??_);_(@_)</c:formatCode>
                <c:ptCount val="38"/>
                <c:pt idx="0">
                  <c:v>35.92</c:v>
                </c:pt>
                <c:pt idx="1">
                  <c:v>18.97</c:v>
                </c:pt>
                <c:pt idx="2">
                  <c:v>11.49</c:v>
                </c:pt>
                <c:pt idx="3">
                  <c:v>9.32</c:v>
                </c:pt>
                <c:pt idx="5">
                  <c:v>39.56</c:v>
                </c:pt>
                <c:pt idx="6">
                  <c:v>21.91</c:v>
                </c:pt>
                <c:pt idx="7">
                  <c:v>22.81</c:v>
                </c:pt>
                <c:pt idx="9">
                  <c:v>13</c:v>
                </c:pt>
                <c:pt idx="10">
                  <c:v>28.62</c:v>
                </c:pt>
                <c:pt idx="11">
                  <c:v>39.9</c:v>
                </c:pt>
                <c:pt idx="13">
                  <c:v>31.18</c:v>
                </c:pt>
                <c:pt idx="14">
                  <c:v>30.92</c:v>
                </c:pt>
                <c:pt idx="15">
                  <c:v>13.43</c:v>
                </c:pt>
                <c:pt idx="16">
                  <c:v>7.73</c:v>
                </c:pt>
                <c:pt idx="18">
                  <c:v>37.01</c:v>
                </c:pt>
                <c:pt idx="19">
                  <c:v>21.32</c:v>
                </c:pt>
                <c:pt idx="20">
                  <c:v>14.29</c:v>
                </c:pt>
                <c:pt idx="22">
                  <c:v>20.440000000000001</c:v>
                </c:pt>
                <c:pt idx="23">
                  <c:v>37.47</c:v>
                </c:pt>
                <c:pt idx="24">
                  <c:v>23.12</c:v>
                </c:pt>
                <c:pt idx="26">
                  <c:v>34.85</c:v>
                </c:pt>
                <c:pt idx="27">
                  <c:v>16.54</c:v>
                </c:pt>
                <c:pt idx="28">
                  <c:v>17.89</c:v>
                </c:pt>
                <c:pt idx="29">
                  <c:v>7.45</c:v>
                </c:pt>
                <c:pt idx="31">
                  <c:v>39.74</c:v>
                </c:pt>
                <c:pt idx="32">
                  <c:v>20.7</c:v>
                </c:pt>
                <c:pt idx="33">
                  <c:v>18.72</c:v>
                </c:pt>
                <c:pt idx="35">
                  <c:v>24.48</c:v>
                </c:pt>
                <c:pt idx="36">
                  <c:v>40.159999999999997</c:v>
                </c:pt>
                <c:pt idx="37">
                  <c:v>25.88</c:v>
                </c:pt>
              </c:numCache>
            </c:numRef>
          </c:val>
          <c:extLst>
            <c:ext xmlns:c16="http://schemas.microsoft.com/office/drawing/2014/chart" uri="{C3380CC4-5D6E-409C-BE32-E72D297353CC}">
              <c16:uniqueId val="{00000000-B34A-4156-908E-6E636C37ECC4}"/>
            </c:ext>
          </c:extLst>
        </c:ser>
        <c:ser>
          <c:idx val="1"/>
          <c:order val="1"/>
          <c:tx>
            <c:strRef>
              <c:f>'Out-of-school'!$R$80</c:f>
              <c:strCache>
                <c:ptCount val="1"/>
                <c:pt idx="0">
                  <c:v>Dropout</c:v>
                </c:pt>
              </c:strCache>
            </c:strRef>
          </c:tx>
          <c:spPr>
            <a:solidFill>
              <a:schemeClr val="accent2"/>
            </a:solidFill>
            <a:ln>
              <a:noFill/>
            </a:ln>
            <a:effectLst/>
          </c:spPr>
          <c:invertIfNegative val="0"/>
          <c:cat>
            <c:multiLvlStrRef>
              <c:f>'Out-of-school'!$O$81:$P$118</c:f>
              <c:multiLvlStrCache>
                <c:ptCount val="38"/>
                <c:lvl>
                  <c:pt idx="0">
                    <c:v>No education</c:v>
                  </c:pt>
                  <c:pt idx="1">
                    <c:v>Some primary</c:v>
                  </c:pt>
                  <c:pt idx="2">
                    <c:v>Some lower secondary</c:v>
                  </c:pt>
                  <c:pt idx="3">
                    <c:v>Some upper secondary plus</c:v>
                  </c:pt>
                  <c:pt idx="5">
                    <c:v>Agriculture</c:v>
                  </c:pt>
                  <c:pt idx="6">
                    <c:v>Industry</c:v>
                  </c:pt>
                  <c:pt idx="7">
                    <c:v>Services</c:v>
                  </c:pt>
                  <c:pt idx="9">
                    <c:v>wage</c:v>
                  </c:pt>
                  <c:pt idx="10">
                    <c:v>non-wage_non-agriculture</c:v>
                  </c:pt>
                  <c:pt idx="11">
                    <c:v>agriculture</c:v>
                  </c:pt>
                  <c:pt idx="13">
                    <c:v>No education</c:v>
                  </c:pt>
                  <c:pt idx="14">
                    <c:v>Some primary</c:v>
                  </c:pt>
                  <c:pt idx="15">
                    <c:v>Some lower secondary</c:v>
                  </c:pt>
                  <c:pt idx="16">
                    <c:v>Some upper secondary plus</c:v>
                  </c:pt>
                  <c:pt idx="18">
                    <c:v>Agriculture</c:v>
                  </c:pt>
                  <c:pt idx="19">
                    <c:v>Industry</c:v>
                  </c:pt>
                  <c:pt idx="20">
                    <c:v>Services</c:v>
                  </c:pt>
                  <c:pt idx="22">
                    <c:v>wage</c:v>
                  </c:pt>
                  <c:pt idx="23">
                    <c:v>non-wage_non-agriculture</c:v>
                  </c:pt>
                  <c:pt idx="24">
                    <c:v>agriculture</c:v>
                  </c:pt>
                  <c:pt idx="26">
                    <c:v>No education</c:v>
                  </c:pt>
                  <c:pt idx="27">
                    <c:v>Some primary</c:v>
                  </c:pt>
                  <c:pt idx="28">
                    <c:v>Some lower secondary</c:v>
                  </c:pt>
                  <c:pt idx="29">
                    <c:v>Some upper secondary plus</c:v>
                  </c:pt>
                  <c:pt idx="31">
                    <c:v>Agriculture</c:v>
                  </c:pt>
                  <c:pt idx="32">
                    <c:v>Industry</c:v>
                  </c:pt>
                  <c:pt idx="33">
                    <c:v>Services</c:v>
                  </c:pt>
                  <c:pt idx="35">
                    <c:v>wage</c:v>
                  </c:pt>
                  <c:pt idx="36">
                    <c:v>non-wage_non-agriculture</c:v>
                  </c:pt>
                  <c:pt idx="37">
                    <c:v>agriculture</c:v>
                  </c:pt>
                </c:lvl>
                <c:lvl>
                  <c:pt idx="0">
                    <c:v>LBS</c:v>
                  </c:pt>
                  <c:pt idx="13">
                    <c:v>UBS</c:v>
                  </c:pt>
                  <c:pt idx="26">
                    <c:v>SSS</c:v>
                  </c:pt>
                </c:lvl>
              </c:multiLvlStrCache>
            </c:multiLvlStrRef>
          </c:cat>
          <c:val>
            <c:numRef>
              <c:f>'Out-of-school'!$R$81:$R$118</c:f>
              <c:numCache>
                <c:formatCode>_(* #,##0.0_);_(* \(#,##0.0\);_(* "-"??_);_(@_)</c:formatCode>
                <c:ptCount val="38"/>
                <c:pt idx="0">
                  <c:v>1.48</c:v>
                </c:pt>
                <c:pt idx="1">
                  <c:v>1.05</c:v>
                </c:pt>
                <c:pt idx="2">
                  <c:v>2.46</c:v>
                </c:pt>
                <c:pt idx="3">
                  <c:v>2.56</c:v>
                </c:pt>
                <c:pt idx="5">
                  <c:v>1.71</c:v>
                </c:pt>
                <c:pt idx="6">
                  <c:v>1.44</c:v>
                </c:pt>
                <c:pt idx="7">
                  <c:v>1.36</c:v>
                </c:pt>
                <c:pt idx="9">
                  <c:v>1.84</c:v>
                </c:pt>
                <c:pt idx="10">
                  <c:v>1.0900000000000001</c:v>
                </c:pt>
                <c:pt idx="11">
                  <c:v>1.71</c:v>
                </c:pt>
                <c:pt idx="13">
                  <c:v>1.59</c:v>
                </c:pt>
                <c:pt idx="14">
                  <c:v>5.84</c:v>
                </c:pt>
                <c:pt idx="15">
                  <c:v>13.56</c:v>
                </c:pt>
                <c:pt idx="16">
                  <c:v>2.73</c:v>
                </c:pt>
                <c:pt idx="18">
                  <c:v>5.92</c:v>
                </c:pt>
                <c:pt idx="19">
                  <c:v>5.82</c:v>
                </c:pt>
                <c:pt idx="20">
                  <c:v>5.22</c:v>
                </c:pt>
                <c:pt idx="22">
                  <c:v>6.36</c:v>
                </c:pt>
                <c:pt idx="23">
                  <c:v>5.98</c:v>
                </c:pt>
                <c:pt idx="24">
                  <c:v>5.55</c:v>
                </c:pt>
                <c:pt idx="26">
                  <c:v>15.75</c:v>
                </c:pt>
                <c:pt idx="27">
                  <c:v>22.69</c:v>
                </c:pt>
                <c:pt idx="28">
                  <c:v>28.22</c:v>
                </c:pt>
                <c:pt idx="29">
                  <c:v>10.32</c:v>
                </c:pt>
                <c:pt idx="31">
                  <c:v>14.02</c:v>
                </c:pt>
                <c:pt idx="32">
                  <c:v>18.7</c:v>
                </c:pt>
                <c:pt idx="33">
                  <c:v>17.600000000000001</c:v>
                </c:pt>
                <c:pt idx="35">
                  <c:v>20.36</c:v>
                </c:pt>
                <c:pt idx="36">
                  <c:v>14.09</c:v>
                </c:pt>
                <c:pt idx="37">
                  <c:v>16.73</c:v>
                </c:pt>
              </c:numCache>
            </c:numRef>
          </c:val>
          <c:extLst>
            <c:ext xmlns:c16="http://schemas.microsoft.com/office/drawing/2014/chart" uri="{C3380CC4-5D6E-409C-BE32-E72D297353CC}">
              <c16:uniqueId val="{00000001-B34A-4156-908E-6E636C37ECC4}"/>
            </c:ext>
          </c:extLst>
        </c:ser>
        <c:dLbls>
          <c:showLegendKey val="0"/>
          <c:showVal val="0"/>
          <c:showCatName val="0"/>
          <c:showSerName val="0"/>
          <c:showPercent val="0"/>
          <c:showBubbleSize val="0"/>
        </c:dLbls>
        <c:gapWidth val="56"/>
        <c:overlap val="100"/>
        <c:axId val="453070920"/>
        <c:axId val="453071312"/>
      </c:barChart>
      <c:catAx>
        <c:axId val="453070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071312"/>
        <c:crosses val="autoZero"/>
        <c:auto val="1"/>
        <c:lblAlgn val="ctr"/>
        <c:lblOffset val="100"/>
        <c:noMultiLvlLbl val="0"/>
      </c:catAx>
      <c:valAx>
        <c:axId val="453071312"/>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070920"/>
        <c:crosses val="autoZero"/>
        <c:crossBetween val="between"/>
      </c:valAx>
      <c:spPr>
        <a:noFill/>
        <a:ln w="25400">
          <a:noFill/>
        </a:ln>
        <a:effectLst/>
      </c:spPr>
    </c:plotArea>
    <c:legend>
      <c:legendPos val="b"/>
      <c:layout>
        <c:manualLayout>
          <c:xMode val="edge"/>
          <c:yMode val="edge"/>
          <c:x val="0.1366551684368349"/>
          <c:y val="4.6813764774272695E-2"/>
          <c:w val="0.15855828274461697"/>
          <c:h val="0.1223477969509130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900"/>
              <a:t>Postsecondary</a:t>
            </a:r>
          </a:p>
        </c:rich>
      </c:tx>
      <c:layout>
        <c:manualLayout>
          <c:xMode val="edge"/>
          <c:yMode val="edge"/>
          <c:x val="0.27366230218373699"/>
          <c:y val="1.2234315377721662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175140144518973"/>
          <c:y val="5.0000281818745461E-2"/>
          <c:w val="0.77860630669029618"/>
          <c:h val="0.81257475242223209"/>
        </c:manualLayout>
      </c:layout>
      <c:lineChart>
        <c:grouping val="standard"/>
        <c:varyColors val="0"/>
        <c:ser>
          <c:idx val="0"/>
          <c:order val="0"/>
          <c:tx>
            <c:strRef>
              <c:f>Sheet1!$V$46</c:f>
              <c:strCache>
                <c:ptCount val="1"/>
                <c:pt idx="0">
                  <c:v>High</c:v>
                </c:pt>
              </c:strCache>
            </c:strRef>
          </c:tx>
          <c:spPr>
            <a:ln w="28575" cap="rnd">
              <a:solidFill>
                <a:schemeClr val="accent1"/>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E65-4534-9629-B1A0DF86FA6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Sheet1!$W$45:$Z$45</c:f>
              <c:numCache>
                <c:formatCode>General</c:formatCode>
                <c:ptCount val="4"/>
                <c:pt idx="0">
                  <c:v>2015</c:v>
                </c:pt>
                <c:pt idx="1">
                  <c:v>2020</c:v>
                </c:pt>
                <c:pt idx="2">
                  <c:v>2025</c:v>
                </c:pt>
                <c:pt idx="3">
                  <c:v>2030</c:v>
                </c:pt>
              </c:numCache>
            </c:numRef>
          </c:cat>
          <c:val>
            <c:numRef>
              <c:f>Sheet1!$W$46:$Z$46</c:f>
              <c:numCache>
                <c:formatCode>0</c:formatCode>
                <c:ptCount val="4"/>
                <c:pt idx="0">
                  <c:v>14.7774</c:v>
                </c:pt>
                <c:pt idx="1">
                  <c:v>19.115584901697638</c:v>
                </c:pt>
                <c:pt idx="2">
                  <c:v>24.727325925671003</c:v>
                </c:pt>
                <c:pt idx="3">
                  <c:v>31.986499527935447</c:v>
                </c:pt>
              </c:numCache>
            </c:numRef>
          </c:val>
          <c:smooth val="0"/>
          <c:extLst>
            <c:ext xmlns:c16="http://schemas.microsoft.com/office/drawing/2014/chart" uri="{C3380CC4-5D6E-409C-BE32-E72D297353CC}">
              <c16:uniqueId val="{00000001-DE65-4534-9629-B1A0DF86FA6C}"/>
            </c:ext>
          </c:extLst>
        </c:ser>
        <c:ser>
          <c:idx val="1"/>
          <c:order val="1"/>
          <c:tx>
            <c:strRef>
              <c:f>Sheet1!$V$47</c:f>
              <c:strCache>
                <c:ptCount val="1"/>
                <c:pt idx="0">
                  <c:v>Medium</c:v>
                </c:pt>
              </c:strCache>
            </c:strRef>
          </c:tx>
          <c:spPr>
            <a:ln w="28575" cap="rnd">
              <a:solidFill>
                <a:schemeClr val="accent2"/>
              </a:solidFill>
              <a:round/>
            </a:ln>
            <a:effectLst/>
          </c:spPr>
          <c:marker>
            <c:symbol val="none"/>
          </c:marker>
          <c:cat>
            <c:numRef>
              <c:f>Sheet1!$W$45:$Z$45</c:f>
              <c:numCache>
                <c:formatCode>General</c:formatCode>
                <c:ptCount val="4"/>
                <c:pt idx="0">
                  <c:v>2015</c:v>
                </c:pt>
                <c:pt idx="1">
                  <c:v>2020</c:v>
                </c:pt>
                <c:pt idx="2">
                  <c:v>2025</c:v>
                </c:pt>
                <c:pt idx="3">
                  <c:v>2030</c:v>
                </c:pt>
              </c:numCache>
            </c:numRef>
          </c:cat>
          <c:val>
            <c:numRef>
              <c:f>Sheet1!$W$47:$Z$47</c:f>
              <c:numCache>
                <c:formatCode>0</c:formatCode>
                <c:ptCount val="4"/>
                <c:pt idx="0">
                  <c:v>14.7774</c:v>
                </c:pt>
                <c:pt idx="1">
                  <c:v>17.569530186159785</c:v>
                </c:pt>
                <c:pt idx="2">
                  <c:v>20.889222120425771</c:v>
                </c:pt>
                <c:pt idx="3">
                  <c:v>24.836156469353014</c:v>
                </c:pt>
              </c:numCache>
            </c:numRef>
          </c:val>
          <c:smooth val="0"/>
          <c:extLst>
            <c:ext xmlns:c16="http://schemas.microsoft.com/office/drawing/2014/chart" uri="{C3380CC4-5D6E-409C-BE32-E72D297353CC}">
              <c16:uniqueId val="{00000002-DE65-4534-9629-B1A0DF86FA6C}"/>
            </c:ext>
          </c:extLst>
        </c:ser>
        <c:ser>
          <c:idx val="2"/>
          <c:order val="2"/>
          <c:tx>
            <c:strRef>
              <c:f>Sheet1!$V$48</c:f>
              <c:strCache>
                <c:ptCount val="1"/>
                <c:pt idx="0">
                  <c:v>Low</c:v>
                </c:pt>
              </c:strCache>
            </c:strRef>
          </c:tx>
          <c:spPr>
            <a:ln w="28575" cap="rnd">
              <a:solidFill>
                <a:schemeClr val="accent3"/>
              </a:solidFill>
              <a:round/>
            </a:ln>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E65-4534-9629-B1A0DF86FA6C}"/>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E65-4534-9629-B1A0DF86FA6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Sheet1!$W$45:$Z$45</c:f>
              <c:numCache>
                <c:formatCode>General</c:formatCode>
                <c:ptCount val="4"/>
                <c:pt idx="0">
                  <c:v>2015</c:v>
                </c:pt>
                <c:pt idx="1">
                  <c:v>2020</c:v>
                </c:pt>
                <c:pt idx="2">
                  <c:v>2025</c:v>
                </c:pt>
                <c:pt idx="3">
                  <c:v>2030</c:v>
                </c:pt>
              </c:numCache>
            </c:numRef>
          </c:cat>
          <c:val>
            <c:numRef>
              <c:f>Sheet1!$W$48:$Z$48</c:f>
              <c:numCache>
                <c:formatCode>0</c:formatCode>
                <c:ptCount val="4"/>
                <c:pt idx="0">
                  <c:v>14.7774</c:v>
                </c:pt>
                <c:pt idx="1">
                  <c:v>17.569530186159785</c:v>
                </c:pt>
                <c:pt idx="2">
                  <c:v>20.889222120425771</c:v>
                </c:pt>
                <c:pt idx="3">
                  <c:v>24.836156469353014</c:v>
                </c:pt>
              </c:numCache>
            </c:numRef>
          </c:val>
          <c:smooth val="0"/>
          <c:extLst>
            <c:ext xmlns:c16="http://schemas.microsoft.com/office/drawing/2014/chart" uri="{C3380CC4-5D6E-409C-BE32-E72D297353CC}">
              <c16:uniqueId val="{00000005-DE65-4534-9629-B1A0DF86FA6C}"/>
            </c:ext>
          </c:extLst>
        </c:ser>
        <c:dLbls>
          <c:showLegendKey val="0"/>
          <c:showVal val="0"/>
          <c:showCatName val="0"/>
          <c:showSerName val="0"/>
          <c:showPercent val="0"/>
          <c:showBubbleSize val="0"/>
        </c:dLbls>
        <c:smooth val="0"/>
        <c:axId val="213568816"/>
        <c:axId val="17022480"/>
      </c:lineChart>
      <c:catAx>
        <c:axId val="21356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22480"/>
        <c:crosses val="autoZero"/>
        <c:auto val="1"/>
        <c:lblAlgn val="ctr"/>
        <c:lblOffset val="100"/>
        <c:noMultiLvlLbl val="0"/>
      </c:catAx>
      <c:valAx>
        <c:axId val="17022480"/>
        <c:scaling>
          <c:orientation val="minMax"/>
          <c:min val="1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568816"/>
        <c:crosses val="autoZero"/>
        <c:crossBetween val="between"/>
        <c:majorUnit val="5"/>
      </c:valAx>
      <c:spPr>
        <a:noFill/>
        <a:ln>
          <a:noFill/>
        </a:ln>
        <a:effectLst/>
      </c:spPr>
    </c:plotArea>
    <c:legend>
      <c:legendPos val="b"/>
      <c:layout>
        <c:manualLayout>
          <c:xMode val="edge"/>
          <c:yMode val="edge"/>
          <c:x val="0.15762887188958932"/>
          <c:y val="0.1669352416920736"/>
          <c:w val="0.38084812048066641"/>
          <c:h val="0.2060447195231817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900"/>
              <a:t>Total education budget</a:t>
            </a:r>
          </a:p>
        </c:rich>
      </c:tx>
      <c:layout>
        <c:manualLayout>
          <c:xMode val="edge"/>
          <c:yMode val="edge"/>
          <c:x val="0.2338888888888889"/>
          <c:y val="5.6263830074022485E-3"/>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173009623797025"/>
          <c:y val="0.12252018736892337"/>
          <c:w val="0.85279308836395451"/>
          <c:h val="0.74767767081896508"/>
        </c:manualLayout>
      </c:layout>
      <c:lineChart>
        <c:grouping val="standard"/>
        <c:varyColors val="0"/>
        <c:ser>
          <c:idx val="0"/>
          <c:order val="0"/>
          <c:tx>
            <c:strRef>
              <c:f>Sheet1!$V$51</c:f>
              <c:strCache>
                <c:ptCount val="1"/>
                <c:pt idx="0">
                  <c:v>High</c:v>
                </c:pt>
              </c:strCache>
            </c:strRef>
          </c:tx>
          <c:spPr>
            <a:ln w="28575" cap="rnd">
              <a:solidFill>
                <a:schemeClr val="accent1"/>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129-4272-B7EC-FBF56137F3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Sheet1!$W$50:$Z$50</c:f>
              <c:numCache>
                <c:formatCode>General</c:formatCode>
                <c:ptCount val="4"/>
                <c:pt idx="0">
                  <c:v>2015</c:v>
                </c:pt>
                <c:pt idx="1">
                  <c:v>2020</c:v>
                </c:pt>
                <c:pt idx="2">
                  <c:v>2025</c:v>
                </c:pt>
                <c:pt idx="3">
                  <c:v>2030</c:v>
                </c:pt>
              </c:numCache>
            </c:numRef>
          </c:cat>
          <c:val>
            <c:numRef>
              <c:f>Sheet1!$W$51:$Z$51</c:f>
              <c:numCache>
                <c:formatCode>_(* #,##0.0_);_(* \(#,##0.0\);_(* "-"??_);_(@_)</c:formatCode>
                <c:ptCount val="4"/>
                <c:pt idx="0">
                  <c:v>38.716204893603106</c:v>
                </c:pt>
                <c:pt idx="1">
                  <c:v>51.310489338798398</c:v>
                </c:pt>
                <c:pt idx="2">
                  <c:v>70.296469193858528</c:v>
                </c:pt>
                <c:pt idx="3">
                  <c:v>86.415641933483499</c:v>
                </c:pt>
              </c:numCache>
            </c:numRef>
          </c:val>
          <c:smooth val="0"/>
          <c:extLst>
            <c:ext xmlns:c16="http://schemas.microsoft.com/office/drawing/2014/chart" uri="{C3380CC4-5D6E-409C-BE32-E72D297353CC}">
              <c16:uniqueId val="{00000001-E129-4272-B7EC-FBF56137F3CE}"/>
            </c:ext>
          </c:extLst>
        </c:ser>
        <c:ser>
          <c:idx val="1"/>
          <c:order val="1"/>
          <c:tx>
            <c:strRef>
              <c:f>Sheet1!$V$52</c:f>
              <c:strCache>
                <c:ptCount val="1"/>
                <c:pt idx="0">
                  <c:v>Medium</c:v>
                </c:pt>
              </c:strCache>
            </c:strRef>
          </c:tx>
          <c:spPr>
            <a:ln w="28575" cap="rnd">
              <a:solidFill>
                <a:schemeClr val="accent2"/>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129-4272-B7EC-FBF56137F3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Sheet1!$W$50:$Z$50</c:f>
              <c:numCache>
                <c:formatCode>General</c:formatCode>
                <c:ptCount val="4"/>
                <c:pt idx="0">
                  <c:v>2015</c:v>
                </c:pt>
                <c:pt idx="1">
                  <c:v>2020</c:v>
                </c:pt>
                <c:pt idx="2">
                  <c:v>2025</c:v>
                </c:pt>
                <c:pt idx="3">
                  <c:v>2030</c:v>
                </c:pt>
              </c:numCache>
            </c:numRef>
          </c:cat>
          <c:val>
            <c:numRef>
              <c:f>Sheet1!$W$52:$Z$52</c:f>
              <c:numCache>
                <c:formatCode>_(* #,##0.0_);_(* \(#,##0.0\);_(* "-"??_);_(@_)</c:formatCode>
                <c:ptCount val="4"/>
                <c:pt idx="0">
                  <c:v>38.716204893603106</c:v>
                </c:pt>
                <c:pt idx="1">
                  <c:v>47.216562652532041</c:v>
                </c:pt>
                <c:pt idx="2">
                  <c:v>59.336235872017483</c:v>
                </c:pt>
                <c:pt idx="3">
                  <c:v>69.324458496882812</c:v>
                </c:pt>
              </c:numCache>
            </c:numRef>
          </c:val>
          <c:smooth val="0"/>
          <c:extLst>
            <c:ext xmlns:c16="http://schemas.microsoft.com/office/drawing/2014/chart" uri="{C3380CC4-5D6E-409C-BE32-E72D297353CC}">
              <c16:uniqueId val="{00000003-E129-4272-B7EC-FBF56137F3CE}"/>
            </c:ext>
          </c:extLst>
        </c:ser>
        <c:ser>
          <c:idx val="2"/>
          <c:order val="2"/>
          <c:tx>
            <c:strRef>
              <c:f>Sheet1!$V$53</c:f>
              <c:strCache>
                <c:ptCount val="1"/>
                <c:pt idx="0">
                  <c:v>Low</c:v>
                </c:pt>
              </c:strCache>
            </c:strRef>
          </c:tx>
          <c:spPr>
            <a:ln w="28575" cap="rnd">
              <a:solidFill>
                <a:schemeClr val="accent3"/>
              </a:solidFill>
              <a:round/>
            </a:ln>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129-4272-B7EC-FBF56137F3CE}"/>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129-4272-B7EC-FBF56137F3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Sheet1!$W$50:$Z$50</c:f>
              <c:numCache>
                <c:formatCode>General</c:formatCode>
                <c:ptCount val="4"/>
                <c:pt idx="0">
                  <c:v>2015</c:v>
                </c:pt>
                <c:pt idx="1">
                  <c:v>2020</c:v>
                </c:pt>
                <c:pt idx="2">
                  <c:v>2025</c:v>
                </c:pt>
                <c:pt idx="3">
                  <c:v>2030</c:v>
                </c:pt>
              </c:numCache>
            </c:numRef>
          </c:cat>
          <c:val>
            <c:numRef>
              <c:f>Sheet1!$W$53:$Z$53</c:f>
              <c:numCache>
                <c:formatCode>_(* #,##0.0_);_(* \(#,##0.0\);_(* "-"??_);_(@_)</c:formatCode>
                <c:ptCount val="4"/>
                <c:pt idx="0">
                  <c:v>38.716204893603106</c:v>
                </c:pt>
                <c:pt idx="1">
                  <c:v>45.979043585407993</c:v>
                </c:pt>
                <c:pt idx="2">
                  <c:v>56.104753277381462</c:v>
                </c:pt>
                <c:pt idx="3">
                  <c:v>64.834412601899473</c:v>
                </c:pt>
              </c:numCache>
            </c:numRef>
          </c:val>
          <c:smooth val="0"/>
          <c:extLst>
            <c:ext xmlns:c16="http://schemas.microsoft.com/office/drawing/2014/chart" uri="{C3380CC4-5D6E-409C-BE32-E72D297353CC}">
              <c16:uniqueId val="{00000006-E129-4272-B7EC-FBF56137F3CE}"/>
            </c:ext>
          </c:extLst>
        </c:ser>
        <c:dLbls>
          <c:showLegendKey val="0"/>
          <c:showVal val="0"/>
          <c:showCatName val="0"/>
          <c:showSerName val="0"/>
          <c:showPercent val="0"/>
          <c:showBubbleSize val="0"/>
        </c:dLbls>
        <c:smooth val="0"/>
        <c:axId val="213568816"/>
        <c:axId val="17022480"/>
      </c:lineChart>
      <c:catAx>
        <c:axId val="21356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22480"/>
        <c:crosses val="autoZero"/>
        <c:auto val="1"/>
        <c:lblAlgn val="ctr"/>
        <c:lblOffset val="100"/>
        <c:noMultiLvlLbl val="0"/>
      </c:catAx>
      <c:valAx>
        <c:axId val="17022480"/>
        <c:scaling>
          <c:orientation val="minMax"/>
          <c:min val="35"/>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568816"/>
        <c:crosses val="autoZero"/>
        <c:crossBetween val="between"/>
        <c:majorUnit val="15"/>
      </c:valAx>
      <c:spPr>
        <a:noFill/>
        <a:ln>
          <a:noFill/>
        </a:ln>
        <a:effectLst/>
      </c:spPr>
    </c:plotArea>
    <c:legend>
      <c:legendPos val="b"/>
      <c:layout>
        <c:manualLayout>
          <c:xMode val="edge"/>
          <c:yMode val="edge"/>
          <c:x val="0.23687445319335088"/>
          <c:y val="0.12440040688693817"/>
          <c:w val="0.40819553805774278"/>
          <c:h val="0.2057431337829182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02309104425531"/>
          <c:y val="0.24585143626752992"/>
          <c:w val="0.83556293902568535"/>
          <c:h val="0.64986034338830856"/>
        </c:manualLayout>
      </c:layout>
      <c:barChart>
        <c:barDir val="col"/>
        <c:grouping val="clustered"/>
        <c:varyColors val="0"/>
        <c:ser>
          <c:idx val="0"/>
          <c:order val="0"/>
          <c:tx>
            <c:strRef>
              <c:f>'Fig1'!$B$23:$C$23</c:f>
              <c:strCache>
                <c:ptCount val="2"/>
                <c:pt idx="1">
                  <c:v>GDP per capita-SSA</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'Fig1'!$D$22:$O$22</c:f>
              <c:numCache>
                <c:formatCode>General</c:formatCode>
                <c:ptCount val="7"/>
                <c:pt idx="0">
                  <c:v>2005</c:v>
                </c:pt>
                <c:pt idx="1">
                  <c:v>2007</c:v>
                </c:pt>
                <c:pt idx="2">
                  <c:v>2009</c:v>
                </c:pt>
                <c:pt idx="3">
                  <c:v>2011</c:v>
                </c:pt>
                <c:pt idx="4">
                  <c:v>2013</c:v>
                </c:pt>
                <c:pt idx="5">
                  <c:v>2014</c:v>
                </c:pt>
                <c:pt idx="6">
                  <c:v>2015</c:v>
                </c:pt>
              </c:numCache>
            </c:numRef>
          </c:cat>
          <c:val>
            <c:numRef>
              <c:f>'Fig1'!$D$23:$O$23</c:f>
              <c:numCache>
                <c:formatCode>_(* #,##0.0_);_(* \(#,##0.0\);_(* "-"??_);_(@_)</c:formatCode>
                <c:ptCount val="7"/>
                <c:pt idx="0">
                  <c:v>433.29158310788841</c:v>
                </c:pt>
                <c:pt idx="1">
                  <c:v>519.95470925230973</c:v>
                </c:pt>
                <c:pt idx="2">
                  <c:v>549.53950666851915</c:v>
                </c:pt>
                <c:pt idx="3">
                  <c:v>516.98425498841607</c:v>
                </c:pt>
                <c:pt idx="4">
                  <c:v>484.11268770986692</c:v>
                </c:pt>
                <c:pt idx="5">
                  <c:v>440.37038917693133</c:v>
                </c:pt>
                <c:pt idx="6">
                  <c:v>471.53719547234738</c:v>
                </c:pt>
              </c:numCache>
            </c:numRef>
          </c:val>
          <c:extLst>
            <c:ext xmlns:c16="http://schemas.microsoft.com/office/drawing/2014/chart" uri="{C3380CC4-5D6E-409C-BE32-E72D297353CC}">
              <c16:uniqueId val="{00000000-0CE3-43F3-AD18-272D7A041842}"/>
            </c:ext>
          </c:extLst>
        </c:ser>
        <c:ser>
          <c:idx val="2"/>
          <c:order val="2"/>
          <c:tx>
            <c:strRef>
              <c:f>'Fig1'!$B$24:$C$24</c:f>
              <c:strCache>
                <c:ptCount val="2"/>
                <c:pt idx="1">
                  <c:v>GDP per capita-The Gambia</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'Fig1'!$D$22:$O$22</c:f>
              <c:numCache>
                <c:formatCode>General</c:formatCode>
                <c:ptCount val="7"/>
                <c:pt idx="0">
                  <c:v>2005</c:v>
                </c:pt>
                <c:pt idx="1">
                  <c:v>2007</c:v>
                </c:pt>
                <c:pt idx="2">
                  <c:v>2009</c:v>
                </c:pt>
                <c:pt idx="3">
                  <c:v>2011</c:v>
                </c:pt>
                <c:pt idx="4">
                  <c:v>2013</c:v>
                </c:pt>
                <c:pt idx="5">
                  <c:v>2014</c:v>
                </c:pt>
                <c:pt idx="6">
                  <c:v>2015</c:v>
                </c:pt>
              </c:numCache>
            </c:numRef>
          </c:cat>
          <c:val>
            <c:numRef>
              <c:f>'Fig1'!$D$24:$O$24</c:f>
              <c:numCache>
                <c:formatCode>_(* #,##0.0_);_(* \(#,##0.0\);_(* "-"??_);_(@_)</c:formatCode>
                <c:ptCount val="7"/>
                <c:pt idx="0">
                  <c:v>898.3820205208624</c:v>
                </c:pt>
                <c:pt idx="1">
                  <c:v>1156.9856962298186</c:v>
                </c:pt>
                <c:pt idx="2">
                  <c:v>1197.296593696153</c:v>
                </c:pt>
                <c:pt idx="3">
                  <c:v>1704.4116544586443</c:v>
                </c:pt>
                <c:pt idx="4">
                  <c:v>1782.819566196358</c:v>
                </c:pt>
                <c:pt idx="5">
                  <c:v>1815.9955993792767</c:v>
                </c:pt>
                <c:pt idx="6">
                  <c:v>1587.1875484494817</c:v>
                </c:pt>
              </c:numCache>
            </c:numRef>
          </c:val>
          <c:extLst>
            <c:ext xmlns:c16="http://schemas.microsoft.com/office/drawing/2014/chart" uri="{C3380CC4-5D6E-409C-BE32-E72D297353CC}">
              <c16:uniqueId val="{00000001-0CE3-43F3-AD18-272D7A041842}"/>
            </c:ext>
          </c:extLst>
        </c:ser>
        <c:dLbls>
          <c:showLegendKey val="0"/>
          <c:showVal val="0"/>
          <c:showCatName val="0"/>
          <c:showSerName val="0"/>
          <c:showPercent val="0"/>
          <c:showBubbleSize val="0"/>
        </c:dLbls>
        <c:gapWidth val="219"/>
        <c:overlap val="-27"/>
        <c:axId val="454878784"/>
        <c:axId val="454879176"/>
      </c:barChart>
      <c:lineChart>
        <c:grouping val="standard"/>
        <c:varyColors val="0"/>
        <c:ser>
          <c:idx val="1"/>
          <c:order val="1"/>
          <c:tx>
            <c:strRef>
              <c:f>'Fig1'!$B$25:$C$25</c:f>
              <c:strCache>
                <c:ptCount val="2"/>
                <c:pt idx="1">
                  <c:v>GDP growth-SSA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'Fig1'!$D$22:$O$22</c:f>
              <c:numCache>
                <c:formatCode>General</c:formatCode>
                <c:ptCount val="7"/>
                <c:pt idx="0">
                  <c:v>2005</c:v>
                </c:pt>
                <c:pt idx="1">
                  <c:v>2007</c:v>
                </c:pt>
                <c:pt idx="2">
                  <c:v>2009</c:v>
                </c:pt>
                <c:pt idx="3">
                  <c:v>2011</c:v>
                </c:pt>
                <c:pt idx="4">
                  <c:v>2013</c:v>
                </c:pt>
                <c:pt idx="5">
                  <c:v>2014</c:v>
                </c:pt>
                <c:pt idx="6">
                  <c:v>2015</c:v>
                </c:pt>
              </c:numCache>
            </c:numRef>
          </c:cat>
          <c:val>
            <c:numRef>
              <c:f>'Fig1'!$D$25:$O$25</c:f>
              <c:numCache>
                <c:formatCode>_(* #,##0.0_);_(* \(#,##0.0\);_(* "-"??_);_(@_)</c:formatCode>
                <c:ptCount val="7"/>
                <c:pt idx="0">
                  <c:v>-0.94167591173427923</c:v>
                </c:pt>
                <c:pt idx="1">
                  <c:v>3.6310255325315381</c:v>
                </c:pt>
                <c:pt idx="2">
                  <c:v>6.4496958576284413</c:v>
                </c:pt>
                <c:pt idx="3">
                  <c:v>-4.3286688683284638</c:v>
                </c:pt>
                <c:pt idx="4" formatCode="General">
                  <c:v>4.8</c:v>
                </c:pt>
                <c:pt idx="5" formatCode="General">
                  <c:v>0.9</c:v>
                </c:pt>
                <c:pt idx="6" formatCode="General">
                  <c:v>4.3</c:v>
                </c:pt>
              </c:numCache>
            </c:numRef>
          </c:val>
          <c:smooth val="0"/>
          <c:extLst>
            <c:ext xmlns:c16="http://schemas.microsoft.com/office/drawing/2014/chart" uri="{C3380CC4-5D6E-409C-BE32-E72D297353CC}">
              <c16:uniqueId val="{00000002-0CE3-43F3-AD18-272D7A041842}"/>
            </c:ext>
          </c:extLst>
        </c:ser>
        <c:ser>
          <c:idx val="3"/>
          <c:order val="3"/>
          <c:tx>
            <c:strRef>
              <c:f>'Fig1'!$B$26:$C$26</c:f>
              <c:strCache>
                <c:ptCount val="2"/>
                <c:pt idx="1">
                  <c:v>GDP growth-The Gambia</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'Fig1'!$D$22:$O$22</c:f>
              <c:numCache>
                <c:formatCode>General</c:formatCode>
                <c:ptCount val="7"/>
                <c:pt idx="0">
                  <c:v>2005</c:v>
                </c:pt>
                <c:pt idx="1">
                  <c:v>2007</c:v>
                </c:pt>
                <c:pt idx="2">
                  <c:v>2009</c:v>
                </c:pt>
                <c:pt idx="3">
                  <c:v>2011</c:v>
                </c:pt>
                <c:pt idx="4">
                  <c:v>2013</c:v>
                </c:pt>
                <c:pt idx="5">
                  <c:v>2014</c:v>
                </c:pt>
                <c:pt idx="6">
                  <c:v>2015</c:v>
                </c:pt>
              </c:numCache>
            </c:numRef>
          </c:cat>
          <c:val>
            <c:numRef>
              <c:f>'Fig1'!$D$26:$O$26</c:f>
              <c:numCache>
                <c:formatCode>_(* #,##0.0_);_(* \(#,##0.0\);_(* "-"??_);_(@_)</c:formatCode>
                <c:ptCount val="7"/>
                <c:pt idx="0">
                  <c:v>5.5496928179519216</c:v>
                </c:pt>
                <c:pt idx="1">
                  <c:v>7.0682962161180853</c:v>
                </c:pt>
                <c:pt idx="2">
                  <c:v>2.8565428636052985</c:v>
                </c:pt>
                <c:pt idx="3">
                  <c:v>4.3215683659061312</c:v>
                </c:pt>
                <c:pt idx="4">
                  <c:v>4.7615602937347177</c:v>
                </c:pt>
                <c:pt idx="5">
                  <c:v>4.5927027407182521</c:v>
                </c:pt>
                <c:pt idx="6">
                  <c:v>3.0127553059233065</c:v>
                </c:pt>
              </c:numCache>
            </c:numRef>
          </c:val>
          <c:smooth val="0"/>
          <c:extLst>
            <c:ext xmlns:c16="http://schemas.microsoft.com/office/drawing/2014/chart" uri="{C3380CC4-5D6E-409C-BE32-E72D297353CC}">
              <c16:uniqueId val="{00000003-0CE3-43F3-AD18-272D7A041842}"/>
            </c:ext>
          </c:extLst>
        </c:ser>
        <c:dLbls>
          <c:showLegendKey val="0"/>
          <c:showVal val="0"/>
          <c:showCatName val="0"/>
          <c:showSerName val="0"/>
          <c:showPercent val="0"/>
          <c:showBubbleSize val="0"/>
        </c:dLbls>
        <c:marker val="1"/>
        <c:smooth val="0"/>
        <c:axId val="454879960"/>
        <c:axId val="454879568"/>
      </c:lineChart>
      <c:catAx>
        <c:axId val="454878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4879176"/>
        <c:crosses val="autoZero"/>
        <c:auto val="1"/>
        <c:lblAlgn val="ctr"/>
        <c:lblOffset val="100"/>
        <c:noMultiLvlLbl val="0"/>
      </c:catAx>
      <c:valAx>
        <c:axId val="4548791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GDP per capita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4878784"/>
        <c:crosses val="autoZero"/>
        <c:crossBetween val="between"/>
        <c:majorUnit val="100"/>
      </c:valAx>
      <c:valAx>
        <c:axId val="454879568"/>
        <c:scaling>
          <c:orientation val="minMax"/>
          <c:min val="-5"/>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GDP growth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4879960"/>
        <c:crosses val="max"/>
        <c:crossBetween val="between"/>
      </c:valAx>
      <c:catAx>
        <c:axId val="454879960"/>
        <c:scaling>
          <c:orientation val="minMax"/>
        </c:scaling>
        <c:delete val="1"/>
        <c:axPos val="b"/>
        <c:numFmt formatCode="General" sourceLinked="1"/>
        <c:majorTickMark val="out"/>
        <c:minorTickMark val="none"/>
        <c:tickLblPos val="nextTo"/>
        <c:crossAx val="454879568"/>
        <c:crosses val="autoZero"/>
        <c:auto val="1"/>
        <c:lblAlgn val="ctr"/>
        <c:lblOffset val="100"/>
        <c:noMultiLvlLbl val="0"/>
      </c:catAx>
      <c:spPr>
        <a:noFill/>
        <a:ln>
          <a:noFill/>
        </a:ln>
        <a:effectLst/>
      </c:spPr>
    </c:plotArea>
    <c:legend>
      <c:legendPos val="b"/>
      <c:layout>
        <c:manualLayout>
          <c:xMode val="edge"/>
          <c:yMode val="edge"/>
          <c:x val="5.6462581489027915E-3"/>
          <c:y val="1.6199870803289277E-2"/>
          <c:w val="0.52893687759579355"/>
          <c:h val="0.1191905300863667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8984033245844265E-2"/>
          <c:y val="5.0925925925925923E-2"/>
          <c:w val="0.91212707786526681"/>
          <c:h val="0.72188247302420527"/>
        </c:manualLayout>
      </c:layout>
      <c:barChart>
        <c:barDir val="col"/>
        <c:grouping val="clustered"/>
        <c:varyColors val="0"/>
        <c:ser>
          <c:idx val="1"/>
          <c:order val="1"/>
          <c:tx>
            <c:strRef>
              <c:f>Pop!$K$64</c:f>
              <c:strCache>
                <c:ptCount val="1"/>
                <c:pt idx="0">
                  <c:v>2010</c:v>
                </c:pt>
              </c:strCache>
            </c:strRef>
          </c:tx>
          <c:spPr>
            <a:solidFill>
              <a:schemeClr val="accent5"/>
            </a:solidFill>
            <a:ln>
              <a:noFill/>
            </a:ln>
            <a:effectLst/>
          </c:spPr>
          <c:invertIfNegative val="0"/>
          <c:cat>
            <c:strRef>
              <c:f>Pop!$I$65:$I$69</c:f>
              <c:strCache>
                <c:ptCount val="5"/>
                <c:pt idx="0">
                  <c:v>3-6</c:v>
                </c:pt>
                <c:pt idx="1">
                  <c:v>7-12</c:v>
                </c:pt>
                <c:pt idx="2">
                  <c:v>13-15</c:v>
                </c:pt>
                <c:pt idx="3">
                  <c:v>16-18</c:v>
                </c:pt>
                <c:pt idx="4">
                  <c:v>19-22</c:v>
                </c:pt>
              </c:strCache>
            </c:strRef>
          </c:cat>
          <c:val>
            <c:numRef>
              <c:f>Pop!$K$65:$K$69</c:f>
              <c:numCache>
                <c:formatCode>#\ ###\ ###\ ##0;\-#\ ###\ ###\ ##0;0</c:formatCode>
                <c:ptCount val="5"/>
                <c:pt idx="0">
                  <c:v>222.697</c:v>
                </c:pt>
                <c:pt idx="1">
                  <c:v>277.12099999999998</c:v>
                </c:pt>
                <c:pt idx="2">
                  <c:v>117.869</c:v>
                </c:pt>
                <c:pt idx="3">
                  <c:v>106.17599999999999</c:v>
                </c:pt>
                <c:pt idx="4">
                  <c:v>127.21099999999998</c:v>
                </c:pt>
              </c:numCache>
            </c:numRef>
          </c:val>
          <c:extLst>
            <c:ext xmlns:c16="http://schemas.microsoft.com/office/drawing/2014/chart" uri="{C3380CC4-5D6E-409C-BE32-E72D297353CC}">
              <c16:uniqueId val="{00000000-5637-47EA-96DD-036E4A0BF73B}"/>
            </c:ext>
          </c:extLst>
        </c:ser>
        <c:ser>
          <c:idx val="2"/>
          <c:order val="2"/>
          <c:tx>
            <c:strRef>
              <c:f>Pop!$L$64</c:f>
              <c:strCache>
                <c:ptCount val="1"/>
                <c:pt idx="0">
                  <c:v>2015*</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Pop!$I$65:$I$69</c:f>
              <c:strCache>
                <c:ptCount val="5"/>
                <c:pt idx="0">
                  <c:v>3-6</c:v>
                </c:pt>
                <c:pt idx="1">
                  <c:v>7-12</c:v>
                </c:pt>
                <c:pt idx="2">
                  <c:v>13-15</c:v>
                </c:pt>
                <c:pt idx="3">
                  <c:v>16-18</c:v>
                </c:pt>
                <c:pt idx="4">
                  <c:v>19-22</c:v>
                </c:pt>
              </c:strCache>
            </c:strRef>
          </c:cat>
          <c:val>
            <c:numRef>
              <c:f>Pop!$L$65:$L$69</c:f>
              <c:numCache>
                <c:formatCode>#\ ###\ ###\ ##0;\-#\ ###\ ###\ ##0;0</c:formatCode>
                <c:ptCount val="5"/>
                <c:pt idx="0">
                  <c:v>257.76</c:v>
                </c:pt>
                <c:pt idx="1">
                  <c:v>322.63800000000003</c:v>
                </c:pt>
                <c:pt idx="2">
                  <c:v>139.286</c:v>
                </c:pt>
                <c:pt idx="3">
                  <c:v>126.41900000000001</c:v>
                </c:pt>
                <c:pt idx="4">
                  <c:v>149.54000000000002</c:v>
                </c:pt>
              </c:numCache>
            </c:numRef>
          </c:val>
          <c:extLst>
            <c:ext xmlns:c16="http://schemas.microsoft.com/office/drawing/2014/chart" uri="{C3380CC4-5D6E-409C-BE32-E72D297353CC}">
              <c16:uniqueId val="{00000001-5637-47EA-96DD-036E4A0BF73B}"/>
            </c:ext>
          </c:extLst>
        </c:ser>
        <c:dLbls>
          <c:showLegendKey val="0"/>
          <c:showVal val="0"/>
          <c:showCatName val="0"/>
          <c:showSerName val="0"/>
          <c:showPercent val="0"/>
          <c:showBubbleSize val="0"/>
        </c:dLbls>
        <c:gapWidth val="150"/>
        <c:axId val="657537288"/>
        <c:axId val="657538464"/>
      </c:barChart>
      <c:lineChart>
        <c:grouping val="standard"/>
        <c:varyColors val="0"/>
        <c:ser>
          <c:idx val="0"/>
          <c:order val="0"/>
          <c:tx>
            <c:strRef>
              <c:f>Pop!$J$64</c:f>
              <c:strCache>
                <c:ptCount val="1"/>
                <c:pt idx="0">
                  <c:v>2005</c:v>
                </c:pt>
              </c:strCache>
            </c:strRef>
          </c:tx>
          <c:spPr>
            <a:ln w="28575" cap="rnd">
              <a:solidFill>
                <a:schemeClr val="accent6"/>
              </a:solidFill>
              <a:round/>
            </a:ln>
            <a:effectLst/>
          </c:spPr>
          <c:marker>
            <c:symbol val="square"/>
            <c:size val="7"/>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Pop!$I$65:$I$69</c:f>
              <c:strCache>
                <c:ptCount val="5"/>
                <c:pt idx="0">
                  <c:v>3-6</c:v>
                </c:pt>
                <c:pt idx="1">
                  <c:v>7-12</c:v>
                </c:pt>
                <c:pt idx="2">
                  <c:v>13-15</c:v>
                </c:pt>
                <c:pt idx="3">
                  <c:v>16-18</c:v>
                </c:pt>
                <c:pt idx="4">
                  <c:v>19-22</c:v>
                </c:pt>
              </c:strCache>
            </c:strRef>
          </c:cat>
          <c:val>
            <c:numRef>
              <c:f>Pop!$J$65:$J$69</c:f>
              <c:numCache>
                <c:formatCode>#\ ###\ ###\ ##0;\-#\ ###\ ###\ ##0;0</c:formatCode>
                <c:ptCount val="5"/>
                <c:pt idx="0">
                  <c:v>191.94400000000002</c:v>
                </c:pt>
                <c:pt idx="1">
                  <c:v>233.642</c:v>
                </c:pt>
                <c:pt idx="2">
                  <c:v>99.173999999999992</c:v>
                </c:pt>
                <c:pt idx="3">
                  <c:v>91.153999999999996</c:v>
                </c:pt>
                <c:pt idx="4">
                  <c:v>113.114</c:v>
                </c:pt>
              </c:numCache>
            </c:numRef>
          </c:val>
          <c:smooth val="0"/>
          <c:extLst>
            <c:ext xmlns:c16="http://schemas.microsoft.com/office/drawing/2014/chart" uri="{C3380CC4-5D6E-409C-BE32-E72D297353CC}">
              <c16:uniqueId val="{00000002-5637-47EA-96DD-036E4A0BF73B}"/>
            </c:ext>
          </c:extLst>
        </c:ser>
        <c:ser>
          <c:idx val="3"/>
          <c:order val="3"/>
          <c:tx>
            <c:strRef>
              <c:f>Pop!$M$64</c:f>
              <c:strCache>
                <c:ptCount val="1"/>
                <c:pt idx="0">
                  <c:v>2020*</c:v>
                </c:pt>
              </c:strCache>
            </c:strRef>
          </c:tx>
          <c:spPr>
            <a:ln w="28575" cap="rnd">
              <a:solidFill>
                <a:schemeClr val="accent6">
                  <a:lumMod val="60000"/>
                </a:schemeClr>
              </a:solidFill>
              <a:prstDash val="sysDash"/>
              <a:round/>
            </a:ln>
            <a:effectLst/>
          </c:spPr>
          <c:marker>
            <c:symbol val="diamond"/>
            <c:size val="8"/>
            <c:spPr>
              <a:solidFill>
                <a:schemeClr val="accent6">
                  <a:lumMod val="60000"/>
                </a:schemeClr>
              </a:solidFill>
              <a:ln w="9525">
                <a:solidFill>
                  <a:schemeClr val="accent6">
                    <a:lumMod val="60000"/>
                    <a:alpha val="92000"/>
                  </a:schemeClr>
                </a:solidFill>
              </a:ln>
              <a:effectLst/>
            </c:spPr>
          </c:marker>
          <c:dLbls>
            <c:dLbl>
              <c:idx val="0"/>
              <c:layout>
                <c:manualLayout>
                  <c:x val="-0.14663227441397411"/>
                  <c:y val="-5.87868612011734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637-47EA-96DD-036E4A0BF73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Pop!$I$65:$I$69</c:f>
              <c:strCache>
                <c:ptCount val="5"/>
                <c:pt idx="0">
                  <c:v>3-6</c:v>
                </c:pt>
                <c:pt idx="1">
                  <c:v>7-12</c:v>
                </c:pt>
                <c:pt idx="2">
                  <c:v>13-15</c:v>
                </c:pt>
                <c:pt idx="3">
                  <c:v>16-18</c:v>
                </c:pt>
                <c:pt idx="4">
                  <c:v>19-22</c:v>
                </c:pt>
              </c:strCache>
            </c:strRef>
          </c:cat>
          <c:val>
            <c:numRef>
              <c:f>Pop!$M$65:$M$69</c:f>
              <c:numCache>
                <c:formatCode>#\ ###\ ###\ ##0;\-#\ ###\ ###\ ##0;0</c:formatCode>
                <c:ptCount val="5"/>
                <c:pt idx="0">
                  <c:v>298.40499999999997</c:v>
                </c:pt>
                <c:pt idx="1">
                  <c:v>376.62999999999994</c:v>
                </c:pt>
                <c:pt idx="2">
                  <c:v>161.78800000000001</c:v>
                </c:pt>
                <c:pt idx="3">
                  <c:v>148.25299999999999</c:v>
                </c:pt>
                <c:pt idx="4">
                  <c:v>177.20099999999996</c:v>
                </c:pt>
              </c:numCache>
            </c:numRef>
          </c:val>
          <c:smooth val="0"/>
          <c:extLst>
            <c:ext xmlns:c16="http://schemas.microsoft.com/office/drawing/2014/chart" uri="{C3380CC4-5D6E-409C-BE32-E72D297353CC}">
              <c16:uniqueId val="{00000004-5637-47EA-96DD-036E4A0BF73B}"/>
            </c:ext>
          </c:extLst>
        </c:ser>
        <c:dLbls>
          <c:showLegendKey val="0"/>
          <c:showVal val="0"/>
          <c:showCatName val="0"/>
          <c:showSerName val="0"/>
          <c:showPercent val="0"/>
          <c:showBubbleSize val="0"/>
        </c:dLbls>
        <c:marker val="1"/>
        <c:smooth val="0"/>
        <c:axId val="657537288"/>
        <c:axId val="657538464"/>
      </c:lineChart>
      <c:catAx>
        <c:axId val="657537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7538464"/>
        <c:crosses val="autoZero"/>
        <c:auto val="1"/>
        <c:lblAlgn val="ctr"/>
        <c:lblOffset val="100"/>
        <c:noMultiLvlLbl val="0"/>
      </c:catAx>
      <c:valAx>
        <c:axId val="657538464"/>
        <c:scaling>
          <c:orientation val="minMax"/>
        </c:scaling>
        <c:delete val="1"/>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In thousands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 ###\ ###\ ##0;\-#\ ###\ ###\ ##0;0" sourceLinked="1"/>
        <c:majorTickMark val="none"/>
        <c:minorTickMark val="none"/>
        <c:tickLblPos val="nextTo"/>
        <c:crossAx val="657537288"/>
        <c:crosses val="autoZero"/>
        <c:crossBetween val="between"/>
      </c:valAx>
      <c:spPr>
        <a:noFill/>
        <a:ln>
          <a:noFill/>
        </a:ln>
        <a:effectLst/>
      </c:spPr>
    </c:plotArea>
    <c:legend>
      <c:legendPos val="b"/>
      <c:layout>
        <c:manualLayout>
          <c:xMode val="edge"/>
          <c:yMode val="edge"/>
          <c:x val="5.4567724488984344E-2"/>
          <c:y val="0.87384149897929431"/>
          <c:w val="0.91331088664422"/>
          <c:h val="9.838072324292797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545420477273451E-2"/>
          <c:y val="3.4542314335060449E-2"/>
          <c:w val="0.90414975751999316"/>
          <c:h val="0.49031739014413789"/>
        </c:manualLayout>
      </c:layout>
      <c:barChart>
        <c:barDir val="col"/>
        <c:grouping val="clustered"/>
        <c:varyColors val="0"/>
        <c:ser>
          <c:idx val="0"/>
          <c:order val="0"/>
          <c:tx>
            <c:strRef>
              <c:f>'Fig3'!$D$25</c:f>
              <c:strCache>
                <c:ptCount val="1"/>
                <c:pt idx="0">
                  <c:v>INDEX</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'Fig3'!$A$26:$C$49</c:f>
              <c:multiLvlStrCache>
                <c:ptCount val="24"/>
                <c:lvl>
                  <c:pt idx="0">
                    <c:v>Education</c:v>
                  </c:pt>
                  <c:pt idx="1">
                    <c:v>Income</c:v>
                  </c:pt>
                  <c:pt idx="2">
                    <c:v>Health</c:v>
                  </c:pt>
                  <c:pt idx="4">
                    <c:v>Education</c:v>
                  </c:pt>
                  <c:pt idx="5">
                    <c:v>Income</c:v>
                  </c:pt>
                  <c:pt idx="6">
                    <c:v>Health</c:v>
                  </c:pt>
                  <c:pt idx="8">
                    <c:v>Education</c:v>
                  </c:pt>
                  <c:pt idx="9">
                    <c:v>Income</c:v>
                  </c:pt>
                  <c:pt idx="10">
                    <c:v>Health</c:v>
                  </c:pt>
                  <c:pt idx="12">
                    <c:v>Education</c:v>
                  </c:pt>
                  <c:pt idx="13">
                    <c:v>Income</c:v>
                  </c:pt>
                  <c:pt idx="14">
                    <c:v>Health</c:v>
                  </c:pt>
                  <c:pt idx="16">
                    <c:v>The Gambia</c:v>
                  </c:pt>
                  <c:pt idx="17">
                    <c:v>SSA</c:v>
                  </c:pt>
                  <c:pt idx="18">
                    <c:v>The Gambia</c:v>
                  </c:pt>
                  <c:pt idx="19">
                    <c:v>SSA</c:v>
                  </c:pt>
                  <c:pt idx="20">
                    <c:v>The Gambia</c:v>
                  </c:pt>
                  <c:pt idx="21">
                    <c:v>SSA</c:v>
                  </c:pt>
                  <c:pt idx="22">
                    <c:v>The Gambia</c:v>
                  </c:pt>
                  <c:pt idx="23">
                    <c:v>SSA</c:v>
                  </c:pt>
                </c:lvl>
                <c:lvl>
                  <c:pt idx="0">
                    <c:v>1990</c:v>
                  </c:pt>
                  <c:pt idx="4">
                    <c:v>2000</c:v>
                  </c:pt>
                  <c:pt idx="8">
                    <c:v>2010</c:v>
                  </c:pt>
                  <c:pt idx="12">
                    <c:v>2015</c:v>
                  </c:pt>
                  <c:pt idx="16">
                    <c:v>1990</c:v>
                  </c:pt>
                  <c:pt idx="18">
                    <c:v>2000</c:v>
                  </c:pt>
                  <c:pt idx="20">
                    <c:v>2010</c:v>
                  </c:pt>
                  <c:pt idx="22">
                    <c:v>2015</c:v>
                  </c:pt>
                </c:lvl>
                <c:lvl>
                  <c:pt idx="0">
                    <c:v>HDI components, The Gambia</c:v>
                  </c:pt>
                  <c:pt idx="16">
                    <c:v>HDI</c:v>
                  </c:pt>
                </c:lvl>
              </c:multiLvlStrCache>
            </c:multiLvlStrRef>
          </c:cat>
          <c:val>
            <c:numRef>
              <c:f>'Fig3'!$D$26:$D$49</c:f>
              <c:numCache>
                <c:formatCode>_(* #,##0.000_);_(* \(#,##0.000\);_(* "-"??_);_(@_)</c:formatCode>
                <c:ptCount val="24"/>
                <c:pt idx="0">
                  <c:v>0.183</c:v>
                </c:pt>
                <c:pt idx="1">
                  <c:v>0.39700000000000002</c:v>
                </c:pt>
                <c:pt idx="2">
                  <c:v>0.495</c:v>
                </c:pt>
                <c:pt idx="4">
                  <c:v>0.254</c:v>
                </c:pt>
                <c:pt idx="5">
                  <c:v>0.40899999999999997</c:v>
                </c:pt>
                <c:pt idx="6">
                  <c:v>0.54600000000000004</c:v>
                </c:pt>
                <c:pt idx="8">
                  <c:v>0.33600000000000002</c:v>
                </c:pt>
                <c:pt idx="9">
                  <c:v>0.42299999999999999</c:v>
                </c:pt>
                <c:pt idx="10">
                  <c:v>0.60499999999999998</c:v>
                </c:pt>
                <c:pt idx="12">
                  <c:v>0.35799999999999998</c:v>
                </c:pt>
                <c:pt idx="13">
                  <c:v>0.41299999999999998</c:v>
                </c:pt>
                <c:pt idx="14">
                  <c:v>0.623</c:v>
                </c:pt>
                <c:pt idx="16">
                  <c:v>0.33</c:v>
                </c:pt>
                <c:pt idx="17">
                  <c:v>0.39900000000000002</c:v>
                </c:pt>
                <c:pt idx="18">
                  <c:v>0.38400000000000001</c:v>
                </c:pt>
                <c:pt idx="19">
                  <c:v>0.42099999999999999</c:v>
                </c:pt>
                <c:pt idx="20">
                  <c:v>0.441</c:v>
                </c:pt>
                <c:pt idx="21">
                  <c:v>0.497</c:v>
                </c:pt>
                <c:pt idx="22">
                  <c:v>0.45200000000000001</c:v>
                </c:pt>
                <c:pt idx="23">
                  <c:v>0.52300000000000002</c:v>
                </c:pt>
              </c:numCache>
            </c:numRef>
          </c:val>
          <c:extLst>
            <c:ext xmlns:c16="http://schemas.microsoft.com/office/drawing/2014/chart" uri="{C3380CC4-5D6E-409C-BE32-E72D297353CC}">
              <c16:uniqueId val="{00000000-32E3-4036-A403-2BA7E8368C3B}"/>
            </c:ext>
          </c:extLst>
        </c:ser>
        <c:dLbls>
          <c:showLegendKey val="0"/>
          <c:showVal val="0"/>
          <c:showCatName val="0"/>
          <c:showSerName val="0"/>
          <c:showPercent val="0"/>
          <c:showBubbleSize val="0"/>
        </c:dLbls>
        <c:gapWidth val="50"/>
        <c:overlap val="-27"/>
        <c:axId val="1012084880"/>
        <c:axId val="1012085296"/>
      </c:barChart>
      <c:catAx>
        <c:axId val="101208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2085296"/>
        <c:crosses val="autoZero"/>
        <c:auto val="1"/>
        <c:lblAlgn val="ctr"/>
        <c:lblOffset val="100"/>
        <c:noMultiLvlLbl val="0"/>
      </c:catAx>
      <c:valAx>
        <c:axId val="1012085296"/>
        <c:scaling>
          <c:orientation val="minMax"/>
        </c:scaling>
        <c:delete val="0"/>
        <c:axPos val="l"/>
        <c:numFmt formatCode="_(* #,##0.000_);_(* \(#,##0.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2084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796046136434781E-2"/>
          <c:y val="6.035665294924554E-2"/>
          <c:w val="0.90329263887885569"/>
          <c:h val="0.64294668548867651"/>
        </c:manualLayout>
      </c:layout>
      <c:barChart>
        <c:barDir val="col"/>
        <c:grouping val="clustered"/>
        <c:varyColors val="0"/>
        <c:ser>
          <c:idx val="0"/>
          <c:order val="0"/>
          <c:tx>
            <c:strRef>
              <c:f>'Fig4'!$A$5</c:f>
              <c:strCache>
                <c:ptCount val="1"/>
                <c:pt idx="0">
                  <c:v>2005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'Fig4'!$B$3:$E$4</c:f>
              <c:multiLvlStrCache>
                <c:ptCount val="4"/>
                <c:lvl>
                  <c:pt idx="0">
                    <c:v>The Gambia</c:v>
                  </c:pt>
                  <c:pt idx="1">
                    <c:v>SSA</c:v>
                  </c:pt>
                  <c:pt idx="2">
                    <c:v>The Gambia</c:v>
                  </c:pt>
                  <c:pt idx="3">
                    <c:v>SSA</c:v>
                  </c:pt>
                </c:lvl>
                <c:lvl>
                  <c:pt idx="0">
                    <c:v>Under five mortality</c:v>
                  </c:pt>
                  <c:pt idx="2">
                    <c:v>Infant mortality</c:v>
                  </c:pt>
                </c:lvl>
              </c:multiLvlStrCache>
            </c:multiLvlStrRef>
          </c:cat>
          <c:val>
            <c:numRef>
              <c:f>'Fig4'!$B$5:$E$5</c:f>
              <c:numCache>
                <c:formatCode>General</c:formatCode>
                <c:ptCount val="4"/>
                <c:pt idx="0">
                  <c:v>97.9</c:v>
                </c:pt>
                <c:pt idx="1">
                  <c:v>127</c:v>
                </c:pt>
                <c:pt idx="2">
                  <c:v>56.8</c:v>
                </c:pt>
                <c:pt idx="3">
                  <c:v>79.5</c:v>
                </c:pt>
              </c:numCache>
            </c:numRef>
          </c:val>
          <c:extLst>
            <c:ext xmlns:c16="http://schemas.microsoft.com/office/drawing/2014/chart" uri="{C3380CC4-5D6E-409C-BE32-E72D297353CC}">
              <c16:uniqueId val="{00000000-8084-4737-9D93-E578ACED9587}"/>
            </c:ext>
          </c:extLst>
        </c:ser>
        <c:ser>
          <c:idx val="1"/>
          <c:order val="1"/>
          <c:tx>
            <c:strRef>
              <c:f>'Fig4'!$A$6</c:f>
              <c:strCache>
                <c:ptCount val="1"/>
                <c:pt idx="0">
                  <c:v>2010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'Fig4'!$B$3:$E$4</c:f>
              <c:multiLvlStrCache>
                <c:ptCount val="4"/>
                <c:lvl>
                  <c:pt idx="0">
                    <c:v>The Gambia</c:v>
                  </c:pt>
                  <c:pt idx="1">
                    <c:v>SSA</c:v>
                  </c:pt>
                  <c:pt idx="2">
                    <c:v>The Gambia</c:v>
                  </c:pt>
                  <c:pt idx="3">
                    <c:v>SSA</c:v>
                  </c:pt>
                </c:lvl>
                <c:lvl>
                  <c:pt idx="0">
                    <c:v>Under five mortality</c:v>
                  </c:pt>
                  <c:pt idx="2">
                    <c:v>Infant mortality</c:v>
                  </c:pt>
                </c:lvl>
              </c:multiLvlStrCache>
            </c:multiLvlStrRef>
          </c:cat>
          <c:val>
            <c:numRef>
              <c:f>'Fig4'!$B$6:$E$6</c:f>
              <c:numCache>
                <c:formatCode>General</c:formatCode>
                <c:ptCount val="4"/>
                <c:pt idx="0">
                  <c:v>81.400000000000006</c:v>
                </c:pt>
                <c:pt idx="1">
                  <c:v>101.2</c:v>
                </c:pt>
                <c:pt idx="2">
                  <c:v>51.7</c:v>
                </c:pt>
                <c:pt idx="3">
                  <c:v>65.8</c:v>
                </c:pt>
              </c:numCache>
            </c:numRef>
          </c:val>
          <c:extLst>
            <c:ext xmlns:c16="http://schemas.microsoft.com/office/drawing/2014/chart" uri="{C3380CC4-5D6E-409C-BE32-E72D297353CC}">
              <c16:uniqueId val="{00000001-8084-4737-9D93-E578ACED9587}"/>
            </c:ext>
          </c:extLst>
        </c:ser>
        <c:ser>
          <c:idx val="2"/>
          <c:order val="2"/>
          <c:tx>
            <c:strRef>
              <c:f>'Fig4'!$A$7</c:f>
              <c:strCache>
                <c:ptCount val="1"/>
                <c:pt idx="0">
                  <c:v>2015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'Fig4'!$B$3:$E$4</c:f>
              <c:multiLvlStrCache>
                <c:ptCount val="4"/>
                <c:lvl>
                  <c:pt idx="0">
                    <c:v>The Gambia</c:v>
                  </c:pt>
                  <c:pt idx="1">
                    <c:v>SSA</c:v>
                  </c:pt>
                  <c:pt idx="2">
                    <c:v>The Gambia</c:v>
                  </c:pt>
                  <c:pt idx="3">
                    <c:v>SSA</c:v>
                  </c:pt>
                </c:lvl>
                <c:lvl>
                  <c:pt idx="0">
                    <c:v>Under five mortality</c:v>
                  </c:pt>
                  <c:pt idx="2">
                    <c:v>Infant mortality</c:v>
                  </c:pt>
                </c:lvl>
              </c:multiLvlStrCache>
            </c:multiLvlStrRef>
          </c:cat>
          <c:val>
            <c:numRef>
              <c:f>'Fig4'!$B$7:$E$7</c:f>
              <c:numCache>
                <c:formatCode>General</c:formatCode>
                <c:ptCount val="4"/>
                <c:pt idx="0">
                  <c:v>68.900000000000006</c:v>
                </c:pt>
                <c:pt idx="1">
                  <c:v>83.1</c:v>
                </c:pt>
                <c:pt idx="2">
                  <c:v>47.9</c:v>
                </c:pt>
                <c:pt idx="3">
                  <c:v>56.3</c:v>
                </c:pt>
              </c:numCache>
            </c:numRef>
          </c:val>
          <c:extLst>
            <c:ext xmlns:c16="http://schemas.microsoft.com/office/drawing/2014/chart" uri="{C3380CC4-5D6E-409C-BE32-E72D297353CC}">
              <c16:uniqueId val="{00000002-8084-4737-9D93-E578ACED9587}"/>
            </c:ext>
          </c:extLst>
        </c:ser>
        <c:dLbls>
          <c:dLblPos val="outEnd"/>
          <c:showLegendKey val="0"/>
          <c:showVal val="1"/>
          <c:showCatName val="0"/>
          <c:showSerName val="0"/>
          <c:showPercent val="0"/>
          <c:showBubbleSize val="0"/>
        </c:dLbls>
        <c:gapWidth val="219"/>
        <c:overlap val="-27"/>
        <c:axId val="513893888"/>
        <c:axId val="513895848"/>
      </c:barChart>
      <c:catAx>
        <c:axId val="51389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895848"/>
        <c:crosses val="autoZero"/>
        <c:auto val="1"/>
        <c:lblAlgn val="ctr"/>
        <c:lblOffset val="100"/>
        <c:noMultiLvlLbl val="0"/>
      </c:catAx>
      <c:valAx>
        <c:axId val="5138958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893888"/>
        <c:crosses val="autoZero"/>
        <c:crossBetween val="between"/>
      </c:valAx>
      <c:spPr>
        <a:noFill/>
        <a:ln w="25400">
          <a:noFill/>
        </a:ln>
        <a:effectLst/>
      </c:spPr>
    </c:plotArea>
    <c:legend>
      <c:legendPos val="b"/>
      <c:layout>
        <c:manualLayout>
          <c:xMode val="edge"/>
          <c:yMode val="edge"/>
          <c:x val="0.51803607117917605"/>
          <c:y val="7.8874523400624258E-2"/>
          <c:w val="0.24771990657131163"/>
          <c:h val="9.259324065973234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92966930703875E-2"/>
          <c:y val="4.2085133072769024E-2"/>
          <c:w val="0.94619353937182638"/>
          <c:h val="0.8095775761252878"/>
        </c:manualLayout>
      </c:layout>
      <c:barChart>
        <c:barDir val="col"/>
        <c:grouping val="clustered"/>
        <c:varyColors val="0"/>
        <c:ser>
          <c:idx val="0"/>
          <c:order val="0"/>
          <c:tx>
            <c:strRef>
              <c:f>'Fig5'!$C$1:$C$2</c:f>
              <c:strCache>
                <c:ptCount val="2"/>
                <c:pt idx="0">
                  <c:v>2010</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'Fig5'!$A$3:$B$18</c:f>
              <c:multiLvlStrCache>
                <c:ptCount val="11"/>
                <c:lvl>
                  <c:pt idx="0">
                    <c:v>Preschool</c:v>
                  </c:pt>
                  <c:pt idx="1">
                    <c:v>Primary</c:v>
                  </c:pt>
                  <c:pt idx="2">
                    <c:v>Secondary</c:v>
                  </c:pt>
                  <c:pt idx="3">
                    <c:v>Tertiary</c:v>
                  </c:pt>
                  <c:pt idx="4">
                    <c:v>Primary</c:v>
                  </c:pt>
                  <c:pt idx="5">
                    <c:v>Lower secondary</c:v>
                  </c:pt>
                  <c:pt idx="6">
                    <c:v>Upper secondary</c:v>
                  </c:pt>
                  <c:pt idx="7">
                    <c:v>Preschool</c:v>
                  </c:pt>
                  <c:pt idx="8">
                    <c:v>Primary</c:v>
                  </c:pt>
                  <c:pt idx="9">
                    <c:v>Secondary</c:v>
                  </c:pt>
                  <c:pt idx="10">
                    <c:v>Tertiary</c:v>
                  </c:pt>
                </c:lvl>
                <c:lvl>
                  <c:pt idx="0">
                    <c:v>Gross Enrollment</c:v>
                  </c:pt>
                  <c:pt idx="4">
                    <c:v>Completion</c:v>
                  </c:pt>
                  <c:pt idx="7">
                    <c:v>Gender PI</c:v>
                  </c:pt>
                </c:lvl>
              </c:multiLvlStrCache>
            </c:multiLvlStrRef>
          </c:cat>
          <c:val>
            <c:numRef>
              <c:f>'Fig5'!$C$3:$C$18</c:f>
              <c:numCache>
                <c:formatCode>0%</c:formatCode>
                <c:ptCount val="11"/>
                <c:pt idx="0">
                  <c:v>0.39114779999999999</c:v>
                </c:pt>
                <c:pt idx="1">
                  <c:v>0.90083849999999999</c:v>
                </c:pt>
                <c:pt idx="2">
                  <c:v>0.52638790000000002</c:v>
                </c:pt>
                <c:pt idx="3">
                  <c:v>5.3474300000000002E-2</c:v>
                </c:pt>
                <c:pt idx="7">
                  <c:v>1.0466348489102195</c:v>
                </c:pt>
                <c:pt idx="8">
                  <c:v>0.97576155334882109</c:v>
                </c:pt>
                <c:pt idx="9">
                  <c:v>0.94702297173357275</c:v>
                </c:pt>
                <c:pt idx="10">
                  <c:v>0.74015134261234417</c:v>
                </c:pt>
              </c:numCache>
            </c:numRef>
          </c:val>
          <c:extLst>
            <c:ext xmlns:c16="http://schemas.microsoft.com/office/drawing/2014/chart" uri="{C3380CC4-5D6E-409C-BE32-E72D297353CC}">
              <c16:uniqueId val="{00000000-CAB1-4B10-B98F-EA2E755D9273}"/>
            </c:ext>
          </c:extLst>
        </c:ser>
        <c:ser>
          <c:idx val="1"/>
          <c:order val="1"/>
          <c:tx>
            <c:strRef>
              <c:f>'Fig5'!$D$1:$D$2</c:f>
              <c:strCache>
                <c:ptCount val="2"/>
                <c:pt idx="0">
                  <c:v>2015</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'Fig5'!$A$3:$B$18</c:f>
              <c:multiLvlStrCache>
                <c:ptCount val="11"/>
                <c:lvl>
                  <c:pt idx="0">
                    <c:v>Preschool</c:v>
                  </c:pt>
                  <c:pt idx="1">
                    <c:v>Primary</c:v>
                  </c:pt>
                  <c:pt idx="2">
                    <c:v>Secondary</c:v>
                  </c:pt>
                  <c:pt idx="3">
                    <c:v>Tertiary</c:v>
                  </c:pt>
                  <c:pt idx="4">
                    <c:v>Primary</c:v>
                  </c:pt>
                  <c:pt idx="5">
                    <c:v>Lower secondary</c:v>
                  </c:pt>
                  <c:pt idx="6">
                    <c:v>Upper secondary</c:v>
                  </c:pt>
                  <c:pt idx="7">
                    <c:v>Preschool</c:v>
                  </c:pt>
                  <c:pt idx="8">
                    <c:v>Primary</c:v>
                  </c:pt>
                  <c:pt idx="9">
                    <c:v>Secondary</c:v>
                  </c:pt>
                  <c:pt idx="10">
                    <c:v>Tertiary</c:v>
                  </c:pt>
                </c:lvl>
                <c:lvl>
                  <c:pt idx="0">
                    <c:v>Gross Enrollment</c:v>
                  </c:pt>
                  <c:pt idx="4">
                    <c:v>Completion</c:v>
                  </c:pt>
                  <c:pt idx="7">
                    <c:v>Gender PI</c:v>
                  </c:pt>
                </c:lvl>
              </c:multiLvlStrCache>
            </c:multiLvlStrRef>
          </c:cat>
          <c:val>
            <c:numRef>
              <c:f>'Fig5'!$D$3:$D$18</c:f>
              <c:numCache>
                <c:formatCode>0%</c:formatCode>
                <c:ptCount val="11"/>
                <c:pt idx="0">
                  <c:v>0.36378729999999998</c:v>
                </c:pt>
                <c:pt idx="1">
                  <c:v>0.87351760000000001</c:v>
                </c:pt>
                <c:pt idx="2">
                  <c:v>0.53735120000000003</c:v>
                </c:pt>
                <c:pt idx="3" formatCode="0.0%">
                  <c:v>6.5171000000000007E-2</c:v>
                </c:pt>
                <c:pt idx="4">
                  <c:v>0.73866659999999995</c:v>
                </c:pt>
                <c:pt idx="5">
                  <c:v>0.4767382</c:v>
                </c:pt>
                <c:pt idx="6">
                  <c:v>0.37829190000000001</c:v>
                </c:pt>
                <c:pt idx="7">
                  <c:v>1.0348673755409832</c:v>
                </c:pt>
                <c:pt idx="8">
                  <c:v>1.0308618669466778</c:v>
                </c:pt>
                <c:pt idx="9">
                  <c:v>1.0583835485964688</c:v>
                </c:pt>
                <c:pt idx="10">
                  <c:v>0.69337060288307317</c:v>
                </c:pt>
              </c:numCache>
            </c:numRef>
          </c:val>
          <c:extLst>
            <c:ext xmlns:c16="http://schemas.microsoft.com/office/drawing/2014/chart" uri="{C3380CC4-5D6E-409C-BE32-E72D297353CC}">
              <c16:uniqueId val="{00000001-CAB1-4B10-B98F-EA2E755D9273}"/>
            </c:ext>
          </c:extLst>
        </c:ser>
        <c:dLbls>
          <c:showLegendKey val="0"/>
          <c:showVal val="0"/>
          <c:showCatName val="0"/>
          <c:showSerName val="0"/>
          <c:showPercent val="0"/>
          <c:showBubbleSize val="0"/>
        </c:dLbls>
        <c:gapWidth val="219"/>
        <c:overlap val="-27"/>
        <c:axId val="454880744"/>
        <c:axId val="454881136"/>
      </c:barChart>
      <c:catAx>
        <c:axId val="454880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4881136"/>
        <c:crosses val="autoZero"/>
        <c:auto val="1"/>
        <c:lblAlgn val="ctr"/>
        <c:lblOffset val="100"/>
        <c:noMultiLvlLbl val="0"/>
      </c:catAx>
      <c:valAx>
        <c:axId val="45488113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4880744"/>
        <c:crosses val="autoZero"/>
        <c:crossBetween val="between"/>
      </c:valAx>
      <c:spPr>
        <a:noFill/>
        <a:ln>
          <a:noFill/>
        </a:ln>
        <a:effectLst/>
      </c:spPr>
    </c:plotArea>
    <c:legend>
      <c:legendPos val="b"/>
      <c:layout>
        <c:manualLayout>
          <c:xMode val="edge"/>
          <c:yMode val="edge"/>
          <c:x val="0.37021084809348676"/>
          <c:y val="3.538131887095948E-2"/>
          <c:w val="0.14837407812295919"/>
          <c:h val="7.365028263984134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79174137886229"/>
          <c:y val="4.6858359957401494E-2"/>
          <c:w val="0.81780341813708934"/>
          <c:h val="0.59504220310553702"/>
        </c:manualLayout>
      </c:layout>
      <c:lineChart>
        <c:grouping val="standard"/>
        <c:varyColors val="0"/>
        <c:ser>
          <c:idx val="0"/>
          <c:order val="0"/>
          <c:tx>
            <c:strRef>
              <c:f>'Fig6'!$A$22</c:f>
              <c:strCache>
                <c:ptCount val="1"/>
                <c:pt idx="0">
                  <c:v>Government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'Fig6'!$B$20:$M$21</c:f>
              <c:multiLvlStrCache>
                <c:ptCount val="12"/>
                <c:lvl>
                  <c:pt idx="0">
                    <c:v>Grade1</c:v>
                  </c:pt>
                  <c:pt idx="1">
                    <c:v>Grade2</c:v>
                  </c:pt>
                  <c:pt idx="2">
                    <c:v>Grade3</c:v>
                  </c:pt>
                  <c:pt idx="3">
                    <c:v>Grade4</c:v>
                  </c:pt>
                  <c:pt idx="4">
                    <c:v>Grade5</c:v>
                  </c:pt>
                  <c:pt idx="5">
                    <c:v>Grade6</c:v>
                  </c:pt>
                  <c:pt idx="6">
                    <c:v>Grade7</c:v>
                  </c:pt>
                  <c:pt idx="7">
                    <c:v>Grade8</c:v>
                  </c:pt>
                  <c:pt idx="8">
                    <c:v>Grade9</c:v>
                  </c:pt>
                  <c:pt idx="9">
                    <c:v>Grade10</c:v>
                  </c:pt>
                  <c:pt idx="10">
                    <c:v>Grade11</c:v>
                  </c:pt>
                  <c:pt idx="11">
                    <c:v>Grade12</c:v>
                  </c:pt>
                </c:lvl>
                <c:lvl>
                  <c:pt idx="0">
                    <c:v>Primary</c:v>
                  </c:pt>
                  <c:pt idx="6">
                    <c:v>Lower secondary</c:v>
                  </c:pt>
                  <c:pt idx="9">
                    <c:v>Upper secondary</c:v>
                  </c:pt>
                </c:lvl>
              </c:multiLvlStrCache>
            </c:multiLvlStrRef>
          </c:cat>
          <c:val>
            <c:numRef>
              <c:f>'Fig6'!$B$22:$M$22</c:f>
              <c:numCache>
                <c:formatCode>0%</c:formatCode>
                <c:ptCount val="12"/>
                <c:pt idx="0">
                  <c:v>0.12568460000000001</c:v>
                </c:pt>
                <c:pt idx="1">
                  <c:v>9.5337599999999995E-2</c:v>
                </c:pt>
                <c:pt idx="2">
                  <c:v>5.91946E-2</c:v>
                </c:pt>
                <c:pt idx="3">
                  <c:v>5.3962299999999998E-2</c:v>
                </c:pt>
                <c:pt idx="4">
                  <c:v>3.7955099999999999E-2</c:v>
                </c:pt>
                <c:pt idx="5">
                  <c:v>4.2519099999999997E-2</c:v>
                </c:pt>
                <c:pt idx="6">
                  <c:v>3.4375000000000003E-2</c:v>
                </c:pt>
                <c:pt idx="7">
                  <c:v>5.0632900000000002E-2</c:v>
                </c:pt>
                <c:pt idx="8">
                  <c:v>2.8987300000000001E-2</c:v>
                </c:pt>
                <c:pt idx="9">
                  <c:v>5.94231E-2</c:v>
                </c:pt>
                <c:pt idx="10">
                  <c:v>7.9750000000000001E-2</c:v>
                </c:pt>
                <c:pt idx="11">
                  <c:v>2.7096800000000001E-2</c:v>
                </c:pt>
              </c:numCache>
            </c:numRef>
          </c:val>
          <c:smooth val="0"/>
          <c:extLst>
            <c:ext xmlns:c16="http://schemas.microsoft.com/office/drawing/2014/chart" uri="{C3380CC4-5D6E-409C-BE32-E72D297353CC}">
              <c16:uniqueId val="{00000000-BC88-473E-A00A-D51CCE9BCC42}"/>
            </c:ext>
          </c:extLst>
        </c:ser>
        <c:ser>
          <c:idx val="1"/>
          <c:order val="1"/>
          <c:tx>
            <c:strRef>
              <c:f>'Fig6'!$A$23</c:f>
              <c:strCache>
                <c:ptCount val="1"/>
                <c:pt idx="0">
                  <c:v>Grant-Aided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'Fig6'!$B$20:$M$21</c:f>
              <c:multiLvlStrCache>
                <c:ptCount val="12"/>
                <c:lvl>
                  <c:pt idx="0">
                    <c:v>Grade1</c:v>
                  </c:pt>
                  <c:pt idx="1">
                    <c:v>Grade2</c:v>
                  </c:pt>
                  <c:pt idx="2">
                    <c:v>Grade3</c:v>
                  </c:pt>
                  <c:pt idx="3">
                    <c:v>Grade4</c:v>
                  </c:pt>
                  <c:pt idx="4">
                    <c:v>Grade5</c:v>
                  </c:pt>
                  <c:pt idx="5">
                    <c:v>Grade6</c:v>
                  </c:pt>
                  <c:pt idx="6">
                    <c:v>Grade7</c:v>
                  </c:pt>
                  <c:pt idx="7">
                    <c:v>Grade8</c:v>
                  </c:pt>
                  <c:pt idx="8">
                    <c:v>Grade9</c:v>
                  </c:pt>
                  <c:pt idx="9">
                    <c:v>Grade10</c:v>
                  </c:pt>
                  <c:pt idx="10">
                    <c:v>Grade11</c:v>
                  </c:pt>
                  <c:pt idx="11">
                    <c:v>Grade12</c:v>
                  </c:pt>
                </c:lvl>
                <c:lvl>
                  <c:pt idx="0">
                    <c:v>Primary</c:v>
                  </c:pt>
                  <c:pt idx="6">
                    <c:v>Lower secondary</c:v>
                  </c:pt>
                  <c:pt idx="9">
                    <c:v>Upper secondary</c:v>
                  </c:pt>
                </c:lvl>
              </c:multiLvlStrCache>
            </c:multiLvlStrRef>
          </c:cat>
          <c:val>
            <c:numRef>
              <c:f>'Fig6'!$B$23:$M$23</c:f>
              <c:numCache>
                <c:formatCode>0%</c:formatCode>
                <c:ptCount val="12"/>
                <c:pt idx="0">
                  <c:v>6.0270299999999999E-2</c:v>
                </c:pt>
                <c:pt idx="1">
                  <c:v>4.6216199999999999E-2</c:v>
                </c:pt>
                <c:pt idx="2">
                  <c:v>3.4285700000000002E-2</c:v>
                </c:pt>
                <c:pt idx="3">
                  <c:v>2.8000000000000001E-2</c:v>
                </c:pt>
                <c:pt idx="4">
                  <c:v>2.1470599999999999E-2</c:v>
                </c:pt>
                <c:pt idx="5">
                  <c:v>2.4375000000000001E-2</c:v>
                </c:pt>
                <c:pt idx="6">
                  <c:v>9.4117999999999997E-3</c:v>
                </c:pt>
                <c:pt idx="7">
                  <c:v>1.4999999999999999E-2</c:v>
                </c:pt>
                <c:pt idx="8">
                  <c:v>3.61538E-2</c:v>
                </c:pt>
                <c:pt idx="9">
                  <c:v>6.0857099999999997E-2</c:v>
                </c:pt>
                <c:pt idx="10">
                  <c:v>6.0909100000000001E-2</c:v>
                </c:pt>
                <c:pt idx="11">
                  <c:v>1.6060600000000001E-2</c:v>
                </c:pt>
              </c:numCache>
            </c:numRef>
          </c:val>
          <c:smooth val="0"/>
          <c:extLst>
            <c:ext xmlns:c16="http://schemas.microsoft.com/office/drawing/2014/chart" uri="{C3380CC4-5D6E-409C-BE32-E72D297353CC}">
              <c16:uniqueId val="{00000001-BC88-473E-A00A-D51CCE9BCC42}"/>
            </c:ext>
          </c:extLst>
        </c:ser>
        <c:ser>
          <c:idx val="2"/>
          <c:order val="2"/>
          <c:tx>
            <c:strRef>
              <c:f>'Fig6'!$A$24</c:f>
              <c:strCache>
                <c:ptCount val="1"/>
                <c:pt idx="0">
                  <c:v>Private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'Fig6'!$B$20:$M$21</c:f>
              <c:multiLvlStrCache>
                <c:ptCount val="12"/>
                <c:lvl>
                  <c:pt idx="0">
                    <c:v>Grade1</c:v>
                  </c:pt>
                  <c:pt idx="1">
                    <c:v>Grade2</c:v>
                  </c:pt>
                  <c:pt idx="2">
                    <c:v>Grade3</c:v>
                  </c:pt>
                  <c:pt idx="3">
                    <c:v>Grade4</c:v>
                  </c:pt>
                  <c:pt idx="4">
                    <c:v>Grade5</c:v>
                  </c:pt>
                  <c:pt idx="5">
                    <c:v>Grade6</c:v>
                  </c:pt>
                  <c:pt idx="6">
                    <c:v>Grade7</c:v>
                  </c:pt>
                  <c:pt idx="7">
                    <c:v>Grade8</c:v>
                  </c:pt>
                  <c:pt idx="8">
                    <c:v>Grade9</c:v>
                  </c:pt>
                  <c:pt idx="9">
                    <c:v>Grade10</c:v>
                  </c:pt>
                  <c:pt idx="10">
                    <c:v>Grade11</c:v>
                  </c:pt>
                  <c:pt idx="11">
                    <c:v>Grade12</c:v>
                  </c:pt>
                </c:lvl>
                <c:lvl>
                  <c:pt idx="0">
                    <c:v>Primary</c:v>
                  </c:pt>
                  <c:pt idx="6">
                    <c:v>Lower secondary</c:v>
                  </c:pt>
                  <c:pt idx="9">
                    <c:v>Upper secondary</c:v>
                  </c:pt>
                </c:lvl>
              </c:multiLvlStrCache>
            </c:multiLvlStrRef>
          </c:cat>
          <c:val>
            <c:numRef>
              <c:f>'Fig6'!$B$24:$M$24</c:f>
              <c:numCache>
                <c:formatCode>0%</c:formatCode>
                <c:ptCount val="12"/>
                <c:pt idx="0">
                  <c:v>7.5622099999999998E-2</c:v>
                </c:pt>
                <c:pt idx="1">
                  <c:v>7.5911199999999998E-2</c:v>
                </c:pt>
                <c:pt idx="2">
                  <c:v>6.5775700000000006E-2</c:v>
                </c:pt>
                <c:pt idx="3">
                  <c:v>5.6915399999999998E-2</c:v>
                </c:pt>
                <c:pt idx="4">
                  <c:v>4.4054099999999999E-2</c:v>
                </c:pt>
                <c:pt idx="5">
                  <c:v>2.0664700000000001E-2</c:v>
                </c:pt>
                <c:pt idx="6">
                  <c:v>1.6226399999999998E-2</c:v>
                </c:pt>
                <c:pt idx="7">
                  <c:v>2.12766E-2</c:v>
                </c:pt>
                <c:pt idx="8">
                  <c:v>2.6410300000000001E-2</c:v>
                </c:pt>
                <c:pt idx="9">
                  <c:v>3.3424700000000002E-2</c:v>
                </c:pt>
                <c:pt idx="10">
                  <c:v>1.78462E-2</c:v>
                </c:pt>
                <c:pt idx="11">
                  <c:v>1.1967200000000001E-2</c:v>
                </c:pt>
              </c:numCache>
            </c:numRef>
          </c:val>
          <c:smooth val="0"/>
          <c:extLst>
            <c:ext xmlns:c16="http://schemas.microsoft.com/office/drawing/2014/chart" uri="{C3380CC4-5D6E-409C-BE32-E72D297353CC}">
              <c16:uniqueId val="{00000002-BC88-473E-A00A-D51CCE9BCC42}"/>
            </c:ext>
          </c:extLst>
        </c:ser>
        <c:ser>
          <c:idx val="3"/>
          <c:order val="3"/>
          <c:tx>
            <c:strRef>
              <c:f>'Fig6'!$A$25</c:f>
              <c:strCache>
                <c:ptCount val="1"/>
                <c:pt idx="0">
                  <c:v>Total</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multiLvlStrRef>
              <c:f>'Fig6'!$B$20:$M$21</c:f>
              <c:multiLvlStrCache>
                <c:ptCount val="12"/>
                <c:lvl>
                  <c:pt idx="0">
                    <c:v>Grade1</c:v>
                  </c:pt>
                  <c:pt idx="1">
                    <c:v>Grade2</c:v>
                  </c:pt>
                  <c:pt idx="2">
                    <c:v>Grade3</c:v>
                  </c:pt>
                  <c:pt idx="3">
                    <c:v>Grade4</c:v>
                  </c:pt>
                  <c:pt idx="4">
                    <c:v>Grade5</c:v>
                  </c:pt>
                  <c:pt idx="5">
                    <c:v>Grade6</c:v>
                  </c:pt>
                  <c:pt idx="6">
                    <c:v>Grade7</c:v>
                  </c:pt>
                  <c:pt idx="7">
                    <c:v>Grade8</c:v>
                  </c:pt>
                  <c:pt idx="8">
                    <c:v>Grade9</c:v>
                  </c:pt>
                  <c:pt idx="9">
                    <c:v>Grade10</c:v>
                  </c:pt>
                  <c:pt idx="10">
                    <c:v>Grade11</c:v>
                  </c:pt>
                  <c:pt idx="11">
                    <c:v>Grade12</c:v>
                  </c:pt>
                </c:lvl>
                <c:lvl>
                  <c:pt idx="0">
                    <c:v>Primary</c:v>
                  </c:pt>
                  <c:pt idx="6">
                    <c:v>Lower secondary</c:v>
                  </c:pt>
                  <c:pt idx="9">
                    <c:v>Upper secondary</c:v>
                  </c:pt>
                </c:lvl>
              </c:multiLvlStrCache>
            </c:multiLvlStrRef>
          </c:cat>
          <c:val>
            <c:numRef>
              <c:f>'Fig6'!$B$25:$M$25</c:f>
              <c:numCache>
                <c:formatCode>0%</c:formatCode>
                <c:ptCount val="12"/>
                <c:pt idx="0">
                  <c:v>0.1003463</c:v>
                </c:pt>
                <c:pt idx="1">
                  <c:v>8.4547399999999995E-2</c:v>
                </c:pt>
                <c:pt idx="2">
                  <c:v>6.1287500000000002E-2</c:v>
                </c:pt>
                <c:pt idx="3">
                  <c:v>5.4285699999999999E-2</c:v>
                </c:pt>
                <c:pt idx="4">
                  <c:v>4.0062100000000003E-2</c:v>
                </c:pt>
                <c:pt idx="5">
                  <c:v>3.2182500000000003E-2</c:v>
                </c:pt>
                <c:pt idx="6">
                  <c:v>2.5133300000000001E-2</c:v>
                </c:pt>
                <c:pt idx="7">
                  <c:v>3.7214299999999999E-2</c:v>
                </c:pt>
                <c:pt idx="8">
                  <c:v>2.89313E-2</c:v>
                </c:pt>
                <c:pt idx="9">
                  <c:v>4.7875000000000001E-2</c:v>
                </c:pt>
                <c:pt idx="10">
                  <c:v>4.6087000000000003E-2</c:v>
                </c:pt>
                <c:pt idx="11">
                  <c:v>1.6799999999999999E-2</c:v>
                </c:pt>
              </c:numCache>
            </c:numRef>
          </c:val>
          <c:smooth val="0"/>
          <c:extLst>
            <c:ext xmlns:c16="http://schemas.microsoft.com/office/drawing/2014/chart" uri="{C3380CC4-5D6E-409C-BE32-E72D297353CC}">
              <c16:uniqueId val="{00000003-BC88-473E-A00A-D51CCE9BCC42}"/>
            </c:ext>
          </c:extLst>
        </c:ser>
        <c:dLbls>
          <c:showLegendKey val="0"/>
          <c:showVal val="0"/>
          <c:showCatName val="0"/>
          <c:showSerName val="0"/>
          <c:showPercent val="0"/>
          <c:showBubbleSize val="0"/>
        </c:dLbls>
        <c:marker val="1"/>
        <c:smooth val="0"/>
        <c:axId val="287447615"/>
        <c:axId val="287454271"/>
      </c:lineChart>
      <c:catAx>
        <c:axId val="2874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87454271"/>
        <c:crosses val="autoZero"/>
        <c:auto val="1"/>
        <c:lblAlgn val="ctr"/>
        <c:lblOffset val="100"/>
        <c:noMultiLvlLbl val="0"/>
      </c:catAx>
      <c:valAx>
        <c:axId val="2874542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7447615"/>
        <c:crosses val="autoZero"/>
        <c:crossBetween val="between"/>
      </c:valAx>
      <c:spPr>
        <a:noFill/>
        <a:ln>
          <a:noFill/>
        </a:ln>
        <a:effectLst/>
      </c:spPr>
    </c:plotArea>
    <c:legend>
      <c:legendPos val="b"/>
      <c:layout>
        <c:manualLayout>
          <c:xMode val="edge"/>
          <c:yMode val="edge"/>
          <c:x val="0.39812236341744411"/>
          <c:y val="1.0878049189538221E-2"/>
          <c:w val="0.53147059587848544"/>
          <c:h val="0.208037701357617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Sylfaen" panose="010A0502050306030303" pitchFamily="18" charset="0"/>
                <a:ea typeface="+mn-ea"/>
                <a:cs typeface="+mn-cs"/>
              </a:defRPr>
            </a:pPr>
            <a:r>
              <a:rPr lang="en-US"/>
              <a:t>Grade 1, 2010-2016</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Sylfaen" panose="010A0502050306030303" pitchFamily="18" charset="0"/>
              <a:ea typeface="+mn-ea"/>
              <a:cs typeface="+mn-cs"/>
            </a:defRPr>
          </a:pPr>
          <a:endParaRPr lang="en-US"/>
        </a:p>
      </c:txPr>
    </c:title>
    <c:autoTitleDeleted val="0"/>
    <c:plotArea>
      <c:layout>
        <c:manualLayout>
          <c:layoutTarget val="inner"/>
          <c:xMode val="edge"/>
          <c:yMode val="edge"/>
          <c:x val="0.12837157731521184"/>
          <c:y val="2.7927704877444913E-2"/>
          <c:w val="0.82322358220073977"/>
          <c:h val="0.75006404095501922"/>
        </c:manualLayout>
      </c:layout>
      <c:lineChart>
        <c:grouping val="standard"/>
        <c:varyColors val="0"/>
        <c:ser>
          <c:idx val="0"/>
          <c:order val="0"/>
          <c:tx>
            <c:strRef>
              <c:f>'Fig7'!$P$43</c:f>
              <c:strCache>
                <c:ptCount val="1"/>
                <c:pt idx="0">
                  <c:v>Government</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'Fig7'!$O$44:$O$50</c:f>
              <c:numCache>
                <c:formatCode>General</c:formatCode>
                <c:ptCount val="7"/>
                <c:pt idx="0">
                  <c:v>2009</c:v>
                </c:pt>
                <c:pt idx="1">
                  <c:v>2010</c:v>
                </c:pt>
                <c:pt idx="2">
                  <c:v>2011</c:v>
                </c:pt>
                <c:pt idx="3">
                  <c:v>2012</c:v>
                </c:pt>
                <c:pt idx="4">
                  <c:v>2013</c:v>
                </c:pt>
                <c:pt idx="5">
                  <c:v>2014</c:v>
                </c:pt>
                <c:pt idx="6">
                  <c:v>2015</c:v>
                </c:pt>
              </c:numCache>
            </c:numRef>
          </c:cat>
          <c:val>
            <c:numRef>
              <c:f>'Fig7'!$P$44:$P$50</c:f>
              <c:numCache>
                <c:formatCode>0%</c:formatCode>
                <c:ptCount val="7"/>
                <c:pt idx="0">
                  <c:v>6.0134399999999998E-2</c:v>
                </c:pt>
                <c:pt idx="1">
                  <c:v>5.9463799999999997E-2</c:v>
                </c:pt>
                <c:pt idx="2">
                  <c:v>7.4842099999999995E-2</c:v>
                </c:pt>
                <c:pt idx="3">
                  <c:v>7.3545200000000005E-2</c:v>
                </c:pt>
                <c:pt idx="4">
                  <c:v>6.8473800000000001E-2</c:v>
                </c:pt>
                <c:pt idx="5">
                  <c:v>0.11380129999999999</c:v>
                </c:pt>
                <c:pt idx="6">
                  <c:v>0.12568460000000001</c:v>
                </c:pt>
              </c:numCache>
            </c:numRef>
          </c:val>
          <c:smooth val="0"/>
          <c:extLst>
            <c:ext xmlns:c16="http://schemas.microsoft.com/office/drawing/2014/chart" uri="{C3380CC4-5D6E-409C-BE32-E72D297353CC}">
              <c16:uniqueId val="{00000000-9784-4CD6-851D-30356194CCCA}"/>
            </c:ext>
          </c:extLst>
        </c:ser>
        <c:ser>
          <c:idx val="1"/>
          <c:order val="1"/>
          <c:tx>
            <c:strRef>
              <c:f>'Fig7'!$Q$43</c:f>
              <c:strCache>
                <c:ptCount val="1"/>
                <c:pt idx="0">
                  <c:v>Grant-Aided</c:v>
                </c:pt>
              </c:strCache>
            </c:strRef>
          </c:tx>
          <c:spPr>
            <a:ln w="28575" cap="rnd">
              <a:solidFill>
                <a:schemeClr val="accent2"/>
              </a:solidFill>
              <a:round/>
            </a:ln>
            <a:effectLst/>
          </c:spPr>
          <c:marker>
            <c:symbol val="none"/>
          </c:marker>
          <c:cat>
            <c:numRef>
              <c:f>'Fig7'!$O$44:$O$50</c:f>
              <c:numCache>
                <c:formatCode>General</c:formatCode>
                <c:ptCount val="7"/>
                <c:pt idx="0">
                  <c:v>2009</c:v>
                </c:pt>
                <c:pt idx="1">
                  <c:v>2010</c:v>
                </c:pt>
                <c:pt idx="2">
                  <c:v>2011</c:v>
                </c:pt>
                <c:pt idx="3">
                  <c:v>2012</c:v>
                </c:pt>
                <c:pt idx="4">
                  <c:v>2013</c:v>
                </c:pt>
                <c:pt idx="5">
                  <c:v>2014</c:v>
                </c:pt>
                <c:pt idx="6">
                  <c:v>2015</c:v>
                </c:pt>
              </c:numCache>
            </c:numRef>
          </c:cat>
          <c:val>
            <c:numRef>
              <c:f>'Fig7'!$Q$44:$Q$50</c:f>
              <c:numCache>
                <c:formatCode>0%</c:formatCode>
                <c:ptCount val="7"/>
                <c:pt idx="0">
                  <c:v>4.7777800000000002E-2</c:v>
                </c:pt>
                <c:pt idx="1">
                  <c:v>4.8076899999999999E-2</c:v>
                </c:pt>
                <c:pt idx="2">
                  <c:v>1.5185199999999999E-2</c:v>
                </c:pt>
                <c:pt idx="3">
                  <c:v>6.6363599999999995E-2</c:v>
                </c:pt>
                <c:pt idx="4">
                  <c:v>5.3235299999999999E-2</c:v>
                </c:pt>
                <c:pt idx="5">
                  <c:v>4.7026999999999999E-2</c:v>
                </c:pt>
                <c:pt idx="6">
                  <c:v>6.0270299999999999E-2</c:v>
                </c:pt>
              </c:numCache>
            </c:numRef>
          </c:val>
          <c:smooth val="0"/>
          <c:extLst>
            <c:ext xmlns:c16="http://schemas.microsoft.com/office/drawing/2014/chart" uri="{C3380CC4-5D6E-409C-BE32-E72D297353CC}">
              <c16:uniqueId val="{00000001-9784-4CD6-851D-30356194CCCA}"/>
            </c:ext>
          </c:extLst>
        </c:ser>
        <c:ser>
          <c:idx val="2"/>
          <c:order val="2"/>
          <c:tx>
            <c:strRef>
              <c:f>'Fig7'!$R$43</c:f>
              <c:strCache>
                <c:ptCount val="1"/>
                <c:pt idx="0">
                  <c:v>Private</c:v>
                </c:pt>
              </c:strCache>
            </c:strRef>
          </c:tx>
          <c:spPr>
            <a:ln w="28575" cap="rnd">
              <a:solidFill>
                <a:schemeClr val="accent3"/>
              </a:solidFill>
              <a:round/>
            </a:ln>
            <a:effectLst/>
          </c:spPr>
          <c:marker>
            <c:symbol val="none"/>
          </c:marker>
          <c:cat>
            <c:numRef>
              <c:f>'Fig7'!$O$44:$O$50</c:f>
              <c:numCache>
                <c:formatCode>General</c:formatCode>
                <c:ptCount val="7"/>
                <c:pt idx="0">
                  <c:v>2009</c:v>
                </c:pt>
                <c:pt idx="1">
                  <c:v>2010</c:v>
                </c:pt>
                <c:pt idx="2">
                  <c:v>2011</c:v>
                </c:pt>
                <c:pt idx="3">
                  <c:v>2012</c:v>
                </c:pt>
                <c:pt idx="4">
                  <c:v>2013</c:v>
                </c:pt>
                <c:pt idx="5">
                  <c:v>2014</c:v>
                </c:pt>
                <c:pt idx="6">
                  <c:v>2015</c:v>
                </c:pt>
              </c:numCache>
            </c:numRef>
          </c:cat>
          <c:val>
            <c:numRef>
              <c:f>'Fig7'!$R$44:$R$50</c:f>
              <c:numCache>
                <c:formatCode>0%</c:formatCode>
                <c:ptCount val="7"/>
                <c:pt idx="0">
                  <c:v>2.0671599999999998E-2</c:v>
                </c:pt>
                <c:pt idx="1">
                  <c:v>2.1654400000000001E-2</c:v>
                </c:pt>
                <c:pt idx="2">
                  <c:v>1.2429600000000001E-2</c:v>
                </c:pt>
                <c:pt idx="3">
                  <c:v>4.2325599999999998E-2</c:v>
                </c:pt>
                <c:pt idx="4">
                  <c:v>3.9973799999999997E-2</c:v>
                </c:pt>
                <c:pt idx="5">
                  <c:v>5.1952900000000003E-2</c:v>
                </c:pt>
                <c:pt idx="6">
                  <c:v>7.5622099999999998E-2</c:v>
                </c:pt>
              </c:numCache>
            </c:numRef>
          </c:val>
          <c:smooth val="0"/>
          <c:extLst>
            <c:ext xmlns:c16="http://schemas.microsoft.com/office/drawing/2014/chart" uri="{C3380CC4-5D6E-409C-BE32-E72D297353CC}">
              <c16:uniqueId val="{00000002-9784-4CD6-851D-30356194CCCA}"/>
            </c:ext>
          </c:extLst>
        </c:ser>
        <c:dLbls>
          <c:showLegendKey val="0"/>
          <c:showVal val="0"/>
          <c:showCatName val="0"/>
          <c:showSerName val="0"/>
          <c:showPercent val="0"/>
          <c:showBubbleSize val="0"/>
        </c:dLbls>
        <c:smooth val="0"/>
        <c:axId val="272919215"/>
        <c:axId val="272913807"/>
      </c:lineChart>
      <c:catAx>
        <c:axId val="272919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72913807"/>
        <c:crosses val="autoZero"/>
        <c:auto val="1"/>
        <c:lblAlgn val="ctr"/>
        <c:lblOffset val="100"/>
        <c:noMultiLvlLbl val="0"/>
      </c:catAx>
      <c:valAx>
        <c:axId val="272913807"/>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72919215"/>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Sylfaen" panose="010A0502050306030303"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baseline="0">
                <a:solidFill>
                  <a:schemeClr val="tx2"/>
                </a:solidFill>
                <a:latin typeface="Sylfaen" panose="010A0502050306030303" pitchFamily="18" charset="0"/>
                <a:ea typeface="+mn-ea"/>
                <a:cs typeface="+mn-cs"/>
              </a:defRPr>
            </a:pPr>
            <a:r>
              <a:rPr lang="en-US"/>
              <a:t>Lower secondary</a:t>
            </a:r>
          </a:p>
        </c:rich>
      </c:tx>
      <c:layout>
        <c:manualLayout>
          <c:xMode val="edge"/>
          <c:yMode val="edge"/>
          <c:x val="9.3736822884082655E-4"/>
          <c:y val="7.0154931919333982E-3"/>
        </c:manualLayout>
      </c:layout>
      <c:overlay val="0"/>
      <c:spPr>
        <a:noFill/>
        <a:ln>
          <a:noFill/>
        </a:ln>
        <a:effectLst/>
      </c:spPr>
      <c:txPr>
        <a:bodyPr rot="0" spcFirstLastPara="1" vertOverflow="ellipsis" vert="horz" wrap="square" anchor="ctr" anchorCtr="1"/>
        <a:lstStyle/>
        <a:p>
          <a:pPr>
            <a:defRPr sz="960" b="1" i="0" u="none" strike="noStrike" kern="1200" baseline="0">
              <a:solidFill>
                <a:schemeClr val="tx2"/>
              </a:solidFill>
              <a:latin typeface="Sylfaen" panose="010A0502050306030303" pitchFamily="18" charset="0"/>
              <a:ea typeface="+mn-ea"/>
              <a:cs typeface="+mn-cs"/>
            </a:defRPr>
          </a:pPr>
          <a:endParaRPr lang="en-US"/>
        </a:p>
      </c:txPr>
    </c:title>
    <c:autoTitleDeleted val="0"/>
    <c:plotArea>
      <c:layout>
        <c:manualLayout>
          <c:layoutTarget val="inner"/>
          <c:xMode val="edge"/>
          <c:yMode val="edge"/>
          <c:x val="9.0114879688731428E-2"/>
          <c:y val="8.1474332376518341E-2"/>
          <c:w val="0.85578232500017748"/>
          <c:h val="0.82995386512371205"/>
        </c:manualLayout>
      </c:layout>
      <c:barChart>
        <c:barDir val="bar"/>
        <c:grouping val="clustered"/>
        <c:varyColors val="0"/>
        <c:ser>
          <c:idx val="0"/>
          <c:order val="0"/>
          <c:tx>
            <c:strRef>
              <c:f>'GER regional comp'!$B$22</c:f>
              <c:strCache>
                <c:ptCount val="1"/>
                <c:pt idx="0">
                  <c:v>Rural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comp'!$C$21:$D$21</c:f>
              <c:strCache>
                <c:ptCount val="2"/>
                <c:pt idx="0">
                  <c:v>SSA</c:v>
                </c:pt>
                <c:pt idx="1">
                  <c:v>Gambia</c:v>
                </c:pt>
              </c:strCache>
            </c:strRef>
          </c:cat>
          <c:val>
            <c:numRef>
              <c:f>'GER regional comp'!$C$22:$D$22</c:f>
              <c:numCache>
                <c:formatCode>0</c:formatCode>
                <c:ptCount val="2"/>
                <c:pt idx="0">
                  <c:v>57.544240000000002</c:v>
                </c:pt>
                <c:pt idx="1">
                  <c:v>49.69182</c:v>
                </c:pt>
              </c:numCache>
            </c:numRef>
          </c:val>
          <c:extLst>
            <c:ext xmlns:c16="http://schemas.microsoft.com/office/drawing/2014/chart" uri="{C3380CC4-5D6E-409C-BE32-E72D297353CC}">
              <c16:uniqueId val="{00000000-ED1A-43D3-B644-73DE1A959DD5}"/>
            </c:ext>
          </c:extLst>
        </c:ser>
        <c:ser>
          <c:idx val="1"/>
          <c:order val="1"/>
          <c:tx>
            <c:strRef>
              <c:f>'GER regional comp'!$B$23</c:f>
              <c:strCache>
                <c:ptCount val="1"/>
                <c:pt idx="0">
                  <c:v>Poorest</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comp'!$C$21:$D$21</c:f>
              <c:strCache>
                <c:ptCount val="2"/>
                <c:pt idx="0">
                  <c:v>SSA</c:v>
                </c:pt>
                <c:pt idx="1">
                  <c:v>Gambia</c:v>
                </c:pt>
              </c:strCache>
            </c:strRef>
          </c:cat>
          <c:val>
            <c:numRef>
              <c:f>'GER regional comp'!$C$23:$D$23</c:f>
              <c:numCache>
                <c:formatCode>0</c:formatCode>
                <c:ptCount val="2"/>
                <c:pt idx="0">
                  <c:v>40.906579999999998</c:v>
                </c:pt>
                <c:pt idx="1">
                  <c:v>48.459160000000004</c:v>
                </c:pt>
              </c:numCache>
            </c:numRef>
          </c:val>
          <c:extLst>
            <c:ext xmlns:c16="http://schemas.microsoft.com/office/drawing/2014/chart" uri="{C3380CC4-5D6E-409C-BE32-E72D297353CC}">
              <c16:uniqueId val="{00000001-ED1A-43D3-B644-73DE1A959DD5}"/>
            </c:ext>
          </c:extLst>
        </c:ser>
        <c:ser>
          <c:idx val="2"/>
          <c:order val="2"/>
          <c:tx>
            <c:strRef>
              <c:f>'GER regional comp'!$B$24</c:f>
              <c:strCache>
                <c:ptCount val="1"/>
                <c:pt idx="0">
                  <c:v>Female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comp'!$C$21:$D$21</c:f>
              <c:strCache>
                <c:ptCount val="2"/>
                <c:pt idx="0">
                  <c:v>SSA</c:v>
                </c:pt>
                <c:pt idx="1">
                  <c:v>Gambia</c:v>
                </c:pt>
              </c:strCache>
            </c:strRef>
          </c:cat>
          <c:val>
            <c:numRef>
              <c:f>'GER regional comp'!$C$24:$D$24</c:f>
              <c:numCache>
                <c:formatCode>0</c:formatCode>
                <c:ptCount val="2"/>
                <c:pt idx="0">
                  <c:v>66.927310000000006</c:v>
                </c:pt>
                <c:pt idx="1">
                  <c:v>66.440600000000003</c:v>
                </c:pt>
              </c:numCache>
            </c:numRef>
          </c:val>
          <c:extLst>
            <c:ext xmlns:c16="http://schemas.microsoft.com/office/drawing/2014/chart" uri="{C3380CC4-5D6E-409C-BE32-E72D297353CC}">
              <c16:uniqueId val="{00000002-ED1A-43D3-B644-73DE1A959DD5}"/>
            </c:ext>
          </c:extLst>
        </c:ser>
        <c:ser>
          <c:idx val="3"/>
          <c:order val="3"/>
          <c:tx>
            <c:strRef>
              <c:f>'GER regional comp'!$B$25</c:f>
              <c:strCache>
                <c:ptCount val="1"/>
                <c:pt idx="0">
                  <c:v>Average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comp'!$C$21:$D$21</c:f>
              <c:strCache>
                <c:ptCount val="2"/>
                <c:pt idx="0">
                  <c:v>SSA</c:v>
                </c:pt>
                <c:pt idx="1">
                  <c:v>Gambia</c:v>
                </c:pt>
              </c:strCache>
            </c:strRef>
          </c:cat>
          <c:val>
            <c:numRef>
              <c:f>'GER regional comp'!$C$25:$D$25</c:f>
              <c:numCache>
                <c:formatCode>0</c:formatCode>
                <c:ptCount val="2"/>
                <c:pt idx="0">
                  <c:v>70.846590000000006</c:v>
                </c:pt>
                <c:pt idx="1">
                  <c:v>62.002120000000005</c:v>
                </c:pt>
              </c:numCache>
            </c:numRef>
          </c:val>
          <c:extLst>
            <c:ext xmlns:c16="http://schemas.microsoft.com/office/drawing/2014/chart" uri="{C3380CC4-5D6E-409C-BE32-E72D297353CC}">
              <c16:uniqueId val="{00000003-ED1A-43D3-B644-73DE1A959DD5}"/>
            </c:ext>
          </c:extLst>
        </c:ser>
        <c:ser>
          <c:idx val="4"/>
          <c:order val="4"/>
          <c:tx>
            <c:strRef>
              <c:f>'GER regional comp'!$B$26</c:f>
              <c:strCache>
                <c:ptCount val="1"/>
                <c:pt idx="0">
                  <c:v>Male</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comp'!$C$21:$D$21</c:f>
              <c:strCache>
                <c:ptCount val="2"/>
                <c:pt idx="0">
                  <c:v>SSA</c:v>
                </c:pt>
                <c:pt idx="1">
                  <c:v>Gambia</c:v>
                </c:pt>
              </c:strCache>
            </c:strRef>
          </c:cat>
          <c:val>
            <c:numRef>
              <c:f>'GER regional comp'!$C$26:$D$26</c:f>
              <c:numCache>
                <c:formatCode>0</c:formatCode>
                <c:ptCount val="2"/>
                <c:pt idx="0">
                  <c:v>74.800139999999999</c:v>
                </c:pt>
                <c:pt idx="1">
                  <c:v>57.009250000000002</c:v>
                </c:pt>
              </c:numCache>
            </c:numRef>
          </c:val>
          <c:extLst>
            <c:ext xmlns:c16="http://schemas.microsoft.com/office/drawing/2014/chart" uri="{C3380CC4-5D6E-409C-BE32-E72D297353CC}">
              <c16:uniqueId val="{00000004-ED1A-43D3-B644-73DE1A959DD5}"/>
            </c:ext>
          </c:extLst>
        </c:ser>
        <c:ser>
          <c:idx val="5"/>
          <c:order val="5"/>
          <c:tx>
            <c:strRef>
              <c:f>'GER regional comp'!$B$27</c:f>
              <c:strCache>
                <c:ptCount val="1"/>
                <c:pt idx="0">
                  <c:v>Urban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comp'!$C$21:$D$21</c:f>
              <c:strCache>
                <c:ptCount val="2"/>
                <c:pt idx="0">
                  <c:v>SSA</c:v>
                </c:pt>
                <c:pt idx="1">
                  <c:v>Gambia</c:v>
                </c:pt>
              </c:strCache>
            </c:strRef>
          </c:cat>
          <c:val>
            <c:numRef>
              <c:f>'GER regional comp'!$C$27:$D$27</c:f>
              <c:numCache>
                <c:formatCode>0</c:formatCode>
                <c:ptCount val="2"/>
                <c:pt idx="0">
                  <c:v>92.586240000000004</c:v>
                </c:pt>
                <c:pt idx="1">
                  <c:v>72.981450000000009</c:v>
                </c:pt>
              </c:numCache>
            </c:numRef>
          </c:val>
          <c:extLst>
            <c:ext xmlns:c16="http://schemas.microsoft.com/office/drawing/2014/chart" uri="{C3380CC4-5D6E-409C-BE32-E72D297353CC}">
              <c16:uniqueId val="{00000005-ED1A-43D3-B644-73DE1A959DD5}"/>
            </c:ext>
          </c:extLst>
        </c:ser>
        <c:ser>
          <c:idx val="6"/>
          <c:order val="6"/>
          <c:tx>
            <c:strRef>
              <c:f>'GER regional comp'!$B$28</c:f>
              <c:strCache>
                <c:ptCount val="1"/>
                <c:pt idx="0">
                  <c:v>Richest</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comp'!$C$21:$D$21</c:f>
              <c:strCache>
                <c:ptCount val="2"/>
                <c:pt idx="0">
                  <c:v>SSA</c:v>
                </c:pt>
                <c:pt idx="1">
                  <c:v>Gambia</c:v>
                </c:pt>
              </c:strCache>
            </c:strRef>
          </c:cat>
          <c:val>
            <c:numRef>
              <c:f>'GER regional comp'!$C$28:$D$28</c:f>
              <c:numCache>
                <c:formatCode>0</c:formatCode>
                <c:ptCount val="2"/>
                <c:pt idx="0">
                  <c:v>98.293980000000005</c:v>
                </c:pt>
                <c:pt idx="1">
                  <c:v>83.410600000000002</c:v>
                </c:pt>
              </c:numCache>
            </c:numRef>
          </c:val>
          <c:extLst>
            <c:ext xmlns:c16="http://schemas.microsoft.com/office/drawing/2014/chart" uri="{C3380CC4-5D6E-409C-BE32-E72D297353CC}">
              <c16:uniqueId val="{00000006-ED1A-43D3-B644-73DE1A959DD5}"/>
            </c:ext>
          </c:extLst>
        </c:ser>
        <c:dLbls>
          <c:showLegendKey val="0"/>
          <c:showVal val="0"/>
          <c:showCatName val="0"/>
          <c:showSerName val="0"/>
          <c:showPercent val="0"/>
          <c:showBubbleSize val="0"/>
        </c:dLbls>
        <c:gapWidth val="100"/>
        <c:axId val="456237344"/>
        <c:axId val="456237736"/>
      </c:barChart>
      <c:catAx>
        <c:axId val="456237344"/>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crossAx val="456237736"/>
        <c:crosses val="autoZero"/>
        <c:auto val="1"/>
        <c:lblAlgn val="ctr"/>
        <c:lblOffset val="100"/>
        <c:noMultiLvlLbl val="0"/>
      </c:catAx>
      <c:valAx>
        <c:axId val="456237736"/>
        <c:scaling>
          <c:orientation val="minMax"/>
        </c:scaling>
        <c:delete val="0"/>
        <c:axPos val="b"/>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crossAx val="456237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800">
          <a:latin typeface="Sylfaen" panose="010A0502050306030303" pitchFamily="18" charset="0"/>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8.6811023622047345E-3"/>
          <c:w val="0.93888888888888888"/>
          <c:h val="0.74396246876326089"/>
        </c:manualLayout>
      </c:layout>
      <c:barChart>
        <c:barDir val="col"/>
        <c:grouping val="stacked"/>
        <c:varyColors val="0"/>
        <c:ser>
          <c:idx val="0"/>
          <c:order val="0"/>
          <c:tx>
            <c:strRef>
              <c:f>'Fig8'!$C$2</c:f>
              <c:strCache>
                <c:ptCount val="1"/>
                <c:pt idx="0">
                  <c:v>Never attended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'Fig8'!$A$3:$B$8</c:f>
              <c:multiLvlStrCache>
                <c:ptCount val="6"/>
                <c:lvl>
                  <c:pt idx="0">
                    <c:v>2010</c:v>
                  </c:pt>
                  <c:pt idx="1">
                    <c:v>2015</c:v>
                  </c:pt>
                  <c:pt idx="2">
                    <c:v>2010</c:v>
                  </c:pt>
                  <c:pt idx="3">
                    <c:v>2015</c:v>
                  </c:pt>
                  <c:pt idx="4">
                    <c:v>2010</c:v>
                  </c:pt>
                  <c:pt idx="5">
                    <c:v>2015</c:v>
                  </c:pt>
                </c:lvl>
                <c:lvl>
                  <c:pt idx="0">
                    <c:v>LBS</c:v>
                  </c:pt>
                  <c:pt idx="2">
                    <c:v>UBS</c:v>
                  </c:pt>
                  <c:pt idx="4">
                    <c:v>SSS</c:v>
                  </c:pt>
                </c:lvl>
              </c:multiLvlStrCache>
            </c:multiLvlStrRef>
          </c:cat>
          <c:val>
            <c:numRef>
              <c:f>'Fig8'!$C$3:$C$8</c:f>
              <c:numCache>
                <c:formatCode>_(* #,##0.0_);_(* \(#,##0.0\);_(* "-"??_);_(@_)</c:formatCode>
                <c:ptCount val="6"/>
                <c:pt idx="0">
                  <c:v>24.72</c:v>
                </c:pt>
                <c:pt idx="1">
                  <c:v>28.83</c:v>
                </c:pt>
                <c:pt idx="2">
                  <c:v>20.3</c:v>
                </c:pt>
                <c:pt idx="3">
                  <c:v>23.97</c:v>
                </c:pt>
                <c:pt idx="4">
                  <c:v>23.11</c:v>
                </c:pt>
                <c:pt idx="5">
                  <c:v>26.58</c:v>
                </c:pt>
              </c:numCache>
            </c:numRef>
          </c:val>
          <c:extLst>
            <c:ext xmlns:c16="http://schemas.microsoft.com/office/drawing/2014/chart" uri="{C3380CC4-5D6E-409C-BE32-E72D297353CC}">
              <c16:uniqueId val="{00000000-7B5A-4C45-A915-2B1309AC818D}"/>
            </c:ext>
          </c:extLst>
        </c:ser>
        <c:ser>
          <c:idx val="1"/>
          <c:order val="1"/>
          <c:tx>
            <c:strRef>
              <c:f>'Fig8'!$D$2</c:f>
              <c:strCache>
                <c:ptCount val="1"/>
                <c:pt idx="0">
                  <c:v>Dropout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'Fig8'!$A$3:$B$8</c:f>
              <c:multiLvlStrCache>
                <c:ptCount val="6"/>
                <c:lvl>
                  <c:pt idx="0">
                    <c:v>2010</c:v>
                  </c:pt>
                  <c:pt idx="1">
                    <c:v>2015</c:v>
                  </c:pt>
                  <c:pt idx="2">
                    <c:v>2010</c:v>
                  </c:pt>
                  <c:pt idx="3">
                    <c:v>2015</c:v>
                  </c:pt>
                  <c:pt idx="4">
                    <c:v>2010</c:v>
                  </c:pt>
                  <c:pt idx="5">
                    <c:v>2015</c:v>
                  </c:pt>
                </c:lvl>
                <c:lvl>
                  <c:pt idx="0">
                    <c:v>LBS</c:v>
                  </c:pt>
                  <c:pt idx="2">
                    <c:v>UBS</c:v>
                  </c:pt>
                  <c:pt idx="4">
                    <c:v>SSS</c:v>
                  </c:pt>
                </c:lvl>
              </c:multiLvlStrCache>
            </c:multiLvlStrRef>
          </c:cat>
          <c:val>
            <c:numRef>
              <c:f>'Fig8'!$D$3:$D$8</c:f>
              <c:numCache>
                <c:formatCode>_(* #,##0.0_);_(* \(#,##0.0\);_(* "-"??_);_(@_)</c:formatCode>
                <c:ptCount val="6"/>
                <c:pt idx="0">
                  <c:v>2.46</c:v>
                </c:pt>
                <c:pt idx="1">
                  <c:v>1.49</c:v>
                </c:pt>
                <c:pt idx="2">
                  <c:v>9.57</c:v>
                </c:pt>
                <c:pt idx="3">
                  <c:v>5.75</c:v>
                </c:pt>
                <c:pt idx="4">
                  <c:v>24.05</c:v>
                </c:pt>
                <c:pt idx="5">
                  <c:v>16.18</c:v>
                </c:pt>
              </c:numCache>
            </c:numRef>
          </c:val>
          <c:extLst>
            <c:ext xmlns:c16="http://schemas.microsoft.com/office/drawing/2014/chart" uri="{C3380CC4-5D6E-409C-BE32-E72D297353CC}">
              <c16:uniqueId val="{00000001-7B5A-4C45-A915-2B1309AC818D}"/>
            </c:ext>
          </c:extLst>
        </c:ser>
        <c:ser>
          <c:idx val="2"/>
          <c:order val="2"/>
          <c:tx>
            <c:strRef>
              <c:f>'Fig8'!$E$2</c:f>
              <c:strCache>
                <c:ptCount val="1"/>
              </c:strCache>
            </c:strRef>
          </c:tx>
          <c:spPr>
            <a:noFill/>
            <a:ln>
              <a:noFill/>
            </a:ln>
            <a:effectLst/>
          </c:spPr>
          <c:invertIfNegative val="0"/>
          <c:dLbls>
            <c:dLbl>
              <c:idx val="0"/>
              <c:tx>
                <c:rich>
                  <a:bodyPr/>
                  <a:lstStyle/>
                  <a:p>
                    <a:fld id="{DC3752B3-16F7-4981-A94B-D486E1B48E27}"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7B5A-4C45-A915-2B1309AC818D}"/>
                </c:ext>
              </c:extLst>
            </c:dLbl>
            <c:dLbl>
              <c:idx val="1"/>
              <c:tx>
                <c:rich>
                  <a:bodyPr/>
                  <a:lstStyle/>
                  <a:p>
                    <a:fld id="{7A8D9E1F-F83B-443F-B9B3-B7528AD444E1}"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7B5A-4C45-A915-2B1309AC818D}"/>
                </c:ext>
              </c:extLst>
            </c:dLbl>
            <c:dLbl>
              <c:idx val="2"/>
              <c:tx>
                <c:rich>
                  <a:bodyPr/>
                  <a:lstStyle/>
                  <a:p>
                    <a:fld id="{5A6D9F7A-1768-457F-A3E3-343B87775F5D}"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7B5A-4C45-A915-2B1309AC818D}"/>
                </c:ext>
              </c:extLst>
            </c:dLbl>
            <c:dLbl>
              <c:idx val="3"/>
              <c:tx>
                <c:rich>
                  <a:bodyPr/>
                  <a:lstStyle/>
                  <a:p>
                    <a:fld id="{1133BBB3-F8F7-4312-AD96-119A34437FF9}"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7B5A-4C45-A915-2B1309AC818D}"/>
                </c:ext>
              </c:extLst>
            </c:dLbl>
            <c:dLbl>
              <c:idx val="4"/>
              <c:tx>
                <c:rich>
                  <a:bodyPr/>
                  <a:lstStyle/>
                  <a:p>
                    <a:fld id="{869224BD-C73D-48C3-AAAB-EDCDC49569EA}"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7B5A-4C45-A915-2B1309AC818D}"/>
                </c:ext>
              </c:extLst>
            </c:dLbl>
            <c:dLbl>
              <c:idx val="5"/>
              <c:tx>
                <c:rich>
                  <a:bodyPr/>
                  <a:lstStyle/>
                  <a:p>
                    <a:fld id="{69EBDF1A-C766-4CED-93D3-E86E9E36754A}"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7B5A-4C45-A915-2B1309AC818D}"/>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inBase"/>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a:solidFill>
                        <a:schemeClr val="tx1">
                          <a:lumMod val="35000"/>
                          <a:lumOff val="65000"/>
                        </a:schemeClr>
                      </a:solidFill>
                    </a:ln>
                    <a:effectLst/>
                  </c:spPr>
                </c15:leaderLines>
              </c:ext>
            </c:extLst>
          </c:dLbls>
          <c:cat>
            <c:multiLvlStrRef>
              <c:f>'Fig8'!$A$3:$B$8</c:f>
              <c:multiLvlStrCache>
                <c:ptCount val="6"/>
                <c:lvl>
                  <c:pt idx="0">
                    <c:v>2010</c:v>
                  </c:pt>
                  <c:pt idx="1">
                    <c:v>2015</c:v>
                  </c:pt>
                  <c:pt idx="2">
                    <c:v>2010</c:v>
                  </c:pt>
                  <c:pt idx="3">
                    <c:v>2015</c:v>
                  </c:pt>
                  <c:pt idx="4">
                    <c:v>2010</c:v>
                  </c:pt>
                  <c:pt idx="5">
                    <c:v>2015</c:v>
                  </c:pt>
                </c:lvl>
                <c:lvl>
                  <c:pt idx="0">
                    <c:v>LBS</c:v>
                  </c:pt>
                  <c:pt idx="2">
                    <c:v>UBS</c:v>
                  </c:pt>
                  <c:pt idx="4">
                    <c:v>SSS</c:v>
                  </c:pt>
                </c:lvl>
              </c:multiLvlStrCache>
            </c:multiLvlStrRef>
          </c:cat>
          <c:val>
            <c:numRef>
              <c:f>'Fig8'!$E$3:$E$8</c:f>
              <c:numCache>
                <c:formatCode>General</c:formatCode>
                <c:ptCount val="6"/>
                <c:pt idx="0">
                  <c:v>10</c:v>
                </c:pt>
                <c:pt idx="1">
                  <c:v>10</c:v>
                </c:pt>
                <c:pt idx="2">
                  <c:v>10</c:v>
                </c:pt>
                <c:pt idx="3">
                  <c:v>10</c:v>
                </c:pt>
                <c:pt idx="4">
                  <c:v>10</c:v>
                </c:pt>
                <c:pt idx="5">
                  <c:v>10</c:v>
                </c:pt>
              </c:numCache>
            </c:numRef>
          </c:val>
          <c:extLst>
            <c:ext xmlns:c15="http://schemas.microsoft.com/office/drawing/2012/chart" uri="{02D57815-91ED-43cb-92C2-25804820EDAC}">
              <c15:datalabelsRange>
                <c15:f>'Fig8'!$F$3:$F$8</c15:f>
                <c15:dlblRangeCache>
                  <c:ptCount val="6"/>
                  <c:pt idx="0">
                    <c:v> 27 </c:v>
                  </c:pt>
                  <c:pt idx="1">
                    <c:v> 30 </c:v>
                  </c:pt>
                  <c:pt idx="2">
                    <c:v> 30 </c:v>
                  </c:pt>
                  <c:pt idx="3">
                    <c:v> 30 </c:v>
                  </c:pt>
                  <c:pt idx="4">
                    <c:v> 47 </c:v>
                  </c:pt>
                  <c:pt idx="5">
                    <c:v> 43 </c:v>
                  </c:pt>
                </c15:dlblRangeCache>
              </c15:datalabelsRange>
            </c:ext>
            <c:ext xmlns:c16="http://schemas.microsoft.com/office/drawing/2014/chart" uri="{C3380CC4-5D6E-409C-BE32-E72D297353CC}">
              <c16:uniqueId val="{00000008-7B5A-4C45-A915-2B1309AC818D}"/>
            </c:ext>
          </c:extLst>
        </c:ser>
        <c:dLbls>
          <c:dLblPos val="ctr"/>
          <c:showLegendKey val="0"/>
          <c:showVal val="1"/>
          <c:showCatName val="0"/>
          <c:showSerName val="0"/>
          <c:showPercent val="0"/>
          <c:showBubbleSize val="0"/>
        </c:dLbls>
        <c:gapWidth val="79"/>
        <c:overlap val="100"/>
        <c:axId val="1364294303"/>
        <c:axId val="1364293887"/>
      </c:barChart>
      <c:catAx>
        <c:axId val="1364294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364293887"/>
        <c:crosses val="autoZero"/>
        <c:auto val="1"/>
        <c:lblAlgn val="ctr"/>
        <c:lblOffset val="100"/>
        <c:noMultiLvlLbl val="0"/>
      </c:catAx>
      <c:valAx>
        <c:axId val="1364293887"/>
        <c:scaling>
          <c:orientation val="minMax"/>
        </c:scaling>
        <c:delete val="1"/>
        <c:axPos val="l"/>
        <c:numFmt formatCode="_(* #,##0.0_);_(* \(#,##0.0\);_(* &quot;-&quot;??_);_(@_)" sourceLinked="1"/>
        <c:majorTickMark val="none"/>
        <c:minorTickMark val="none"/>
        <c:tickLblPos val="nextTo"/>
        <c:crossAx val="136429430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35200081070056"/>
          <c:y val="2.1975545739709362E-2"/>
          <c:w val="0.78386636606074889"/>
          <c:h val="0.91812614232553746"/>
        </c:manualLayout>
      </c:layout>
      <c:barChart>
        <c:barDir val="col"/>
        <c:grouping val="stacked"/>
        <c:varyColors val="0"/>
        <c:ser>
          <c:idx val="0"/>
          <c:order val="0"/>
          <c:tx>
            <c:strRef>
              <c:f>'fig8'!$A$38</c:f>
              <c:strCache>
                <c:ptCount val="1"/>
                <c:pt idx="0">
                  <c:v>In school</c:v>
                </c:pt>
              </c:strCache>
            </c:strRef>
          </c:tx>
          <c:spPr>
            <a:solidFill>
              <a:schemeClr val="accent1"/>
            </a:solidFill>
            <a:ln>
              <a:noFill/>
            </a:ln>
            <a:effectLst/>
          </c:spPr>
          <c:invertIfNegative val="0"/>
          <c:dLbls>
            <c:dLbl>
              <c:idx val="3"/>
              <c:layout>
                <c:manualLayout>
                  <c:x val="4.6242774566473986E-2"/>
                  <c:y val="5.91278640059138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4E-4576-A170-C0734A0460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'fig8'!$B$37:$G$37</c:f>
              <c:strCache>
                <c:ptCount val="6"/>
                <c:pt idx="0">
                  <c:v>Region1</c:v>
                </c:pt>
                <c:pt idx="1">
                  <c:v>Region2</c:v>
                </c:pt>
                <c:pt idx="2">
                  <c:v>Region3</c:v>
                </c:pt>
                <c:pt idx="3">
                  <c:v>Region4</c:v>
                </c:pt>
                <c:pt idx="4">
                  <c:v>Region5</c:v>
                </c:pt>
                <c:pt idx="5">
                  <c:v>Region6</c:v>
                </c:pt>
              </c:strCache>
            </c:strRef>
          </c:cat>
          <c:val>
            <c:numRef>
              <c:f>'fig8'!$B$38:$G$38</c:f>
              <c:numCache>
                <c:formatCode>_(* #,##0_);_(* \(#,##0\);_(* "-"??_);_(@_)</c:formatCode>
                <c:ptCount val="6"/>
                <c:pt idx="0">
                  <c:v>46444.864460005003</c:v>
                </c:pt>
                <c:pt idx="1">
                  <c:v>101809.645916704</c:v>
                </c:pt>
                <c:pt idx="2">
                  <c:v>26189.561254428001</c:v>
                </c:pt>
                <c:pt idx="3">
                  <c:v>10759.306503902</c:v>
                </c:pt>
                <c:pt idx="4">
                  <c:v>17830.807203561002</c:v>
                </c:pt>
                <c:pt idx="5">
                  <c:v>27518.095489939995</c:v>
                </c:pt>
              </c:numCache>
            </c:numRef>
          </c:val>
          <c:extLst>
            <c:ext xmlns:c16="http://schemas.microsoft.com/office/drawing/2014/chart" uri="{C3380CC4-5D6E-409C-BE32-E72D297353CC}">
              <c16:uniqueId val="{00000001-DD4E-4576-A170-C0734A046094}"/>
            </c:ext>
          </c:extLst>
        </c:ser>
        <c:ser>
          <c:idx val="1"/>
          <c:order val="1"/>
          <c:tx>
            <c:strRef>
              <c:f>'fig8'!$A$39</c:f>
              <c:strCache>
                <c:ptCount val="1"/>
                <c:pt idx="0">
                  <c:v>Out-of-school</c:v>
                </c:pt>
              </c:strCache>
            </c:strRef>
          </c:tx>
          <c:spPr>
            <a:solidFill>
              <a:schemeClr val="accent2"/>
            </a:solidFill>
            <a:ln>
              <a:noFill/>
            </a:ln>
            <a:effectLst/>
          </c:spPr>
          <c:invertIfNegative val="0"/>
          <c:dLbls>
            <c:dLbl>
              <c:idx val="3"/>
              <c:layout>
                <c:manualLayout>
                  <c:x val="4.431604502852609E-2"/>
                  <c:y val="-2.34476185766530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D4E-4576-A170-C0734A0460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'fig8'!$B$37:$G$37</c:f>
              <c:strCache>
                <c:ptCount val="6"/>
                <c:pt idx="0">
                  <c:v>Region1</c:v>
                </c:pt>
                <c:pt idx="1">
                  <c:v>Region2</c:v>
                </c:pt>
                <c:pt idx="2">
                  <c:v>Region3</c:v>
                </c:pt>
                <c:pt idx="3">
                  <c:v>Region4</c:v>
                </c:pt>
                <c:pt idx="4">
                  <c:v>Region5</c:v>
                </c:pt>
                <c:pt idx="5">
                  <c:v>Region6</c:v>
                </c:pt>
              </c:strCache>
            </c:strRef>
          </c:cat>
          <c:val>
            <c:numRef>
              <c:f>'fig8'!$B$39:$G$39</c:f>
              <c:numCache>
                <c:formatCode>_(* #,##0_);_(* \(#,##0\);_(* "-"??_);_(@_)</c:formatCode>
                <c:ptCount val="6"/>
                <c:pt idx="0">
                  <c:v>12140.529549994999</c:v>
                </c:pt>
                <c:pt idx="1">
                  <c:v>27158.075933296004</c:v>
                </c:pt>
                <c:pt idx="2">
                  <c:v>15145.629565572001</c:v>
                </c:pt>
                <c:pt idx="3">
                  <c:v>3419.5999960979998</c:v>
                </c:pt>
                <c:pt idx="4">
                  <c:v>24119.363696439003</c:v>
                </c:pt>
                <c:pt idx="5">
                  <c:v>18213.203420060003</c:v>
                </c:pt>
              </c:numCache>
            </c:numRef>
          </c:val>
          <c:extLst>
            <c:ext xmlns:c16="http://schemas.microsoft.com/office/drawing/2014/chart" uri="{C3380CC4-5D6E-409C-BE32-E72D297353CC}">
              <c16:uniqueId val="{00000003-DD4E-4576-A170-C0734A046094}"/>
            </c:ext>
          </c:extLst>
        </c:ser>
        <c:ser>
          <c:idx val="2"/>
          <c:order val="2"/>
          <c:tx>
            <c:strRef>
              <c:f>'fig8'!$A$40</c:f>
              <c:strCache>
                <c:ptCount val="1"/>
              </c:strCache>
            </c:strRef>
          </c:tx>
          <c:spPr>
            <a:noFill/>
            <a:ln>
              <a:noFill/>
            </a:ln>
            <a:effectLst/>
          </c:spPr>
          <c:invertIfNegative val="0"/>
          <c:dLbls>
            <c:dLbl>
              <c:idx val="0"/>
              <c:layout>
                <c:manualLayout>
                  <c:x val="0"/>
                  <c:y val="-7.3422374309641394E-2"/>
                </c:manualLayout>
              </c:layout>
              <c:tx>
                <c:rich>
                  <a:bodyPr/>
                  <a:lstStyle/>
                  <a:p>
                    <a:fld id="{C6E07C30-C028-481F-BD1A-C34A77B1A96C}"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DD4E-4576-A170-C0734A046094}"/>
                </c:ext>
              </c:extLst>
            </c:dLbl>
            <c:dLbl>
              <c:idx val="1"/>
              <c:layout>
                <c:manualLayout>
                  <c:x val="0"/>
                  <c:y val="-8.0162950806315511E-2"/>
                </c:manualLayout>
              </c:layout>
              <c:tx>
                <c:rich>
                  <a:bodyPr/>
                  <a:lstStyle/>
                  <a:p>
                    <a:fld id="{2875C000-8D47-4A66-AE7F-50523E726074}"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DD4E-4576-A170-C0734A046094}"/>
                </c:ext>
              </c:extLst>
            </c:dLbl>
            <c:dLbl>
              <c:idx val="2"/>
              <c:layout>
                <c:manualLayout>
                  <c:x val="6.5097635321966412E-17"/>
                  <c:y val="-0.12368105871466732"/>
                </c:manualLayout>
              </c:layout>
              <c:tx>
                <c:rich>
                  <a:bodyPr/>
                  <a:lstStyle/>
                  <a:p>
                    <a:fld id="{FCE12C2C-5036-46B6-A9DB-CA2932E5875F}"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DD4E-4576-A170-C0734A046094}"/>
                </c:ext>
              </c:extLst>
            </c:dLbl>
            <c:dLbl>
              <c:idx val="3"/>
              <c:layout>
                <c:manualLayout>
                  <c:x val="-7.0647867235255446E-17"/>
                  <c:y val="-0.10002991311230221"/>
                </c:manualLayout>
              </c:layout>
              <c:tx>
                <c:rich>
                  <a:bodyPr/>
                  <a:lstStyle/>
                  <a:p>
                    <a:fld id="{DCB240C4-33BC-40F2-BE1B-90270231B55D}"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DD4E-4576-A170-C0734A046094}"/>
                </c:ext>
              </c:extLst>
            </c:dLbl>
            <c:dLbl>
              <c:idx val="4"/>
              <c:layout>
                <c:manualLayout>
                  <c:x val="-5.3262316910786924E-3"/>
                  <c:y val="-7.342237430964145E-2"/>
                </c:manualLayout>
              </c:layout>
              <c:tx>
                <c:rich>
                  <a:bodyPr/>
                  <a:lstStyle/>
                  <a:p>
                    <a:fld id="{F10533B1-37CC-4F12-A200-AEE876D7A1B4}"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DD4E-4576-A170-C0734A046094}"/>
                </c:ext>
              </c:extLst>
            </c:dLbl>
            <c:dLbl>
              <c:idx val="5"/>
              <c:layout>
                <c:manualLayout>
                  <c:x val="5.3262316910785623E-3"/>
                  <c:y val="-0.15028859751732812"/>
                </c:manualLayout>
              </c:layout>
              <c:tx>
                <c:rich>
                  <a:bodyPr/>
                  <a:lstStyle/>
                  <a:p>
                    <a:fld id="{06AF9948-D05C-42F2-B4F1-E0D12FAFD4B0}" type="CELLRANGE">
                      <a:rPr lang="en-US"/>
                      <a:pPr/>
                      <a:t>[CELLRANGE]</a:t>
                    </a:fld>
                    <a:endParaRPr 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DD4E-4576-A170-C0734A0460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'fig8'!$B$37:$G$37</c:f>
              <c:strCache>
                <c:ptCount val="6"/>
                <c:pt idx="0">
                  <c:v>Region1</c:v>
                </c:pt>
                <c:pt idx="1">
                  <c:v>Region2</c:v>
                </c:pt>
                <c:pt idx="2">
                  <c:v>Region3</c:v>
                </c:pt>
                <c:pt idx="3">
                  <c:v>Region4</c:v>
                </c:pt>
                <c:pt idx="4">
                  <c:v>Region5</c:v>
                </c:pt>
                <c:pt idx="5">
                  <c:v>Region6</c:v>
                </c:pt>
              </c:strCache>
            </c:strRef>
          </c:cat>
          <c:val>
            <c:numRef>
              <c:f>'fig8'!$B$40:$G$40</c:f>
              <c:numCache>
                <c:formatCode>_(* #,##0_);_(* \(#,##0\);_(* "-"??_);_(@_)</c:formatCode>
                <c:ptCount val="6"/>
                <c:pt idx="0">
                  <c:v>10000</c:v>
                </c:pt>
                <c:pt idx="1">
                  <c:v>10000</c:v>
                </c:pt>
                <c:pt idx="2">
                  <c:v>10000</c:v>
                </c:pt>
                <c:pt idx="3">
                  <c:v>10000</c:v>
                </c:pt>
                <c:pt idx="4">
                  <c:v>10000</c:v>
                </c:pt>
                <c:pt idx="5">
                  <c:v>10000</c:v>
                </c:pt>
              </c:numCache>
            </c:numRef>
          </c:val>
          <c:extLst>
            <c:ext xmlns:c15="http://schemas.microsoft.com/office/drawing/2012/chart" uri="{02D57815-91ED-43cb-92C2-25804820EDAC}">
              <c15:datalabelsRange>
                <c15:f>'fig8'!$B$41:$G$41</c15:f>
                <c15:dlblRangeCache>
                  <c:ptCount val="6"/>
                  <c:pt idx="0">
                    <c:v> 58,585 </c:v>
                  </c:pt>
                  <c:pt idx="1">
                    <c:v> 128,968 </c:v>
                  </c:pt>
                  <c:pt idx="2">
                    <c:v> 41,335 </c:v>
                  </c:pt>
                  <c:pt idx="3">
                    <c:v> 14,179 </c:v>
                  </c:pt>
                  <c:pt idx="4">
                    <c:v> 41,950 </c:v>
                  </c:pt>
                  <c:pt idx="5">
                    <c:v> 45,731 </c:v>
                  </c:pt>
                </c15:dlblRangeCache>
              </c15:datalabelsRange>
            </c:ext>
            <c:ext xmlns:c16="http://schemas.microsoft.com/office/drawing/2014/chart" uri="{C3380CC4-5D6E-409C-BE32-E72D297353CC}">
              <c16:uniqueId val="{0000000A-DD4E-4576-A170-C0734A046094}"/>
            </c:ext>
          </c:extLst>
        </c:ser>
        <c:dLbls>
          <c:showLegendKey val="0"/>
          <c:showVal val="0"/>
          <c:showCatName val="0"/>
          <c:showSerName val="0"/>
          <c:showPercent val="0"/>
          <c:showBubbleSize val="0"/>
        </c:dLbls>
        <c:gapWidth val="219"/>
        <c:overlap val="100"/>
        <c:axId val="454878784"/>
        <c:axId val="454879176"/>
        <c:extLst>
          <c:ext xmlns:c15="http://schemas.microsoft.com/office/drawing/2012/chart" uri="{02D57815-91ED-43cb-92C2-25804820EDAC}">
            <c15:filteredBarSeries>
              <c15:ser>
                <c:idx val="3"/>
                <c:order val="3"/>
                <c:tx>
                  <c:strRef>
                    <c:extLst>
                      <c:ext uri="{02D57815-91ED-43cb-92C2-25804820EDAC}">
                        <c15:formulaRef>
                          <c15:sqref>'fig8'!$A$41</c15:sqref>
                        </c15:formulaRef>
                      </c:ext>
                    </c:extLst>
                    <c:strCache>
                      <c:ptCount val="1"/>
                      <c:pt idx="0">
                        <c:v>Total school age</c:v>
                      </c:pt>
                    </c:strCache>
                  </c:strRef>
                </c:tx>
                <c:spPr>
                  <a:solidFill>
                    <a:schemeClr val="accent4"/>
                  </a:solidFill>
                  <a:ln>
                    <a:noFill/>
                  </a:ln>
                  <a:effectLst/>
                </c:spPr>
                <c:invertIfNegative val="0"/>
                <c:cat>
                  <c:strRef>
                    <c:extLst>
                      <c:ext uri="{02D57815-91ED-43cb-92C2-25804820EDAC}">
                        <c15:formulaRef>
                          <c15:sqref>'fig8'!$B$37:$G$37</c15:sqref>
                        </c15:formulaRef>
                      </c:ext>
                    </c:extLst>
                    <c:strCache>
                      <c:ptCount val="6"/>
                      <c:pt idx="0">
                        <c:v>Region1</c:v>
                      </c:pt>
                      <c:pt idx="1">
                        <c:v>Region2</c:v>
                      </c:pt>
                      <c:pt idx="2">
                        <c:v>Region3</c:v>
                      </c:pt>
                      <c:pt idx="3">
                        <c:v>Region4</c:v>
                      </c:pt>
                      <c:pt idx="4">
                        <c:v>Region5</c:v>
                      </c:pt>
                      <c:pt idx="5">
                        <c:v>Region6</c:v>
                      </c:pt>
                    </c:strCache>
                  </c:strRef>
                </c:cat>
                <c:val>
                  <c:numRef>
                    <c:extLst>
                      <c:ext uri="{02D57815-91ED-43cb-92C2-25804820EDAC}">
                        <c15:formulaRef>
                          <c15:sqref>'fig8'!$B$41:$G$41</c15:sqref>
                        </c15:formulaRef>
                      </c:ext>
                    </c:extLst>
                    <c:numCache>
                      <c:formatCode>_(* #,##0_);_(* \(#,##0\);_(* "-"??_);_(@_)</c:formatCode>
                      <c:ptCount val="6"/>
                      <c:pt idx="0">
                        <c:v>58585.394010000004</c:v>
                      </c:pt>
                      <c:pt idx="1">
                        <c:v>128967.72185</c:v>
                      </c:pt>
                      <c:pt idx="2">
                        <c:v>41335.190820000003</c:v>
                      </c:pt>
                      <c:pt idx="3">
                        <c:v>14178.906500000001</c:v>
                      </c:pt>
                      <c:pt idx="4">
                        <c:v>41950.170900000005</c:v>
                      </c:pt>
                      <c:pt idx="5">
                        <c:v>45731.298909999998</c:v>
                      </c:pt>
                    </c:numCache>
                  </c:numRef>
                </c:val>
                <c:extLst>
                  <c:ext xmlns:c16="http://schemas.microsoft.com/office/drawing/2014/chart" uri="{C3380CC4-5D6E-409C-BE32-E72D297353CC}">
                    <c16:uniqueId val="{0000000D-DD4E-4576-A170-C0734A046094}"/>
                  </c:ext>
                </c:extLst>
              </c15:ser>
            </c15:filteredBarSeries>
          </c:ext>
        </c:extLst>
      </c:barChart>
      <c:lineChart>
        <c:grouping val="standard"/>
        <c:varyColors val="0"/>
        <c:ser>
          <c:idx val="4"/>
          <c:order val="4"/>
          <c:tx>
            <c:strRef>
              <c:f>'fig8'!$A$42</c:f>
              <c:strCache>
                <c:ptCount val="1"/>
                <c:pt idx="0">
                  <c:v>Share of out-of-school</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'fig8'!$B$37:$G$37</c:f>
              <c:strCache>
                <c:ptCount val="6"/>
                <c:pt idx="0">
                  <c:v>Region1</c:v>
                </c:pt>
                <c:pt idx="1">
                  <c:v>Region2</c:v>
                </c:pt>
                <c:pt idx="2">
                  <c:v>Region3</c:v>
                </c:pt>
                <c:pt idx="3">
                  <c:v>Region4</c:v>
                </c:pt>
                <c:pt idx="4">
                  <c:v>Region5</c:v>
                </c:pt>
                <c:pt idx="5">
                  <c:v>Region6</c:v>
                </c:pt>
              </c:strCache>
            </c:strRef>
          </c:cat>
          <c:val>
            <c:numRef>
              <c:f>'fig8'!$B$42:$G$42</c:f>
              <c:numCache>
                <c:formatCode>0%</c:formatCode>
                <c:ptCount val="6"/>
                <c:pt idx="0">
                  <c:v>0.12116732026396838</c:v>
                </c:pt>
                <c:pt idx="1">
                  <c:v>0.27104841438849797</c:v>
                </c:pt>
                <c:pt idx="2">
                  <c:v>0.15115941529682672</c:v>
                </c:pt>
                <c:pt idx="3">
                  <c:v>3.4128969926360588E-2</c:v>
                </c:pt>
                <c:pt idx="4">
                  <c:v>0.24072085600012075</c:v>
                </c:pt>
                <c:pt idx="5">
                  <c:v>0.18177502412422561</c:v>
                </c:pt>
              </c:numCache>
            </c:numRef>
          </c:val>
          <c:smooth val="0"/>
          <c:extLst>
            <c:ext xmlns:c16="http://schemas.microsoft.com/office/drawing/2014/chart" uri="{C3380CC4-5D6E-409C-BE32-E72D297353CC}">
              <c16:uniqueId val="{0000000B-DD4E-4576-A170-C0734A046094}"/>
            </c:ext>
          </c:extLst>
        </c:ser>
        <c:ser>
          <c:idx val="5"/>
          <c:order val="5"/>
          <c:tx>
            <c:strRef>
              <c:f>'fig8'!$A$43</c:f>
              <c:strCache>
                <c:ptCount val="1"/>
                <c:pt idx="0">
                  <c:v>Share of population</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'fig8'!$B$37:$G$37</c:f>
              <c:strCache>
                <c:ptCount val="6"/>
                <c:pt idx="0">
                  <c:v>Region1</c:v>
                </c:pt>
                <c:pt idx="1">
                  <c:v>Region2</c:v>
                </c:pt>
                <c:pt idx="2">
                  <c:v>Region3</c:v>
                </c:pt>
                <c:pt idx="3">
                  <c:v>Region4</c:v>
                </c:pt>
                <c:pt idx="4">
                  <c:v>Region5</c:v>
                </c:pt>
                <c:pt idx="5">
                  <c:v>Region6</c:v>
                </c:pt>
              </c:strCache>
            </c:strRef>
          </c:cat>
          <c:val>
            <c:numRef>
              <c:f>'fig8'!$B$43:$G$43</c:f>
              <c:numCache>
                <c:formatCode>0%</c:formatCode>
                <c:ptCount val="6"/>
                <c:pt idx="0">
                  <c:v>0.17712963655783109</c:v>
                </c:pt>
                <c:pt idx="1">
                  <c:v>0.38992663760326823</c:v>
                </c:pt>
                <c:pt idx="2">
                  <c:v>0.1249746195399053</c:v>
                </c:pt>
                <c:pt idx="3">
                  <c:v>4.286912459279147E-2</c:v>
                </c:pt>
                <c:pt idx="4">
                  <c:v>0.12683397714774375</c:v>
                </c:pt>
                <c:pt idx="5">
                  <c:v>0.13826600455846003</c:v>
                </c:pt>
              </c:numCache>
            </c:numRef>
          </c:val>
          <c:smooth val="0"/>
          <c:extLst>
            <c:ext xmlns:c16="http://schemas.microsoft.com/office/drawing/2014/chart" uri="{C3380CC4-5D6E-409C-BE32-E72D297353CC}">
              <c16:uniqueId val="{0000000C-DD4E-4576-A170-C0734A046094}"/>
            </c:ext>
          </c:extLst>
        </c:ser>
        <c:dLbls>
          <c:showLegendKey val="0"/>
          <c:showVal val="0"/>
          <c:showCatName val="0"/>
          <c:showSerName val="0"/>
          <c:showPercent val="0"/>
          <c:showBubbleSize val="0"/>
        </c:dLbls>
        <c:marker val="1"/>
        <c:smooth val="0"/>
        <c:axId val="1478673743"/>
        <c:axId val="1478667503"/>
      </c:lineChart>
      <c:catAx>
        <c:axId val="454878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4879176"/>
        <c:crosses val="autoZero"/>
        <c:auto val="1"/>
        <c:lblAlgn val="ctr"/>
        <c:lblOffset val="100"/>
        <c:noMultiLvlLbl val="0"/>
      </c:catAx>
      <c:valAx>
        <c:axId val="4548791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children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4878784"/>
        <c:crosses val="autoZero"/>
        <c:crossBetween val="between"/>
      </c:valAx>
      <c:valAx>
        <c:axId val="1478667503"/>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Share of children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8673743"/>
        <c:crosses val="max"/>
        <c:crossBetween val="between"/>
      </c:valAx>
      <c:catAx>
        <c:axId val="1478673743"/>
        <c:scaling>
          <c:orientation val="minMax"/>
        </c:scaling>
        <c:delete val="1"/>
        <c:axPos val="b"/>
        <c:numFmt formatCode="General" sourceLinked="1"/>
        <c:majorTickMark val="out"/>
        <c:minorTickMark val="none"/>
        <c:tickLblPos val="nextTo"/>
        <c:crossAx val="1478667503"/>
        <c:crosses val="autoZero"/>
        <c:auto val="1"/>
        <c:lblAlgn val="ctr"/>
        <c:lblOffset val="100"/>
        <c:noMultiLvlLbl val="0"/>
      </c:catAx>
      <c:spPr>
        <a:noFill/>
        <a:ln>
          <a:noFill/>
        </a:ln>
        <a:effectLst/>
      </c:spPr>
    </c:plotArea>
    <c:legend>
      <c:legendPos val="b"/>
      <c:layout>
        <c:manualLayout>
          <c:xMode val="edge"/>
          <c:yMode val="edge"/>
          <c:x val="0.49823297376845238"/>
          <c:y val="4.8720087575163287E-2"/>
          <c:w val="0.27167630057803466"/>
          <c:h val="0.292313726859530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71244549715842E-2"/>
          <c:y val="2.2708771929824571E-2"/>
          <c:w val="0.94868147579113582"/>
          <c:h val="0.81511324768614435"/>
        </c:manualLayout>
      </c:layout>
      <c:barChart>
        <c:barDir val="col"/>
        <c:grouping val="stacked"/>
        <c:varyColors val="0"/>
        <c:ser>
          <c:idx val="0"/>
          <c:order val="0"/>
          <c:tx>
            <c:strRef>
              <c:f>'fig10'!$B$2</c:f>
              <c:strCache>
                <c:ptCount val="1"/>
                <c:pt idx="0">
                  <c:v>Never attended</c:v>
                </c:pt>
              </c:strCache>
            </c:strRef>
          </c:tx>
          <c:spPr>
            <a:solidFill>
              <a:schemeClr val="accent1"/>
            </a:solidFill>
            <a:ln>
              <a:noFill/>
            </a:ln>
            <a:effectLst/>
          </c:spPr>
          <c:invertIfNegative val="0"/>
          <c:dPt>
            <c:idx val="20"/>
            <c:invertIfNegative val="0"/>
            <c:bubble3D val="0"/>
            <c:spPr>
              <a:solidFill>
                <a:schemeClr val="tx1"/>
              </a:solidFill>
              <a:ln>
                <a:noFill/>
              </a:ln>
              <a:effectLst/>
            </c:spPr>
            <c:extLst>
              <c:ext xmlns:c16="http://schemas.microsoft.com/office/drawing/2014/chart" uri="{C3380CC4-5D6E-409C-BE32-E72D297353CC}">
                <c16:uniqueId val="{00000001-ACA2-4E5B-A576-E18515D7EB73}"/>
              </c:ext>
            </c:extLst>
          </c:dPt>
          <c:dPt>
            <c:idx val="28"/>
            <c:invertIfNegative val="0"/>
            <c:bubble3D val="0"/>
            <c:spPr>
              <a:solidFill>
                <a:schemeClr val="tx1"/>
              </a:solidFill>
              <a:ln>
                <a:noFill/>
              </a:ln>
              <a:effectLst/>
            </c:spPr>
            <c:extLst>
              <c:ext xmlns:c16="http://schemas.microsoft.com/office/drawing/2014/chart" uri="{C3380CC4-5D6E-409C-BE32-E72D297353CC}">
                <c16:uniqueId val="{00000003-ACA2-4E5B-A576-E18515D7EB73}"/>
              </c:ext>
            </c:extLst>
          </c:dPt>
          <c:cat>
            <c:strRef>
              <c:f>'fig10'!$A$3:$A$44</c:f>
              <c:strCache>
                <c:ptCount val="42"/>
                <c:pt idx="0">
                  <c:v>Zimbabwe</c:v>
                </c:pt>
                <c:pt idx="1">
                  <c:v>Swaziland</c:v>
                </c:pt>
                <c:pt idx="2">
                  <c:v>Gabon</c:v>
                </c:pt>
                <c:pt idx="3">
                  <c:v>Namibia</c:v>
                </c:pt>
                <c:pt idx="4">
                  <c:v>Kenya</c:v>
                </c:pt>
                <c:pt idx="5">
                  <c:v>Lesotho</c:v>
                </c:pt>
                <c:pt idx="6">
                  <c:v>Botswana</c:v>
                </c:pt>
                <c:pt idx="7">
                  <c:v>Sao_T&amp;P</c:v>
                </c:pt>
                <c:pt idx="8">
                  <c:v>Uganda</c:v>
                </c:pt>
                <c:pt idx="9">
                  <c:v>South Africa</c:v>
                </c:pt>
                <c:pt idx="10">
                  <c:v>Ghana</c:v>
                </c:pt>
                <c:pt idx="11">
                  <c:v>Togo</c:v>
                </c:pt>
                <c:pt idx="12">
                  <c:v>Malawi</c:v>
                </c:pt>
                <c:pt idx="13">
                  <c:v>Rwanda</c:v>
                </c:pt>
                <c:pt idx="14">
                  <c:v>Congo</c:v>
                </c:pt>
                <c:pt idx="15">
                  <c:v>Tanzania</c:v>
                </c:pt>
                <c:pt idx="16">
                  <c:v>Cameroon</c:v>
                </c:pt>
                <c:pt idx="17">
                  <c:v>Comoros</c:v>
                </c:pt>
                <c:pt idx="18">
                  <c:v>DRC</c:v>
                </c:pt>
                <c:pt idx="19">
                  <c:v>Sudan</c:v>
                </c:pt>
                <c:pt idx="20">
                  <c:v>SSA average</c:v>
                </c:pt>
                <c:pt idx="21">
                  <c:v>Nigeria</c:v>
                </c:pt>
                <c:pt idx="22">
                  <c:v>Zambia</c:v>
                </c:pt>
                <c:pt idx="23">
                  <c:v>Madagascar</c:v>
                </c:pt>
                <c:pt idx="24">
                  <c:v>Angola</c:v>
                </c:pt>
                <c:pt idx="25">
                  <c:v>Burundi</c:v>
                </c:pt>
                <c:pt idx="26">
                  <c:v>Mauritania</c:v>
                </c:pt>
                <c:pt idx="27">
                  <c:v>CIV</c:v>
                </c:pt>
                <c:pt idx="28">
                  <c:v>Gambia</c:v>
                </c:pt>
                <c:pt idx="29">
                  <c:v>Mozambique</c:v>
                </c:pt>
                <c:pt idx="30">
                  <c:v>Sierra Leone</c:v>
                </c:pt>
                <c:pt idx="31">
                  <c:v>Ethiopia</c:v>
                </c:pt>
                <c:pt idx="32">
                  <c:v>Benin</c:v>
                </c:pt>
                <c:pt idx="33">
                  <c:v>Burkina Faso</c:v>
                </c:pt>
                <c:pt idx="34">
                  <c:v>Guinea</c:v>
                </c:pt>
                <c:pt idx="35">
                  <c:v>Senegal</c:v>
                </c:pt>
                <c:pt idx="36">
                  <c:v>Mali</c:v>
                </c:pt>
                <c:pt idx="37">
                  <c:v>Chad</c:v>
                </c:pt>
                <c:pt idx="38">
                  <c:v>Niger</c:v>
                </c:pt>
                <c:pt idx="39">
                  <c:v>South Sudan</c:v>
                </c:pt>
                <c:pt idx="40">
                  <c:v>Somalia</c:v>
                </c:pt>
                <c:pt idx="41">
                  <c:v>Liberia</c:v>
                </c:pt>
              </c:strCache>
            </c:strRef>
          </c:cat>
          <c:val>
            <c:numRef>
              <c:f>'fig10'!$B$3:$B$44</c:f>
              <c:numCache>
                <c:formatCode>0</c:formatCode>
                <c:ptCount val="42"/>
                <c:pt idx="0">
                  <c:v>1.96</c:v>
                </c:pt>
                <c:pt idx="1">
                  <c:v>2.67</c:v>
                </c:pt>
                <c:pt idx="2">
                  <c:v>3.49</c:v>
                </c:pt>
                <c:pt idx="3">
                  <c:v>3.72</c:v>
                </c:pt>
                <c:pt idx="4">
                  <c:v>5.0199999999999996</c:v>
                </c:pt>
                <c:pt idx="5">
                  <c:v>6.03</c:v>
                </c:pt>
                <c:pt idx="6">
                  <c:v>7.8</c:v>
                </c:pt>
                <c:pt idx="7">
                  <c:v>6.93</c:v>
                </c:pt>
                <c:pt idx="8">
                  <c:v>7.75</c:v>
                </c:pt>
                <c:pt idx="9">
                  <c:v>8.76</c:v>
                </c:pt>
                <c:pt idx="10">
                  <c:v>8.69</c:v>
                </c:pt>
                <c:pt idx="11">
                  <c:v>10.98</c:v>
                </c:pt>
                <c:pt idx="12">
                  <c:v>11.46</c:v>
                </c:pt>
                <c:pt idx="13">
                  <c:v>6.06</c:v>
                </c:pt>
                <c:pt idx="14">
                  <c:v>6.01</c:v>
                </c:pt>
                <c:pt idx="15">
                  <c:v>13.46</c:v>
                </c:pt>
                <c:pt idx="16">
                  <c:v>16.55</c:v>
                </c:pt>
                <c:pt idx="17">
                  <c:v>15.91</c:v>
                </c:pt>
                <c:pt idx="18">
                  <c:v>16.920000000000002</c:v>
                </c:pt>
                <c:pt idx="19">
                  <c:v>17.89</c:v>
                </c:pt>
                <c:pt idx="20">
                  <c:v>21.29</c:v>
                </c:pt>
                <c:pt idx="21">
                  <c:v>18.600000000000001</c:v>
                </c:pt>
                <c:pt idx="22">
                  <c:v>21.72</c:v>
                </c:pt>
                <c:pt idx="23">
                  <c:v>22.26</c:v>
                </c:pt>
                <c:pt idx="24">
                  <c:v>21.85</c:v>
                </c:pt>
                <c:pt idx="25">
                  <c:v>15.74</c:v>
                </c:pt>
                <c:pt idx="26">
                  <c:v>24.5</c:v>
                </c:pt>
                <c:pt idx="27">
                  <c:v>28.65</c:v>
                </c:pt>
                <c:pt idx="28" formatCode="_(* #,##0.0_);_(* \(#,##0.0\);_(* &quot;-&quot;??_);_(@_)">
                  <c:v>28.83</c:v>
                </c:pt>
                <c:pt idx="29">
                  <c:v>26.42</c:v>
                </c:pt>
                <c:pt idx="30">
                  <c:v>30.25</c:v>
                </c:pt>
                <c:pt idx="31">
                  <c:v>29.05</c:v>
                </c:pt>
                <c:pt idx="32">
                  <c:v>35.909999999999997</c:v>
                </c:pt>
                <c:pt idx="33">
                  <c:v>39.659999999999997</c:v>
                </c:pt>
                <c:pt idx="34">
                  <c:v>36.67</c:v>
                </c:pt>
                <c:pt idx="35">
                  <c:v>42.8</c:v>
                </c:pt>
                <c:pt idx="36">
                  <c:v>43.1</c:v>
                </c:pt>
                <c:pt idx="37">
                  <c:v>45.45</c:v>
                </c:pt>
                <c:pt idx="38">
                  <c:v>47.65</c:v>
                </c:pt>
                <c:pt idx="39">
                  <c:v>59.9</c:v>
                </c:pt>
                <c:pt idx="40">
                  <c:v>59.51</c:v>
                </c:pt>
                <c:pt idx="41">
                  <c:v>72.25</c:v>
                </c:pt>
              </c:numCache>
            </c:numRef>
          </c:val>
          <c:extLst>
            <c:ext xmlns:c16="http://schemas.microsoft.com/office/drawing/2014/chart" uri="{C3380CC4-5D6E-409C-BE32-E72D297353CC}">
              <c16:uniqueId val="{00000004-ACA2-4E5B-A576-E18515D7EB73}"/>
            </c:ext>
          </c:extLst>
        </c:ser>
        <c:ser>
          <c:idx val="1"/>
          <c:order val="1"/>
          <c:tx>
            <c:strRef>
              <c:f>'fig10'!$C$2</c:f>
              <c:strCache>
                <c:ptCount val="1"/>
                <c:pt idx="0">
                  <c:v>Dropout</c:v>
                </c:pt>
              </c:strCache>
            </c:strRef>
          </c:tx>
          <c:spPr>
            <a:solidFill>
              <a:schemeClr val="accent2"/>
            </a:solidFill>
            <a:ln>
              <a:noFill/>
            </a:ln>
            <a:effectLst/>
          </c:spPr>
          <c:invertIfNegative val="0"/>
          <c:cat>
            <c:strRef>
              <c:f>'fig10'!$A$3:$A$44</c:f>
              <c:strCache>
                <c:ptCount val="42"/>
                <c:pt idx="0">
                  <c:v>Zimbabwe</c:v>
                </c:pt>
                <c:pt idx="1">
                  <c:v>Swaziland</c:v>
                </c:pt>
                <c:pt idx="2">
                  <c:v>Gabon</c:v>
                </c:pt>
                <c:pt idx="3">
                  <c:v>Namibia</c:v>
                </c:pt>
                <c:pt idx="4">
                  <c:v>Kenya</c:v>
                </c:pt>
                <c:pt idx="5">
                  <c:v>Lesotho</c:v>
                </c:pt>
                <c:pt idx="6">
                  <c:v>Botswana</c:v>
                </c:pt>
                <c:pt idx="7">
                  <c:v>Sao_T&amp;P</c:v>
                </c:pt>
                <c:pt idx="8">
                  <c:v>Uganda</c:v>
                </c:pt>
                <c:pt idx="9">
                  <c:v>South Africa</c:v>
                </c:pt>
                <c:pt idx="10">
                  <c:v>Ghana</c:v>
                </c:pt>
                <c:pt idx="11">
                  <c:v>Togo</c:v>
                </c:pt>
                <c:pt idx="12">
                  <c:v>Malawi</c:v>
                </c:pt>
                <c:pt idx="13">
                  <c:v>Rwanda</c:v>
                </c:pt>
                <c:pt idx="14">
                  <c:v>Congo</c:v>
                </c:pt>
                <c:pt idx="15">
                  <c:v>Tanzania</c:v>
                </c:pt>
                <c:pt idx="16">
                  <c:v>Cameroon</c:v>
                </c:pt>
                <c:pt idx="17">
                  <c:v>Comoros</c:v>
                </c:pt>
                <c:pt idx="18">
                  <c:v>DRC</c:v>
                </c:pt>
                <c:pt idx="19">
                  <c:v>Sudan</c:v>
                </c:pt>
                <c:pt idx="20">
                  <c:v>SSA average</c:v>
                </c:pt>
                <c:pt idx="21">
                  <c:v>Nigeria</c:v>
                </c:pt>
                <c:pt idx="22">
                  <c:v>Zambia</c:v>
                </c:pt>
                <c:pt idx="23">
                  <c:v>Madagascar</c:v>
                </c:pt>
                <c:pt idx="24">
                  <c:v>Angola</c:v>
                </c:pt>
                <c:pt idx="25">
                  <c:v>Burundi</c:v>
                </c:pt>
                <c:pt idx="26">
                  <c:v>Mauritania</c:v>
                </c:pt>
                <c:pt idx="27">
                  <c:v>CIV</c:v>
                </c:pt>
                <c:pt idx="28">
                  <c:v>Gambia</c:v>
                </c:pt>
                <c:pt idx="29">
                  <c:v>Mozambique</c:v>
                </c:pt>
                <c:pt idx="30">
                  <c:v>Sierra Leone</c:v>
                </c:pt>
                <c:pt idx="31">
                  <c:v>Ethiopia</c:v>
                </c:pt>
                <c:pt idx="32">
                  <c:v>Benin</c:v>
                </c:pt>
                <c:pt idx="33">
                  <c:v>Burkina Faso</c:v>
                </c:pt>
                <c:pt idx="34">
                  <c:v>Guinea</c:v>
                </c:pt>
                <c:pt idx="35">
                  <c:v>Senegal</c:v>
                </c:pt>
                <c:pt idx="36">
                  <c:v>Mali</c:v>
                </c:pt>
                <c:pt idx="37">
                  <c:v>Chad</c:v>
                </c:pt>
                <c:pt idx="38">
                  <c:v>Niger</c:v>
                </c:pt>
                <c:pt idx="39">
                  <c:v>South Sudan</c:v>
                </c:pt>
                <c:pt idx="40">
                  <c:v>Somalia</c:v>
                </c:pt>
                <c:pt idx="41">
                  <c:v>Liberia</c:v>
                </c:pt>
              </c:strCache>
            </c:strRef>
          </c:cat>
          <c:val>
            <c:numRef>
              <c:f>'fig10'!$C$3:$C$44</c:f>
              <c:numCache>
                <c:formatCode>0</c:formatCode>
                <c:ptCount val="42"/>
                <c:pt idx="0">
                  <c:v>1.08</c:v>
                </c:pt>
                <c:pt idx="1">
                  <c:v>0.64</c:v>
                </c:pt>
                <c:pt idx="2">
                  <c:v>0.8</c:v>
                </c:pt>
                <c:pt idx="3">
                  <c:v>1</c:v>
                </c:pt>
                <c:pt idx="4">
                  <c:v>0.24</c:v>
                </c:pt>
                <c:pt idx="5">
                  <c:v>0.77</c:v>
                </c:pt>
                <c:pt idx="6">
                  <c:v>0.71</c:v>
                </c:pt>
                <c:pt idx="7">
                  <c:v>2.11</c:v>
                </c:pt>
                <c:pt idx="8">
                  <c:v>1.52</c:v>
                </c:pt>
                <c:pt idx="9">
                  <c:v>0.54</c:v>
                </c:pt>
                <c:pt idx="10">
                  <c:v>1.49</c:v>
                </c:pt>
                <c:pt idx="11">
                  <c:v>0.85</c:v>
                </c:pt>
                <c:pt idx="12">
                  <c:v>0.88</c:v>
                </c:pt>
                <c:pt idx="13">
                  <c:v>7.46</c:v>
                </c:pt>
                <c:pt idx="14">
                  <c:v>8</c:v>
                </c:pt>
                <c:pt idx="15">
                  <c:v>2.12</c:v>
                </c:pt>
                <c:pt idx="16">
                  <c:v>1.33</c:v>
                </c:pt>
                <c:pt idx="17">
                  <c:v>2.86</c:v>
                </c:pt>
                <c:pt idx="18">
                  <c:v>3.09</c:v>
                </c:pt>
                <c:pt idx="19">
                  <c:v>3.5</c:v>
                </c:pt>
                <c:pt idx="20">
                  <c:v>2.2400000000000002</c:v>
                </c:pt>
                <c:pt idx="21">
                  <c:v>5.0199999999999996</c:v>
                </c:pt>
                <c:pt idx="22">
                  <c:v>2.21</c:v>
                </c:pt>
                <c:pt idx="23">
                  <c:v>2.4</c:v>
                </c:pt>
                <c:pt idx="24">
                  <c:v>3.96</c:v>
                </c:pt>
                <c:pt idx="25">
                  <c:v>10.41</c:v>
                </c:pt>
                <c:pt idx="26">
                  <c:v>4.29</c:v>
                </c:pt>
                <c:pt idx="27">
                  <c:v>1.63</c:v>
                </c:pt>
                <c:pt idx="28" formatCode="_(* #,##0.0_);_(* \(#,##0.0\);_(* &quot;-&quot;??_);_(@_)">
                  <c:v>1.49</c:v>
                </c:pt>
                <c:pt idx="29">
                  <c:v>4.8</c:v>
                </c:pt>
                <c:pt idx="30">
                  <c:v>2.2599999999999998</c:v>
                </c:pt>
                <c:pt idx="31">
                  <c:v>4.12</c:v>
                </c:pt>
                <c:pt idx="32">
                  <c:v>2.08</c:v>
                </c:pt>
                <c:pt idx="33">
                  <c:v>1.39</c:v>
                </c:pt>
                <c:pt idx="34">
                  <c:v>8.2200000000000006</c:v>
                </c:pt>
                <c:pt idx="35">
                  <c:v>2.88</c:v>
                </c:pt>
                <c:pt idx="36">
                  <c:v>2.94</c:v>
                </c:pt>
                <c:pt idx="37">
                  <c:v>2.85</c:v>
                </c:pt>
                <c:pt idx="38">
                  <c:v>2.35</c:v>
                </c:pt>
                <c:pt idx="39">
                  <c:v>0.48</c:v>
                </c:pt>
                <c:pt idx="40">
                  <c:v>1.68</c:v>
                </c:pt>
                <c:pt idx="41">
                  <c:v>1</c:v>
                </c:pt>
              </c:numCache>
            </c:numRef>
          </c:val>
          <c:extLst>
            <c:ext xmlns:c16="http://schemas.microsoft.com/office/drawing/2014/chart" uri="{C3380CC4-5D6E-409C-BE32-E72D297353CC}">
              <c16:uniqueId val="{00000005-ACA2-4E5B-A576-E18515D7EB73}"/>
            </c:ext>
          </c:extLst>
        </c:ser>
        <c:ser>
          <c:idx val="2"/>
          <c:order val="2"/>
          <c:tx>
            <c:strRef>
              <c:f>'fig10'!$D$2</c:f>
              <c:strCache>
                <c:ptCount val="1"/>
                <c:pt idx="0">
                  <c:v>Total</c:v>
                </c:pt>
              </c:strCache>
            </c:strRef>
          </c:tx>
          <c:spPr>
            <a:no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'fig10'!$A$3:$A$44</c:f>
              <c:strCache>
                <c:ptCount val="42"/>
                <c:pt idx="0">
                  <c:v>Zimbabwe</c:v>
                </c:pt>
                <c:pt idx="1">
                  <c:v>Swaziland</c:v>
                </c:pt>
                <c:pt idx="2">
                  <c:v>Gabon</c:v>
                </c:pt>
                <c:pt idx="3">
                  <c:v>Namibia</c:v>
                </c:pt>
                <c:pt idx="4">
                  <c:v>Kenya</c:v>
                </c:pt>
                <c:pt idx="5">
                  <c:v>Lesotho</c:v>
                </c:pt>
                <c:pt idx="6">
                  <c:v>Botswana</c:v>
                </c:pt>
                <c:pt idx="7">
                  <c:v>Sao_T&amp;P</c:v>
                </c:pt>
                <c:pt idx="8">
                  <c:v>Uganda</c:v>
                </c:pt>
                <c:pt idx="9">
                  <c:v>South Africa</c:v>
                </c:pt>
                <c:pt idx="10">
                  <c:v>Ghana</c:v>
                </c:pt>
                <c:pt idx="11">
                  <c:v>Togo</c:v>
                </c:pt>
                <c:pt idx="12">
                  <c:v>Malawi</c:v>
                </c:pt>
                <c:pt idx="13">
                  <c:v>Rwanda</c:v>
                </c:pt>
                <c:pt idx="14">
                  <c:v>Congo</c:v>
                </c:pt>
                <c:pt idx="15">
                  <c:v>Tanzania</c:v>
                </c:pt>
                <c:pt idx="16">
                  <c:v>Cameroon</c:v>
                </c:pt>
                <c:pt idx="17">
                  <c:v>Comoros</c:v>
                </c:pt>
                <c:pt idx="18">
                  <c:v>DRC</c:v>
                </c:pt>
                <c:pt idx="19">
                  <c:v>Sudan</c:v>
                </c:pt>
                <c:pt idx="20">
                  <c:v>SSA average</c:v>
                </c:pt>
                <c:pt idx="21">
                  <c:v>Nigeria</c:v>
                </c:pt>
                <c:pt idx="22">
                  <c:v>Zambia</c:v>
                </c:pt>
                <c:pt idx="23">
                  <c:v>Madagascar</c:v>
                </c:pt>
                <c:pt idx="24">
                  <c:v>Angola</c:v>
                </c:pt>
                <c:pt idx="25">
                  <c:v>Burundi</c:v>
                </c:pt>
                <c:pt idx="26">
                  <c:v>Mauritania</c:v>
                </c:pt>
                <c:pt idx="27">
                  <c:v>CIV</c:v>
                </c:pt>
                <c:pt idx="28">
                  <c:v>Gambia</c:v>
                </c:pt>
                <c:pt idx="29">
                  <c:v>Mozambique</c:v>
                </c:pt>
                <c:pt idx="30">
                  <c:v>Sierra Leone</c:v>
                </c:pt>
                <c:pt idx="31">
                  <c:v>Ethiopia</c:v>
                </c:pt>
                <c:pt idx="32">
                  <c:v>Benin</c:v>
                </c:pt>
                <c:pt idx="33">
                  <c:v>Burkina Faso</c:v>
                </c:pt>
                <c:pt idx="34">
                  <c:v>Guinea</c:v>
                </c:pt>
                <c:pt idx="35">
                  <c:v>Senegal</c:v>
                </c:pt>
                <c:pt idx="36">
                  <c:v>Mali</c:v>
                </c:pt>
                <c:pt idx="37">
                  <c:v>Chad</c:v>
                </c:pt>
                <c:pt idx="38">
                  <c:v>Niger</c:v>
                </c:pt>
                <c:pt idx="39">
                  <c:v>South Sudan</c:v>
                </c:pt>
                <c:pt idx="40">
                  <c:v>Somalia</c:v>
                </c:pt>
                <c:pt idx="41">
                  <c:v>Liberia</c:v>
                </c:pt>
              </c:strCache>
            </c:strRef>
          </c:cat>
          <c:val>
            <c:numRef>
              <c:f>'fig10'!$D$3:$D$44</c:f>
              <c:numCache>
                <c:formatCode>0</c:formatCode>
                <c:ptCount val="42"/>
                <c:pt idx="0">
                  <c:v>3.04</c:v>
                </c:pt>
                <c:pt idx="1">
                  <c:v>3.31</c:v>
                </c:pt>
                <c:pt idx="2">
                  <c:v>4.29</c:v>
                </c:pt>
                <c:pt idx="3">
                  <c:v>4.7200000000000006</c:v>
                </c:pt>
                <c:pt idx="4">
                  <c:v>5.26</c:v>
                </c:pt>
                <c:pt idx="5">
                  <c:v>6.8000000000000007</c:v>
                </c:pt>
                <c:pt idx="6">
                  <c:v>8.51</c:v>
                </c:pt>
                <c:pt idx="7">
                  <c:v>9.0399999999999991</c:v>
                </c:pt>
                <c:pt idx="8">
                  <c:v>9.27</c:v>
                </c:pt>
                <c:pt idx="9">
                  <c:v>9.3000000000000007</c:v>
                </c:pt>
                <c:pt idx="10">
                  <c:v>10.18</c:v>
                </c:pt>
                <c:pt idx="11">
                  <c:v>11.83</c:v>
                </c:pt>
                <c:pt idx="12">
                  <c:v>12.340000000000002</c:v>
                </c:pt>
                <c:pt idx="13">
                  <c:v>13.52</c:v>
                </c:pt>
                <c:pt idx="14">
                  <c:v>14.01</c:v>
                </c:pt>
                <c:pt idx="15">
                  <c:v>15.580000000000002</c:v>
                </c:pt>
                <c:pt idx="16">
                  <c:v>17.880000000000003</c:v>
                </c:pt>
                <c:pt idx="17">
                  <c:v>18.77</c:v>
                </c:pt>
                <c:pt idx="18">
                  <c:v>20.010000000000002</c:v>
                </c:pt>
                <c:pt idx="19">
                  <c:v>21.39</c:v>
                </c:pt>
                <c:pt idx="20">
                  <c:v>23.53</c:v>
                </c:pt>
                <c:pt idx="21">
                  <c:v>23.62</c:v>
                </c:pt>
                <c:pt idx="22">
                  <c:v>23.93</c:v>
                </c:pt>
                <c:pt idx="23">
                  <c:v>24.66</c:v>
                </c:pt>
                <c:pt idx="24">
                  <c:v>25.810000000000002</c:v>
                </c:pt>
                <c:pt idx="25">
                  <c:v>26.15</c:v>
                </c:pt>
                <c:pt idx="26">
                  <c:v>28.79</c:v>
                </c:pt>
                <c:pt idx="27">
                  <c:v>30.279999999999998</c:v>
                </c:pt>
                <c:pt idx="28">
                  <c:v>30.319999999999997</c:v>
                </c:pt>
                <c:pt idx="29">
                  <c:v>31.220000000000002</c:v>
                </c:pt>
                <c:pt idx="30">
                  <c:v>32.51</c:v>
                </c:pt>
                <c:pt idx="31">
                  <c:v>33.17</c:v>
                </c:pt>
                <c:pt idx="32">
                  <c:v>37.989999999999995</c:v>
                </c:pt>
                <c:pt idx="33">
                  <c:v>41.05</c:v>
                </c:pt>
                <c:pt idx="34">
                  <c:v>44.89</c:v>
                </c:pt>
                <c:pt idx="35">
                  <c:v>45.68</c:v>
                </c:pt>
                <c:pt idx="36">
                  <c:v>46.04</c:v>
                </c:pt>
                <c:pt idx="37">
                  <c:v>48.300000000000004</c:v>
                </c:pt>
                <c:pt idx="38">
                  <c:v>50</c:v>
                </c:pt>
                <c:pt idx="39">
                  <c:v>60.379999999999995</c:v>
                </c:pt>
                <c:pt idx="40">
                  <c:v>61.19</c:v>
                </c:pt>
                <c:pt idx="41">
                  <c:v>73.25</c:v>
                </c:pt>
              </c:numCache>
            </c:numRef>
          </c:val>
          <c:extLst>
            <c:ext xmlns:c16="http://schemas.microsoft.com/office/drawing/2014/chart" uri="{C3380CC4-5D6E-409C-BE32-E72D297353CC}">
              <c16:uniqueId val="{00000006-ACA2-4E5B-A576-E18515D7EB73}"/>
            </c:ext>
          </c:extLst>
        </c:ser>
        <c:dLbls>
          <c:showLegendKey val="0"/>
          <c:showVal val="0"/>
          <c:showCatName val="0"/>
          <c:showSerName val="0"/>
          <c:showPercent val="0"/>
          <c:showBubbleSize val="0"/>
        </c:dLbls>
        <c:gapWidth val="150"/>
        <c:overlap val="100"/>
        <c:axId val="1478690383"/>
        <c:axId val="1478686223"/>
      </c:barChart>
      <c:catAx>
        <c:axId val="1478690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478686223"/>
        <c:crosses val="autoZero"/>
        <c:auto val="1"/>
        <c:lblAlgn val="ctr"/>
        <c:lblOffset val="100"/>
        <c:noMultiLvlLbl val="0"/>
      </c:catAx>
      <c:valAx>
        <c:axId val="1478686223"/>
        <c:scaling>
          <c:orientation val="minMax"/>
          <c:max val="8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8690383"/>
        <c:crosses val="autoZero"/>
        <c:crossBetween val="between"/>
      </c:valAx>
      <c:spPr>
        <a:noFill/>
        <a:ln>
          <a:noFill/>
        </a:ln>
        <a:effectLst/>
      </c:spPr>
    </c:plotArea>
    <c:legend>
      <c:legendPos val="b"/>
      <c:legendEntry>
        <c:idx val="2"/>
        <c:delete val="1"/>
      </c:legendEntry>
      <c:layout>
        <c:manualLayout>
          <c:xMode val="edge"/>
          <c:yMode val="edge"/>
          <c:x val="0.25144403877313132"/>
          <c:y val="0.10491194916424922"/>
          <c:w val="0.19232679921471854"/>
          <c:h val="0.115816547028007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935746403792548E-2"/>
          <c:y val="3.5366120218579253E-2"/>
          <c:w val="0.90964048098638828"/>
          <c:h val="0.69224604680978119"/>
        </c:manualLayout>
      </c:layout>
      <c:barChart>
        <c:barDir val="col"/>
        <c:grouping val="clustered"/>
        <c:varyColors val="0"/>
        <c:ser>
          <c:idx val="0"/>
          <c:order val="0"/>
          <c:tx>
            <c:strRef>
              <c:f>'Fig10'!$D$61</c:f>
              <c:strCache>
                <c:ptCount val="1"/>
                <c:pt idx="0">
                  <c:v>2010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'Fig10'!$B$62:$C$70</c:f>
              <c:multiLvlStrCache>
                <c:ptCount val="9"/>
                <c:lvl>
                  <c:pt idx="0">
                    <c:v>Age 15-24</c:v>
                  </c:pt>
                  <c:pt idx="1">
                    <c:v>Age 25-34</c:v>
                  </c:pt>
                  <c:pt idx="2">
                    <c:v>Age 35-64</c:v>
                  </c:pt>
                  <c:pt idx="3">
                    <c:v>Age 15-64</c:v>
                  </c:pt>
                  <c:pt idx="5">
                    <c:v>No education</c:v>
                  </c:pt>
                  <c:pt idx="6">
                    <c:v>Some primary</c:v>
                  </c:pt>
                  <c:pt idx="7">
                    <c:v>Some Secondary</c:v>
                  </c:pt>
                  <c:pt idx="8">
                    <c:v>Post secondary</c:v>
                  </c:pt>
                </c:lvl>
                <c:lvl>
                  <c:pt idx="0">
                    <c:v>Literacy</c:v>
                  </c:pt>
                  <c:pt idx="5">
                    <c:v>Educational attainment Youth age 15-24</c:v>
                  </c:pt>
                </c:lvl>
              </c:multiLvlStrCache>
            </c:multiLvlStrRef>
          </c:cat>
          <c:val>
            <c:numRef>
              <c:f>'Fig10'!$D$62:$D$70</c:f>
              <c:numCache>
                <c:formatCode>0</c:formatCode>
                <c:ptCount val="9"/>
                <c:pt idx="0">
                  <c:v>32.14</c:v>
                </c:pt>
                <c:pt idx="1">
                  <c:v>46.48</c:v>
                </c:pt>
                <c:pt idx="2">
                  <c:v>37.26</c:v>
                </c:pt>
                <c:pt idx="3">
                  <c:v>37.68</c:v>
                </c:pt>
                <c:pt idx="5">
                  <c:v>30.669999999999998</c:v>
                </c:pt>
                <c:pt idx="6">
                  <c:v>22.67</c:v>
                </c:pt>
                <c:pt idx="7">
                  <c:v>43.11</c:v>
                </c:pt>
                <c:pt idx="8" formatCode="0.0">
                  <c:v>3.5500000000000003</c:v>
                </c:pt>
              </c:numCache>
            </c:numRef>
          </c:val>
          <c:extLst>
            <c:ext xmlns:c16="http://schemas.microsoft.com/office/drawing/2014/chart" uri="{C3380CC4-5D6E-409C-BE32-E72D297353CC}">
              <c16:uniqueId val="{00000000-8092-4752-BB13-1C1252921304}"/>
            </c:ext>
          </c:extLst>
        </c:ser>
        <c:ser>
          <c:idx val="1"/>
          <c:order val="1"/>
          <c:tx>
            <c:strRef>
              <c:f>'Fig10'!$E$61</c:f>
              <c:strCache>
                <c:ptCount val="1"/>
                <c:pt idx="0">
                  <c:v>2015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'Fig10'!$B$62:$C$70</c:f>
              <c:multiLvlStrCache>
                <c:ptCount val="9"/>
                <c:lvl>
                  <c:pt idx="0">
                    <c:v>Age 15-24</c:v>
                  </c:pt>
                  <c:pt idx="1">
                    <c:v>Age 25-34</c:v>
                  </c:pt>
                  <c:pt idx="2">
                    <c:v>Age 35-64</c:v>
                  </c:pt>
                  <c:pt idx="3">
                    <c:v>Age 15-64</c:v>
                  </c:pt>
                  <c:pt idx="5">
                    <c:v>No education</c:v>
                  </c:pt>
                  <c:pt idx="6">
                    <c:v>Some primary</c:v>
                  </c:pt>
                  <c:pt idx="7">
                    <c:v>Some Secondary</c:v>
                  </c:pt>
                  <c:pt idx="8">
                    <c:v>Post secondary</c:v>
                  </c:pt>
                </c:lvl>
                <c:lvl>
                  <c:pt idx="0">
                    <c:v>Literacy</c:v>
                  </c:pt>
                  <c:pt idx="5">
                    <c:v>Educational attainment Youth age 15-24</c:v>
                  </c:pt>
                </c:lvl>
              </c:multiLvlStrCache>
            </c:multiLvlStrRef>
          </c:cat>
          <c:val>
            <c:numRef>
              <c:f>'Fig10'!$E$62:$E$70</c:f>
              <c:numCache>
                <c:formatCode>0</c:formatCode>
                <c:ptCount val="9"/>
                <c:pt idx="0">
                  <c:v>72.11</c:v>
                </c:pt>
                <c:pt idx="1">
                  <c:v>56.1</c:v>
                </c:pt>
                <c:pt idx="2">
                  <c:v>41.11</c:v>
                </c:pt>
                <c:pt idx="3">
                  <c:v>56.59</c:v>
                </c:pt>
                <c:pt idx="5">
                  <c:v>33.57</c:v>
                </c:pt>
                <c:pt idx="6">
                  <c:v>21.46</c:v>
                </c:pt>
                <c:pt idx="7">
                  <c:v>39.080000000000005</c:v>
                </c:pt>
                <c:pt idx="8" formatCode="0.0">
                  <c:v>5.89</c:v>
                </c:pt>
              </c:numCache>
            </c:numRef>
          </c:val>
          <c:extLst>
            <c:ext xmlns:c16="http://schemas.microsoft.com/office/drawing/2014/chart" uri="{C3380CC4-5D6E-409C-BE32-E72D297353CC}">
              <c16:uniqueId val="{00000001-8092-4752-BB13-1C1252921304}"/>
            </c:ext>
          </c:extLst>
        </c:ser>
        <c:dLbls>
          <c:showLegendKey val="0"/>
          <c:showVal val="0"/>
          <c:showCatName val="0"/>
          <c:showSerName val="0"/>
          <c:showPercent val="0"/>
          <c:showBubbleSize val="0"/>
        </c:dLbls>
        <c:gapWidth val="219"/>
        <c:overlap val="-27"/>
        <c:axId val="102828960"/>
        <c:axId val="102833536"/>
      </c:barChart>
      <c:catAx>
        <c:axId val="102828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833536"/>
        <c:crosses val="autoZero"/>
        <c:auto val="1"/>
        <c:lblAlgn val="ctr"/>
        <c:lblOffset val="100"/>
        <c:noMultiLvlLbl val="0"/>
      </c:catAx>
      <c:valAx>
        <c:axId val="10283353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828960"/>
        <c:crosses val="autoZero"/>
        <c:crossBetween val="between"/>
      </c:valAx>
      <c:spPr>
        <a:noFill/>
        <a:ln>
          <a:noFill/>
        </a:ln>
        <a:effectLst/>
      </c:spPr>
    </c:plotArea>
    <c:legend>
      <c:legendPos val="b"/>
      <c:layout>
        <c:manualLayout>
          <c:xMode val="edge"/>
          <c:yMode val="edge"/>
          <c:x val="0.21381960975808251"/>
          <c:y val="7.3769975474377136E-2"/>
          <c:w val="0.15229243552677743"/>
          <c:h val="6.531249361926737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3913004768569464E-2"/>
          <c:y val="2.128882949129296E-2"/>
          <c:w val="0.92915817726174055"/>
          <c:h val="0.72048717558225739"/>
        </c:manualLayout>
      </c:layout>
      <c:barChart>
        <c:barDir val="col"/>
        <c:grouping val="clustered"/>
        <c:varyColors val="0"/>
        <c:ser>
          <c:idx val="0"/>
          <c:order val="0"/>
          <c:tx>
            <c:strRef>
              <c:f>'Fig12'!$C$2</c:f>
              <c:strCache>
                <c:ptCount val="1"/>
                <c:pt idx="0">
                  <c:v>Average years of schooling--The Gambia's LF population has not complted primary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'Fig12'!$A$3:$B$21</c:f>
              <c:multiLvlStrCache>
                <c:ptCount val="19"/>
                <c:lvl>
                  <c:pt idx="0">
                    <c:v>Age 15-24</c:v>
                  </c:pt>
                  <c:pt idx="1">
                    <c:v>Age 25-34</c:v>
                  </c:pt>
                  <c:pt idx="2">
                    <c:v>Age 35-44</c:v>
                  </c:pt>
                  <c:pt idx="3">
                    <c:v>Age 45-54</c:v>
                  </c:pt>
                  <c:pt idx="4">
                    <c:v>Age 55-64</c:v>
                  </c:pt>
                  <c:pt idx="6">
                    <c:v>Total</c:v>
                  </c:pt>
                  <c:pt idx="7">
                    <c:v>Male</c:v>
                  </c:pt>
                  <c:pt idx="8">
                    <c:v>Female</c:v>
                  </c:pt>
                  <c:pt idx="10">
                    <c:v>Urban</c:v>
                  </c:pt>
                  <c:pt idx="11">
                    <c:v>Rural</c:v>
                  </c:pt>
                  <c:pt idx="13">
                    <c:v>Region1</c:v>
                  </c:pt>
                  <c:pt idx="14">
                    <c:v>Region2</c:v>
                  </c:pt>
                  <c:pt idx="15">
                    <c:v>Region3</c:v>
                  </c:pt>
                  <c:pt idx="16">
                    <c:v>Region4</c:v>
                  </c:pt>
                  <c:pt idx="17">
                    <c:v>Region5</c:v>
                  </c:pt>
                  <c:pt idx="18">
                    <c:v>Region6</c:v>
                  </c:pt>
                </c:lvl>
                <c:lvl>
                  <c:pt idx="0">
                    <c:v>Age Group</c:v>
                  </c:pt>
                  <c:pt idx="6">
                    <c:v>Age 15-64</c:v>
                  </c:pt>
                </c:lvl>
              </c:multiLvlStrCache>
            </c:multiLvlStrRef>
          </c:cat>
          <c:val>
            <c:numRef>
              <c:f>'Fig12'!$C$3:$C$21</c:f>
              <c:numCache>
                <c:formatCode>0.0</c:formatCode>
                <c:ptCount val="19"/>
                <c:pt idx="0">
                  <c:v>5.329879</c:v>
                </c:pt>
                <c:pt idx="1">
                  <c:v>3.5441349999999998</c:v>
                </c:pt>
                <c:pt idx="2">
                  <c:v>2.494192</c:v>
                </c:pt>
                <c:pt idx="3">
                  <c:v>1.930693</c:v>
                </c:pt>
                <c:pt idx="4">
                  <c:v>1.443913</c:v>
                </c:pt>
                <c:pt idx="6">
                  <c:v>3.6643189999999999</c:v>
                </c:pt>
                <c:pt idx="7">
                  <c:v>4.2958410000000002</c:v>
                </c:pt>
                <c:pt idx="8">
                  <c:v>3.1852830000000001</c:v>
                </c:pt>
                <c:pt idx="10">
                  <c:v>4.9486850000000002</c:v>
                </c:pt>
                <c:pt idx="11">
                  <c:v>2.0629780000000002</c:v>
                </c:pt>
                <c:pt idx="13">
                  <c:v>5.7291610000000004</c:v>
                </c:pt>
                <c:pt idx="14">
                  <c:v>4.477322</c:v>
                </c:pt>
                <c:pt idx="15">
                  <c:v>2.4443250000000001</c:v>
                </c:pt>
                <c:pt idx="16">
                  <c:v>2.3849010000000002</c:v>
                </c:pt>
                <c:pt idx="17">
                  <c:v>1.413575</c:v>
                </c:pt>
                <c:pt idx="18">
                  <c:v>1.501509</c:v>
                </c:pt>
              </c:numCache>
            </c:numRef>
          </c:val>
          <c:extLst>
            <c:ext xmlns:c16="http://schemas.microsoft.com/office/drawing/2014/chart" uri="{C3380CC4-5D6E-409C-BE32-E72D297353CC}">
              <c16:uniqueId val="{00000000-9DC8-490A-A1F9-ECA701D8EA40}"/>
            </c:ext>
          </c:extLst>
        </c:ser>
        <c:dLbls>
          <c:showLegendKey val="0"/>
          <c:showVal val="0"/>
          <c:showCatName val="0"/>
          <c:showSerName val="0"/>
          <c:showPercent val="0"/>
          <c:showBubbleSize val="0"/>
        </c:dLbls>
        <c:gapWidth val="51"/>
        <c:overlap val="-27"/>
        <c:axId val="453064256"/>
        <c:axId val="453063864"/>
      </c:barChart>
      <c:catAx>
        <c:axId val="45306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063864"/>
        <c:crosses val="autoZero"/>
        <c:auto val="1"/>
        <c:lblAlgn val="ctr"/>
        <c:lblOffset val="100"/>
        <c:noMultiLvlLbl val="0"/>
      </c:catAx>
      <c:valAx>
        <c:axId val="4530638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064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677052581342246E-2"/>
          <c:y val="0.14771555130182307"/>
          <c:w val="0.91431247542130145"/>
          <c:h val="0.47708225126212783"/>
        </c:manualLayout>
      </c:layout>
      <c:barChart>
        <c:barDir val="col"/>
        <c:grouping val="stacked"/>
        <c:varyColors val="0"/>
        <c:ser>
          <c:idx val="0"/>
          <c:order val="0"/>
          <c:tx>
            <c:strRef>
              <c:f>'Labor market'!$C$1</c:f>
              <c:strCache>
                <c:ptCount val="1"/>
                <c:pt idx="0">
                  <c:v>No education</c:v>
                </c:pt>
              </c:strCache>
            </c:strRef>
          </c:tx>
          <c:spPr>
            <a:solidFill>
              <a:schemeClr val="accent1"/>
            </a:solidFill>
            <a:ln>
              <a:noFill/>
            </a:ln>
            <a:effectLst/>
          </c:spPr>
          <c:invertIfNegative val="0"/>
          <c:cat>
            <c:multiLvlStrRef>
              <c:f>'Labor market'!$A$2:$B$20</c:f>
              <c:multiLvlStrCache>
                <c:ptCount val="19"/>
                <c:lvl>
                  <c:pt idx="0">
                    <c:v>Age 15-24</c:v>
                  </c:pt>
                  <c:pt idx="1">
                    <c:v>Age 25-34</c:v>
                  </c:pt>
                  <c:pt idx="2">
                    <c:v>Age 35-44</c:v>
                  </c:pt>
                  <c:pt idx="3">
                    <c:v>Age 45-54</c:v>
                  </c:pt>
                  <c:pt idx="4">
                    <c:v>Age 55-64</c:v>
                  </c:pt>
                  <c:pt idx="5">
                    <c:v>Age 15-64</c:v>
                  </c:pt>
                  <c:pt idx="7">
                    <c:v>Male</c:v>
                  </c:pt>
                  <c:pt idx="8">
                    <c:v>Female</c:v>
                  </c:pt>
                  <c:pt idx="10">
                    <c:v>Urban</c:v>
                  </c:pt>
                  <c:pt idx="11">
                    <c:v>Rural</c:v>
                  </c:pt>
                  <c:pt idx="13">
                    <c:v>Region1</c:v>
                  </c:pt>
                  <c:pt idx="14">
                    <c:v>Region2</c:v>
                  </c:pt>
                  <c:pt idx="15">
                    <c:v>Region3</c:v>
                  </c:pt>
                  <c:pt idx="16">
                    <c:v>Region4</c:v>
                  </c:pt>
                  <c:pt idx="17">
                    <c:v>Region5</c:v>
                  </c:pt>
                  <c:pt idx="18">
                    <c:v>Region6</c:v>
                  </c:pt>
                </c:lvl>
                <c:lvl>
                  <c:pt idx="0">
                    <c:v>Age group</c:v>
                  </c:pt>
                  <c:pt idx="7">
                    <c:v>Gender</c:v>
                  </c:pt>
                  <c:pt idx="10">
                    <c:v>Area</c:v>
                  </c:pt>
                  <c:pt idx="13">
                    <c:v>Region</c:v>
                  </c:pt>
                </c:lvl>
              </c:multiLvlStrCache>
            </c:multiLvlStrRef>
          </c:cat>
          <c:val>
            <c:numRef>
              <c:f>'Labor market'!$C$2:$C$20</c:f>
              <c:numCache>
                <c:formatCode>0%</c:formatCode>
                <c:ptCount val="19"/>
                <c:pt idx="0">
                  <c:v>0.3357</c:v>
                </c:pt>
                <c:pt idx="1">
                  <c:v>0.624</c:v>
                </c:pt>
                <c:pt idx="2">
                  <c:v>0.73350000000000004</c:v>
                </c:pt>
                <c:pt idx="3">
                  <c:v>0.81030000000000002</c:v>
                </c:pt>
                <c:pt idx="4">
                  <c:v>0.87429999999999997</c:v>
                </c:pt>
                <c:pt idx="5">
                  <c:v>0.57789999999999997</c:v>
                </c:pt>
                <c:pt idx="7">
                  <c:v>0.52949999999999997</c:v>
                </c:pt>
                <c:pt idx="8">
                  <c:v>0.61470000000000002</c:v>
                </c:pt>
                <c:pt idx="10">
                  <c:v>0.46300000000000002</c:v>
                </c:pt>
                <c:pt idx="11">
                  <c:v>0.72119999999999995</c:v>
                </c:pt>
                <c:pt idx="13">
                  <c:v>0.39450000000000002</c:v>
                </c:pt>
                <c:pt idx="14">
                  <c:v>0.49690000000000001</c:v>
                </c:pt>
                <c:pt idx="15">
                  <c:v>0.68630000000000002</c:v>
                </c:pt>
                <c:pt idx="16">
                  <c:v>0.68020000000000003</c:v>
                </c:pt>
                <c:pt idx="17">
                  <c:v>0.81220000000000003</c:v>
                </c:pt>
                <c:pt idx="18">
                  <c:v>0.76870000000000005</c:v>
                </c:pt>
              </c:numCache>
            </c:numRef>
          </c:val>
          <c:extLst>
            <c:ext xmlns:c16="http://schemas.microsoft.com/office/drawing/2014/chart" uri="{C3380CC4-5D6E-409C-BE32-E72D297353CC}">
              <c16:uniqueId val="{00000000-D073-47FA-93C9-89ECD3590E2D}"/>
            </c:ext>
          </c:extLst>
        </c:ser>
        <c:ser>
          <c:idx val="1"/>
          <c:order val="1"/>
          <c:tx>
            <c:strRef>
              <c:f>'Labor market'!$D$1</c:f>
              <c:strCache>
                <c:ptCount val="1"/>
                <c:pt idx="0">
                  <c:v>Some primary</c:v>
                </c:pt>
              </c:strCache>
            </c:strRef>
          </c:tx>
          <c:spPr>
            <a:solidFill>
              <a:schemeClr val="accent2"/>
            </a:solidFill>
            <a:ln>
              <a:noFill/>
            </a:ln>
            <a:effectLst/>
          </c:spPr>
          <c:invertIfNegative val="0"/>
          <c:cat>
            <c:multiLvlStrRef>
              <c:f>'Labor market'!$A$2:$B$20</c:f>
              <c:multiLvlStrCache>
                <c:ptCount val="19"/>
                <c:lvl>
                  <c:pt idx="0">
                    <c:v>Age 15-24</c:v>
                  </c:pt>
                  <c:pt idx="1">
                    <c:v>Age 25-34</c:v>
                  </c:pt>
                  <c:pt idx="2">
                    <c:v>Age 35-44</c:v>
                  </c:pt>
                  <c:pt idx="3">
                    <c:v>Age 45-54</c:v>
                  </c:pt>
                  <c:pt idx="4">
                    <c:v>Age 55-64</c:v>
                  </c:pt>
                  <c:pt idx="5">
                    <c:v>Age 15-64</c:v>
                  </c:pt>
                  <c:pt idx="7">
                    <c:v>Male</c:v>
                  </c:pt>
                  <c:pt idx="8">
                    <c:v>Female</c:v>
                  </c:pt>
                  <c:pt idx="10">
                    <c:v>Urban</c:v>
                  </c:pt>
                  <c:pt idx="11">
                    <c:v>Rural</c:v>
                  </c:pt>
                  <c:pt idx="13">
                    <c:v>Region1</c:v>
                  </c:pt>
                  <c:pt idx="14">
                    <c:v>Region2</c:v>
                  </c:pt>
                  <c:pt idx="15">
                    <c:v>Region3</c:v>
                  </c:pt>
                  <c:pt idx="16">
                    <c:v>Region4</c:v>
                  </c:pt>
                  <c:pt idx="17">
                    <c:v>Region5</c:v>
                  </c:pt>
                  <c:pt idx="18">
                    <c:v>Region6</c:v>
                  </c:pt>
                </c:lvl>
                <c:lvl>
                  <c:pt idx="0">
                    <c:v>Age group</c:v>
                  </c:pt>
                  <c:pt idx="7">
                    <c:v>Gender</c:v>
                  </c:pt>
                  <c:pt idx="10">
                    <c:v>Area</c:v>
                  </c:pt>
                  <c:pt idx="13">
                    <c:v>Region</c:v>
                  </c:pt>
                </c:lvl>
              </c:multiLvlStrCache>
            </c:multiLvlStrRef>
          </c:cat>
          <c:val>
            <c:numRef>
              <c:f>'Labor market'!$D$2:$D$20</c:f>
              <c:numCache>
                <c:formatCode>0%</c:formatCode>
                <c:ptCount val="19"/>
                <c:pt idx="0">
                  <c:v>0.21460000000000001</c:v>
                </c:pt>
                <c:pt idx="1">
                  <c:v>0.13100000000000001</c:v>
                </c:pt>
                <c:pt idx="2">
                  <c:v>0.1115</c:v>
                </c:pt>
                <c:pt idx="3">
                  <c:v>7.3700000000000002E-2</c:v>
                </c:pt>
                <c:pt idx="4">
                  <c:v>3.5499999999999997E-2</c:v>
                </c:pt>
                <c:pt idx="5">
                  <c:v>0.14460000000000001</c:v>
                </c:pt>
                <c:pt idx="7">
                  <c:v>0.15049999999999999</c:v>
                </c:pt>
                <c:pt idx="8">
                  <c:v>0.1401</c:v>
                </c:pt>
                <c:pt idx="10">
                  <c:v>0.15970000000000001</c:v>
                </c:pt>
                <c:pt idx="11">
                  <c:v>0.1258</c:v>
                </c:pt>
                <c:pt idx="13">
                  <c:v>0.1842</c:v>
                </c:pt>
                <c:pt idx="14">
                  <c:v>0.15310000000000001</c:v>
                </c:pt>
                <c:pt idx="15">
                  <c:v>0.1234</c:v>
                </c:pt>
                <c:pt idx="16">
                  <c:v>0.14149999999999999</c:v>
                </c:pt>
                <c:pt idx="17">
                  <c:v>7.9899999999999999E-2</c:v>
                </c:pt>
                <c:pt idx="18">
                  <c:v>0.1346</c:v>
                </c:pt>
              </c:numCache>
            </c:numRef>
          </c:val>
          <c:extLst>
            <c:ext xmlns:c16="http://schemas.microsoft.com/office/drawing/2014/chart" uri="{C3380CC4-5D6E-409C-BE32-E72D297353CC}">
              <c16:uniqueId val="{00000001-D073-47FA-93C9-89ECD3590E2D}"/>
            </c:ext>
          </c:extLst>
        </c:ser>
        <c:ser>
          <c:idx val="2"/>
          <c:order val="2"/>
          <c:tx>
            <c:strRef>
              <c:f>'Labor market'!$E$1</c:f>
              <c:strCache>
                <c:ptCount val="1"/>
                <c:pt idx="0">
                  <c:v>Some lower secondary</c:v>
                </c:pt>
              </c:strCache>
            </c:strRef>
          </c:tx>
          <c:spPr>
            <a:solidFill>
              <a:schemeClr val="accent3"/>
            </a:solidFill>
            <a:ln>
              <a:noFill/>
            </a:ln>
            <a:effectLst/>
          </c:spPr>
          <c:invertIfNegative val="0"/>
          <c:cat>
            <c:multiLvlStrRef>
              <c:f>'Labor market'!$A$2:$B$20</c:f>
              <c:multiLvlStrCache>
                <c:ptCount val="19"/>
                <c:lvl>
                  <c:pt idx="0">
                    <c:v>Age 15-24</c:v>
                  </c:pt>
                  <c:pt idx="1">
                    <c:v>Age 25-34</c:v>
                  </c:pt>
                  <c:pt idx="2">
                    <c:v>Age 35-44</c:v>
                  </c:pt>
                  <c:pt idx="3">
                    <c:v>Age 45-54</c:v>
                  </c:pt>
                  <c:pt idx="4">
                    <c:v>Age 55-64</c:v>
                  </c:pt>
                  <c:pt idx="5">
                    <c:v>Age 15-64</c:v>
                  </c:pt>
                  <c:pt idx="7">
                    <c:v>Male</c:v>
                  </c:pt>
                  <c:pt idx="8">
                    <c:v>Female</c:v>
                  </c:pt>
                  <c:pt idx="10">
                    <c:v>Urban</c:v>
                  </c:pt>
                  <c:pt idx="11">
                    <c:v>Rural</c:v>
                  </c:pt>
                  <c:pt idx="13">
                    <c:v>Region1</c:v>
                  </c:pt>
                  <c:pt idx="14">
                    <c:v>Region2</c:v>
                  </c:pt>
                  <c:pt idx="15">
                    <c:v>Region3</c:v>
                  </c:pt>
                  <c:pt idx="16">
                    <c:v>Region4</c:v>
                  </c:pt>
                  <c:pt idx="17">
                    <c:v>Region5</c:v>
                  </c:pt>
                  <c:pt idx="18">
                    <c:v>Region6</c:v>
                  </c:pt>
                </c:lvl>
                <c:lvl>
                  <c:pt idx="0">
                    <c:v>Age group</c:v>
                  </c:pt>
                  <c:pt idx="7">
                    <c:v>Gender</c:v>
                  </c:pt>
                  <c:pt idx="10">
                    <c:v>Area</c:v>
                  </c:pt>
                  <c:pt idx="13">
                    <c:v>Region</c:v>
                  </c:pt>
                </c:lvl>
              </c:multiLvlStrCache>
            </c:multiLvlStrRef>
          </c:cat>
          <c:val>
            <c:numRef>
              <c:f>'Labor market'!$E$2:$E$20</c:f>
              <c:numCache>
                <c:formatCode>0%</c:formatCode>
                <c:ptCount val="19"/>
                <c:pt idx="0">
                  <c:v>0.222</c:v>
                </c:pt>
                <c:pt idx="1">
                  <c:v>5.91E-2</c:v>
                </c:pt>
                <c:pt idx="2">
                  <c:v>3.2500000000000001E-2</c:v>
                </c:pt>
                <c:pt idx="3">
                  <c:v>1.89E-2</c:v>
                </c:pt>
                <c:pt idx="4">
                  <c:v>8.9999999999999993E-3</c:v>
                </c:pt>
                <c:pt idx="5">
                  <c:v>0.10630000000000001</c:v>
                </c:pt>
                <c:pt idx="7">
                  <c:v>0.1075</c:v>
                </c:pt>
                <c:pt idx="8">
                  <c:v>0.1053</c:v>
                </c:pt>
                <c:pt idx="10">
                  <c:v>0.1241</c:v>
                </c:pt>
                <c:pt idx="11">
                  <c:v>8.4000000000000005E-2</c:v>
                </c:pt>
                <c:pt idx="13">
                  <c:v>0.1168</c:v>
                </c:pt>
                <c:pt idx="14">
                  <c:v>0.13719999999999999</c:v>
                </c:pt>
                <c:pt idx="15">
                  <c:v>9.5100000000000004E-2</c:v>
                </c:pt>
                <c:pt idx="16">
                  <c:v>0.10440000000000001</c:v>
                </c:pt>
                <c:pt idx="17">
                  <c:v>5.5199999999999999E-2</c:v>
                </c:pt>
                <c:pt idx="18">
                  <c:v>5.5100000000000003E-2</c:v>
                </c:pt>
              </c:numCache>
            </c:numRef>
          </c:val>
          <c:extLst>
            <c:ext xmlns:c16="http://schemas.microsoft.com/office/drawing/2014/chart" uri="{C3380CC4-5D6E-409C-BE32-E72D297353CC}">
              <c16:uniqueId val="{00000002-D073-47FA-93C9-89ECD3590E2D}"/>
            </c:ext>
          </c:extLst>
        </c:ser>
        <c:ser>
          <c:idx val="3"/>
          <c:order val="3"/>
          <c:tx>
            <c:strRef>
              <c:f>'Labor market'!$F$1</c:f>
              <c:strCache>
                <c:ptCount val="1"/>
                <c:pt idx="0">
                  <c:v>Some upper secondary</c:v>
                </c:pt>
              </c:strCache>
            </c:strRef>
          </c:tx>
          <c:spPr>
            <a:solidFill>
              <a:schemeClr val="accent4"/>
            </a:solidFill>
            <a:ln>
              <a:noFill/>
            </a:ln>
            <a:effectLst/>
          </c:spPr>
          <c:invertIfNegative val="0"/>
          <c:cat>
            <c:multiLvlStrRef>
              <c:f>'Labor market'!$A$2:$B$20</c:f>
              <c:multiLvlStrCache>
                <c:ptCount val="19"/>
                <c:lvl>
                  <c:pt idx="0">
                    <c:v>Age 15-24</c:v>
                  </c:pt>
                  <c:pt idx="1">
                    <c:v>Age 25-34</c:v>
                  </c:pt>
                  <c:pt idx="2">
                    <c:v>Age 35-44</c:v>
                  </c:pt>
                  <c:pt idx="3">
                    <c:v>Age 45-54</c:v>
                  </c:pt>
                  <c:pt idx="4">
                    <c:v>Age 55-64</c:v>
                  </c:pt>
                  <c:pt idx="5">
                    <c:v>Age 15-64</c:v>
                  </c:pt>
                  <c:pt idx="7">
                    <c:v>Male</c:v>
                  </c:pt>
                  <c:pt idx="8">
                    <c:v>Female</c:v>
                  </c:pt>
                  <c:pt idx="10">
                    <c:v>Urban</c:v>
                  </c:pt>
                  <c:pt idx="11">
                    <c:v>Rural</c:v>
                  </c:pt>
                  <c:pt idx="13">
                    <c:v>Region1</c:v>
                  </c:pt>
                  <c:pt idx="14">
                    <c:v>Region2</c:v>
                  </c:pt>
                  <c:pt idx="15">
                    <c:v>Region3</c:v>
                  </c:pt>
                  <c:pt idx="16">
                    <c:v>Region4</c:v>
                  </c:pt>
                  <c:pt idx="17">
                    <c:v>Region5</c:v>
                  </c:pt>
                  <c:pt idx="18">
                    <c:v>Region6</c:v>
                  </c:pt>
                </c:lvl>
                <c:lvl>
                  <c:pt idx="0">
                    <c:v>Age group</c:v>
                  </c:pt>
                  <c:pt idx="7">
                    <c:v>Gender</c:v>
                  </c:pt>
                  <c:pt idx="10">
                    <c:v>Area</c:v>
                  </c:pt>
                  <c:pt idx="13">
                    <c:v>Region</c:v>
                  </c:pt>
                </c:lvl>
              </c:multiLvlStrCache>
            </c:multiLvlStrRef>
          </c:cat>
          <c:val>
            <c:numRef>
              <c:f>'Labor market'!$F$2:$F$20</c:f>
              <c:numCache>
                <c:formatCode>0%</c:formatCode>
                <c:ptCount val="19"/>
                <c:pt idx="0">
                  <c:v>0.16880000000000001</c:v>
                </c:pt>
                <c:pt idx="1">
                  <c:v>6.3799999999999996E-2</c:v>
                </c:pt>
                <c:pt idx="2">
                  <c:v>3.1099999999999999E-2</c:v>
                </c:pt>
                <c:pt idx="3">
                  <c:v>1.37E-2</c:v>
                </c:pt>
                <c:pt idx="4">
                  <c:v>9.2999999999999992E-3</c:v>
                </c:pt>
                <c:pt idx="5">
                  <c:v>8.6699999999999999E-2</c:v>
                </c:pt>
                <c:pt idx="7">
                  <c:v>9.4700000000000006E-2</c:v>
                </c:pt>
                <c:pt idx="8">
                  <c:v>8.0699999999999994E-2</c:v>
                </c:pt>
                <c:pt idx="10">
                  <c:v>0.122</c:v>
                </c:pt>
                <c:pt idx="11">
                  <c:v>4.2700000000000002E-2</c:v>
                </c:pt>
                <c:pt idx="13">
                  <c:v>0.1341</c:v>
                </c:pt>
                <c:pt idx="14">
                  <c:v>0.1096</c:v>
                </c:pt>
                <c:pt idx="15">
                  <c:v>6.1800000000000001E-2</c:v>
                </c:pt>
                <c:pt idx="16">
                  <c:v>4.3900000000000002E-2</c:v>
                </c:pt>
                <c:pt idx="17">
                  <c:v>3.4200000000000001E-2</c:v>
                </c:pt>
                <c:pt idx="18">
                  <c:v>2.69E-2</c:v>
                </c:pt>
              </c:numCache>
            </c:numRef>
          </c:val>
          <c:extLst>
            <c:ext xmlns:c16="http://schemas.microsoft.com/office/drawing/2014/chart" uri="{C3380CC4-5D6E-409C-BE32-E72D297353CC}">
              <c16:uniqueId val="{00000003-D073-47FA-93C9-89ECD3590E2D}"/>
            </c:ext>
          </c:extLst>
        </c:ser>
        <c:ser>
          <c:idx val="4"/>
          <c:order val="4"/>
          <c:tx>
            <c:strRef>
              <c:f>'Labor market'!$G$1</c:f>
              <c:strCache>
                <c:ptCount val="1"/>
                <c:pt idx="0">
                  <c:v>TVET</c:v>
                </c:pt>
              </c:strCache>
            </c:strRef>
          </c:tx>
          <c:spPr>
            <a:solidFill>
              <a:schemeClr val="accent5"/>
            </a:solidFill>
            <a:ln>
              <a:noFill/>
            </a:ln>
            <a:effectLst/>
          </c:spPr>
          <c:invertIfNegative val="0"/>
          <c:cat>
            <c:multiLvlStrRef>
              <c:f>'Labor market'!$A$2:$B$20</c:f>
              <c:multiLvlStrCache>
                <c:ptCount val="19"/>
                <c:lvl>
                  <c:pt idx="0">
                    <c:v>Age 15-24</c:v>
                  </c:pt>
                  <c:pt idx="1">
                    <c:v>Age 25-34</c:v>
                  </c:pt>
                  <c:pt idx="2">
                    <c:v>Age 35-44</c:v>
                  </c:pt>
                  <c:pt idx="3">
                    <c:v>Age 45-54</c:v>
                  </c:pt>
                  <c:pt idx="4">
                    <c:v>Age 55-64</c:v>
                  </c:pt>
                  <c:pt idx="5">
                    <c:v>Age 15-64</c:v>
                  </c:pt>
                  <c:pt idx="7">
                    <c:v>Male</c:v>
                  </c:pt>
                  <c:pt idx="8">
                    <c:v>Female</c:v>
                  </c:pt>
                  <c:pt idx="10">
                    <c:v>Urban</c:v>
                  </c:pt>
                  <c:pt idx="11">
                    <c:v>Rural</c:v>
                  </c:pt>
                  <c:pt idx="13">
                    <c:v>Region1</c:v>
                  </c:pt>
                  <c:pt idx="14">
                    <c:v>Region2</c:v>
                  </c:pt>
                  <c:pt idx="15">
                    <c:v>Region3</c:v>
                  </c:pt>
                  <c:pt idx="16">
                    <c:v>Region4</c:v>
                  </c:pt>
                  <c:pt idx="17">
                    <c:v>Region5</c:v>
                  </c:pt>
                  <c:pt idx="18">
                    <c:v>Region6</c:v>
                  </c:pt>
                </c:lvl>
                <c:lvl>
                  <c:pt idx="0">
                    <c:v>Age group</c:v>
                  </c:pt>
                  <c:pt idx="7">
                    <c:v>Gender</c:v>
                  </c:pt>
                  <c:pt idx="10">
                    <c:v>Area</c:v>
                  </c:pt>
                  <c:pt idx="13">
                    <c:v>Region</c:v>
                  </c:pt>
                </c:lvl>
              </c:multiLvlStrCache>
            </c:multiLvlStrRef>
          </c:cat>
          <c:val>
            <c:numRef>
              <c:f>'Labor market'!$G$2:$G$20</c:f>
              <c:numCache>
                <c:formatCode>0%</c:formatCode>
                <c:ptCount val="19"/>
                <c:pt idx="0">
                  <c:v>7.0000000000000001E-3</c:v>
                </c:pt>
                <c:pt idx="1">
                  <c:v>9.2999999999999992E-3</c:v>
                </c:pt>
                <c:pt idx="2">
                  <c:v>8.8999999999999999E-3</c:v>
                </c:pt>
                <c:pt idx="3">
                  <c:v>5.1999999999999998E-3</c:v>
                </c:pt>
                <c:pt idx="4">
                  <c:v>3.5999999999999999E-3</c:v>
                </c:pt>
                <c:pt idx="5">
                  <c:v>7.4000000000000003E-3</c:v>
                </c:pt>
                <c:pt idx="7">
                  <c:v>9.2999999999999992E-3</c:v>
                </c:pt>
                <c:pt idx="8">
                  <c:v>6.0000000000000001E-3</c:v>
                </c:pt>
                <c:pt idx="10">
                  <c:v>1.01E-2</c:v>
                </c:pt>
                <c:pt idx="11">
                  <c:v>4.1000000000000003E-3</c:v>
                </c:pt>
                <c:pt idx="13">
                  <c:v>8.3000000000000001E-3</c:v>
                </c:pt>
                <c:pt idx="14">
                  <c:v>1.2200000000000001E-2</c:v>
                </c:pt>
                <c:pt idx="15">
                  <c:v>2E-3</c:v>
                </c:pt>
                <c:pt idx="16">
                  <c:v>5.4999999999999997E-3</c:v>
                </c:pt>
                <c:pt idx="17">
                  <c:v>1.6000000000000001E-3</c:v>
                </c:pt>
                <c:pt idx="18">
                  <c:v>2.7000000000000001E-3</c:v>
                </c:pt>
              </c:numCache>
            </c:numRef>
          </c:val>
          <c:extLst>
            <c:ext xmlns:c16="http://schemas.microsoft.com/office/drawing/2014/chart" uri="{C3380CC4-5D6E-409C-BE32-E72D297353CC}">
              <c16:uniqueId val="{00000004-D073-47FA-93C9-89ECD3590E2D}"/>
            </c:ext>
          </c:extLst>
        </c:ser>
        <c:ser>
          <c:idx val="5"/>
          <c:order val="5"/>
          <c:tx>
            <c:strRef>
              <c:f>'Labor market'!$H$1</c:f>
              <c:strCache>
                <c:ptCount val="1"/>
                <c:pt idx="0">
                  <c:v>Some post secondary</c:v>
                </c:pt>
              </c:strCache>
            </c:strRef>
          </c:tx>
          <c:spPr>
            <a:solidFill>
              <a:schemeClr val="accent6"/>
            </a:solidFill>
            <a:ln>
              <a:noFill/>
            </a:ln>
            <a:effectLst/>
          </c:spPr>
          <c:invertIfNegative val="0"/>
          <c:cat>
            <c:multiLvlStrRef>
              <c:f>'Labor market'!$A$2:$B$20</c:f>
              <c:multiLvlStrCache>
                <c:ptCount val="19"/>
                <c:lvl>
                  <c:pt idx="0">
                    <c:v>Age 15-24</c:v>
                  </c:pt>
                  <c:pt idx="1">
                    <c:v>Age 25-34</c:v>
                  </c:pt>
                  <c:pt idx="2">
                    <c:v>Age 35-44</c:v>
                  </c:pt>
                  <c:pt idx="3">
                    <c:v>Age 45-54</c:v>
                  </c:pt>
                  <c:pt idx="4">
                    <c:v>Age 55-64</c:v>
                  </c:pt>
                  <c:pt idx="5">
                    <c:v>Age 15-64</c:v>
                  </c:pt>
                  <c:pt idx="7">
                    <c:v>Male</c:v>
                  </c:pt>
                  <c:pt idx="8">
                    <c:v>Female</c:v>
                  </c:pt>
                  <c:pt idx="10">
                    <c:v>Urban</c:v>
                  </c:pt>
                  <c:pt idx="11">
                    <c:v>Rural</c:v>
                  </c:pt>
                  <c:pt idx="13">
                    <c:v>Region1</c:v>
                  </c:pt>
                  <c:pt idx="14">
                    <c:v>Region2</c:v>
                  </c:pt>
                  <c:pt idx="15">
                    <c:v>Region3</c:v>
                  </c:pt>
                  <c:pt idx="16">
                    <c:v>Region4</c:v>
                  </c:pt>
                  <c:pt idx="17">
                    <c:v>Region5</c:v>
                  </c:pt>
                  <c:pt idx="18">
                    <c:v>Region6</c:v>
                  </c:pt>
                </c:lvl>
                <c:lvl>
                  <c:pt idx="0">
                    <c:v>Age group</c:v>
                  </c:pt>
                  <c:pt idx="7">
                    <c:v>Gender</c:v>
                  </c:pt>
                  <c:pt idx="10">
                    <c:v>Area</c:v>
                  </c:pt>
                  <c:pt idx="13">
                    <c:v>Region</c:v>
                  </c:pt>
                </c:lvl>
              </c:multiLvlStrCache>
            </c:multiLvlStrRef>
          </c:cat>
          <c:val>
            <c:numRef>
              <c:f>'Labor market'!$H$2:$H$20</c:f>
              <c:numCache>
                <c:formatCode>0%</c:formatCode>
                <c:ptCount val="19"/>
                <c:pt idx="0">
                  <c:v>5.1900000000000002E-2</c:v>
                </c:pt>
                <c:pt idx="1">
                  <c:v>0.1129</c:v>
                </c:pt>
                <c:pt idx="2">
                  <c:v>8.2500000000000004E-2</c:v>
                </c:pt>
                <c:pt idx="3">
                  <c:v>7.8200000000000006E-2</c:v>
                </c:pt>
                <c:pt idx="4">
                  <c:v>6.8400000000000002E-2</c:v>
                </c:pt>
                <c:pt idx="5">
                  <c:v>7.7100000000000002E-2</c:v>
                </c:pt>
                <c:pt idx="7">
                  <c:v>0.1085</c:v>
                </c:pt>
                <c:pt idx="8">
                  <c:v>5.3199999999999997E-2</c:v>
                </c:pt>
                <c:pt idx="10">
                  <c:v>0.121</c:v>
                </c:pt>
                <c:pt idx="11">
                  <c:v>2.2200000000000001E-2</c:v>
                </c:pt>
                <c:pt idx="13">
                  <c:v>0.16209999999999999</c:v>
                </c:pt>
                <c:pt idx="14">
                  <c:v>9.11E-2</c:v>
                </c:pt>
                <c:pt idx="15">
                  <c:v>3.15E-2</c:v>
                </c:pt>
                <c:pt idx="16">
                  <c:v>2.46E-2</c:v>
                </c:pt>
                <c:pt idx="17">
                  <c:v>1.6799999999999999E-2</c:v>
                </c:pt>
                <c:pt idx="18">
                  <c:v>1.1900000000000001E-2</c:v>
                </c:pt>
              </c:numCache>
            </c:numRef>
          </c:val>
          <c:extLst>
            <c:ext xmlns:c16="http://schemas.microsoft.com/office/drawing/2014/chart" uri="{C3380CC4-5D6E-409C-BE32-E72D297353CC}">
              <c16:uniqueId val="{00000005-D073-47FA-93C9-89ECD3590E2D}"/>
            </c:ext>
          </c:extLst>
        </c:ser>
        <c:dLbls>
          <c:showLegendKey val="0"/>
          <c:showVal val="0"/>
          <c:showCatName val="0"/>
          <c:showSerName val="0"/>
          <c:showPercent val="0"/>
          <c:showBubbleSize val="0"/>
        </c:dLbls>
        <c:gapWidth val="64"/>
        <c:overlap val="100"/>
        <c:axId val="585223560"/>
        <c:axId val="403397064"/>
      </c:barChart>
      <c:catAx>
        <c:axId val="585223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lnSpc>
                <a:spcPts val="800"/>
              </a:lnSpc>
              <a:defRPr sz="900" b="0" i="0" u="none" strike="noStrike" kern="1200" baseline="0">
                <a:solidFill>
                  <a:schemeClr val="tx1">
                    <a:lumMod val="65000"/>
                    <a:lumOff val="35000"/>
                  </a:schemeClr>
                </a:solidFill>
                <a:latin typeface="+mn-lt"/>
                <a:ea typeface="+mn-ea"/>
                <a:cs typeface="+mn-cs"/>
              </a:defRPr>
            </a:pPr>
            <a:endParaRPr lang="en-US"/>
          </a:p>
        </c:txPr>
        <c:crossAx val="403397064"/>
        <c:crosses val="autoZero"/>
        <c:auto val="1"/>
        <c:lblAlgn val="ctr"/>
        <c:lblOffset val="100"/>
        <c:noMultiLvlLbl val="0"/>
      </c:catAx>
      <c:valAx>
        <c:axId val="403397064"/>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5223560"/>
        <c:crosses val="autoZero"/>
        <c:crossBetween val="between"/>
      </c:valAx>
      <c:spPr>
        <a:noFill/>
        <a:ln>
          <a:noFill/>
        </a:ln>
        <a:effectLst/>
      </c:spPr>
    </c:plotArea>
    <c:legend>
      <c:legendPos val="t"/>
      <c:layout>
        <c:manualLayout>
          <c:xMode val="edge"/>
          <c:yMode val="edge"/>
          <c:x val="8.1862470750858146E-2"/>
          <c:y val="2.1887828040950345E-2"/>
          <c:w val="0.83129063580039997"/>
          <c:h val="0.117647937445621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1746171291695333E-2"/>
          <c:y val="4.1198501872659173E-2"/>
          <c:w val="0.94882004433911793"/>
          <c:h val="0.68209148013801635"/>
        </c:manualLayout>
      </c:layout>
      <c:barChart>
        <c:barDir val="col"/>
        <c:grouping val="clustered"/>
        <c:varyColors val="0"/>
        <c:ser>
          <c:idx val="0"/>
          <c:order val="0"/>
          <c:tx>
            <c:strRef>
              <c:f>'Fig14'!$R$90</c:f>
              <c:strCache>
                <c:ptCount val="1"/>
                <c:pt idx="0">
                  <c:v>Age 15-24</c:v>
                </c:pt>
              </c:strCache>
            </c:strRef>
          </c:tx>
          <c:spPr>
            <a:solidFill>
              <a:schemeClr val="accent1">
                <a:lumMod val="75000"/>
              </a:schemeClr>
            </a:solidFill>
            <a:ln>
              <a:noFill/>
            </a:ln>
            <a:effectLst/>
          </c:spPr>
          <c:invertIfNegative val="0"/>
          <c:dPt>
            <c:idx val="12"/>
            <c:invertIfNegative val="0"/>
            <c:bubble3D val="0"/>
            <c:spPr>
              <a:solidFill>
                <a:schemeClr val="accent1">
                  <a:lumMod val="75000"/>
                </a:schemeClr>
              </a:solidFill>
              <a:ln>
                <a:noFill/>
              </a:ln>
              <a:effectLst/>
            </c:spPr>
            <c:extLst>
              <c:ext xmlns:c16="http://schemas.microsoft.com/office/drawing/2014/chart" uri="{C3380CC4-5D6E-409C-BE32-E72D297353CC}">
                <c16:uniqueId val="{00000001-42C4-4B53-9933-84F204A61ACA}"/>
              </c:ext>
            </c:extLst>
          </c:dPt>
          <c:dPt>
            <c:idx val="20"/>
            <c:invertIfNegative val="0"/>
            <c:bubble3D val="0"/>
            <c:spPr>
              <a:solidFill>
                <a:schemeClr val="accent1">
                  <a:lumMod val="75000"/>
                </a:schemeClr>
              </a:solidFill>
              <a:ln>
                <a:noFill/>
              </a:ln>
              <a:effectLst/>
            </c:spPr>
            <c:extLst>
              <c:ext xmlns:c16="http://schemas.microsoft.com/office/drawing/2014/chart" uri="{C3380CC4-5D6E-409C-BE32-E72D297353CC}">
                <c16:uniqueId val="{00000003-42C4-4B53-9933-84F204A61ACA}"/>
              </c:ext>
            </c:extLst>
          </c:dPt>
          <c:dPt>
            <c:idx val="23"/>
            <c:invertIfNegative val="0"/>
            <c:bubble3D val="0"/>
            <c:spPr>
              <a:solidFill>
                <a:srgbClr val="C00000"/>
              </a:solidFill>
              <a:ln>
                <a:noFill/>
              </a:ln>
              <a:effectLst/>
            </c:spPr>
            <c:extLst>
              <c:ext xmlns:c16="http://schemas.microsoft.com/office/drawing/2014/chart" uri="{C3380CC4-5D6E-409C-BE32-E72D297353CC}">
                <c16:uniqueId val="{00000005-42C4-4B53-9933-84F204A61ACA}"/>
              </c:ext>
            </c:extLst>
          </c:dPt>
          <c:dPt>
            <c:idx val="27"/>
            <c:invertIfNegative val="0"/>
            <c:bubble3D val="0"/>
            <c:spPr>
              <a:solidFill>
                <a:schemeClr val="accent1">
                  <a:lumMod val="75000"/>
                </a:schemeClr>
              </a:solidFill>
              <a:ln>
                <a:noFill/>
              </a:ln>
              <a:effectLst/>
            </c:spPr>
            <c:extLst>
              <c:ext xmlns:c16="http://schemas.microsoft.com/office/drawing/2014/chart" uri="{C3380CC4-5D6E-409C-BE32-E72D297353CC}">
                <c16:uniqueId val="{00000007-42C4-4B53-9933-84F204A61ACA}"/>
              </c:ext>
            </c:extLst>
          </c:dPt>
          <c:dPt>
            <c:idx val="30"/>
            <c:invertIfNegative val="0"/>
            <c:bubble3D val="0"/>
            <c:spPr>
              <a:solidFill>
                <a:srgbClr val="C00000"/>
              </a:solidFill>
              <a:ln>
                <a:noFill/>
              </a:ln>
              <a:effectLst/>
            </c:spPr>
            <c:extLst>
              <c:ext xmlns:c16="http://schemas.microsoft.com/office/drawing/2014/chart" uri="{C3380CC4-5D6E-409C-BE32-E72D297353CC}">
                <c16:uniqueId val="{00000009-42C4-4B53-9933-84F204A61ACA}"/>
              </c:ext>
            </c:extLst>
          </c:dPt>
          <c:dLbls>
            <c:dLbl>
              <c:idx val="2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2C4-4B53-9933-84F204A61ACA}"/>
                </c:ext>
              </c:extLst>
            </c:dLbl>
            <c:dLbl>
              <c:idx val="3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2C4-4B53-9933-84F204A61AC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'Fig14'!$Q$91:$Q$130</c:f>
              <c:strCache>
                <c:ptCount val="40"/>
                <c:pt idx="0">
                  <c:v>South Africa</c:v>
                </c:pt>
                <c:pt idx="1">
                  <c:v>Mauritania</c:v>
                </c:pt>
                <c:pt idx="2">
                  <c:v>Gabon</c:v>
                </c:pt>
                <c:pt idx="3">
                  <c:v>Kenya</c:v>
                </c:pt>
                <c:pt idx="4">
                  <c:v>Botswana</c:v>
                </c:pt>
                <c:pt idx="5">
                  <c:v>Namibia</c:v>
                </c:pt>
                <c:pt idx="6">
                  <c:v>Uganda</c:v>
                </c:pt>
                <c:pt idx="7">
                  <c:v>Zimbabwe</c:v>
                </c:pt>
                <c:pt idx="8">
                  <c:v>Sao T&amp;P</c:v>
                </c:pt>
                <c:pt idx="9">
                  <c:v>Rwanda</c:v>
                </c:pt>
                <c:pt idx="10">
                  <c:v>Lesotho</c:v>
                </c:pt>
                <c:pt idx="11">
                  <c:v>DRC</c:v>
                </c:pt>
                <c:pt idx="12">
                  <c:v>Malawi</c:v>
                </c:pt>
                <c:pt idx="13">
                  <c:v>Sudan</c:v>
                </c:pt>
                <c:pt idx="14">
                  <c:v>Congo</c:v>
                </c:pt>
                <c:pt idx="15">
                  <c:v>Tanzania</c:v>
                </c:pt>
                <c:pt idx="16">
                  <c:v>Ghana</c:v>
                </c:pt>
                <c:pt idx="17">
                  <c:v>Cameroon</c:v>
                </c:pt>
                <c:pt idx="18">
                  <c:v>Comoros</c:v>
                </c:pt>
                <c:pt idx="19">
                  <c:v>Angola</c:v>
                </c:pt>
                <c:pt idx="20">
                  <c:v>Togo</c:v>
                </c:pt>
                <c:pt idx="21">
                  <c:v>Zambia</c:v>
                </c:pt>
                <c:pt idx="22">
                  <c:v>Liberia</c:v>
                </c:pt>
                <c:pt idx="23">
                  <c:v>SSA</c:v>
                </c:pt>
                <c:pt idx="24">
                  <c:v>Ethiopia</c:v>
                </c:pt>
                <c:pt idx="25">
                  <c:v>Nigeria</c:v>
                </c:pt>
                <c:pt idx="26">
                  <c:v>Burundi</c:v>
                </c:pt>
                <c:pt idx="27">
                  <c:v>Madagascar</c:v>
                </c:pt>
                <c:pt idx="28">
                  <c:v>Mozambique</c:v>
                </c:pt>
                <c:pt idx="29">
                  <c:v>Sierra Leone</c:v>
                </c:pt>
                <c:pt idx="30">
                  <c:v>Gambia</c:v>
                </c:pt>
                <c:pt idx="31">
                  <c:v>Benin</c:v>
                </c:pt>
                <c:pt idx="32">
                  <c:v>Senegal</c:v>
                </c:pt>
                <c:pt idx="33">
                  <c:v>Guinea</c:v>
                </c:pt>
                <c:pt idx="34">
                  <c:v>CIV</c:v>
                </c:pt>
                <c:pt idx="35">
                  <c:v>Chad</c:v>
                </c:pt>
                <c:pt idx="36">
                  <c:v>Mali</c:v>
                </c:pt>
                <c:pt idx="37">
                  <c:v>Niger</c:v>
                </c:pt>
                <c:pt idx="38">
                  <c:v>Burkina Faso</c:v>
                </c:pt>
                <c:pt idx="39">
                  <c:v>South Sudan</c:v>
                </c:pt>
              </c:strCache>
            </c:strRef>
          </c:cat>
          <c:val>
            <c:numRef>
              <c:f>'Fig14'!$R$91:$R$130</c:f>
              <c:numCache>
                <c:formatCode>0.0</c:formatCode>
                <c:ptCount val="40"/>
                <c:pt idx="0">
                  <c:v>0.78</c:v>
                </c:pt>
                <c:pt idx="1">
                  <c:v>1.72</c:v>
                </c:pt>
                <c:pt idx="2">
                  <c:v>2.71</c:v>
                </c:pt>
                <c:pt idx="3">
                  <c:v>2.91</c:v>
                </c:pt>
                <c:pt idx="4">
                  <c:v>3.21</c:v>
                </c:pt>
                <c:pt idx="5">
                  <c:v>3.58</c:v>
                </c:pt>
                <c:pt idx="6">
                  <c:v>4.01</c:v>
                </c:pt>
                <c:pt idx="7">
                  <c:v>4.29</c:v>
                </c:pt>
                <c:pt idx="8">
                  <c:v>4.3899999999999997</c:v>
                </c:pt>
                <c:pt idx="9">
                  <c:v>4.5999999999999996</c:v>
                </c:pt>
                <c:pt idx="10">
                  <c:v>5.24</c:v>
                </c:pt>
                <c:pt idx="11">
                  <c:v>6.26</c:v>
                </c:pt>
                <c:pt idx="12">
                  <c:v>6.32</c:v>
                </c:pt>
                <c:pt idx="13">
                  <c:v>7.13</c:v>
                </c:pt>
                <c:pt idx="14">
                  <c:v>9.2799999999999994</c:v>
                </c:pt>
                <c:pt idx="15">
                  <c:v>9.35</c:v>
                </c:pt>
                <c:pt idx="16">
                  <c:v>9.52</c:v>
                </c:pt>
                <c:pt idx="17">
                  <c:v>9.83</c:v>
                </c:pt>
                <c:pt idx="18">
                  <c:v>12.28</c:v>
                </c:pt>
                <c:pt idx="19">
                  <c:v>12.71</c:v>
                </c:pt>
                <c:pt idx="20">
                  <c:v>13.21</c:v>
                </c:pt>
                <c:pt idx="21">
                  <c:v>13.76</c:v>
                </c:pt>
                <c:pt idx="22">
                  <c:v>16.95</c:v>
                </c:pt>
                <c:pt idx="23">
                  <c:v>17.760000000000002</c:v>
                </c:pt>
                <c:pt idx="24">
                  <c:v>18.66</c:v>
                </c:pt>
                <c:pt idx="25">
                  <c:v>20.21</c:v>
                </c:pt>
                <c:pt idx="26">
                  <c:v>24.06</c:v>
                </c:pt>
                <c:pt idx="27">
                  <c:v>25.69</c:v>
                </c:pt>
                <c:pt idx="28">
                  <c:v>27.07</c:v>
                </c:pt>
                <c:pt idx="29">
                  <c:v>28.2</c:v>
                </c:pt>
                <c:pt idx="30">
                  <c:v>34</c:v>
                </c:pt>
                <c:pt idx="31">
                  <c:v>37.04</c:v>
                </c:pt>
                <c:pt idx="32">
                  <c:v>37.19</c:v>
                </c:pt>
                <c:pt idx="33">
                  <c:v>40.409999999999997</c:v>
                </c:pt>
                <c:pt idx="34">
                  <c:v>44.35</c:v>
                </c:pt>
                <c:pt idx="35">
                  <c:v>49.95</c:v>
                </c:pt>
                <c:pt idx="36">
                  <c:v>52.48</c:v>
                </c:pt>
                <c:pt idx="37">
                  <c:v>54.83</c:v>
                </c:pt>
                <c:pt idx="38">
                  <c:v>55.5</c:v>
                </c:pt>
                <c:pt idx="39">
                  <c:v>61.66</c:v>
                </c:pt>
              </c:numCache>
            </c:numRef>
          </c:val>
          <c:extLst>
            <c:ext xmlns:c16="http://schemas.microsoft.com/office/drawing/2014/chart" uri="{C3380CC4-5D6E-409C-BE32-E72D297353CC}">
              <c16:uniqueId val="{0000000A-42C4-4B53-9933-84F204A61ACA}"/>
            </c:ext>
          </c:extLst>
        </c:ser>
        <c:dLbls>
          <c:showLegendKey val="0"/>
          <c:showVal val="0"/>
          <c:showCatName val="0"/>
          <c:showSerName val="0"/>
          <c:showPercent val="0"/>
          <c:showBubbleSize val="0"/>
        </c:dLbls>
        <c:gapWidth val="219"/>
        <c:axId val="456250672"/>
        <c:axId val="739447352"/>
      </c:barChart>
      <c:lineChart>
        <c:grouping val="standard"/>
        <c:varyColors val="0"/>
        <c:ser>
          <c:idx val="1"/>
          <c:order val="1"/>
          <c:tx>
            <c:strRef>
              <c:f>'Fig14'!$S$90</c:f>
              <c:strCache>
                <c:ptCount val="1"/>
                <c:pt idx="0">
                  <c:v>Age 25-64</c:v>
                </c:pt>
              </c:strCache>
            </c:strRef>
          </c:tx>
          <c:spPr>
            <a:ln w="25400" cap="rnd">
              <a:noFill/>
              <a:round/>
            </a:ln>
            <a:effectLst/>
          </c:spPr>
          <c:marker>
            <c:symbol val="triangle"/>
            <c:size val="6"/>
            <c:spPr>
              <a:solidFill>
                <a:schemeClr val="accent2"/>
              </a:solidFill>
              <a:ln w="9525">
                <a:solidFill>
                  <a:schemeClr val="accent2"/>
                </a:solidFill>
              </a:ln>
              <a:effectLst/>
            </c:spPr>
          </c:marker>
          <c:dLbls>
            <c:dLbl>
              <c:idx val="23"/>
              <c:layout>
                <c:manualLayout>
                  <c:x val="-2.8103044496487119E-2"/>
                  <c:y val="-3.52422907488986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2C4-4B53-9933-84F204A61ACA}"/>
                </c:ext>
              </c:extLst>
            </c:dLbl>
            <c:dLbl>
              <c:idx val="30"/>
              <c:layout>
                <c:manualLayout>
                  <c:x val="-2.5817555938037865E-2"/>
                  <c:y val="-7.85545954438334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2C4-4B53-9933-84F204A61AC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'Fig14'!$Q$91:$Q$130</c:f>
              <c:strCache>
                <c:ptCount val="40"/>
                <c:pt idx="0">
                  <c:v>South Africa</c:v>
                </c:pt>
                <c:pt idx="1">
                  <c:v>Mauritania</c:v>
                </c:pt>
                <c:pt idx="2">
                  <c:v>Gabon</c:v>
                </c:pt>
                <c:pt idx="3">
                  <c:v>Kenya</c:v>
                </c:pt>
                <c:pt idx="4">
                  <c:v>Botswana</c:v>
                </c:pt>
                <c:pt idx="5">
                  <c:v>Namibia</c:v>
                </c:pt>
                <c:pt idx="6">
                  <c:v>Uganda</c:v>
                </c:pt>
                <c:pt idx="7">
                  <c:v>Zimbabwe</c:v>
                </c:pt>
                <c:pt idx="8">
                  <c:v>Sao T&amp;P</c:v>
                </c:pt>
                <c:pt idx="9">
                  <c:v>Rwanda</c:v>
                </c:pt>
                <c:pt idx="10">
                  <c:v>Lesotho</c:v>
                </c:pt>
                <c:pt idx="11">
                  <c:v>DRC</c:v>
                </c:pt>
                <c:pt idx="12">
                  <c:v>Malawi</c:v>
                </c:pt>
                <c:pt idx="13">
                  <c:v>Sudan</c:v>
                </c:pt>
                <c:pt idx="14">
                  <c:v>Congo</c:v>
                </c:pt>
                <c:pt idx="15">
                  <c:v>Tanzania</c:v>
                </c:pt>
                <c:pt idx="16">
                  <c:v>Ghana</c:v>
                </c:pt>
                <c:pt idx="17">
                  <c:v>Cameroon</c:v>
                </c:pt>
                <c:pt idx="18">
                  <c:v>Comoros</c:v>
                </c:pt>
                <c:pt idx="19">
                  <c:v>Angola</c:v>
                </c:pt>
                <c:pt idx="20">
                  <c:v>Togo</c:v>
                </c:pt>
                <c:pt idx="21">
                  <c:v>Zambia</c:v>
                </c:pt>
                <c:pt idx="22">
                  <c:v>Liberia</c:v>
                </c:pt>
                <c:pt idx="23">
                  <c:v>SSA</c:v>
                </c:pt>
                <c:pt idx="24">
                  <c:v>Ethiopia</c:v>
                </c:pt>
                <c:pt idx="25">
                  <c:v>Nigeria</c:v>
                </c:pt>
                <c:pt idx="26">
                  <c:v>Burundi</c:v>
                </c:pt>
                <c:pt idx="27">
                  <c:v>Madagascar</c:v>
                </c:pt>
                <c:pt idx="28">
                  <c:v>Mozambique</c:v>
                </c:pt>
                <c:pt idx="29">
                  <c:v>Sierra Leone</c:v>
                </c:pt>
                <c:pt idx="30">
                  <c:v>Gambia</c:v>
                </c:pt>
                <c:pt idx="31">
                  <c:v>Benin</c:v>
                </c:pt>
                <c:pt idx="32">
                  <c:v>Senegal</c:v>
                </c:pt>
                <c:pt idx="33">
                  <c:v>Guinea</c:v>
                </c:pt>
                <c:pt idx="34">
                  <c:v>CIV</c:v>
                </c:pt>
                <c:pt idx="35">
                  <c:v>Chad</c:v>
                </c:pt>
                <c:pt idx="36">
                  <c:v>Mali</c:v>
                </c:pt>
                <c:pt idx="37">
                  <c:v>Niger</c:v>
                </c:pt>
                <c:pt idx="38">
                  <c:v>Burkina Faso</c:v>
                </c:pt>
                <c:pt idx="39">
                  <c:v>South Sudan</c:v>
                </c:pt>
              </c:strCache>
            </c:strRef>
          </c:cat>
          <c:val>
            <c:numRef>
              <c:f>'Fig14'!$S$91:$S$130</c:f>
              <c:numCache>
                <c:formatCode>0.0</c:formatCode>
                <c:ptCount val="40"/>
                <c:pt idx="0">
                  <c:v>4.16</c:v>
                </c:pt>
                <c:pt idx="1">
                  <c:v>1.84</c:v>
                </c:pt>
                <c:pt idx="2">
                  <c:v>9.1300000000000008</c:v>
                </c:pt>
                <c:pt idx="3">
                  <c:v>10.47</c:v>
                </c:pt>
                <c:pt idx="4">
                  <c:v>17.53</c:v>
                </c:pt>
                <c:pt idx="5">
                  <c:v>11.45</c:v>
                </c:pt>
                <c:pt idx="6">
                  <c:v>15.47</c:v>
                </c:pt>
                <c:pt idx="7">
                  <c:v>1.01</c:v>
                </c:pt>
                <c:pt idx="8">
                  <c:v>11.71</c:v>
                </c:pt>
                <c:pt idx="9">
                  <c:v>21.92</c:v>
                </c:pt>
                <c:pt idx="10">
                  <c:v>12.15</c:v>
                </c:pt>
                <c:pt idx="11">
                  <c:v>16.190000000000001</c:v>
                </c:pt>
                <c:pt idx="12">
                  <c:v>19.03</c:v>
                </c:pt>
                <c:pt idx="13">
                  <c:v>17.559999999999999</c:v>
                </c:pt>
                <c:pt idx="14">
                  <c:v>19.43</c:v>
                </c:pt>
                <c:pt idx="15">
                  <c:v>19.760000000000002</c:v>
                </c:pt>
                <c:pt idx="16">
                  <c:v>28.51</c:v>
                </c:pt>
                <c:pt idx="17">
                  <c:v>23.96</c:v>
                </c:pt>
                <c:pt idx="18">
                  <c:v>45.52</c:v>
                </c:pt>
                <c:pt idx="19">
                  <c:v>26.86</c:v>
                </c:pt>
                <c:pt idx="20">
                  <c:v>38.92</c:v>
                </c:pt>
                <c:pt idx="21">
                  <c:v>24.96</c:v>
                </c:pt>
                <c:pt idx="22">
                  <c:v>43.14</c:v>
                </c:pt>
                <c:pt idx="23">
                  <c:v>35.97</c:v>
                </c:pt>
                <c:pt idx="24">
                  <c:v>59.75</c:v>
                </c:pt>
                <c:pt idx="25">
                  <c:v>38.15</c:v>
                </c:pt>
                <c:pt idx="26">
                  <c:v>54.46</c:v>
                </c:pt>
                <c:pt idx="27">
                  <c:v>32.78</c:v>
                </c:pt>
                <c:pt idx="28">
                  <c:v>37.94</c:v>
                </c:pt>
                <c:pt idx="29">
                  <c:v>68.59</c:v>
                </c:pt>
                <c:pt idx="30">
                  <c:v>60.27</c:v>
                </c:pt>
                <c:pt idx="31">
                  <c:v>62.75</c:v>
                </c:pt>
                <c:pt idx="32">
                  <c:v>64.33</c:v>
                </c:pt>
                <c:pt idx="33">
                  <c:v>75.180000000000007</c:v>
                </c:pt>
                <c:pt idx="34">
                  <c:v>59.39</c:v>
                </c:pt>
                <c:pt idx="35">
                  <c:v>71.349999999999994</c:v>
                </c:pt>
                <c:pt idx="36">
                  <c:v>78.569999999999993</c:v>
                </c:pt>
                <c:pt idx="37">
                  <c:v>84.13</c:v>
                </c:pt>
                <c:pt idx="38">
                  <c:v>84.49</c:v>
                </c:pt>
                <c:pt idx="39">
                  <c:v>92.52</c:v>
                </c:pt>
              </c:numCache>
            </c:numRef>
          </c:val>
          <c:smooth val="0"/>
          <c:extLst>
            <c:ext xmlns:c16="http://schemas.microsoft.com/office/drawing/2014/chart" uri="{C3380CC4-5D6E-409C-BE32-E72D297353CC}">
              <c16:uniqueId val="{0000000D-42C4-4B53-9933-84F204A61ACA}"/>
            </c:ext>
          </c:extLst>
        </c:ser>
        <c:ser>
          <c:idx val="2"/>
          <c:order val="2"/>
          <c:tx>
            <c:strRef>
              <c:f>'Fig14'!$T$90</c:f>
              <c:strCache>
                <c:ptCount val="1"/>
              </c:strCache>
            </c:strRef>
          </c:tx>
          <c:spPr>
            <a:ln w="25400" cap="rnd">
              <a:noFill/>
              <a:round/>
            </a:ln>
            <a:effectLst/>
          </c:spPr>
          <c:marker>
            <c:symbol val="none"/>
          </c:marker>
          <c:cat>
            <c:strRef>
              <c:f>'Fig14'!$Q$91:$Q$130</c:f>
              <c:strCache>
                <c:ptCount val="40"/>
                <c:pt idx="0">
                  <c:v>South Africa</c:v>
                </c:pt>
                <c:pt idx="1">
                  <c:v>Mauritania</c:v>
                </c:pt>
                <c:pt idx="2">
                  <c:v>Gabon</c:v>
                </c:pt>
                <c:pt idx="3">
                  <c:v>Kenya</c:v>
                </c:pt>
                <c:pt idx="4">
                  <c:v>Botswana</c:v>
                </c:pt>
                <c:pt idx="5">
                  <c:v>Namibia</c:v>
                </c:pt>
                <c:pt idx="6">
                  <c:v>Uganda</c:v>
                </c:pt>
                <c:pt idx="7">
                  <c:v>Zimbabwe</c:v>
                </c:pt>
                <c:pt idx="8">
                  <c:v>Sao T&amp;P</c:v>
                </c:pt>
                <c:pt idx="9">
                  <c:v>Rwanda</c:v>
                </c:pt>
                <c:pt idx="10">
                  <c:v>Lesotho</c:v>
                </c:pt>
                <c:pt idx="11">
                  <c:v>DRC</c:v>
                </c:pt>
                <c:pt idx="12">
                  <c:v>Malawi</c:v>
                </c:pt>
                <c:pt idx="13">
                  <c:v>Sudan</c:v>
                </c:pt>
                <c:pt idx="14">
                  <c:v>Congo</c:v>
                </c:pt>
                <c:pt idx="15">
                  <c:v>Tanzania</c:v>
                </c:pt>
                <c:pt idx="16">
                  <c:v>Ghana</c:v>
                </c:pt>
                <c:pt idx="17">
                  <c:v>Cameroon</c:v>
                </c:pt>
                <c:pt idx="18">
                  <c:v>Comoros</c:v>
                </c:pt>
                <c:pt idx="19">
                  <c:v>Angola</c:v>
                </c:pt>
                <c:pt idx="20">
                  <c:v>Togo</c:v>
                </c:pt>
                <c:pt idx="21">
                  <c:v>Zambia</c:v>
                </c:pt>
                <c:pt idx="22">
                  <c:v>Liberia</c:v>
                </c:pt>
                <c:pt idx="23">
                  <c:v>SSA</c:v>
                </c:pt>
                <c:pt idx="24">
                  <c:v>Ethiopia</c:v>
                </c:pt>
                <c:pt idx="25">
                  <c:v>Nigeria</c:v>
                </c:pt>
                <c:pt idx="26">
                  <c:v>Burundi</c:v>
                </c:pt>
                <c:pt idx="27">
                  <c:v>Madagascar</c:v>
                </c:pt>
                <c:pt idx="28">
                  <c:v>Mozambique</c:v>
                </c:pt>
                <c:pt idx="29">
                  <c:v>Sierra Leone</c:v>
                </c:pt>
                <c:pt idx="30">
                  <c:v>Gambia</c:v>
                </c:pt>
                <c:pt idx="31">
                  <c:v>Benin</c:v>
                </c:pt>
                <c:pt idx="32">
                  <c:v>Senegal</c:v>
                </c:pt>
                <c:pt idx="33">
                  <c:v>Guinea</c:v>
                </c:pt>
                <c:pt idx="34">
                  <c:v>CIV</c:v>
                </c:pt>
                <c:pt idx="35">
                  <c:v>Chad</c:v>
                </c:pt>
                <c:pt idx="36">
                  <c:v>Mali</c:v>
                </c:pt>
                <c:pt idx="37">
                  <c:v>Niger</c:v>
                </c:pt>
                <c:pt idx="38">
                  <c:v>Burkina Faso</c:v>
                </c:pt>
                <c:pt idx="39">
                  <c:v>South Sudan</c:v>
                </c:pt>
              </c:strCache>
            </c:strRef>
          </c:cat>
          <c:val>
            <c:numRef>
              <c:f>'Fig14'!$T$91:$T$130</c:f>
              <c:numCache>
                <c:formatCode>0.0</c:formatCode>
                <c:ptCount val="40"/>
                <c:pt idx="0">
                  <c:v>0.78</c:v>
                </c:pt>
                <c:pt idx="1">
                  <c:v>1.72</c:v>
                </c:pt>
                <c:pt idx="2">
                  <c:v>2.71</c:v>
                </c:pt>
                <c:pt idx="3">
                  <c:v>2.91</c:v>
                </c:pt>
                <c:pt idx="4">
                  <c:v>3.21</c:v>
                </c:pt>
                <c:pt idx="5">
                  <c:v>3.58</c:v>
                </c:pt>
                <c:pt idx="6">
                  <c:v>4.01</c:v>
                </c:pt>
                <c:pt idx="7">
                  <c:v>4.29</c:v>
                </c:pt>
                <c:pt idx="8">
                  <c:v>4.3899999999999997</c:v>
                </c:pt>
                <c:pt idx="9">
                  <c:v>4.5999999999999996</c:v>
                </c:pt>
                <c:pt idx="10">
                  <c:v>5.24</c:v>
                </c:pt>
                <c:pt idx="11">
                  <c:v>6.26</c:v>
                </c:pt>
                <c:pt idx="12">
                  <c:v>6.32</c:v>
                </c:pt>
                <c:pt idx="13">
                  <c:v>7.13</c:v>
                </c:pt>
                <c:pt idx="14">
                  <c:v>9.2799999999999994</c:v>
                </c:pt>
                <c:pt idx="15">
                  <c:v>9.35</c:v>
                </c:pt>
                <c:pt idx="16">
                  <c:v>9.52</c:v>
                </c:pt>
                <c:pt idx="17">
                  <c:v>9.83</c:v>
                </c:pt>
                <c:pt idx="18">
                  <c:v>12.28</c:v>
                </c:pt>
                <c:pt idx="19">
                  <c:v>12.71</c:v>
                </c:pt>
                <c:pt idx="20">
                  <c:v>13.21</c:v>
                </c:pt>
                <c:pt idx="21">
                  <c:v>13.76</c:v>
                </c:pt>
                <c:pt idx="22">
                  <c:v>16.95</c:v>
                </c:pt>
                <c:pt idx="23">
                  <c:v>17.760000000000002</c:v>
                </c:pt>
                <c:pt idx="24">
                  <c:v>18.66</c:v>
                </c:pt>
                <c:pt idx="25">
                  <c:v>20.21</c:v>
                </c:pt>
                <c:pt idx="26">
                  <c:v>24.06</c:v>
                </c:pt>
                <c:pt idx="27">
                  <c:v>25.69</c:v>
                </c:pt>
                <c:pt idx="28">
                  <c:v>27.07</c:v>
                </c:pt>
                <c:pt idx="29">
                  <c:v>28.2</c:v>
                </c:pt>
                <c:pt idx="30">
                  <c:v>34</c:v>
                </c:pt>
                <c:pt idx="31">
                  <c:v>37.04</c:v>
                </c:pt>
                <c:pt idx="32">
                  <c:v>37.19</c:v>
                </c:pt>
                <c:pt idx="33">
                  <c:v>40.409999999999997</c:v>
                </c:pt>
                <c:pt idx="34">
                  <c:v>44.35</c:v>
                </c:pt>
                <c:pt idx="35">
                  <c:v>49.95</c:v>
                </c:pt>
                <c:pt idx="36">
                  <c:v>52.48</c:v>
                </c:pt>
                <c:pt idx="37">
                  <c:v>54.83</c:v>
                </c:pt>
                <c:pt idx="38">
                  <c:v>55.5</c:v>
                </c:pt>
                <c:pt idx="39">
                  <c:v>61.66</c:v>
                </c:pt>
              </c:numCache>
            </c:numRef>
          </c:val>
          <c:smooth val="0"/>
          <c:extLst>
            <c:ext xmlns:c16="http://schemas.microsoft.com/office/drawing/2014/chart" uri="{C3380CC4-5D6E-409C-BE32-E72D297353CC}">
              <c16:uniqueId val="{0000000E-42C4-4B53-9933-84F204A61ACA}"/>
            </c:ext>
          </c:extLst>
        </c:ser>
        <c:dLbls>
          <c:showLegendKey val="0"/>
          <c:showVal val="0"/>
          <c:showCatName val="0"/>
          <c:showSerName val="0"/>
          <c:showPercent val="0"/>
          <c:showBubbleSize val="0"/>
        </c:dLbls>
        <c:hiLowLines>
          <c:spPr>
            <a:ln w="9525" cap="flat" cmpd="sng" algn="ctr">
              <a:solidFill>
                <a:srgbClr val="FF0000"/>
              </a:solidFill>
              <a:round/>
              <a:headEnd type="none"/>
            </a:ln>
            <a:effectLst/>
          </c:spPr>
        </c:hiLowLines>
        <c:marker val="1"/>
        <c:smooth val="0"/>
        <c:axId val="456250672"/>
        <c:axId val="739447352"/>
      </c:lineChart>
      <c:catAx>
        <c:axId val="456250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39447352"/>
        <c:crosses val="autoZero"/>
        <c:auto val="1"/>
        <c:lblAlgn val="ctr"/>
        <c:lblOffset val="100"/>
        <c:noMultiLvlLbl val="0"/>
      </c:catAx>
      <c:valAx>
        <c:axId val="739447352"/>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250672"/>
        <c:crosses val="autoZero"/>
        <c:crossBetween val="between"/>
      </c:valAx>
      <c:spPr>
        <a:noFill/>
        <a:ln>
          <a:noFill/>
        </a:ln>
        <a:effectLst/>
      </c:spPr>
    </c:plotArea>
    <c:legend>
      <c:legendPos val="b"/>
      <c:legendEntry>
        <c:idx val="2"/>
        <c:delete val="1"/>
      </c:legendEntry>
      <c:layout>
        <c:manualLayout>
          <c:xMode val="edge"/>
          <c:yMode val="edge"/>
          <c:x val="0.37182417771549048"/>
          <c:y val="6.9573693156196881E-2"/>
          <c:w val="0.2416848496347595"/>
          <c:h val="0.169162601133781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945625546806649"/>
          <c:y val="0.2344634547800169"/>
          <c:w val="0.79368354901321125"/>
          <c:h val="0.71832234530005779"/>
        </c:manualLayout>
      </c:layout>
      <c:barChart>
        <c:barDir val="col"/>
        <c:grouping val="clustered"/>
        <c:varyColors val="0"/>
        <c:ser>
          <c:idx val="0"/>
          <c:order val="0"/>
          <c:tx>
            <c:strRef>
              <c:f>'Fig17'!$A$2</c:f>
              <c:strCache>
                <c:ptCount val="1"/>
                <c:pt idx="0">
                  <c:v>Total spending </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'Fig17'!$C$2</c:f>
              <c:numCache>
                <c:formatCode>#,###.0,,</c:formatCode>
                <c:ptCount val="1"/>
                <c:pt idx="0">
                  <c:v>87259102.410211593</c:v>
                </c:pt>
              </c:numCache>
            </c:numRef>
          </c:val>
          <c:extLst>
            <c:ext xmlns:c16="http://schemas.microsoft.com/office/drawing/2014/chart" uri="{C3380CC4-5D6E-409C-BE32-E72D297353CC}">
              <c16:uniqueId val="{00000000-B72C-4AB3-B63D-F6FD61BA70D2}"/>
            </c:ext>
          </c:extLst>
        </c:ser>
        <c:ser>
          <c:idx val="1"/>
          <c:order val="1"/>
          <c:tx>
            <c:strRef>
              <c:f>'Fig17'!$A$3</c:f>
              <c:strCache>
                <c:ptCount val="1"/>
                <c:pt idx="0">
                  <c:v>Public </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'Fig17'!$C$3</c:f>
              <c:numCache>
                <c:formatCode>#,###.0,,</c:formatCode>
                <c:ptCount val="1"/>
                <c:pt idx="0">
                  <c:v>29278683.004369821</c:v>
                </c:pt>
              </c:numCache>
            </c:numRef>
          </c:val>
          <c:extLst>
            <c:ext xmlns:c16="http://schemas.microsoft.com/office/drawing/2014/chart" uri="{C3380CC4-5D6E-409C-BE32-E72D297353CC}">
              <c16:uniqueId val="{00000001-B72C-4AB3-B63D-F6FD61BA70D2}"/>
            </c:ext>
          </c:extLst>
        </c:ser>
        <c:ser>
          <c:idx val="2"/>
          <c:order val="2"/>
          <c:tx>
            <c:strRef>
              <c:f>'Fig17'!$A$4</c:f>
              <c:strCache>
                <c:ptCount val="1"/>
                <c:pt idx="0">
                  <c:v>Household </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'Fig17'!$C$4</c:f>
              <c:numCache>
                <c:formatCode>#,###.0,,</c:formatCode>
                <c:ptCount val="1"/>
                <c:pt idx="0">
                  <c:v>50154969.094204225</c:v>
                </c:pt>
              </c:numCache>
            </c:numRef>
          </c:val>
          <c:extLst>
            <c:ext xmlns:c16="http://schemas.microsoft.com/office/drawing/2014/chart" uri="{C3380CC4-5D6E-409C-BE32-E72D297353CC}">
              <c16:uniqueId val="{00000002-B72C-4AB3-B63D-F6FD61BA70D2}"/>
            </c:ext>
          </c:extLst>
        </c:ser>
        <c:ser>
          <c:idx val="3"/>
          <c:order val="3"/>
          <c:tx>
            <c:strRef>
              <c:f>'Fig17'!$A$5</c:f>
              <c:strCache>
                <c:ptCount val="1"/>
                <c:pt idx="0">
                  <c:v>Donors</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'Fig17'!$C$5</c:f>
              <c:numCache>
                <c:formatCode>#,###.0,,</c:formatCode>
                <c:ptCount val="1"/>
                <c:pt idx="0">
                  <c:v>7825450.3116375338</c:v>
                </c:pt>
              </c:numCache>
            </c:numRef>
          </c:val>
          <c:extLst>
            <c:ext xmlns:c16="http://schemas.microsoft.com/office/drawing/2014/chart" uri="{C3380CC4-5D6E-409C-BE32-E72D297353CC}">
              <c16:uniqueId val="{00000003-B72C-4AB3-B63D-F6FD61BA70D2}"/>
            </c:ext>
          </c:extLst>
        </c:ser>
        <c:dLbls>
          <c:showLegendKey val="0"/>
          <c:showVal val="0"/>
          <c:showCatName val="0"/>
          <c:showSerName val="0"/>
          <c:showPercent val="0"/>
          <c:showBubbleSize val="0"/>
        </c:dLbls>
        <c:gapWidth val="164"/>
        <c:overlap val="-22"/>
        <c:axId val="456242048"/>
        <c:axId val="456242440"/>
      </c:barChart>
      <c:catAx>
        <c:axId val="456242048"/>
        <c:scaling>
          <c:orientation val="minMax"/>
        </c:scaling>
        <c:delete val="1"/>
        <c:axPos val="b"/>
        <c:numFmt formatCode="General" sourceLinked="1"/>
        <c:majorTickMark val="none"/>
        <c:minorTickMark val="none"/>
        <c:tickLblPos val="nextTo"/>
        <c:crossAx val="456242440"/>
        <c:crosses val="autoZero"/>
        <c:auto val="1"/>
        <c:lblAlgn val="ctr"/>
        <c:lblOffset val="100"/>
        <c:noMultiLvlLbl val="0"/>
      </c:catAx>
      <c:valAx>
        <c:axId val="45624244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242048"/>
        <c:crosses val="autoZero"/>
        <c:crossBetween val="between"/>
      </c:valAx>
      <c:spPr>
        <a:noFill/>
        <a:ln>
          <a:noFill/>
        </a:ln>
        <a:effectLst/>
      </c:spPr>
    </c:plotArea>
    <c:legend>
      <c:legendPos val="r"/>
      <c:layout>
        <c:manualLayout>
          <c:xMode val="edge"/>
          <c:yMode val="edge"/>
          <c:x val="0.42174194609485827"/>
          <c:y val="4.021908719743366E-2"/>
          <c:w val="0.5688085497145754"/>
          <c:h val="0.219025045598113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784246612121029E-2"/>
          <c:y val="0.16265704137927592"/>
          <c:w val="0.93021575338787899"/>
          <c:h val="0.71499748713858835"/>
        </c:manualLayout>
      </c:layout>
      <c:barChart>
        <c:barDir val="col"/>
        <c:grouping val="clustered"/>
        <c:varyColors val="0"/>
        <c:ser>
          <c:idx val="2"/>
          <c:order val="0"/>
          <c:tx>
            <c:strRef>
              <c:f>'Fig17'!$A$15</c:f>
              <c:strCache>
                <c:ptCount val="1"/>
                <c:pt idx="0">
                  <c:v>Public</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'Fig17'!$B$14:$D$14</c:f>
              <c:strCache>
                <c:ptCount val="3"/>
                <c:pt idx="0">
                  <c:v>Basic</c:v>
                </c:pt>
                <c:pt idx="1">
                  <c:v>SSS</c:v>
                </c:pt>
                <c:pt idx="2">
                  <c:v>Post-Secondary</c:v>
                </c:pt>
              </c:strCache>
            </c:strRef>
          </c:cat>
          <c:val>
            <c:numRef>
              <c:f>'Fig17'!$B$15:$D$15</c:f>
              <c:numCache>
                <c:formatCode>0.0%</c:formatCode>
                <c:ptCount val="3"/>
                <c:pt idx="0">
                  <c:v>0.39631984786430541</c:v>
                </c:pt>
                <c:pt idx="1">
                  <c:v>0.37361304994115974</c:v>
                </c:pt>
                <c:pt idx="2">
                  <c:v>0.37421500604924263</c:v>
                </c:pt>
              </c:numCache>
            </c:numRef>
          </c:val>
          <c:extLst>
            <c:ext xmlns:c16="http://schemas.microsoft.com/office/drawing/2014/chart" uri="{C3380CC4-5D6E-409C-BE32-E72D297353CC}">
              <c16:uniqueId val="{00000000-BD33-484B-81E5-DB9A9DA5E894}"/>
            </c:ext>
          </c:extLst>
        </c:ser>
        <c:ser>
          <c:idx val="0"/>
          <c:order val="1"/>
          <c:tx>
            <c:strRef>
              <c:f>'Fig17'!$A$16</c:f>
              <c:strCache>
                <c:ptCount val="1"/>
                <c:pt idx="0">
                  <c:v>Households</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'Fig17'!$B$14:$D$14</c:f>
              <c:strCache>
                <c:ptCount val="3"/>
                <c:pt idx="0">
                  <c:v>Basic</c:v>
                </c:pt>
                <c:pt idx="1">
                  <c:v>SSS</c:v>
                </c:pt>
                <c:pt idx="2">
                  <c:v>Post-Secondary</c:v>
                </c:pt>
              </c:strCache>
            </c:strRef>
          </c:cat>
          <c:val>
            <c:numRef>
              <c:f>'Fig17'!$B$16:$D$16</c:f>
              <c:numCache>
                <c:formatCode>0.0%</c:formatCode>
                <c:ptCount val="3"/>
                <c:pt idx="0">
                  <c:v>0.47402131631751404</c:v>
                </c:pt>
                <c:pt idx="1">
                  <c:v>0.53038182134418455</c:v>
                </c:pt>
                <c:pt idx="2">
                  <c:v>0.60013039033606463</c:v>
                </c:pt>
              </c:numCache>
            </c:numRef>
          </c:val>
          <c:extLst>
            <c:ext xmlns:c16="http://schemas.microsoft.com/office/drawing/2014/chart" uri="{C3380CC4-5D6E-409C-BE32-E72D297353CC}">
              <c16:uniqueId val="{00000001-BD33-484B-81E5-DB9A9DA5E894}"/>
            </c:ext>
          </c:extLst>
        </c:ser>
        <c:ser>
          <c:idx val="1"/>
          <c:order val="2"/>
          <c:tx>
            <c:strRef>
              <c:f>'Fig17'!$A$17</c:f>
              <c:strCache>
                <c:ptCount val="1"/>
                <c:pt idx="0">
                  <c:v>Donors</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'Fig17'!$B$14:$D$14</c:f>
              <c:strCache>
                <c:ptCount val="3"/>
                <c:pt idx="0">
                  <c:v>Basic</c:v>
                </c:pt>
                <c:pt idx="1">
                  <c:v>SSS</c:v>
                </c:pt>
                <c:pt idx="2">
                  <c:v>Post-Secondary</c:v>
                </c:pt>
              </c:strCache>
            </c:strRef>
          </c:cat>
          <c:val>
            <c:numRef>
              <c:f>'Fig17'!$B$17:$D$17</c:f>
              <c:numCache>
                <c:formatCode>0.0%</c:formatCode>
                <c:ptCount val="3"/>
                <c:pt idx="0">
                  <c:v>0.12965883581818052</c:v>
                </c:pt>
                <c:pt idx="1">
                  <c:v>9.6005128714655705E-2</c:v>
                </c:pt>
                <c:pt idx="2">
                  <c:v>2.5654603614692777E-2</c:v>
                </c:pt>
              </c:numCache>
            </c:numRef>
          </c:val>
          <c:extLst>
            <c:ext xmlns:c16="http://schemas.microsoft.com/office/drawing/2014/chart" uri="{C3380CC4-5D6E-409C-BE32-E72D297353CC}">
              <c16:uniqueId val="{00000002-BD33-484B-81E5-DB9A9DA5E894}"/>
            </c:ext>
          </c:extLst>
        </c:ser>
        <c:dLbls>
          <c:showLegendKey val="0"/>
          <c:showVal val="0"/>
          <c:showCatName val="0"/>
          <c:showSerName val="0"/>
          <c:showPercent val="0"/>
          <c:showBubbleSize val="0"/>
        </c:dLbls>
        <c:gapWidth val="164"/>
        <c:overlap val="-22"/>
        <c:axId val="456240872"/>
        <c:axId val="456241264"/>
      </c:barChart>
      <c:catAx>
        <c:axId val="45624087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241264"/>
        <c:crosses val="autoZero"/>
        <c:auto val="1"/>
        <c:lblAlgn val="ctr"/>
        <c:lblOffset val="100"/>
        <c:noMultiLvlLbl val="0"/>
      </c:catAx>
      <c:valAx>
        <c:axId val="456241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240872"/>
        <c:crosses val="autoZero"/>
        <c:crossBetween val="between"/>
      </c:valAx>
      <c:spPr>
        <a:noFill/>
        <a:ln>
          <a:noFill/>
        </a:ln>
        <a:effectLst/>
      </c:spPr>
    </c:plotArea>
    <c:legend>
      <c:legendPos val="t"/>
      <c:layout>
        <c:manualLayout>
          <c:xMode val="edge"/>
          <c:yMode val="edge"/>
          <c:x val="0.42851436900695944"/>
          <c:y val="3.1700080375814094E-2"/>
          <c:w val="0.47409255898366603"/>
          <c:h val="0.1894245126886501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9752991581914752E-2"/>
          <c:y val="1.1521706598292129E-2"/>
          <c:w val="0.95952381228320471"/>
          <c:h val="0.89918076919282908"/>
        </c:manualLayout>
      </c:layout>
      <c:barChart>
        <c:barDir val="col"/>
        <c:grouping val="clustered"/>
        <c:varyColors val="0"/>
        <c:ser>
          <c:idx val="0"/>
          <c:order val="0"/>
          <c:tx>
            <c:strRef>
              <c:f>'Fig18'!$B$12</c:f>
              <c:strCache>
                <c:ptCount val="1"/>
                <c:pt idx="0">
                  <c:v>Share of HH total payment</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c:ext xmlns:c15="http://schemas.microsoft.com/office/drawing/2012/chart" uri="{02D57815-91ED-43cb-92C2-25804820EDAC}">
                  <c15:fullRef>
                    <c15:sqref>'Fig18'!$A$13:$A$19</c15:sqref>
                  </c15:fullRef>
                </c:ext>
              </c:extLst>
              <c:f>('Fig18'!$A$14,'Fig18'!$A$17:$A$18)</c:f>
              <c:strCache>
                <c:ptCount val="3"/>
                <c:pt idx="0">
                  <c:v>Basic education</c:v>
                </c:pt>
                <c:pt idx="1">
                  <c:v>SSS</c:v>
                </c:pt>
                <c:pt idx="2">
                  <c:v>Tertiary</c:v>
                </c:pt>
              </c:strCache>
            </c:strRef>
          </c:cat>
          <c:val>
            <c:numRef>
              <c:extLst>
                <c:ext xmlns:c15="http://schemas.microsoft.com/office/drawing/2012/chart" uri="{02D57815-91ED-43cb-92C2-25804820EDAC}">
                  <c15:fullRef>
                    <c15:sqref>'Fig18'!$B$13:$B$19</c15:sqref>
                  </c15:fullRef>
                </c:ext>
              </c:extLst>
              <c:f>('Fig18'!$B$14,'Fig18'!$B$17:$B$18)</c:f>
              <c:numCache>
                <c:formatCode>0%</c:formatCode>
                <c:ptCount val="3"/>
                <c:pt idx="0">
                  <c:v>0.43311302546043401</c:v>
                </c:pt>
                <c:pt idx="1">
                  <c:v>0.47047238319222828</c:v>
                </c:pt>
                <c:pt idx="2">
                  <c:v>9.6414591347337791E-2</c:v>
                </c:pt>
              </c:numCache>
            </c:numRef>
          </c:val>
          <c:extLst>
            <c:ext xmlns:c16="http://schemas.microsoft.com/office/drawing/2014/chart" uri="{C3380CC4-5D6E-409C-BE32-E72D297353CC}">
              <c16:uniqueId val="{00000000-3404-47B1-A213-626478CBD738}"/>
            </c:ext>
          </c:extLst>
        </c:ser>
        <c:ser>
          <c:idx val="1"/>
          <c:order val="1"/>
          <c:tx>
            <c:strRef>
              <c:f>'Fig18'!$C$12</c:f>
              <c:strCache>
                <c:ptCount val="1"/>
                <c:pt idx="0">
                  <c:v>Share of HH payment in public schools</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c:ext xmlns:c15="http://schemas.microsoft.com/office/drawing/2012/chart" uri="{02D57815-91ED-43cb-92C2-25804820EDAC}">
                  <c15:fullRef>
                    <c15:sqref>'Fig18'!$A$13:$A$19</c15:sqref>
                  </c15:fullRef>
                </c:ext>
              </c:extLst>
              <c:f>('Fig18'!$A$14,'Fig18'!$A$17:$A$18)</c:f>
              <c:strCache>
                <c:ptCount val="3"/>
                <c:pt idx="0">
                  <c:v>Basic education</c:v>
                </c:pt>
                <c:pt idx="1">
                  <c:v>SSS</c:v>
                </c:pt>
                <c:pt idx="2">
                  <c:v>Tertiary</c:v>
                </c:pt>
              </c:strCache>
            </c:strRef>
          </c:cat>
          <c:val>
            <c:numRef>
              <c:extLst>
                <c:ext xmlns:c15="http://schemas.microsoft.com/office/drawing/2012/chart" uri="{02D57815-91ED-43cb-92C2-25804820EDAC}">
                  <c15:fullRef>
                    <c15:sqref>'Fig18'!$C$13:$C$19</c15:sqref>
                  </c15:fullRef>
                </c:ext>
              </c:extLst>
              <c:f>('Fig18'!$C$14,'Fig18'!$C$17:$C$18)</c:f>
              <c:numCache>
                <c:formatCode>0%</c:formatCode>
                <c:ptCount val="3"/>
                <c:pt idx="0">
                  <c:v>0.36061301676609558</c:v>
                </c:pt>
                <c:pt idx="1">
                  <c:v>0.52411035300851649</c:v>
                </c:pt>
                <c:pt idx="2">
                  <c:v>0.11527663022538802</c:v>
                </c:pt>
              </c:numCache>
            </c:numRef>
          </c:val>
          <c:extLst>
            <c:ext xmlns:c16="http://schemas.microsoft.com/office/drawing/2014/chart" uri="{C3380CC4-5D6E-409C-BE32-E72D297353CC}">
              <c16:uniqueId val="{00000001-3404-47B1-A213-626478CBD738}"/>
            </c:ext>
          </c:extLst>
        </c:ser>
        <c:ser>
          <c:idx val="2"/>
          <c:order val="2"/>
          <c:tx>
            <c:strRef>
              <c:f>'Fig18'!$D$12</c:f>
              <c:strCache>
                <c:ptCount val="1"/>
                <c:pt idx="0">
                  <c:v>Share of HH payment in private schools</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c:ext xmlns:c15="http://schemas.microsoft.com/office/drawing/2012/chart" uri="{02D57815-91ED-43cb-92C2-25804820EDAC}">
                  <c15:fullRef>
                    <c15:sqref>'Fig18'!$A$13:$A$19</c15:sqref>
                  </c15:fullRef>
                </c:ext>
              </c:extLst>
              <c:f>('Fig18'!$A$14,'Fig18'!$A$17:$A$18)</c:f>
              <c:strCache>
                <c:ptCount val="3"/>
                <c:pt idx="0">
                  <c:v>Basic education</c:v>
                </c:pt>
                <c:pt idx="1">
                  <c:v>SSS</c:v>
                </c:pt>
                <c:pt idx="2">
                  <c:v>Tertiary</c:v>
                </c:pt>
              </c:strCache>
            </c:strRef>
          </c:cat>
          <c:val>
            <c:numRef>
              <c:extLst>
                <c:ext xmlns:c15="http://schemas.microsoft.com/office/drawing/2012/chart" uri="{02D57815-91ED-43cb-92C2-25804820EDAC}">
                  <c15:fullRef>
                    <c15:sqref>'Fig18'!$D$13:$D$19</c15:sqref>
                  </c15:fullRef>
                </c:ext>
              </c:extLst>
              <c:f>('Fig18'!$D$14,'Fig18'!$D$17:$D$18)</c:f>
              <c:numCache>
                <c:formatCode>0%</c:formatCode>
                <c:ptCount val="3"/>
                <c:pt idx="0">
                  <c:v>0.5040181870016387</c:v>
                </c:pt>
                <c:pt idx="1">
                  <c:v>0.41801433548908123</c:v>
                </c:pt>
                <c:pt idx="2">
                  <c:v>7.7967477509280084E-2</c:v>
                </c:pt>
              </c:numCache>
            </c:numRef>
          </c:val>
          <c:extLst>
            <c:ext xmlns:c16="http://schemas.microsoft.com/office/drawing/2014/chart" uri="{C3380CC4-5D6E-409C-BE32-E72D297353CC}">
              <c16:uniqueId val="{00000002-3404-47B1-A213-626478CBD738}"/>
            </c:ext>
          </c:extLst>
        </c:ser>
        <c:ser>
          <c:idx val="3"/>
          <c:order val="3"/>
          <c:tx>
            <c:strRef>
              <c:f>'Fig18'!$E$12</c:f>
              <c:strCache>
                <c:ptCount val="1"/>
                <c:pt idx="0">
                  <c:v>Share of public (Gov't) spending</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c:ext xmlns:c15="http://schemas.microsoft.com/office/drawing/2012/chart" uri="{02D57815-91ED-43cb-92C2-25804820EDAC}">
                  <c15:fullRef>
                    <c15:sqref>'Fig18'!$A$13:$A$19</c15:sqref>
                  </c15:fullRef>
                </c:ext>
              </c:extLst>
              <c:f>('Fig18'!$A$14,'Fig18'!$A$17:$A$18)</c:f>
              <c:strCache>
                <c:ptCount val="3"/>
                <c:pt idx="0">
                  <c:v>Basic education</c:v>
                </c:pt>
                <c:pt idx="1">
                  <c:v>SSS</c:v>
                </c:pt>
                <c:pt idx="2">
                  <c:v>Tertiary</c:v>
                </c:pt>
              </c:strCache>
            </c:strRef>
          </c:cat>
          <c:val>
            <c:numRef>
              <c:extLst>
                <c:ext xmlns:c15="http://schemas.microsoft.com/office/drawing/2012/chart" uri="{02D57815-91ED-43cb-92C2-25804820EDAC}">
                  <c15:fullRef>
                    <c15:sqref>'Fig18'!$E$13:$E$19</c15:sqref>
                  </c15:fullRef>
                </c:ext>
              </c:extLst>
              <c:f>('Fig18'!$E$14,'Fig18'!$E$17:$E$18)</c:f>
              <c:numCache>
                <c:formatCode>0%</c:formatCode>
                <c:ptCount val="3"/>
                <c:pt idx="0">
                  <c:v>0.74746778849859175</c:v>
                </c:pt>
                <c:pt idx="1">
                  <c:v>0.12764763056813247</c:v>
                </c:pt>
                <c:pt idx="2">
                  <c:v>0.12488458093327583</c:v>
                </c:pt>
              </c:numCache>
            </c:numRef>
          </c:val>
          <c:extLst>
            <c:ext xmlns:c16="http://schemas.microsoft.com/office/drawing/2014/chart" uri="{C3380CC4-5D6E-409C-BE32-E72D297353CC}">
              <c16:uniqueId val="{00000003-3404-47B1-A213-626478CBD738}"/>
            </c:ext>
          </c:extLst>
        </c:ser>
        <c:ser>
          <c:idx val="4"/>
          <c:order val="4"/>
          <c:tx>
            <c:strRef>
              <c:f>'Fig18'!$F$12</c:f>
              <c:strCache>
                <c:ptCount val="1"/>
                <c:pt idx="0">
                  <c:v>Distribution of enrollment by level-private schools</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c:ext xmlns:c15="http://schemas.microsoft.com/office/drawing/2012/chart" uri="{02D57815-91ED-43cb-92C2-25804820EDAC}">
                  <c15:fullRef>
                    <c15:sqref>'Fig18'!$A$13:$A$19</c15:sqref>
                  </c15:fullRef>
                </c:ext>
              </c:extLst>
              <c:f>('Fig18'!$A$14,'Fig18'!$A$17:$A$18)</c:f>
              <c:strCache>
                <c:ptCount val="3"/>
                <c:pt idx="0">
                  <c:v>Basic education</c:v>
                </c:pt>
                <c:pt idx="1">
                  <c:v>SSS</c:v>
                </c:pt>
                <c:pt idx="2">
                  <c:v>Tertiary</c:v>
                </c:pt>
              </c:strCache>
            </c:strRef>
          </c:cat>
          <c:val>
            <c:numRef>
              <c:extLst>
                <c:ext xmlns:c15="http://schemas.microsoft.com/office/drawing/2012/chart" uri="{02D57815-91ED-43cb-92C2-25804820EDAC}">
                  <c15:fullRef>
                    <c15:sqref>'Fig18'!$F$13:$F$19</c15:sqref>
                  </c15:fullRef>
                </c:ext>
              </c:extLst>
              <c:f>('Fig18'!$F$14,'Fig18'!$F$17:$F$18)</c:f>
              <c:numCache>
                <c:formatCode>0%</c:formatCode>
                <c:ptCount val="3"/>
                <c:pt idx="0">
                  <c:v>0.88697078064027601</c:v>
                </c:pt>
                <c:pt idx="1">
                  <c:v>8.2518627074303449E-2</c:v>
                </c:pt>
                <c:pt idx="2">
                  <c:v>3.0510592285420489E-2</c:v>
                </c:pt>
              </c:numCache>
            </c:numRef>
          </c:val>
          <c:extLst>
            <c:ext xmlns:c16="http://schemas.microsoft.com/office/drawing/2014/chart" uri="{C3380CC4-5D6E-409C-BE32-E72D297353CC}">
              <c16:uniqueId val="{00000004-3404-47B1-A213-626478CBD738}"/>
            </c:ext>
          </c:extLst>
        </c:ser>
        <c:ser>
          <c:idx val="5"/>
          <c:order val="5"/>
          <c:tx>
            <c:strRef>
              <c:f>'Fig18'!$G$12</c:f>
              <c:strCache>
                <c:ptCount val="1"/>
                <c:pt idx="0">
                  <c:v>Distribution of enrollment by level-public schools</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c:ext xmlns:c15="http://schemas.microsoft.com/office/drawing/2012/chart" uri="{02D57815-91ED-43cb-92C2-25804820EDAC}">
                  <c15:fullRef>
                    <c15:sqref>'Fig18'!$A$13:$A$19</c15:sqref>
                  </c15:fullRef>
                </c:ext>
              </c:extLst>
              <c:f>('Fig18'!$A$14,'Fig18'!$A$17:$A$18)</c:f>
              <c:strCache>
                <c:ptCount val="3"/>
                <c:pt idx="0">
                  <c:v>Basic education</c:v>
                </c:pt>
                <c:pt idx="1">
                  <c:v>SSS</c:v>
                </c:pt>
                <c:pt idx="2">
                  <c:v>Tertiary</c:v>
                </c:pt>
              </c:strCache>
            </c:strRef>
          </c:cat>
          <c:val>
            <c:numRef>
              <c:extLst>
                <c:ext xmlns:c15="http://schemas.microsoft.com/office/drawing/2012/chart" uri="{02D57815-91ED-43cb-92C2-25804820EDAC}">
                  <c15:fullRef>
                    <c15:sqref>'Fig18'!$G$13:$G$19</c15:sqref>
                  </c15:fullRef>
                </c:ext>
              </c:extLst>
              <c:f>('Fig18'!$G$14,'Fig18'!$G$17:$G$18)</c:f>
              <c:numCache>
                <c:formatCode>0%</c:formatCode>
                <c:ptCount val="3"/>
                <c:pt idx="0">
                  <c:v>0.87513904845268708</c:v>
                </c:pt>
                <c:pt idx="1">
                  <c:v>9.9815703813118883E-2</c:v>
                </c:pt>
                <c:pt idx="2">
                  <c:v>2.5045247734194066E-2</c:v>
                </c:pt>
              </c:numCache>
            </c:numRef>
          </c:val>
          <c:extLst>
            <c:ext xmlns:c16="http://schemas.microsoft.com/office/drawing/2014/chart" uri="{C3380CC4-5D6E-409C-BE32-E72D297353CC}">
              <c16:uniqueId val="{00000005-3404-47B1-A213-626478CBD738}"/>
            </c:ext>
          </c:extLst>
        </c:ser>
        <c:ser>
          <c:idx val="6"/>
          <c:order val="6"/>
          <c:tx>
            <c:strRef>
              <c:f>'Fig18'!$I$12</c:f>
              <c:strCache>
                <c:ptCount val="1"/>
                <c:pt idx="0">
                  <c:v>Share of private school enrollment</c:v>
                </c:pt>
              </c:strCache>
            </c:strRef>
          </c:tx>
          <c:spPr>
            <a:solidFill>
              <a:schemeClr val="accent1">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Lit>
              <c:ptCount val="3"/>
              <c:pt idx="0">
                <c:v>Basic education</c:v>
              </c:pt>
              <c:pt idx="1">
                <c:v>SSS</c:v>
              </c:pt>
              <c:pt idx="2">
                <c:v>Tertiary</c:v>
              </c:pt>
              <c:extLst>
                <c:ext xmlns:c15="http://schemas.microsoft.com/office/drawing/2012/chart" uri="{02D57815-91ED-43cb-92C2-25804820EDAC}">
                  <c15:autoCat val="1"/>
                </c:ext>
              </c:extLst>
            </c:strLit>
          </c:cat>
          <c:val>
            <c:numRef>
              <c:extLst>
                <c:ext xmlns:c15="http://schemas.microsoft.com/office/drawing/2012/chart" uri="{02D57815-91ED-43cb-92C2-25804820EDAC}">
                  <c15:fullRef>
                    <c15:sqref>'Fig18'!$I$13:$I$19</c15:sqref>
                  </c15:fullRef>
                </c:ext>
              </c:extLst>
              <c:f>('Fig18'!$I$14,'Fig18'!$I$17:$I$18)</c:f>
              <c:numCache>
                <c:formatCode>0%</c:formatCode>
                <c:ptCount val="3"/>
                <c:pt idx="0">
                  <c:v>0.36173033721875059</c:v>
                </c:pt>
                <c:pt idx="1">
                  <c:v>0.31613469985358711</c:v>
                </c:pt>
                <c:pt idx="2">
                  <c:v>0.40518629799558792</c:v>
                </c:pt>
              </c:numCache>
            </c:numRef>
          </c:val>
          <c:extLst>
            <c:ext xmlns:c16="http://schemas.microsoft.com/office/drawing/2014/chart" uri="{C3380CC4-5D6E-409C-BE32-E72D297353CC}">
              <c16:uniqueId val="{00000006-3404-47B1-A213-626478CBD738}"/>
            </c:ext>
          </c:extLst>
        </c:ser>
        <c:dLbls>
          <c:dLblPos val="outEnd"/>
          <c:showLegendKey val="0"/>
          <c:showVal val="1"/>
          <c:showCatName val="0"/>
          <c:showSerName val="0"/>
          <c:showPercent val="0"/>
          <c:showBubbleSize val="0"/>
        </c:dLbls>
        <c:gapWidth val="444"/>
        <c:overlap val="-90"/>
        <c:axId val="739454016"/>
        <c:axId val="739454408"/>
      </c:barChart>
      <c:catAx>
        <c:axId val="73945401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39454408"/>
        <c:crosses val="autoZero"/>
        <c:auto val="1"/>
        <c:lblAlgn val="ctr"/>
        <c:lblOffset val="100"/>
        <c:noMultiLvlLbl val="0"/>
      </c:catAx>
      <c:valAx>
        <c:axId val="739454408"/>
        <c:scaling>
          <c:orientation val="minMax"/>
        </c:scaling>
        <c:delete val="1"/>
        <c:axPos val="l"/>
        <c:numFmt formatCode="0%" sourceLinked="1"/>
        <c:majorTickMark val="none"/>
        <c:minorTickMark val="none"/>
        <c:tickLblPos val="nextTo"/>
        <c:crossAx val="739454016"/>
        <c:crosses val="autoZero"/>
        <c:crossBetween val="between"/>
      </c:valAx>
      <c:spPr>
        <a:noFill/>
        <a:ln>
          <a:noFill/>
        </a:ln>
        <a:effectLst/>
      </c:spPr>
    </c:plotArea>
    <c:legend>
      <c:legendPos val="t"/>
      <c:layout>
        <c:manualLayout>
          <c:xMode val="edge"/>
          <c:yMode val="edge"/>
          <c:x val="0.4473985463355542"/>
          <c:y val="8.9188130822747597E-2"/>
          <c:w val="0.47814893330641356"/>
          <c:h val="0.2788433659948585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baseline="0">
                <a:solidFill>
                  <a:schemeClr val="tx2"/>
                </a:solidFill>
                <a:latin typeface="Sylfaen" panose="010A0502050306030303" pitchFamily="18" charset="0"/>
                <a:ea typeface="+mn-ea"/>
                <a:cs typeface="+mn-cs"/>
              </a:defRPr>
            </a:pPr>
            <a:r>
              <a:rPr lang="en-US"/>
              <a:t>Upper Secondary</a:t>
            </a:r>
          </a:p>
        </c:rich>
      </c:tx>
      <c:layout>
        <c:manualLayout>
          <c:xMode val="edge"/>
          <c:yMode val="edge"/>
          <c:x val="3.822001527710363E-3"/>
          <c:y val="3.2888925927730046E-3"/>
        </c:manualLayout>
      </c:layout>
      <c:overlay val="0"/>
      <c:spPr>
        <a:noFill/>
        <a:ln>
          <a:noFill/>
        </a:ln>
        <a:effectLst/>
      </c:spPr>
      <c:txPr>
        <a:bodyPr rot="0" spcFirstLastPara="1" vertOverflow="ellipsis" vert="horz" wrap="square" anchor="ctr" anchorCtr="1"/>
        <a:lstStyle/>
        <a:p>
          <a:pPr>
            <a:defRPr sz="960" b="1" i="0" u="none" strike="noStrike" kern="1200" baseline="0">
              <a:solidFill>
                <a:schemeClr val="tx2"/>
              </a:solidFill>
              <a:latin typeface="Sylfaen" panose="010A0502050306030303" pitchFamily="18" charset="0"/>
              <a:ea typeface="+mn-ea"/>
              <a:cs typeface="+mn-cs"/>
            </a:defRPr>
          </a:pPr>
          <a:endParaRPr lang="en-US"/>
        </a:p>
      </c:txPr>
    </c:title>
    <c:autoTitleDeleted val="0"/>
    <c:plotArea>
      <c:layout>
        <c:manualLayout>
          <c:layoutTarget val="inner"/>
          <c:xMode val="edge"/>
          <c:yMode val="edge"/>
          <c:x val="8.3938495758599532E-2"/>
          <c:y val="8.1474332376518341E-2"/>
          <c:w val="0.84467632274747939"/>
          <c:h val="0.82995386512371205"/>
        </c:manualLayout>
      </c:layout>
      <c:barChart>
        <c:barDir val="bar"/>
        <c:grouping val="clustered"/>
        <c:varyColors val="0"/>
        <c:ser>
          <c:idx val="0"/>
          <c:order val="0"/>
          <c:tx>
            <c:strRef>
              <c:f>'GER regional comp'!$B$31</c:f>
              <c:strCache>
                <c:ptCount val="1"/>
                <c:pt idx="0">
                  <c:v>Rural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comp'!$C$30:$D$30</c:f>
              <c:strCache>
                <c:ptCount val="2"/>
                <c:pt idx="0">
                  <c:v>SSA</c:v>
                </c:pt>
                <c:pt idx="1">
                  <c:v>Gambia</c:v>
                </c:pt>
              </c:strCache>
            </c:strRef>
          </c:cat>
          <c:val>
            <c:numRef>
              <c:f>'GER regional comp'!$C$31:$D$31</c:f>
              <c:numCache>
                <c:formatCode>0</c:formatCode>
                <c:ptCount val="2"/>
                <c:pt idx="0">
                  <c:v>33.553330000000003</c:v>
                </c:pt>
                <c:pt idx="1">
                  <c:v>27.202179999999998</c:v>
                </c:pt>
              </c:numCache>
            </c:numRef>
          </c:val>
          <c:extLst>
            <c:ext xmlns:c16="http://schemas.microsoft.com/office/drawing/2014/chart" uri="{C3380CC4-5D6E-409C-BE32-E72D297353CC}">
              <c16:uniqueId val="{00000000-54E5-4323-A187-BF2650CACD03}"/>
            </c:ext>
          </c:extLst>
        </c:ser>
        <c:ser>
          <c:idx val="1"/>
          <c:order val="1"/>
          <c:tx>
            <c:strRef>
              <c:f>'GER regional comp'!$B$32</c:f>
              <c:strCache>
                <c:ptCount val="1"/>
                <c:pt idx="0">
                  <c:v>Poorest</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comp'!$C$30:$D$30</c:f>
              <c:strCache>
                <c:ptCount val="2"/>
                <c:pt idx="0">
                  <c:v>SSA</c:v>
                </c:pt>
                <c:pt idx="1">
                  <c:v>Gambia</c:v>
                </c:pt>
              </c:strCache>
            </c:strRef>
          </c:cat>
          <c:val>
            <c:numRef>
              <c:f>'GER regional comp'!$C$32:$D$32</c:f>
              <c:numCache>
                <c:formatCode>0</c:formatCode>
                <c:ptCount val="2"/>
                <c:pt idx="0">
                  <c:v>20.096409999999999</c:v>
                </c:pt>
                <c:pt idx="1">
                  <c:v>22.00694</c:v>
                </c:pt>
              </c:numCache>
            </c:numRef>
          </c:val>
          <c:extLst>
            <c:ext xmlns:c16="http://schemas.microsoft.com/office/drawing/2014/chart" uri="{C3380CC4-5D6E-409C-BE32-E72D297353CC}">
              <c16:uniqueId val="{00000001-54E5-4323-A187-BF2650CACD03}"/>
            </c:ext>
          </c:extLst>
        </c:ser>
        <c:ser>
          <c:idx val="2"/>
          <c:order val="2"/>
          <c:tx>
            <c:strRef>
              <c:f>'GER regional comp'!$B$33</c:f>
              <c:strCache>
                <c:ptCount val="1"/>
                <c:pt idx="0">
                  <c:v>Female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comp'!$C$30:$D$30</c:f>
              <c:strCache>
                <c:ptCount val="2"/>
                <c:pt idx="0">
                  <c:v>SSA</c:v>
                </c:pt>
                <c:pt idx="1">
                  <c:v>Gambia</c:v>
                </c:pt>
              </c:strCache>
            </c:strRef>
          </c:cat>
          <c:val>
            <c:numRef>
              <c:f>'GER regional comp'!$C$33:$D$33</c:f>
              <c:numCache>
                <c:formatCode>0</c:formatCode>
                <c:ptCount val="2"/>
                <c:pt idx="0">
                  <c:v>43.039909999999999</c:v>
                </c:pt>
                <c:pt idx="1">
                  <c:v>42.691630000000004</c:v>
                </c:pt>
              </c:numCache>
            </c:numRef>
          </c:val>
          <c:extLst>
            <c:ext xmlns:c16="http://schemas.microsoft.com/office/drawing/2014/chart" uri="{C3380CC4-5D6E-409C-BE32-E72D297353CC}">
              <c16:uniqueId val="{00000002-54E5-4323-A187-BF2650CACD03}"/>
            </c:ext>
          </c:extLst>
        </c:ser>
        <c:ser>
          <c:idx val="3"/>
          <c:order val="3"/>
          <c:tx>
            <c:strRef>
              <c:f>'GER regional comp'!$B$34</c:f>
              <c:strCache>
                <c:ptCount val="1"/>
                <c:pt idx="0">
                  <c:v>Average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comp'!$C$30:$D$30</c:f>
              <c:strCache>
                <c:ptCount val="2"/>
                <c:pt idx="0">
                  <c:v>SSA</c:v>
                </c:pt>
                <c:pt idx="1">
                  <c:v>Gambia</c:v>
                </c:pt>
              </c:strCache>
            </c:strRef>
          </c:cat>
          <c:val>
            <c:numRef>
              <c:f>'GER regional comp'!$C$34:$D$34</c:f>
              <c:numCache>
                <c:formatCode>0</c:formatCode>
                <c:ptCount val="2"/>
                <c:pt idx="0">
                  <c:v>46.84796</c:v>
                </c:pt>
                <c:pt idx="1">
                  <c:v>44.056079999999994</c:v>
                </c:pt>
              </c:numCache>
            </c:numRef>
          </c:val>
          <c:extLst>
            <c:ext xmlns:c16="http://schemas.microsoft.com/office/drawing/2014/chart" uri="{C3380CC4-5D6E-409C-BE32-E72D297353CC}">
              <c16:uniqueId val="{00000003-54E5-4323-A187-BF2650CACD03}"/>
            </c:ext>
          </c:extLst>
        </c:ser>
        <c:ser>
          <c:idx val="4"/>
          <c:order val="4"/>
          <c:tx>
            <c:strRef>
              <c:f>'GER regional comp'!$B$35</c:f>
              <c:strCache>
                <c:ptCount val="1"/>
                <c:pt idx="0">
                  <c:v>Male</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comp'!$C$30:$D$30</c:f>
              <c:strCache>
                <c:ptCount val="2"/>
                <c:pt idx="0">
                  <c:v>SSA</c:v>
                </c:pt>
                <c:pt idx="1">
                  <c:v>Gambia</c:v>
                </c:pt>
              </c:strCache>
            </c:strRef>
          </c:cat>
          <c:val>
            <c:numRef>
              <c:f>'GER regional comp'!$C$35:$D$35</c:f>
              <c:numCache>
                <c:formatCode>0</c:formatCode>
                <c:ptCount val="2"/>
                <c:pt idx="0">
                  <c:v>50.726489999999998</c:v>
                </c:pt>
                <c:pt idx="1">
                  <c:v>45.827809999999999</c:v>
                </c:pt>
              </c:numCache>
            </c:numRef>
          </c:val>
          <c:extLst>
            <c:ext xmlns:c16="http://schemas.microsoft.com/office/drawing/2014/chart" uri="{C3380CC4-5D6E-409C-BE32-E72D297353CC}">
              <c16:uniqueId val="{00000004-54E5-4323-A187-BF2650CACD03}"/>
            </c:ext>
          </c:extLst>
        </c:ser>
        <c:ser>
          <c:idx val="5"/>
          <c:order val="5"/>
          <c:tx>
            <c:strRef>
              <c:f>'GER regional comp'!$B$36</c:f>
              <c:strCache>
                <c:ptCount val="1"/>
                <c:pt idx="0">
                  <c:v>Urban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comp'!$C$30:$D$30</c:f>
              <c:strCache>
                <c:ptCount val="2"/>
                <c:pt idx="0">
                  <c:v>SSA</c:v>
                </c:pt>
                <c:pt idx="1">
                  <c:v>Gambia</c:v>
                </c:pt>
              </c:strCache>
            </c:strRef>
          </c:cat>
          <c:val>
            <c:numRef>
              <c:f>'GER regional comp'!$C$36:$D$36</c:f>
              <c:numCache>
                <c:formatCode>0</c:formatCode>
                <c:ptCount val="2"/>
                <c:pt idx="0">
                  <c:v>67.071489999999997</c:v>
                </c:pt>
                <c:pt idx="1">
                  <c:v>56.034370000000003</c:v>
                </c:pt>
              </c:numCache>
            </c:numRef>
          </c:val>
          <c:extLst>
            <c:ext xmlns:c16="http://schemas.microsoft.com/office/drawing/2014/chart" uri="{C3380CC4-5D6E-409C-BE32-E72D297353CC}">
              <c16:uniqueId val="{00000005-54E5-4323-A187-BF2650CACD03}"/>
            </c:ext>
          </c:extLst>
        </c:ser>
        <c:ser>
          <c:idx val="6"/>
          <c:order val="6"/>
          <c:tx>
            <c:strRef>
              <c:f>'GER regional comp'!$B$37</c:f>
              <c:strCache>
                <c:ptCount val="1"/>
                <c:pt idx="0">
                  <c:v>Richest</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comp'!$C$30:$D$30</c:f>
              <c:strCache>
                <c:ptCount val="2"/>
                <c:pt idx="0">
                  <c:v>SSA</c:v>
                </c:pt>
                <c:pt idx="1">
                  <c:v>Gambia</c:v>
                </c:pt>
              </c:strCache>
            </c:strRef>
          </c:cat>
          <c:val>
            <c:numRef>
              <c:f>'GER regional comp'!$C$37:$D$37</c:f>
              <c:numCache>
                <c:formatCode>0</c:formatCode>
                <c:ptCount val="2"/>
                <c:pt idx="0">
                  <c:v>81.543940000000006</c:v>
                </c:pt>
                <c:pt idx="1">
                  <c:v>67.83408</c:v>
                </c:pt>
              </c:numCache>
            </c:numRef>
          </c:val>
          <c:extLst>
            <c:ext xmlns:c16="http://schemas.microsoft.com/office/drawing/2014/chart" uri="{C3380CC4-5D6E-409C-BE32-E72D297353CC}">
              <c16:uniqueId val="{00000006-54E5-4323-A187-BF2650CACD03}"/>
            </c:ext>
          </c:extLst>
        </c:ser>
        <c:dLbls>
          <c:showLegendKey val="0"/>
          <c:showVal val="0"/>
          <c:showCatName val="0"/>
          <c:showSerName val="0"/>
          <c:showPercent val="0"/>
          <c:showBubbleSize val="0"/>
        </c:dLbls>
        <c:gapWidth val="100"/>
        <c:axId val="456238520"/>
        <c:axId val="456238912"/>
      </c:barChart>
      <c:catAx>
        <c:axId val="45623852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crossAx val="456238912"/>
        <c:crosses val="autoZero"/>
        <c:auto val="1"/>
        <c:lblAlgn val="ctr"/>
        <c:lblOffset val="100"/>
        <c:noMultiLvlLbl val="0"/>
      </c:catAx>
      <c:valAx>
        <c:axId val="456238912"/>
        <c:scaling>
          <c:orientation val="minMax"/>
        </c:scaling>
        <c:delete val="0"/>
        <c:axPos val="b"/>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ylfaen" panose="010A0502050306030303" pitchFamily="18" charset="0"/>
                <a:ea typeface="+mn-ea"/>
                <a:cs typeface="+mn-cs"/>
              </a:defRPr>
            </a:pPr>
            <a:endParaRPr lang="en-US"/>
          </a:p>
        </c:txPr>
        <c:crossAx val="456238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800">
          <a:latin typeface="Sylfaen" panose="010A0502050306030303" pitchFamily="18" charset="0"/>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521227161779872"/>
          <c:y val="5.5555555555555552E-2"/>
          <c:w val="0.78662949232513246"/>
          <c:h val="0.83996684624948192"/>
        </c:manualLayout>
      </c:layout>
      <c:lineChart>
        <c:grouping val="standard"/>
        <c:varyColors val="0"/>
        <c:ser>
          <c:idx val="0"/>
          <c:order val="0"/>
          <c:tx>
            <c:strRef>
              <c:f>'Fig19,22-27'!$A$55:$B$55</c:f>
              <c:strCache>
                <c:ptCount val="2"/>
                <c:pt idx="0">
                  <c:v>MoBSE</c:v>
                </c:pt>
                <c:pt idx="1">
                  <c:v>Budget</c:v>
                </c:pt>
              </c:strCache>
            </c:strRef>
          </c:tx>
          <c:spPr>
            <a:ln w="38100" cap="rnd">
              <a:solidFill>
                <a:schemeClr val="accent1"/>
              </a:solidFill>
              <a:prstDash val="sysDot"/>
              <a:round/>
            </a:ln>
            <a:effectLst/>
          </c:spPr>
          <c:marker>
            <c:symbol val="circle"/>
            <c:size val="6"/>
            <c:spPr>
              <a:solidFill>
                <a:schemeClr val="lt1"/>
              </a:solidFill>
              <a:ln w="15875">
                <a:solidFill>
                  <a:schemeClr val="accent1"/>
                </a:solidFill>
                <a:round/>
              </a:ln>
              <a:effectLst/>
            </c:spPr>
          </c:marker>
          <c:cat>
            <c:numRef>
              <c:f>'Fig19,22-27'!$C$54:$H$54</c:f>
              <c:numCache>
                <c:formatCode>General</c:formatCode>
                <c:ptCount val="6"/>
                <c:pt idx="0">
                  <c:v>2010</c:v>
                </c:pt>
                <c:pt idx="1">
                  <c:v>2011</c:v>
                </c:pt>
                <c:pt idx="2">
                  <c:v>2012</c:v>
                </c:pt>
                <c:pt idx="3">
                  <c:v>2013</c:v>
                </c:pt>
                <c:pt idx="4">
                  <c:v>2014</c:v>
                </c:pt>
                <c:pt idx="5">
                  <c:v>2015</c:v>
                </c:pt>
              </c:numCache>
            </c:numRef>
          </c:cat>
          <c:val>
            <c:numRef>
              <c:f>'Fig19,22-27'!$C$55:$H$55</c:f>
              <c:numCache>
                <c:formatCode>_(* #,##0_);_(* \(#,##0\);_(* "-"??_);_(@_)</c:formatCode>
                <c:ptCount val="6"/>
                <c:pt idx="0">
                  <c:v>617064959.22000015</c:v>
                </c:pt>
                <c:pt idx="1">
                  <c:v>658764704.15999997</c:v>
                </c:pt>
                <c:pt idx="2">
                  <c:v>688601171.5</c:v>
                </c:pt>
                <c:pt idx="3">
                  <c:v>837409478.27999985</c:v>
                </c:pt>
                <c:pt idx="4">
                  <c:v>953647538.74000001</c:v>
                </c:pt>
                <c:pt idx="5">
                  <c:v>1155649495.6399999</c:v>
                </c:pt>
              </c:numCache>
            </c:numRef>
          </c:val>
          <c:smooth val="0"/>
          <c:extLst>
            <c:ext xmlns:c16="http://schemas.microsoft.com/office/drawing/2014/chart" uri="{C3380CC4-5D6E-409C-BE32-E72D297353CC}">
              <c16:uniqueId val="{00000000-AB02-4EAC-BFDE-3B2D194AC6C9}"/>
            </c:ext>
          </c:extLst>
        </c:ser>
        <c:ser>
          <c:idx val="2"/>
          <c:order val="1"/>
          <c:tx>
            <c:strRef>
              <c:f>'Fig19,22-27'!$A$57:$B$57</c:f>
              <c:strCache>
                <c:ptCount val="2"/>
                <c:pt idx="0">
                  <c:v>MoHERST</c:v>
                </c:pt>
                <c:pt idx="1">
                  <c:v>Budget</c:v>
                </c:pt>
              </c:strCache>
            </c:strRef>
          </c:tx>
          <c:spPr>
            <a:ln w="34925" cap="rnd">
              <a:solidFill>
                <a:schemeClr val="accent3"/>
              </a:solidFill>
              <a:prstDash val="sysDot"/>
              <a:round/>
            </a:ln>
            <a:effectLst/>
          </c:spPr>
          <c:marker>
            <c:symbol val="circle"/>
            <c:size val="6"/>
            <c:spPr>
              <a:solidFill>
                <a:schemeClr val="lt1"/>
              </a:solidFill>
              <a:ln w="15875">
                <a:solidFill>
                  <a:schemeClr val="accent3"/>
                </a:solidFill>
                <a:round/>
              </a:ln>
              <a:effectLst/>
            </c:spPr>
          </c:marker>
          <c:cat>
            <c:numRef>
              <c:f>'Fig19,22-27'!$C$54:$H$54</c:f>
              <c:numCache>
                <c:formatCode>General</c:formatCode>
                <c:ptCount val="6"/>
                <c:pt idx="0">
                  <c:v>2010</c:v>
                </c:pt>
                <c:pt idx="1">
                  <c:v>2011</c:v>
                </c:pt>
                <c:pt idx="2">
                  <c:v>2012</c:v>
                </c:pt>
                <c:pt idx="3">
                  <c:v>2013</c:v>
                </c:pt>
                <c:pt idx="4">
                  <c:v>2014</c:v>
                </c:pt>
                <c:pt idx="5">
                  <c:v>2015</c:v>
                </c:pt>
              </c:numCache>
            </c:numRef>
          </c:cat>
          <c:val>
            <c:numRef>
              <c:f>'Fig19,22-27'!$C$57:$H$57</c:f>
              <c:numCache>
                <c:formatCode>_(* #,##0_);_(* \(#,##0\);_(* "-"??_);_(@_)</c:formatCode>
                <c:ptCount val="6"/>
                <c:pt idx="0">
                  <c:v>85501053</c:v>
                </c:pt>
                <c:pt idx="1">
                  <c:v>81342341.430000007</c:v>
                </c:pt>
                <c:pt idx="2">
                  <c:v>88137128</c:v>
                </c:pt>
                <c:pt idx="3">
                  <c:v>92861741</c:v>
                </c:pt>
                <c:pt idx="4">
                  <c:v>193144926.80000001</c:v>
                </c:pt>
                <c:pt idx="5">
                  <c:v>164918592.25</c:v>
                </c:pt>
              </c:numCache>
            </c:numRef>
          </c:val>
          <c:smooth val="0"/>
          <c:extLst>
            <c:ext xmlns:c16="http://schemas.microsoft.com/office/drawing/2014/chart" uri="{C3380CC4-5D6E-409C-BE32-E72D297353CC}">
              <c16:uniqueId val="{00000001-AB02-4EAC-BFDE-3B2D194AC6C9}"/>
            </c:ext>
          </c:extLst>
        </c:ser>
        <c:ser>
          <c:idx val="4"/>
          <c:order val="2"/>
          <c:tx>
            <c:strRef>
              <c:f>'Fig19,22-27'!$A$59:$B$59</c:f>
              <c:strCache>
                <c:ptCount val="2"/>
                <c:pt idx="0">
                  <c:v>Total education spending</c:v>
                </c:pt>
              </c:strCache>
            </c:strRef>
          </c:tx>
          <c:spPr>
            <a:ln w="22225" cap="rnd">
              <a:solidFill>
                <a:schemeClr val="accent2"/>
              </a:solidFill>
              <a:round/>
            </a:ln>
            <a:effectLst/>
          </c:spPr>
          <c:marker>
            <c:symbol val="circle"/>
            <c:size val="6"/>
            <c:spPr>
              <a:solidFill>
                <a:sysClr val="window" lastClr="FFFFFF"/>
              </a:solidFill>
              <a:ln w="15875">
                <a:solidFill>
                  <a:schemeClr val="accent2"/>
                </a:solidFill>
                <a:round/>
              </a:ln>
              <a:effectLst/>
            </c:spPr>
          </c:marker>
          <c:cat>
            <c:numRef>
              <c:f>'Fig19,22-27'!$C$54:$H$54</c:f>
              <c:numCache>
                <c:formatCode>General</c:formatCode>
                <c:ptCount val="6"/>
                <c:pt idx="0">
                  <c:v>2010</c:v>
                </c:pt>
                <c:pt idx="1">
                  <c:v>2011</c:v>
                </c:pt>
                <c:pt idx="2">
                  <c:v>2012</c:v>
                </c:pt>
                <c:pt idx="3">
                  <c:v>2013</c:v>
                </c:pt>
                <c:pt idx="4">
                  <c:v>2014</c:v>
                </c:pt>
                <c:pt idx="5">
                  <c:v>2015</c:v>
                </c:pt>
              </c:numCache>
            </c:numRef>
          </c:cat>
          <c:val>
            <c:numRef>
              <c:f>'Fig19,22-27'!$C$59:$H$59</c:f>
              <c:numCache>
                <c:formatCode>_(* #,##0_);_(* \(#,##0\);_(* "-"??_);_(@_)</c:formatCode>
                <c:ptCount val="6"/>
                <c:pt idx="0">
                  <c:v>702566012.22000015</c:v>
                </c:pt>
                <c:pt idx="1">
                  <c:v>740107045.58999991</c:v>
                </c:pt>
                <c:pt idx="2">
                  <c:v>776738299.5</c:v>
                </c:pt>
                <c:pt idx="3">
                  <c:v>930271219.27999985</c:v>
                </c:pt>
                <c:pt idx="4">
                  <c:v>1146792465.54</c:v>
                </c:pt>
                <c:pt idx="5">
                  <c:v>1320568087.8899999</c:v>
                </c:pt>
              </c:numCache>
            </c:numRef>
          </c:val>
          <c:smooth val="0"/>
          <c:extLst>
            <c:ext xmlns:c16="http://schemas.microsoft.com/office/drawing/2014/chart" uri="{C3380CC4-5D6E-409C-BE32-E72D297353CC}">
              <c16:uniqueId val="{00000002-AB02-4EAC-BFDE-3B2D194AC6C9}"/>
            </c:ext>
          </c:extLst>
        </c:ser>
        <c:ser>
          <c:idx val="6"/>
          <c:order val="6"/>
          <c:tx>
            <c:strRef>
              <c:f>'Fig19,22-27'!$T$26</c:f>
              <c:strCache>
                <c:ptCount val="1"/>
                <c:pt idx="0">
                  <c:v>Real total education spending</c:v>
                </c:pt>
              </c:strCache>
            </c:strRef>
          </c:tx>
          <c:spPr>
            <a:ln w="22225" cap="rnd">
              <a:solidFill>
                <a:schemeClr val="accent1">
                  <a:lumMod val="60000"/>
                </a:schemeClr>
              </a:solidFill>
              <a:round/>
            </a:ln>
            <a:effectLst/>
          </c:spPr>
          <c:marker>
            <c:symbol val="circle"/>
            <c:size val="6"/>
            <c:spPr>
              <a:solidFill>
                <a:schemeClr val="lt1"/>
              </a:solidFill>
              <a:ln w="15875">
                <a:solidFill>
                  <a:schemeClr val="accent1">
                    <a:lumMod val="60000"/>
                  </a:schemeClr>
                </a:solidFill>
                <a:round/>
              </a:ln>
              <a:effectLst/>
            </c:spPr>
          </c:marker>
          <c:val>
            <c:numRef>
              <c:f>'Fig19,22-27'!$U$26:$Z$26</c:f>
              <c:numCache>
                <c:formatCode>_(* #,##0_);_(* \(#,##0\);_(* "-"??_);_(@_)</c:formatCode>
                <c:ptCount val="6"/>
                <c:pt idx="0">
                  <c:v>569681161.42964768</c:v>
                </c:pt>
                <c:pt idx="1">
                  <c:v>574978037.67608202</c:v>
                </c:pt>
                <c:pt idx="2">
                  <c:v>581377076.15341496</c:v>
                </c:pt>
                <c:pt idx="3">
                  <c:v>657177918.49324536</c:v>
                </c:pt>
                <c:pt idx="4">
                  <c:v>749472032.65929961</c:v>
                </c:pt>
                <c:pt idx="5">
                  <c:v>802548043.60156286</c:v>
                </c:pt>
              </c:numCache>
            </c:numRef>
          </c:val>
          <c:smooth val="0"/>
          <c:extLst>
            <c:ext xmlns:c16="http://schemas.microsoft.com/office/drawing/2014/chart" uri="{C3380CC4-5D6E-409C-BE32-E72D297353CC}">
              <c16:uniqueId val="{00000003-AB02-4EAC-BFDE-3B2D194AC6C9}"/>
            </c:ext>
          </c:extLst>
        </c:ser>
        <c:dLbls>
          <c:showLegendKey val="0"/>
          <c:showVal val="0"/>
          <c:showCatName val="0"/>
          <c:showSerName val="0"/>
          <c:showPercent val="0"/>
          <c:showBubbleSize val="0"/>
        </c:dLbls>
        <c:marker val="1"/>
        <c:smooth val="0"/>
        <c:axId val="739470480"/>
        <c:axId val="739470872"/>
        <c:extLst>
          <c:ext xmlns:c15="http://schemas.microsoft.com/office/drawing/2012/chart" uri="{02D57815-91ED-43cb-92C2-25804820EDAC}">
            <c15:filteredLineSeries>
              <c15:ser>
                <c:idx val="5"/>
                <c:order val="3"/>
                <c:tx>
                  <c:strRef>
                    <c:extLst>
                      <c:ext uri="{02D57815-91ED-43cb-92C2-25804820EDAC}">
                        <c15:formulaRef>
                          <c15:sqref>'Fig19,22-27'!$A$60:$B$60</c15:sqref>
                        </c15:formulaRef>
                      </c:ext>
                    </c:extLst>
                    <c:strCache>
                      <c:ptCount val="2"/>
                      <c:pt idx="0">
                        <c:v>Total education spending-executed</c:v>
                      </c:pt>
                    </c:strCache>
                  </c:strRef>
                </c:tx>
                <c:spPr>
                  <a:ln w="22225" cap="rnd">
                    <a:solidFill>
                      <a:schemeClr val="accent6"/>
                    </a:solidFill>
                    <a:round/>
                  </a:ln>
                  <a:effectLst/>
                </c:spPr>
                <c:marker>
                  <c:symbol val="circle"/>
                  <c:size val="6"/>
                  <c:spPr>
                    <a:solidFill>
                      <a:schemeClr val="lt1"/>
                    </a:solidFill>
                    <a:ln w="15875">
                      <a:solidFill>
                        <a:schemeClr val="accent6"/>
                      </a:solidFill>
                      <a:round/>
                    </a:ln>
                    <a:effectLst/>
                  </c:spPr>
                </c:marker>
                <c:cat>
                  <c:numRef>
                    <c:extLst>
                      <c:ext uri="{02D57815-91ED-43cb-92C2-25804820EDAC}">
                        <c15:formulaRef>
                          <c15:sqref>'Fig19,22-27'!$C$54:$H$54</c15:sqref>
                        </c15:formulaRef>
                      </c:ext>
                    </c:extLst>
                    <c:numCache>
                      <c:formatCode>General</c:formatCode>
                      <c:ptCount val="6"/>
                      <c:pt idx="0">
                        <c:v>2010</c:v>
                      </c:pt>
                      <c:pt idx="1">
                        <c:v>2011</c:v>
                      </c:pt>
                      <c:pt idx="2">
                        <c:v>2012</c:v>
                      </c:pt>
                      <c:pt idx="3">
                        <c:v>2013</c:v>
                      </c:pt>
                      <c:pt idx="4">
                        <c:v>2014</c:v>
                      </c:pt>
                      <c:pt idx="5">
                        <c:v>2015</c:v>
                      </c:pt>
                    </c:numCache>
                  </c:numRef>
                </c:cat>
                <c:val>
                  <c:numRef>
                    <c:extLst>
                      <c:ext uri="{02D57815-91ED-43cb-92C2-25804820EDAC}">
                        <c15:formulaRef>
                          <c15:sqref>'Fig19,22-27'!$C$60:$H$60</c15:sqref>
                        </c15:formulaRef>
                      </c:ext>
                    </c:extLst>
                    <c:numCache>
                      <c:formatCode>_(* #,##0_);_(* \(#,##0\);_(* "-"??_);_(@_)</c:formatCode>
                      <c:ptCount val="6"/>
                      <c:pt idx="0">
                        <c:v>683315108.93000019</c:v>
                      </c:pt>
                      <c:pt idx="1">
                        <c:v>735378250.62000012</c:v>
                      </c:pt>
                      <c:pt idx="2">
                        <c:v>770673475.6500001</c:v>
                      </c:pt>
                      <c:pt idx="3">
                        <c:v>888803075.72000027</c:v>
                      </c:pt>
                      <c:pt idx="4">
                        <c:v>1099741008.8900001</c:v>
                      </c:pt>
                      <c:pt idx="5">
                        <c:v>1273037137.0299997</c:v>
                      </c:pt>
                    </c:numCache>
                  </c:numRef>
                </c:val>
                <c:smooth val="0"/>
                <c:extLst>
                  <c:ext xmlns:c16="http://schemas.microsoft.com/office/drawing/2014/chart" uri="{C3380CC4-5D6E-409C-BE32-E72D297353CC}">
                    <c16:uniqueId val="{00000004-AB02-4EAC-BFDE-3B2D194AC6C9}"/>
                  </c:ext>
                </c:extLst>
              </c15:ser>
            </c15:filteredLineSeries>
            <c15:filteredLineSeries>
              <c15:ser>
                <c:idx val="1"/>
                <c:order val="4"/>
                <c:tx>
                  <c:strRef>
                    <c:extLst xmlns:c15="http://schemas.microsoft.com/office/drawing/2012/chart">
                      <c:ext xmlns:c15="http://schemas.microsoft.com/office/drawing/2012/chart" uri="{02D57815-91ED-43cb-92C2-25804820EDAC}">
                        <c15:formulaRef>
                          <c15:sqref>'Fig19,22-27'!$A$56:$B$56</c15:sqref>
                        </c15:formulaRef>
                      </c:ext>
                    </c:extLst>
                    <c:strCache>
                      <c:ptCount val="2"/>
                      <c:pt idx="0">
                        <c:v>MoBSE</c:v>
                      </c:pt>
                      <c:pt idx="1">
                        <c:v>Executed</c:v>
                      </c:pt>
                    </c:strCache>
                  </c:strRef>
                </c:tx>
                <c:spPr>
                  <a:ln w="22225" cap="rnd">
                    <a:solidFill>
                      <a:schemeClr val="accent2"/>
                    </a:solidFill>
                    <a:round/>
                  </a:ln>
                  <a:effectLst/>
                </c:spPr>
                <c:marker>
                  <c:symbol val="circle"/>
                  <c:size val="6"/>
                  <c:spPr>
                    <a:solidFill>
                      <a:schemeClr val="lt1"/>
                    </a:solidFill>
                    <a:ln w="15875">
                      <a:solidFill>
                        <a:schemeClr val="accent2"/>
                      </a:solidFill>
                      <a:round/>
                    </a:ln>
                    <a:effectLst/>
                  </c:spPr>
                </c:marker>
                <c:cat>
                  <c:numRef>
                    <c:extLst xmlns:c15="http://schemas.microsoft.com/office/drawing/2012/chart">
                      <c:ext xmlns:c15="http://schemas.microsoft.com/office/drawing/2012/chart" uri="{02D57815-91ED-43cb-92C2-25804820EDAC}">
                        <c15:formulaRef>
                          <c15:sqref>'Fig19,22-27'!$C$54:$H$54</c15:sqref>
                        </c15:formulaRef>
                      </c:ext>
                    </c:extLst>
                    <c:numCache>
                      <c:formatCode>General</c:formatCode>
                      <c:ptCount val="6"/>
                      <c:pt idx="0">
                        <c:v>2010</c:v>
                      </c:pt>
                      <c:pt idx="1">
                        <c:v>2011</c:v>
                      </c:pt>
                      <c:pt idx="2">
                        <c:v>2012</c:v>
                      </c:pt>
                      <c:pt idx="3">
                        <c:v>2013</c:v>
                      </c:pt>
                      <c:pt idx="4">
                        <c:v>2014</c:v>
                      </c:pt>
                      <c:pt idx="5">
                        <c:v>2015</c:v>
                      </c:pt>
                    </c:numCache>
                  </c:numRef>
                </c:cat>
                <c:val>
                  <c:numRef>
                    <c:extLst xmlns:c15="http://schemas.microsoft.com/office/drawing/2012/chart">
                      <c:ext xmlns:c15="http://schemas.microsoft.com/office/drawing/2012/chart" uri="{02D57815-91ED-43cb-92C2-25804820EDAC}">
                        <c15:formulaRef>
                          <c15:sqref>'Fig19,22-27'!$C$56:$H$56</c15:sqref>
                        </c15:formulaRef>
                      </c:ext>
                    </c:extLst>
                    <c:numCache>
                      <c:formatCode>General</c:formatCode>
                      <c:ptCount val="6"/>
                      <c:pt idx="0">
                        <c:v>612367103.08000016</c:v>
                      </c:pt>
                      <c:pt idx="1">
                        <c:v>656350705.5200001</c:v>
                      </c:pt>
                      <c:pt idx="2">
                        <c:v>686586388.07000005</c:v>
                      </c:pt>
                      <c:pt idx="3">
                        <c:v>806568143.20000029</c:v>
                      </c:pt>
                      <c:pt idx="4">
                        <c:v>932748325.85000002</c:v>
                      </c:pt>
                      <c:pt idx="5" formatCode="_(* #,##0_);_(* \(#,##0\);_(* &quot;-&quot;??_);_(@_)">
                        <c:v>1134699449.6499999</c:v>
                      </c:pt>
                    </c:numCache>
                  </c:numRef>
                </c:val>
                <c:smooth val="0"/>
                <c:extLst xmlns:c15="http://schemas.microsoft.com/office/drawing/2012/chart">
                  <c:ext xmlns:c16="http://schemas.microsoft.com/office/drawing/2014/chart" uri="{C3380CC4-5D6E-409C-BE32-E72D297353CC}">
                    <c16:uniqueId val="{00000005-AB02-4EAC-BFDE-3B2D194AC6C9}"/>
                  </c:ext>
                </c:extLst>
              </c15:ser>
            </c15:filteredLineSeries>
            <c15:filteredLineSeries>
              <c15:ser>
                <c:idx val="3"/>
                <c:order val="5"/>
                <c:tx>
                  <c:strRef>
                    <c:extLst xmlns:c15="http://schemas.microsoft.com/office/drawing/2012/chart">
                      <c:ext xmlns:c15="http://schemas.microsoft.com/office/drawing/2012/chart" uri="{02D57815-91ED-43cb-92C2-25804820EDAC}">
                        <c15:formulaRef>
                          <c15:sqref>'Fig19,22-27'!$A$58:$B$58</c15:sqref>
                        </c15:formulaRef>
                      </c:ext>
                    </c:extLst>
                    <c:strCache>
                      <c:ptCount val="2"/>
                      <c:pt idx="0">
                        <c:v>MoHERST</c:v>
                      </c:pt>
                      <c:pt idx="1">
                        <c:v>Executed</c:v>
                      </c:pt>
                    </c:strCache>
                  </c:strRef>
                </c:tx>
                <c:spPr>
                  <a:ln w="22225" cap="rnd">
                    <a:solidFill>
                      <a:schemeClr val="accent4"/>
                    </a:solidFill>
                    <a:round/>
                  </a:ln>
                  <a:effectLst/>
                </c:spPr>
                <c:marker>
                  <c:symbol val="circle"/>
                  <c:size val="6"/>
                  <c:spPr>
                    <a:solidFill>
                      <a:schemeClr val="lt1"/>
                    </a:solidFill>
                    <a:ln w="15875">
                      <a:solidFill>
                        <a:schemeClr val="accent4"/>
                      </a:solidFill>
                      <a:round/>
                    </a:ln>
                    <a:effectLst/>
                  </c:spPr>
                </c:marker>
                <c:cat>
                  <c:numRef>
                    <c:extLst xmlns:c15="http://schemas.microsoft.com/office/drawing/2012/chart">
                      <c:ext xmlns:c15="http://schemas.microsoft.com/office/drawing/2012/chart" uri="{02D57815-91ED-43cb-92C2-25804820EDAC}">
                        <c15:formulaRef>
                          <c15:sqref>'Fig19,22-27'!$C$54:$H$54</c15:sqref>
                        </c15:formulaRef>
                      </c:ext>
                    </c:extLst>
                    <c:numCache>
                      <c:formatCode>General</c:formatCode>
                      <c:ptCount val="6"/>
                      <c:pt idx="0">
                        <c:v>2010</c:v>
                      </c:pt>
                      <c:pt idx="1">
                        <c:v>2011</c:v>
                      </c:pt>
                      <c:pt idx="2">
                        <c:v>2012</c:v>
                      </c:pt>
                      <c:pt idx="3">
                        <c:v>2013</c:v>
                      </c:pt>
                      <c:pt idx="4">
                        <c:v>2014</c:v>
                      </c:pt>
                      <c:pt idx="5">
                        <c:v>2015</c:v>
                      </c:pt>
                    </c:numCache>
                  </c:numRef>
                </c:cat>
                <c:val>
                  <c:numRef>
                    <c:extLst xmlns:c15="http://schemas.microsoft.com/office/drawing/2012/chart">
                      <c:ext xmlns:c15="http://schemas.microsoft.com/office/drawing/2012/chart" uri="{02D57815-91ED-43cb-92C2-25804820EDAC}">
                        <c15:formulaRef>
                          <c15:sqref>'Fig19,22-27'!$C$58:$H$58</c15:sqref>
                        </c15:formulaRef>
                      </c:ext>
                    </c:extLst>
                    <c:numCache>
                      <c:formatCode>_(* #,##0_);_(* \(#,##0\);_(* "-"??_);_(@_)</c:formatCode>
                      <c:ptCount val="6"/>
                      <c:pt idx="0">
                        <c:v>70948005.850000009</c:v>
                      </c:pt>
                      <c:pt idx="1">
                        <c:v>79027545.100000009</c:v>
                      </c:pt>
                      <c:pt idx="2">
                        <c:v>84087087.580000013</c:v>
                      </c:pt>
                      <c:pt idx="3">
                        <c:v>82234932.520000011</c:v>
                      </c:pt>
                      <c:pt idx="4">
                        <c:v>166992683.04000002</c:v>
                      </c:pt>
                      <c:pt idx="5">
                        <c:v>138337687.38</c:v>
                      </c:pt>
                    </c:numCache>
                  </c:numRef>
                </c:val>
                <c:smooth val="0"/>
                <c:extLst xmlns:c15="http://schemas.microsoft.com/office/drawing/2012/chart">
                  <c:ext xmlns:c16="http://schemas.microsoft.com/office/drawing/2014/chart" uri="{C3380CC4-5D6E-409C-BE32-E72D297353CC}">
                    <c16:uniqueId val="{00000006-AB02-4EAC-BFDE-3B2D194AC6C9}"/>
                  </c:ext>
                </c:extLst>
              </c15:ser>
            </c15:filteredLineSeries>
          </c:ext>
        </c:extLst>
      </c:lineChart>
      <c:catAx>
        <c:axId val="739470480"/>
        <c:scaling>
          <c:orientation val="minMax"/>
        </c:scaling>
        <c:delete val="0"/>
        <c:axPos val="b"/>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739470872"/>
        <c:crosses val="autoZero"/>
        <c:auto val="1"/>
        <c:lblAlgn val="ctr"/>
        <c:lblOffset val="100"/>
        <c:noMultiLvlLbl val="0"/>
      </c:catAx>
      <c:valAx>
        <c:axId val="739470872"/>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739470480"/>
        <c:crosses val="autoZero"/>
        <c:crossBetween val="between"/>
      </c:valAx>
      <c:spPr>
        <a:solidFill>
          <a:sysClr val="window" lastClr="FFFFFF"/>
        </a:solidFill>
        <a:ln>
          <a:noFill/>
        </a:ln>
        <a:effectLst/>
      </c:spPr>
    </c:plotArea>
    <c:legend>
      <c:legendPos val="t"/>
      <c:layout>
        <c:manualLayout>
          <c:xMode val="edge"/>
          <c:yMode val="edge"/>
          <c:x val="0.22026102052204105"/>
          <c:y val="2.3391812865497075E-2"/>
          <c:w val="0.47811312955959245"/>
          <c:h val="0.285575969670457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MoBSE</a:t>
            </a:r>
          </a:p>
        </c:rich>
      </c:tx>
      <c:layout>
        <c:manualLayout>
          <c:xMode val="edge"/>
          <c:yMode val="edge"/>
          <c:x val="0.16614286850507323"/>
          <c:y val="1.8035584999230993E-2"/>
        </c:manualLayout>
      </c:layout>
      <c:overlay val="1"/>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91411490230388"/>
          <c:y val="5.0925925925925923E-2"/>
          <c:w val="0.85813526781374549"/>
          <c:h val="0.86482283464566934"/>
        </c:manualLayout>
      </c:layout>
      <c:lineChart>
        <c:grouping val="standard"/>
        <c:varyColors val="0"/>
        <c:ser>
          <c:idx val="1"/>
          <c:order val="0"/>
          <c:tx>
            <c:strRef>
              <c:f>'Fig19,22-27'!$A$152</c:f>
              <c:strCache>
                <c:ptCount val="1"/>
                <c:pt idx="0">
                  <c:v>Capital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'Fig19,22-27'!$B$151:$G$151</c:f>
              <c:numCache>
                <c:formatCode>General</c:formatCode>
                <c:ptCount val="6"/>
                <c:pt idx="0">
                  <c:v>2010</c:v>
                </c:pt>
                <c:pt idx="1">
                  <c:v>2011</c:v>
                </c:pt>
                <c:pt idx="2">
                  <c:v>2012</c:v>
                </c:pt>
                <c:pt idx="3">
                  <c:v>2013</c:v>
                </c:pt>
                <c:pt idx="4">
                  <c:v>2014</c:v>
                </c:pt>
                <c:pt idx="5">
                  <c:v>2015</c:v>
                </c:pt>
              </c:numCache>
            </c:numRef>
          </c:cat>
          <c:val>
            <c:numRef>
              <c:f>'Fig19,22-27'!$B$152:$G$152</c:f>
              <c:numCache>
                <c:formatCode>0%</c:formatCode>
                <c:ptCount val="6"/>
                <c:pt idx="0">
                  <c:v>1</c:v>
                </c:pt>
                <c:pt idx="1">
                  <c:v>0.9981378026070763</c:v>
                </c:pt>
                <c:pt idx="2">
                  <c:v>0.99996477396818972</c:v>
                </c:pt>
                <c:pt idx="3">
                  <c:v>0.99032882011605416</c:v>
                </c:pt>
                <c:pt idx="4">
                  <c:v>0.82181889929742391</c:v>
                </c:pt>
                <c:pt idx="5">
                  <c:v>0.91444491946829654</c:v>
                </c:pt>
              </c:numCache>
            </c:numRef>
          </c:val>
          <c:smooth val="0"/>
          <c:extLst>
            <c:ext xmlns:c16="http://schemas.microsoft.com/office/drawing/2014/chart" uri="{C3380CC4-5D6E-409C-BE32-E72D297353CC}">
              <c16:uniqueId val="{00000000-3153-49D2-83CB-5867BF395154}"/>
            </c:ext>
          </c:extLst>
        </c:ser>
        <c:ser>
          <c:idx val="2"/>
          <c:order val="1"/>
          <c:tx>
            <c:strRef>
              <c:f>'Fig19,22-27'!$A$153</c:f>
              <c:strCache>
                <c:ptCount val="1"/>
                <c:pt idx="0">
                  <c:v>Recurrent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'Fig19,22-27'!$B$151:$G$151</c:f>
              <c:numCache>
                <c:formatCode>General</c:formatCode>
                <c:ptCount val="6"/>
                <c:pt idx="0">
                  <c:v>2010</c:v>
                </c:pt>
                <c:pt idx="1">
                  <c:v>2011</c:v>
                </c:pt>
                <c:pt idx="2">
                  <c:v>2012</c:v>
                </c:pt>
                <c:pt idx="3">
                  <c:v>2013</c:v>
                </c:pt>
                <c:pt idx="4">
                  <c:v>2014</c:v>
                </c:pt>
                <c:pt idx="5">
                  <c:v>2015</c:v>
                </c:pt>
              </c:numCache>
            </c:numRef>
          </c:cat>
          <c:val>
            <c:numRef>
              <c:f>'Fig19,22-27'!$B$153:$G$153</c:f>
              <c:numCache>
                <c:formatCode>0%</c:formatCode>
                <c:ptCount val="6"/>
                <c:pt idx="0">
                  <c:v>0.99155767840874476</c:v>
                </c:pt>
                <c:pt idx="1">
                  <c:v>0.99617561787344322</c:v>
                </c:pt>
                <c:pt idx="2">
                  <c:v>0.99688727293300738</c:v>
                </c:pt>
                <c:pt idx="3">
                  <c:v>0.96138351907575315</c:v>
                </c:pt>
                <c:pt idx="4">
                  <c:v>0.993455153471271</c:v>
                </c:pt>
                <c:pt idx="5">
                  <c:v>0.98772753123741197</c:v>
                </c:pt>
              </c:numCache>
            </c:numRef>
          </c:val>
          <c:smooth val="0"/>
          <c:extLst>
            <c:ext xmlns:c16="http://schemas.microsoft.com/office/drawing/2014/chart" uri="{C3380CC4-5D6E-409C-BE32-E72D297353CC}">
              <c16:uniqueId val="{00000001-3153-49D2-83CB-5867BF395154}"/>
            </c:ext>
          </c:extLst>
        </c:ser>
        <c:ser>
          <c:idx val="0"/>
          <c:order val="2"/>
          <c:tx>
            <c:strRef>
              <c:f>'Fig19,22-27'!$A$154</c:f>
              <c:strCache>
                <c:ptCount val="1"/>
                <c:pt idx="0">
                  <c:v>Total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'Fig19,22-27'!$B$151:$G$151</c:f>
              <c:numCache>
                <c:formatCode>General</c:formatCode>
                <c:ptCount val="6"/>
                <c:pt idx="0">
                  <c:v>2010</c:v>
                </c:pt>
                <c:pt idx="1">
                  <c:v>2011</c:v>
                </c:pt>
                <c:pt idx="2">
                  <c:v>2012</c:v>
                </c:pt>
                <c:pt idx="3">
                  <c:v>2013</c:v>
                </c:pt>
                <c:pt idx="4">
                  <c:v>2014</c:v>
                </c:pt>
                <c:pt idx="5">
                  <c:v>2015</c:v>
                </c:pt>
              </c:numCache>
            </c:numRef>
          </c:cat>
          <c:val>
            <c:numRef>
              <c:f>'Fig19,22-27'!$B$154:$G$154</c:f>
              <c:numCache>
                <c:formatCode>0%</c:formatCode>
                <c:ptCount val="6"/>
                <c:pt idx="0">
                  <c:v>0.99238677213832027</c:v>
                </c:pt>
                <c:pt idx="1">
                  <c:v>0.99633556773039622</c:v>
                </c:pt>
                <c:pt idx="2">
                  <c:v>0.99707409235797395</c:v>
                </c:pt>
                <c:pt idx="3">
                  <c:v>0.96317054454250239</c:v>
                </c:pt>
                <c:pt idx="4">
                  <c:v>0.97808497160532404</c:v>
                </c:pt>
                <c:pt idx="5">
                  <c:v>0.98187162624217839</c:v>
                </c:pt>
              </c:numCache>
            </c:numRef>
          </c:val>
          <c:smooth val="0"/>
          <c:extLst>
            <c:ext xmlns:c16="http://schemas.microsoft.com/office/drawing/2014/chart" uri="{C3380CC4-5D6E-409C-BE32-E72D297353CC}">
              <c16:uniqueId val="{00000002-3153-49D2-83CB-5867BF395154}"/>
            </c:ext>
          </c:extLst>
        </c:ser>
        <c:dLbls>
          <c:showLegendKey val="0"/>
          <c:showVal val="0"/>
          <c:showCatName val="0"/>
          <c:showSerName val="0"/>
          <c:showPercent val="0"/>
          <c:showBubbleSize val="0"/>
        </c:dLbls>
        <c:marker val="1"/>
        <c:smooth val="0"/>
        <c:axId val="739478712"/>
        <c:axId val="739479104"/>
      </c:lineChart>
      <c:catAx>
        <c:axId val="739478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39479104"/>
        <c:crosses val="autoZero"/>
        <c:auto val="1"/>
        <c:lblAlgn val="ctr"/>
        <c:lblOffset val="100"/>
        <c:noMultiLvlLbl val="0"/>
      </c:catAx>
      <c:valAx>
        <c:axId val="739479104"/>
        <c:scaling>
          <c:orientation val="minMax"/>
          <c:min val="0.60000000000000009"/>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39478712"/>
        <c:crosses val="autoZero"/>
        <c:crossBetween val="between"/>
      </c:valAx>
      <c:spPr>
        <a:noFill/>
        <a:ln>
          <a:noFill/>
        </a:ln>
        <a:effectLst/>
      </c:spPr>
    </c:plotArea>
    <c:legend>
      <c:legendPos val="b"/>
      <c:layout>
        <c:manualLayout>
          <c:xMode val="edge"/>
          <c:yMode val="edge"/>
          <c:x val="0.25527415133714348"/>
          <c:y val="0.37887482978396164"/>
          <c:w val="0.43910663944784672"/>
          <c:h val="0.1687732816151673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MoHERST</a:t>
            </a:r>
          </a:p>
        </c:rich>
      </c:tx>
      <c:layout>
        <c:manualLayout>
          <c:xMode val="edge"/>
          <c:yMode val="edge"/>
          <c:x val="0.2786456692913386"/>
          <c:y val="4.6296296296296294E-2"/>
        </c:manualLayout>
      </c:layout>
      <c:overlay val="1"/>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982034388558572"/>
          <c:y val="5.0925925925925923E-2"/>
          <c:w val="0.82528169693074083"/>
          <c:h val="0.87109397783610387"/>
        </c:manualLayout>
      </c:layout>
      <c:lineChart>
        <c:grouping val="standard"/>
        <c:varyColors val="0"/>
        <c:ser>
          <c:idx val="0"/>
          <c:order val="0"/>
          <c:tx>
            <c:strRef>
              <c:f>'Fig19,22-27'!$A$158</c:f>
              <c:strCache>
                <c:ptCount val="1"/>
                <c:pt idx="0">
                  <c:v>Capital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'Fig19,22-27'!$B$157:$G$157</c:f>
              <c:numCache>
                <c:formatCode>General</c:formatCode>
                <c:ptCount val="6"/>
                <c:pt idx="0">
                  <c:v>2010</c:v>
                </c:pt>
                <c:pt idx="1">
                  <c:v>2011</c:v>
                </c:pt>
                <c:pt idx="2">
                  <c:v>2012</c:v>
                </c:pt>
                <c:pt idx="3">
                  <c:v>2013</c:v>
                </c:pt>
                <c:pt idx="4">
                  <c:v>2014</c:v>
                </c:pt>
                <c:pt idx="5">
                  <c:v>2015</c:v>
                </c:pt>
              </c:numCache>
            </c:numRef>
          </c:cat>
          <c:val>
            <c:numRef>
              <c:f>'Fig19,22-27'!$B$158:$G$158</c:f>
              <c:numCache>
                <c:formatCode>0%</c:formatCode>
                <c:ptCount val="6"/>
                <c:pt idx="0">
                  <c:v>0.65051887987934698</c:v>
                </c:pt>
                <c:pt idx="1">
                  <c:v>0.99215020677898536</c:v>
                </c:pt>
                <c:pt idx="2">
                  <c:v>1</c:v>
                </c:pt>
                <c:pt idx="3">
                  <c:v>0.998299193965836</c:v>
                </c:pt>
                <c:pt idx="4">
                  <c:v>0.72233864207879295</c:v>
                </c:pt>
                <c:pt idx="5">
                  <c:v>0.72844729334784963</c:v>
                </c:pt>
              </c:numCache>
            </c:numRef>
          </c:val>
          <c:smooth val="0"/>
          <c:extLst>
            <c:ext xmlns:c16="http://schemas.microsoft.com/office/drawing/2014/chart" uri="{C3380CC4-5D6E-409C-BE32-E72D297353CC}">
              <c16:uniqueId val="{00000000-2271-4AFA-A6BF-DF0EB25A1C1A}"/>
            </c:ext>
          </c:extLst>
        </c:ser>
        <c:ser>
          <c:idx val="1"/>
          <c:order val="1"/>
          <c:tx>
            <c:strRef>
              <c:f>'Fig19,22-27'!$A$159</c:f>
              <c:strCache>
                <c:ptCount val="1"/>
                <c:pt idx="0">
                  <c:v>Recurrent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'Fig19,22-27'!$B$157:$G$157</c:f>
              <c:numCache>
                <c:formatCode>General</c:formatCode>
                <c:ptCount val="6"/>
                <c:pt idx="0">
                  <c:v>2010</c:v>
                </c:pt>
                <c:pt idx="1">
                  <c:v>2011</c:v>
                </c:pt>
                <c:pt idx="2">
                  <c:v>2012</c:v>
                </c:pt>
                <c:pt idx="3">
                  <c:v>2013</c:v>
                </c:pt>
                <c:pt idx="4">
                  <c:v>2014</c:v>
                </c:pt>
                <c:pt idx="5">
                  <c:v>2015</c:v>
                </c:pt>
              </c:numCache>
            </c:numRef>
          </c:cat>
          <c:val>
            <c:numRef>
              <c:f>'Fig19,22-27'!$B$159:$G$159</c:f>
              <c:numCache>
                <c:formatCode>0%</c:formatCode>
                <c:ptCount val="6"/>
                <c:pt idx="0">
                  <c:v>0.86908780610805214</c:v>
                </c:pt>
                <c:pt idx="1">
                  <c:v>0.96862789453289111</c:v>
                </c:pt>
                <c:pt idx="2">
                  <c:v>0.94580106840685363</c:v>
                </c:pt>
                <c:pt idx="3">
                  <c:v>0.866347658831642</c:v>
                </c:pt>
                <c:pt idx="4">
                  <c:v>0.91127900804967099</c:v>
                </c:pt>
                <c:pt idx="5">
                  <c:v>0.85314869078086597</c:v>
                </c:pt>
              </c:numCache>
            </c:numRef>
          </c:val>
          <c:smooth val="0"/>
          <c:extLst>
            <c:ext xmlns:c16="http://schemas.microsoft.com/office/drawing/2014/chart" uri="{C3380CC4-5D6E-409C-BE32-E72D297353CC}">
              <c16:uniqueId val="{00000001-2271-4AFA-A6BF-DF0EB25A1C1A}"/>
            </c:ext>
          </c:extLst>
        </c:ser>
        <c:ser>
          <c:idx val="2"/>
          <c:order val="2"/>
          <c:tx>
            <c:strRef>
              <c:f>'Fig19,22-27'!$A$160</c:f>
              <c:strCache>
                <c:ptCount val="1"/>
                <c:pt idx="0">
                  <c:v>Total</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'Fig19,22-27'!$B$157:$G$157</c:f>
              <c:numCache>
                <c:formatCode>General</c:formatCode>
                <c:ptCount val="6"/>
                <c:pt idx="0">
                  <c:v>2010</c:v>
                </c:pt>
                <c:pt idx="1">
                  <c:v>2011</c:v>
                </c:pt>
                <c:pt idx="2">
                  <c:v>2012</c:v>
                </c:pt>
                <c:pt idx="3">
                  <c:v>2013</c:v>
                </c:pt>
                <c:pt idx="4">
                  <c:v>2014</c:v>
                </c:pt>
                <c:pt idx="5">
                  <c:v>2015</c:v>
                </c:pt>
              </c:numCache>
            </c:numRef>
          </c:cat>
          <c:val>
            <c:numRef>
              <c:f>'Fig19,22-27'!$B$160:$G$160</c:f>
              <c:numCache>
                <c:formatCode>0%</c:formatCode>
                <c:ptCount val="6"/>
                <c:pt idx="0">
                  <c:v>0.8297910184802052</c:v>
                </c:pt>
                <c:pt idx="1">
                  <c:v>0.97154254119925942</c:v>
                </c:pt>
                <c:pt idx="2">
                  <c:v>0.9540484185053093</c:v>
                </c:pt>
                <c:pt idx="3">
                  <c:v>0.8855631138770057</c:v>
                </c:pt>
                <c:pt idx="4">
                  <c:v>0.86459782199156376</c:v>
                </c:pt>
                <c:pt idx="5">
                  <c:v>0.83882408582710899</c:v>
                </c:pt>
              </c:numCache>
            </c:numRef>
          </c:val>
          <c:smooth val="0"/>
          <c:extLst>
            <c:ext xmlns:c16="http://schemas.microsoft.com/office/drawing/2014/chart" uri="{C3380CC4-5D6E-409C-BE32-E72D297353CC}">
              <c16:uniqueId val="{00000002-2271-4AFA-A6BF-DF0EB25A1C1A}"/>
            </c:ext>
          </c:extLst>
        </c:ser>
        <c:dLbls>
          <c:showLegendKey val="0"/>
          <c:showVal val="0"/>
          <c:showCatName val="0"/>
          <c:showSerName val="0"/>
          <c:showPercent val="0"/>
          <c:showBubbleSize val="0"/>
        </c:dLbls>
        <c:marker val="1"/>
        <c:smooth val="0"/>
        <c:axId val="669796744"/>
        <c:axId val="669797136"/>
      </c:lineChart>
      <c:catAx>
        <c:axId val="669796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69797136"/>
        <c:crosses val="autoZero"/>
        <c:auto val="1"/>
        <c:lblAlgn val="ctr"/>
        <c:lblOffset val="100"/>
        <c:noMultiLvlLbl val="0"/>
      </c:catAx>
      <c:valAx>
        <c:axId val="669797136"/>
        <c:scaling>
          <c:orientation val="minMax"/>
          <c:min val="0.60000000000000009"/>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69796744"/>
        <c:crosses val="autoZero"/>
        <c:crossBetween val="between"/>
      </c:valAx>
      <c:spPr>
        <a:noFill/>
        <a:ln>
          <a:noFill/>
        </a:ln>
        <a:effectLst/>
      </c:spPr>
    </c:plotArea>
    <c:legend>
      <c:legendPos val="b"/>
      <c:layout>
        <c:manualLayout>
          <c:xMode val="edge"/>
          <c:yMode val="edge"/>
          <c:x val="0.55153077293909702"/>
          <c:y val="2.8355934674832307E-2"/>
          <c:w val="0.44251711393218696"/>
          <c:h val="0.1892366579177603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'recomposed trends2_FEda'!$A$35</c:f>
              <c:strCache>
                <c:ptCount val="1"/>
                <c:pt idx="0">
                  <c:v>Basic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'recomposed trends2_FEda'!$B$34:$G$34</c:f>
              <c:numCache>
                <c:formatCode>General</c:formatCode>
                <c:ptCount val="6"/>
                <c:pt idx="0">
                  <c:v>2010</c:v>
                </c:pt>
                <c:pt idx="1">
                  <c:v>2011</c:v>
                </c:pt>
                <c:pt idx="2">
                  <c:v>2012</c:v>
                </c:pt>
                <c:pt idx="3">
                  <c:v>2013</c:v>
                </c:pt>
                <c:pt idx="4">
                  <c:v>2014</c:v>
                </c:pt>
                <c:pt idx="5">
                  <c:v>2015</c:v>
                </c:pt>
              </c:numCache>
            </c:numRef>
          </c:cat>
          <c:val>
            <c:numRef>
              <c:f>'recomposed trends2_FEda'!$B$35:$G$35</c:f>
              <c:numCache>
                <c:formatCode>0.0%</c:formatCode>
                <c:ptCount val="6"/>
                <c:pt idx="0">
                  <c:v>0.78041712275981256</c:v>
                </c:pt>
                <c:pt idx="1">
                  <c:v>0.79870929963768367</c:v>
                </c:pt>
                <c:pt idx="2">
                  <c:v>0.78157558319298492</c:v>
                </c:pt>
                <c:pt idx="3">
                  <c:v>0.79703334733330489</c:v>
                </c:pt>
                <c:pt idx="4">
                  <c:v>0.72981851679383214</c:v>
                </c:pt>
                <c:pt idx="5">
                  <c:v>0.74746778849859175</c:v>
                </c:pt>
              </c:numCache>
            </c:numRef>
          </c:val>
          <c:extLst>
            <c:ext xmlns:c16="http://schemas.microsoft.com/office/drawing/2014/chart" uri="{C3380CC4-5D6E-409C-BE32-E72D297353CC}">
              <c16:uniqueId val="{00000000-5ABB-482F-AE1E-11709E4740A2}"/>
            </c:ext>
          </c:extLst>
        </c:ser>
        <c:ser>
          <c:idx val="1"/>
          <c:order val="1"/>
          <c:tx>
            <c:strRef>
              <c:f>'recomposed trends2_FEda'!$A$36</c:f>
              <c:strCache>
                <c:ptCount val="1"/>
                <c:pt idx="0">
                  <c:v>Secondary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'recomposed trends2_FEda'!$B$34:$G$34</c:f>
              <c:numCache>
                <c:formatCode>General</c:formatCode>
                <c:ptCount val="6"/>
                <c:pt idx="0">
                  <c:v>2010</c:v>
                </c:pt>
                <c:pt idx="1">
                  <c:v>2011</c:v>
                </c:pt>
                <c:pt idx="2">
                  <c:v>2012</c:v>
                </c:pt>
                <c:pt idx="3">
                  <c:v>2013</c:v>
                </c:pt>
                <c:pt idx="4">
                  <c:v>2014</c:v>
                </c:pt>
                <c:pt idx="5">
                  <c:v>2015</c:v>
                </c:pt>
              </c:numCache>
            </c:numRef>
          </c:cat>
          <c:val>
            <c:numRef>
              <c:f>'recomposed trends2_FEda'!$B$36:$G$36</c:f>
              <c:numCache>
                <c:formatCode>0.0%</c:formatCode>
                <c:ptCount val="6"/>
                <c:pt idx="0">
                  <c:v>9.7884628943447474E-2</c:v>
                </c:pt>
                <c:pt idx="1">
                  <c:v>9.1384515960092089E-2</c:v>
                </c:pt>
                <c:pt idx="2">
                  <c:v>0.10495360166022055</c:v>
                </c:pt>
                <c:pt idx="3">
                  <c:v>0.10314442977574938</c:v>
                </c:pt>
                <c:pt idx="4">
                  <c:v>0.10175961734654858</c:v>
                </c:pt>
                <c:pt idx="5">
                  <c:v>0.12764763056813247</c:v>
                </c:pt>
              </c:numCache>
            </c:numRef>
          </c:val>
          <c:extLst>
            <c:ext xmlns:c16="http://schemas.microsoft.com/office/drawing/2014/chart" uri="{C3380CC4-5D6E-409C-BE32-E72D297353CC}">
              <c16:uniqueId val="{00000001-5ABB-482F-AE1E-11709E4740A2}"/>
            </c:ext>
          </c:extLst>
        </c:ser>
        <c:ser>
          <c:idx val="2"/>
          <c:order val="2"/>
          <c:tx>
            <c:strRef>
              <c:f>'recomposed trends2_FEda'!$A$37</c:f>
              <c:strCache>
                <c:ptCount val="1"/>
                <c:pt idx="0">
                  <c:v>Post secondary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'recomposed trends2_FEda'!$B$34:$G$34</c:f>
              <c:numCache>
                <c:formatCode>General</c:formatCode>
                <c:ptCount val="6"/>
                <c:pt idx="0">
                  <c:v>2010</c:v>
                </c:pt>
                <c:pt idx="1">
                  <c:v>2011</c:v>
                </c:pt>
                <c:pt idx="2">
                  <c:v>2012</c:v>
                </c:pt>
                <c:pt idx="3">
                  <c:v>2013</c:v>
                </c:pt>
                <c:pt idx="4">
                  <c:v>2014</c:v>
                </c:pt>
                <c:pt idx="5">
                  <c:v>2015</c:v>
                </c:pt>
              </c:numCache>
            </c:numRef>
          </c:cat>
          <c:val>
            <c:numRef>
              <c:f>'recomposed trends2_FEda'!$B$37:$G$37</c:f>
              <c:numCache>
                <c:formatCode>0.0%</c:formatCode>
                <c:ptCount val="6"/>
                <c:pt idx="0">
                  <c:v>0.12169824829673995</c:v>
                </c:pt>
                <c:pt idx="1">
                  <c:v>0.10990618440222437</c:v>
                </c:pt>
                <c:pt idx="2">
                  <c:v>0.1134708151467945</c:v>
                </c:pt>
                <c:pt idx="3">
                  <c:v>9.9822222890945736E-2</c:v>
                </c:pt>
                <c:pt idx="4">
                  <c:v>0.16842186585961935</c:v>
                </c:pt>
                <c:pt idx="5">
                  <c:v>0.12488458093327583</c:v>
                </c:pt>
              </c:numCache>
            </c:numRef>
          </c:val>
          <c:extLst>
            <c:ext xmlns:c16="http://schemas.microsoft.com/office/drawing/2014/chart" uri="{C3380CC4-5D6E-409C-BE32-E72D297353CC}">
              <c16:uniqueId val="{00000002-5ABB-482F-AE1E-11709E4740A2}"/>
            </c:ext>
          </c:extLst>
        </c:ser>
        <c:dLbls>
          <c:showLegendKey val="0"/>
          <c:showVal val="1"/>
          <c:showCatName val="0"/>
          <c:showSerName val="0"/>
          <c:showPercent val="0"/>
          <c:showBubbleSize val="0"/>
        </c:dLbls>
        <c:gapWidth val="75"/>
        <c:overlap val="100"/>
        <c:axId val="231631032"/>
        <c:axId val="231631424"/>
      </c:barChart>
      <c:catAx>
        <c:axId val="231631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1631424"/>
        <c:crosses val="autoZero"/>
        <c:auto val="1"/>
        <c:lblAlgn val="ctr"/>
        <c:lblOffset val="100"/>
        <c:noMultiLvlLbl val="0"/>
      </c:catAx>
      <c:valAx>
        <c:axId val="2316314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1631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972523138020977E-2"/>
          <c:y val="2.0202374180812624E-2"/>
          <c:w val="0.93902747686197907"/>
          <c:h val="0.76020675322027398"/>
        </c:manualLayout>
      </c:layout>
      <c:barChart>
        <c:barDir val="col"/>
        <c:grouping val="stacked"/>
        <c:varyColors val="0"/>
        <c:ser>
          <c:idx val="2"/>
          <c:order val="0"/>
          <c:tx>
            <c:strRef>
              <c:f>'Fig21'!$D$3</c:f>
              <c:strCache>
                <c:ptCount val="1"/>
                <c:pt idx="0">
                  <c:v>Tertiary </c:v>
                </c:pt>
              </c:strCache>
            </c:strRef>
          </c:tx>
          <c:spPr>
            <a:solidFill>
              <a:schemeClr val="accent3">
                <a:lumMod val="50000"/>
                <a:alpha val="70000"/>
              </a:schemeClr>
            </a:solidFill>
            <a:ln>
              <a:noFill/>
            </a:ln>
            <a:effectLst/>
          </c:spPr>
          <c:invertIfNegative val="0"/>
          <c:dPt>
            <c:idx val="7"/>
            <c:invertIfNegative val="0"/>
            <c:bubble3D val="0"/>
            <c:extLst>
              <c:ext xmlns:c16="http://schemas.microsoft.com/office/drawing/2014/chart" uri="{C3380CC4-5D6E-409C-BE32-E72D297353CC}">
                <c16:uniqueId val="{00000000-D49B-4621-9D3B-93FE0490B57E}"/>
              </c:ext>
            </c:extLst>
          </c:dPt>
          <c:dPt>
            <c:idx val="9"/>
            <c:invertIfNegative val="0"/>
            <c:bubble3D val="0"/>
            <c:spPr>
              <a:solidFill>
                <a:schemeClr val="accent3">
                  <a:lumMod val="50000"/>
                  <a:alpha val="70000"/>
                </a:schemeClr>
              </a:solidFill>
              <a:ln>
                <a:noFill/>
              </a:ln>
              <a:effectLst/>
            </c:spPr>
            <c:extLst>
              <c:ext xmlns:c16="http://schemas.microsoft.com/office/drawing/2014/chart" uri="{C3380CC4-5D6E-409C-BE32-E72D297353CC}">
                <c16:uniqueId val="{00000002-D49B-4621-9D3B-93FE0490B57E}"/>
              </c:ext>
            </c:extLst>
          </c:dPt>
          <c:dPt>
            <c:idx val="18"/>
            <c:invertIfNegative val="0"/>
            <c:bubble3D val="0"/>
            <c:extLst>
              <c:ext xmlns:c16="http://schemas.microsoft.com/office/drawing/2014/chart" uri="{C3380CC4-5D6E-409C-BE32-E72D297353CC}">
                <c16:uniqueId val="{00000003-D49B-4621-9D3B-93FE0490B57E}"/>
              </c:ext>
            </c:extLst>
          </c:dPt>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'Fig21'!$A$4:$A$40</c:f>
              <c:strCache>
                <c:ptCount val="37"/>
                <c:pt idx="0">
                  <c:v>Botswana</c:v>
                </c:pt>
                <c:pt idx="1">
                  <c:v>Lesotho</c:v>
                </c:pt>
                <c:pt idx="2">
                  <c:v>Guinea</c:v>
                </c:pt>
                <c:pt idx="3">
                  <c:v>Seychelles</c:v>
                </c:pt>
                <c:pt idx="4">
                  <c:v>Tanzania</c:v>
                </c:pt>
                <c:pt idx="5">
                  <c:v>Malawi</c:v>
                </c:pt>
                <c:pt idx="6">
                  <c:v>Togo</c:v>
                </c:pt>
                <c:pt idx="7">
                  <c:v>DRC</c:v>
                </c:pt>
                <c:pt idx="8">
                  <c:v>South Sudan</c:v>
                </c:pt>
                <c:pt idx="9">
                  <c:v>Cote d'Ivoire</c:v>
                </c:pt>
                <c:pt idx="10">
                  <c:v>Senegal</c:v>
                </c:pt>
                <c:pt idx="11">
                  <c:v>Sierra Leone</c:v>
                </c:pt>
                <c:pt idx="12">
                  <c:v>Namibia</c:v>
                </c:pt>
                <c:pt idx="13">
                  <c:v>Zimbabwe</c:v>
                </c:pt>
                <c:pt idx="14">
                  <c:v>CAR</c:v>
                </c:pt>
                <c:pt idx="15">
                  <c:v>Mali</c:v>
                </c:pt>
                <c:pt idx="16">
                  <c:v>Burundi</c:v>
                </c:pt>
                <c:pt idx="17">
                  <c:v>Burkina Faso</c:v>
                </c:pt>
                <c:pt idx="18">
                  <c:v>SSA Average</c:v>
                </c:pt>
                <c:pt idx="19">
                  <c:v>Niger</c:v>
                </c:pt>
                <c:pt idx="20">
                  <c:v>Cabo Verde</c:v>
                </c:pt>
                <c:pt idx="21">
                  <c:v>Chad</c:v>
                </c:pt>
                <c:pt idx="22">
                  <c:v>Benin</c:v>
                </c:pt>
                <c:pt idx="23">
                  <c:v>Madagascar</c:v>
                </c:pt>
                <c:pt idx="24">
                  <c:v>Comoros</c:v>
                </c:pt>
                <c:pt idx="25">
                  <c:v>Rwanda</c:v>
                </c:pt>
                <c:pt idx="26">
                  <c:v>Ghana</c:v>
                </c:pt>
                <c:pt idx="27">
                  <c:v>Swaziland</c:v>
                </c:pt>
                <c:pt idx="28">
                  <c:v>Mauritania</c:v>
                </c:pt>
                <c:pt idx="29">
                  <c:v>The Gambia</c:v>
                </c:pt>
                <c:pt idx="30">
                  <c:v>South Africa</c:v>
                </c:pt>
                <c:pt idx="31">
                  <c:v>Uganda</c:v>
                </c:pt>
                <c:pt idx="32">
                  <c:v>Congo, Rep.</c:v>
                </c:pt>
                <c:pt idx="33">
                  <c:v>Mauritius</c:v>
                </c:pt>
                <c:pt idx="34">
                  <c:v>Cameroon</c:v>
                </c:pt>
                <c:pt idx="35">
                  <c:v>Liberia</c:v>
                </c:pt>
                <c:pt idx="36">
                  <c:v>Ethiopia</c:v>
                </c:pt>
              </c:strCache>
            </c:strRef>
          </c:cat>
          <c:val>
            <c:numRef>
              <c:f>'Fig21'!$D$4:$D$40</c:f>
              <c:numCache>
                <c:formatCode>_(* #,##0_);_(* \(#,##0\);_(* "-"??_);_(@_)</c:formatCode>
                <c:ptCount val="37"/>
                <c:pt idx="0">
                  <c:v>41.509441375732401</c:v>
                </c:pt>
                <c:pt idx="1">
                  <c:v>36.383628845214801</c:v>
                </c:pt>
                <c:pt idx="2">
                  <c:v>33.387981414794901</c:v>
                </c:pt>
                <c:pt idx="3">
                  <c:v>32.514980316162102</c:v>
                </c:pt>
                <c:pt idx="4">
                  <c:v>28.296789169311499</c:v>
                </c:pt>
                <c:pt idx="5">
                  <c:v>26.630250930786101</c:v>
                </c:pt>
                <c:pt idx="6">
                  <c:v>26.085109710693398</c:v>
                </c:pt>
                <c:pt idx="7">
                  <c:v>26</c:v>
                </c:pt>
                <c:pt idx="8">
                  <c:v>25.337620000000001</c:v>
                </c:pt>
                <c:pt idx="9" formatCode="0">
                  <c:v>25</c:v>
                </c:pt>
                <c:pt idx="10">
                  <c:v>24.5719604492188</c:v>
                </c:pt>
                <c:pt idx="11">
                  <c:v>23.219970703125</c:v>
                </c:pt>
                <c:pt idx="12">
                  <c:v>23.0855503082275</c:v>
                </c:pt>
                <c:pt idx="13">
                  <c:v>22.815010070800799</c:v>
                </c:pt>
                <c:pt idx="14">
                  <c:v>22.291130065918001</c:v>
                </c:pt>
                <c:pt idx="15">
                  <c:v>21.311969757080099</c:v>
                </c:pt>
                <c:pt idx="16">
                  <c:v>20.5790405273438</c:v>
                </c:pt>
                <c:pt idx="17">
                  <c:v>20.176689147949201</c:v>
                </c:pt>
                <c:pt idx="18">
                  <c:v>19.127535233609876</c:v>
                </c:pt>
                <c:pt idx="19">
                  <c:v>17.614330291748001</c:v>
                </c:pt>
                <c:pt idx="20">
                  <c:v>16.570329666137699</c:v>
                </c:pt>
                <c:pt idx="21">
                  <c:v>16.284019470214801</c:v>
                </c:pt>
                <c:pt idx="22">
                  <c:v>15.6042995452881</c:v>
                </c:pt>
                <c:pt idx="23">
                  <c:v>15.199729919433601</c:v>
                </c:pt>
                <c:pt idx="24">
                  <c:v>14.607959747314499</c:v>
                </c:pt>
                <c:pt idx="25">
                  <c:v>13.268980026245099</c:v>
                </c:pt>
                <c:pt idx="26">
                  <c:v>13.1262502670288</c:v>
                </c:pt>
                <c:pt idx="27">
                  <c:v>12.838939666748001</c:v>
                </c:pt>
                <c:pt idx="28">
                  <c:v>12.827110290527299</c:v>
                </c:pt>
                <c:pt idx="29" formatCode="_(* #,##0.0_);_(* \(#,##0.0\);_(* &quot;-&quot;??_);_(@_)">
                  <c:v>12.488458093327583</c:v>
                </c:pt>
                <c:pt idx="30">
                  <c:v>11.9128303527832</c:v>
                </c:pt>
                <c:pt idx="31">
                  <c:v>11.4543800354004</c:v>
                </c:pt>
                <c:pt idx="32">
                  <c:v>10.872590065002401</c:v>
                </c:pt>
                <c:pt idx="33">
                  <c:v>7.8501901626586896</c:v>
                </c:pt>
                <c:pt idx="34">
                  <c:v>7.7697901725768999</c:v>
                </c:pt>
                <c:pt idx="35">
                  <c:v>3.5627300739288299</c:v>
                </c:pt>
                <c:pt idx="36">
                  <c:v>3.54348993301392</c:v>
                </c:pt>
              </c:numCache>
            </c:numRef>
          </c:val>
          <c:extLst>
            <c:ext xmlns:c16="http://schemas.microsoft.com/office/drawing/2014/chart" uri="{C3380CC4-5D6E-409C-BE32-E72D297353CC}">
              <c16:uniqueId val="{00000004-D49B-4621-9D3B-93FE0490B57E}"/>
            </c:ext>
          </c:extLst>
        </c:ser>
        <c:ser>
          <c:idx val="1"/>
          <c:order val="1"/>
          <c:tx>
            <c:strRef>
              <c:f>'Fig21'!$C$3</c:f>
              <c:strCache>
                <c:ptCount val="1"/>
                <c:pt idx="0">
                  <c:v>Secondary</c:v>
                </c:pt>
              </c:strCache>
            </c:strRef>
          </c:tx>
          <c:spPr>
            <a:solidFill>
              <a:schemeClr val="accent2">
                <a:alpha val="70000"/>
              </a:schemeClr>
            </a:solidFill>
            <a:ln>
              <a:noFill/>
            </a:ln>
            <a:effectLst/>
          </c:spPr>
          <c:invertIfNegative val="0"/>
          <c:dPt>
            <c:idx val="29"/>
            <c:invertIfNegative val="0"/>
            <c:bubble3D val="0"/>
            <c:spPr>
              <a:solidFill>
                <a:srgbClr val="C00000">
                  <a:alpha val="70000"/>
                </a:srgbClr>
              </a:solidFill>
              <a:ln>
                <a:noFill/>
              </a:ln>
              <a:effectLst/>
            </c:spPr>
            <c:extLst>
              <c:ext xmlns:c16="http://schemas.microsoft.com/office/drawing/2014/chart" uri="{C3380CC4-5D6E-409C-BE32-E72D297353CC}">
                <c16:uniqueId val="{00000006-D49B-4621-9D3B-93FE0490B57E}"/>
              </c:ext>
            </c:extLst>
          </c:dPt>
          <c:dLbls>
            <c:dLbl>
              <c:idx val="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49B-4621-9D3B-93FE0490B57E}"/>
                </c:ext>
              </c:extLst>
            </c:dLbl>
            <c:dLbl>
              <c:idx val="1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49B-4621-9D3B-93FE0490B57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'Fig21'!$A$4:$A$40</c:f>
              <c:strCache>
                <c:ptCount val="37"/>
                <c:pt idx="0">
                  <c:v>Botswana</c:v>
                </c:pt>
                <c:pt idx="1">
                  <c:v>Lesotho</c:v>
                </c:pt>
                <c:pt idx="2">
                  <c:v>Guinea</c:v>
                </c:pt>
                <c:pt idx="3">
                  <c:v>Seychelles</c:v>
                </c:pt>
                <c:pt idx="4">
                  <c:v>Tanzania</c:v>
                </c:pt>
                <c:pt idx="5">
                  <c:v>Malawi</c:v>
                </c:pt>
                <c:pt idx="6">
                  <c:v>Togo</c:v>
                </c:pt>
                <c:pt idx="7">
                  <c:v>DRC</c:v>
                </c:pt>
                <c:pt idx="8">
                  <c:v>South Sudan</c:v>
                </c:pt>
                <c:pt idx="9">
                  <c:v>Cote d'Ivoire</c:v>
                </c:pt>
                <c:pt idx="10">
                  <c:v>Senegal</c:v>
                </c:pt>
                <c:pt idx="11">
                  <c:v>Sierra Leone</c:v>
                </c:pt>
                <c:pt idx="12">
                  <c:v>Namibia</c:v>
                </c:pt>
                <c:pt idx="13">
                  <c:v>Zimbabwe</c:v>
                </c:pt>
                <c:pt idx="14">
                  <c:v>CAR</c:v>
                </c:pt>
                <c:pt idx="15">
                  <c:v>Mali</c:v>
                </c:pt>
                <c:pt idx="16">
                  <c:v>Burundi</c:v>
                </c:pt>
                <c:pt idx="17">
                  <c:v>Burkina Faso</c:v>
                </c:pt>
                <c:pt idx="18">
                  <c:v>SSA Average</c:v>
                </c:pt>
                <c:pt idx="19">
                  <c:v>Niger</c:v>
                </c:pt>
                <c:pt idx="20">
                  <c:v>Cabo Verde</c:v>
                </c:pt>
                <c:pt idx="21">
                  <c:v>Chad</c:v>
                </c:pt>
                <c:pt idx="22">
                  <c:v>Benin</c:v>
                </c:pt>
                <c:pt idx="23">
                  <c:v>Madagascar</c:v>
                </c:pt>
                <c:pt idx="24">
                  <c:v>Comoros</c:v>
                </c:pt>
                <c:pt idx="25">
                  <c:v>Rwanda</c:v>
                </c:pt>
                <c:pt idx="26">
                  <c:v>Ghana</c:v>
                </c:pt>
                <c:pt idx="27">
                  <c:v>Swaziland</c:v>
                </c:pt>
                <c:pt idx="28">
                  <c:v>Mauritania</c:v>
                </c:pt>
                <c:pt idx="29">
                  <c:v>The Gambia</c:v>
                </c:pt>
                <c:pt idx="30">
                  <c:v>South Africa</c:v>
                </c:pt>
                <c:pt idx="31">
                  <c:v>Uganda</c:v>
                </c:pt>
                <c:pt idx="32">
                  <c:v>Congo, Rep.</c:v>
                </c:pt>
                <c:pt idx="33">
                  <c:v>Mauritius</c:v>
                </c:pt>
                <c:pt idx="34">
                  <c:v>Cameroon</c:v>
                </c:pt>
                <c:pt idx="35">
                  <c:v>Liberia</c:v>
                </c:pt>
                <c:pt idx="36">
                  <c:v>Ethiopia</c:v>
                </c:pt>
              </c:strCache>
            </c:strRef>
          </c:cat>
          <c:val>
            <c:numRef>
              <c:f>'Fig21'!$C$4:$C$40</c:f>
              <c:numCache>
                <c:formatCode>_(* #,##0_);_(* \(#,##0\);_(* "-"??_);_(@_)</c:formatCode>
                <c:ptCount val="37"/>
                <c:pt idx="0">
                  <c:v>32.695461273193402</c:v>
                </c:pt>
                <c:pt idx="1">
                  <c:v>20.520040512085</c:v>
                </c:pt>
                <c:pt idx="2">
                  <c:v>22.977479934692401</c:v>
                </c:pt>
                <c:pt idx="3">
                  <c:v>16.166040420532202</c:v>
                </c:pt>
                <c:pt idx="4">
                  <c:v>11.3243503570557</c:v>
                </c:pt>
                <c:pt idx="5">
                  <c:v>30.402389526367202</c:v>
                </c:pt>
                <c:pt idx="6">
                  <c:v>24.804489135742202</c:v>
                </c:pt>
                <c:pt idx="7">
                  <c:v>33</c:v>
                </c:pt>
                <c:pt idx="8">
                  <c:v>11.809049999999999</c:v>
                </c:pt>
                <c:pt idx="9" formatCode="0">
                  <c:v>32</c:v>
                </c:pt>
                <c:pt idx="10">
                  <c:v>28.953720092773398</c:v>
                </c:pt>
                <c:pt idx="11">
                  <c:v>24.072149276733398</c:v>
                </c:pt>
                <c:pt idx="12">
                  <c:v>23.543500900268601</c:v>
                </c:pt>
                <c:pt idx="13">
                  <c:v>25.604900360107401</c:v>
                </c:pt>
                <c:pt idx="14">
                  <c:v>23.995040893554702</c:v>
                </c:pt>
                <c:pt idx="15">
                  <c:v>36.928131103515597</c:v>
                </c:pt>
                <c:pt idx="16">
                  <c:v>24.215940475463899</c:v>
                </c:pt>
                <c:pt idx="17">
                  <c:v>18.764640808105501</c:v>
                </c:pt>
                <c:pt idx="18">
                  <c:v>28.320269514160163</c:v>
                </c:pt>
                <c:pt idx="19">
                  <c:v>23.829710006713899</c:v>
                </c:pt>
                <c:pt idx="20">
                  <c:v>37.1747016906738</c:v>
                </c:pt>
                <c:pt idx="21">
                  <c:v>34.948928833007798</c:v>
                </c:pt>
                <c:pt idx="22">
                  <c:v>27.982530593872099</c:v>
                </c:pt>
                <c:pt idx="23">
                  <c:v>19.3448600769043</c:v>
                </c:pt>
                <c:pt idx="24">
                  <c:v>23.663770675659201</c:v>
                </c:pt>
                <c:pt idx="25">
                  <c:v>36.485450744628899</c:v>
                </c:pt>
                <c:pt idx="26">
                  <c:v>27.355260848998999</c:v>
                </c:pt>
                <c:pt idx="27">
                  <c:v>36.706489562988303</c:v>
                </c:pt>
                <c:pt idx="28">
                  <c:v>21.108549118041999</c:v>
                </c:pt>
                <c:pt idx="29" formatCode="_(* #,##0.0_);_(* \(#,##0.0\);_(* &quot;-&quot;??_);_(@_)">
                  <c:v>36.456478663470108</c:v>
                </c:pt>
                <c:pt idx="30">
                  <c:v>30.256059646606399</c:v>
                </c:pt>
                <c:pt idx="31">
                  <c:v>25.4740200042725</c:v>
                </c:pt>
                <c:pt idx="32">
                  <c:v>53.331680297851598</c:v>
                </c:pt>
                <c:pt idx="33">
                  <c:v>53.754058837890597</c:v>
                </c:pt>
                <c:pt idx="34">
                  <c:v>52.553138732910199</c:v>
                </c:pt>
                <c:pt idx="35">
                  <c:v>34.488109588622997</c:v>
                </c:pt>
                <c:pt idx="36">
                  <c:v>10.881629943847701</c:v>
                </c:pt>
              </c:numCache>
            </c:numRef>
          </c:val>
          <c:extLst>
            <c:ext xmlns:c16="http://schemas.microsoft.com/office/drawing/2014/chart" uri="{C3380CC4-5D6E-409C-BE32-E72D297353CC}">
              <c16:uniqueId val="{00000009-D49B-4621-9D3B-93FE0490B57E}"/>
            </c:ext>
          </c:extLst>
        </c:ser>
        <c:ser>
          <c:idx val="0"/>
          <c:order val="2"/>
          <c:tx>
            <c:strRef>
              <c:f>'Fig21'!$B$3</c:f>
              <c:strCache>
                <c:ptCount val="1"/>
                <c:pt idx="0">
                  <c:v>Primary</c:v>
                </c:pt>
              </c:strCache>
            </c:strRef>
          </c:tx>
          <c:spPr>
            <a:solidFill>
              <a:schemeClr val="accent1">
                <a:alpha val="70000"/>
              </a:schemeClr>
            </a:solidFill>
            <a:ln>
              <a:noFill/>
            </a:ln>
            <a:effectLst/>
          </c:spPr>
          <c:invertIfNegative val="0"/>
          <c:dPt>
            <c:idx val="9"/>
            <c:invertIfNegative val="0"/>
            <c:bubble3D val="0"/>
            <c:spPr>
              <a:solidFill>
                <a:srgbClr val="FF0000">
                  <a:alpha val="70000"/>
                </a:srgbClr>
              </a:solidFill>
              <a:ln>
                <a:noFill/>
              </a:ln>
              <a:effectLst/>
            </c:spPr>
            <c:extLst>
              <c:ext xmlns:c16="http://schemas.microsoft.com/office/drawing/2014/chart" uri="{C3380CC4-5D6E-409C-BE32-E72D297353CC}">
                <c16:uniqueId val="{0000000B-D49B-4621-9D3B-93FE0490B57E}"/>
              </c:ext>
            </c:extLst>
          </c:dPt>
          <c:dPt>
            <c:idx val="18"/>
            <c:invertIfNegative val="0"/>
            <c:bubble3D val="0"/>
            <c:spPr>
              <a:solidFill>
                <a:srgbClr val="FF0000">
                  <a:alpha val="70000"/>
                </a:srgbClr>
              </a:solidFill>
              <a:ln>
                <a:noFill/>
              </a:ln>
              <a:effectLst/>
            </c:spPr>
            <c:extLst>
              <c:ext xmlns:c16="http://schemas.microsoft.com/office/drawing/2014/chart" uri="{C3380CC4-5D6E-409C-BE32-E72D297353CC}">
                <c16:uniqueId val="{0000000D-D49B-4621-9D3B-93FE0490B57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'Fig21'!$A$4:$A$40</c:f>
              <c:strCache>
                <c:ptCount val="37"/>
                <c:pt idx="0">
                  <c:v>Botswana</c:v>
                </c:pt>
                <c:pt idx="1">
                  <c:v>Lesotho</c:v>
                </c:pt>
                <c:pt idx="2">
                  <c:v>Guinea</c:v>
                </c:pt>
                <c:pt idx="3">
                  <c:v>Seychelles</c:v>
                </c:pt>
                <c:pt idx="4">
                  <c:v>Tanzania</c:v>
                </c:pt>
                <c:pt idx="5">
                  <c:v>Malawi</c:v>
                </c:pt>
                <c:pt idx="6">
                  <c:v>Togo</c:v>
                </c:pt>
                <c:pt idx="7">
                  <c:v>DRC</c:v>
                </c:pt>
                <c:pt idx="8">
                  <c:v>South Sudan</c:v>
                </c:pt>
                <c:pt idx="9">
                  <c:v>Cote d'Ivoire</c:v>
                </c:pt>
                <c:pt idx="10">
                  <c:v>Senegal</c:v>
                </c:pt>
                <c:pt idx="11">
                  <c:v>Sierra Leone</c:v>
                </c:pt>
                <c:pt idx="12">
                  <c:v>Namibia</c:v>
                </c:pt>
                <c:pt idx="13">
                  <c:v>Zimbabwe</c:v>
                </c:pt>
                <c:pt idx="14">
                  <c:v>CAR</c:v>
                </c:pt>
                <c:pt idx="15">
                  <c:v>Mali</c:v>
                </c:pt>
                <c:pt idx="16">
                  <c:v>Burundi</c:v>
                </c:pt>
                <c:pt idx="17">
                  <c:v>Burkina Faso</c:v>
                </c:pt>
                <c:pt idx="18">
                  <c:v>SSA Average</c:v>
                </c:pt>
                <c:pt idx="19">
                  <c:v>Niger</c:v>
                </c:pt>
                <c:pt idx="20">
                  <c:v>Cabo Verde</c:v>
                </c:pt>
                <c:pt idx="21">
                  <c:v>Chad</c:v>
                </c:pt>
                <c:pt idx="22">
                  <c:v>Benin</c:v>
                </c:pt>
                <c:pt idx="23">
                  <c:v>Madagascar</c:v>
                </c:pt>
                <c:pt idx="24">
                  <c:v>Comoros</c:v>
                </c:pt>
                <c:pt idx="25">
                  <c:v>Rwanda</c:v>
                </c:pt>
                <c:pt idx="26">
                  <c:v>Ghana</c:v>
                </c:pt>
                <c:pt idx="27">
                  <c:v>Swaziland</c:v>
                </c:pt>
                <c:pt idx="28">
                  <c:v>Mauritania</c:v>
                </c:pt>
                <c:pt idx="29">
                  <c:v>The Gambia</c:v>
                </c:pt>
                <c:pt idx="30">
                  <c:v>South Africa</c:v>
                </c:pt>
                <c:pt idx="31">
                  <c:v>Uganda</c:v>
                </c:pt>
                <c:pt idx="32">
                  <c:v>Congo, Rep.</c:v>
                </c:pt>
                <c:pt idx="33">
                  <c:v>Mauritius</c:v>
                </c:pt>
                <c:pt idx="34">
                  <c:v>Cameroon</c:v>
                </c:pt>
                <c:pt idx="35">
                  <c:v>Liberia</c:v>
                </c:pt>
                <c:pt idx="36">
                  <c:v>Ethiopia</c:v>
                </c:pt>
              </c:strCache>
            </c:strRef>
          </c:cat>
          <c:val>
            <c:numRef>
              <c:f>'Fig21'!$B$4:$B$40</c:f>
              <c:numCache>
                <c:formatCode>_(* #,##0_);_(* \(#,##0\);_(* "-"??_);_(@_)</c:formatCode>
                <c:ptCount val="37"/>
                <c:pt idx="0">
                  <c:v>17.822330474853501</c:v>
                </c:pt>
                <c:pt idx="1">
                  <c:v>35.994209289550803</c:v>
                </c:pt>
                <c:pt idx="2">
                  <c:v>43.563770294189503</c:v>
                </c:pt>
                <c:pt idx="3">
                  <c:v>23.9599304199219</c:v>
                </c:pt>
                <c:pt idx="4">
                  <c:v>41.9061088562012</c:v>
                </c:pt>
                <c:pt idx="5">
                  <c:v>34.640869140625</c:v>
                </c:pt>
                <c:pt idx="6">
                  <c:v>46.954029083252003</c:v>
                </c:pt>
                <c:pt idx="7">
                  <c:v>40</c:v>
                </c:pt>
                <c:pt idx="8">
                  <c:v>62.557200000000002</c:v>
                </c:pt>
                <c:pt idx="9" formatCode="0">
                  <c:v>41</c:v>
                </c:pt>
                <c:pt idx="10">
                  <c:v>39.647800445556598</c:v>
                </c:pt>
                <c:pt idx="11">
                  <c:v>49.531669616699197</c:v>
                </c:pt>
                <c:pt idx="12">
                  <c:v>40.013210296630902</c:v>
                </c:pt>
                <c:pt idx="13">
                  <c:v>51.580089569091797</c:v>
                </c:pt>
                <c:pt idx="14">
                  <c:v>53.2640190124512</c:v>
                </c:pt>
                <c:pt idx="15">
                  <c:v>41.273170471191399</c:v>
                </c:pt>
                <c:pt idx="16">
                  <c:v>43.995559692382798</c:v>
                </c:pt>
                <c:pt idx="17">
                  <c:v>58.495498657226598</c:v>
                </c:pt>
                <c:pt idx="18">
                  <c:v>43.84613011352539</c:v>
                </c:pt>
                <c:pt idx="19">
                  <c:v>51.941619873046903</c:v>
                </c:pt>
                <c:pt idx="20">
                  <c:v>43.137840270996101</c:v>
                </c:pt>
                <c:pt idx="21">
                  <c:v>40.666759490966797</c:v>
                </c:pt>
                <c:pt idx="22">
                  <c:v>52.825588226318402</c:v>
                </c:pt>
                <c:pt idx="23">
                  <c:v>47.351791381835902</c:v>
                </c:pt>
                <c:pt idx="24">
                  <c:v>61.725910186767599</c:v>
                </c:pt>
                <c:pt idx="25">
                  <c:v>36.248981475830099</c:v>
                </c:pt>
                <c:pt idx="26">
                  <c:v>45.488059997558601</c:v>
                </c:pt>
                <c:pt idx="27">
                  <c:v>48.668968200683601</c:v>
                </c:pt>
                <c:pt idx="28">
                  <c:v>45.073089599609403</c:v>
                </c:pt>
                <c:pt idx="29" formatCode="_(* #,##0.0_);_(* \(#,##0.0\);_(* &quot;-&quot;??_);_(@_)">
                  <c:v>51.055063243202305</c:v>
                </c:pt>
                <c:pt idx="30">
                  <c:v>39.916019439697301</c:v>
                </c:pt>
                <c:pt idx="31">
                  <c:v>53.669040679931598</c:v>
                </c:pt>
                <c:pt idx="32">
                  <c:v>30.9983100891113</c:v>
                </c:pt>
                <c:pt idx="33">
                  <c:v>26.4139804840088</c:v>
                </c:pt>
                <c:pt idx="34">
                  <c:v>36.192699432372997</c:v>
                </c:pt>
                <c:pt idx="35">
                  <c:v>30.721990585327099</c:v>
                </c:pt>
                <c:pt idx="36">
                  <c:v>65.0860595703125</c:v>
                </c:pt>
              </c:numCache>
            </c:numRef>
          </c:val>
          <c:extLst>
            <c:ext xmlns:c16="http://schemas.microsoft.com/office/drawing/2014/chart" uri="{C3380CC4-5D6E-409C-BE32-E72D297353CC}">
              <c16:uniqueId val="{0000000E-D49B-4621-9D3B-93FE0490B57E}"/>
            </c:ext>
          </c:extLst>
        </c:ser>
        <c:dLbls>
          <c:showLegendKey val="0"/>
          <c:showVal val="0"/>
          <c:showCatName val="0"/>
          <c:showSerName val="0"/>
          <c:showPercent val="0"/>
          <c:showBubbleSize val="0"/>
        </c:dLbls>
        <c:gapWidth val="50"/>
        <c:overlap val="100"/>
        <c:axId val="428713384"/>
        <c:axId val="428713776"/>
      </c:barChart>
      <c:catAx>
        <c:axId val="428713384"/>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713776"/>
        <c:crosses val="autoZero"/>
        <c:auto val="1"/>
        <c:lblAlgn val="ctr"/>
        <c:lblOffset val="100"/>
        <c:noMultiLvlLbl val="0"/>
      </c:catAx>
      <c:valAx>
        <c:axId val="428713776"/>
        <c:scaling>
          <c:orientation val="minMax"/>
        </c:scaling>
        <c:delete val="0"/>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713384"/>
        <c:crosses val="autoZero"/>
        <c:crossBetween val="between"/>
      </c:valAx>
      <c:spPr>
        <a:noFill/>
        <a:ln>
          <a:noFill/>
        </a:ln>
        <a:effectLst/>
      </c:spPr>
    </c:plotArea>
    <c:legend>
      <c:legendPos val="b"/>
      <c:layout>
        <c:manualLayout>
          <c:xMode val="edge"/>
          <c:yMode val="edge"/>
          <c:x val="0.24727331871542127"/>
          <c:y val="3.7566411465002864E-2"/>
          <c:w val="0.43745136905937126"/>
          <c:h val="5.54874485648382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MoBSE</a:t>
            </a:r>
          </a:p>
        </c:rich>
      </c:tx>
      <c:layout>
        <c:manualLayout>
          <c:xMode val="edge"/>
          <c:yMode val="edge"/>
          <c:x val="0.31782633420822398"/>
          <c:y val="0.18518518518518517"/>
        </c:manualLayout>
      </c:layout>
      <c:overlay val="1"/>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0"/>
          <c:tx>
            <c:strRef>
              <c:f>'Fig19,22-27'!$A$123</c:f>
              <c:strCache>
                <c:ptCount val="1"/>
                <c:pt idx="0">
                  <c:v>Personnel recurrent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'Fig19,22-27'!$B$121:$G$121</c:f>
              <c:numCache>
                <c:formatCode>General</c:formatCode>
                <c:ptCount val="6"/>
                <c:pt idx="0">
                  <c:v>2010</c:v>
                </c:pt>
                <c:pt idx="1">
                  <c:v>2011</c:v>
                </c:pt>
                <c:pt idx="2">
                  <c:v>2012</c:v>
                </c:pt>
                <c:pt idx="3">
                  <c:v>2013</c:v>
                </c:pt>
                <c:pt idx="4">
                  <c:v>2014</c:v>
                </c:pt>
                <c:pt idx="5">
                  <c:v>2015</c:v>
                </c:pt>
              </c:numCache>
            </c:numRef>
          </c:cat>
          <c:val>
            <c:numRef>
              <c:f>'Fig19,22-27'!$B$123:$G$123</c:f>
              <c:numCache>
                <c:formatCode>0.0%</c:formatCode>
                <c:ptCount val="6"/>
                <c:pt idx="0">
                  <c:v>0.78728706760235134</c:v>
                </c:pt>
                <c:pt idx="1">
                  <c:v>0.81868468474378187</c:v>
                </c:pt>
                <c:pt idx="2">
                  <c:v>0.8289068707577939</c:v>
                </c:pt>
                <c:pt idx="3">
                  <c:v>0.78567895057921255</c:v>
                </c:pt>
                <c:pt idx="4">
                  <c:v>0.78542678865961746</c:v>
                </c:pt>
                <c:pt idx="5">
                  <c:v>0.7167322439971715</c:v>
                </c:pt>
              </c:numCache>
            </c:numRef>
          </c:val>
          <c:smooth val="0"/>
          <c:extLst>
            <c:ext xmlns:c16="http://schemas.microsoft.com/office/drawing/2014/chart" uri="{C3380CC4-5D6E-409C-BE32-E72D297353CC}">
              <c16:uniqueId val="{00000000-D000-45CA-85FB-7497F2E804BC}"/>
            </c:ext>
          </c:extLst>
        </c:ser>
        <c:ser>
          <c:idx val="2"/>
          <c:order val="1"/>
          <c:tx>
            <c:strRef>
              <c:f>'Fig19,22-27'!$A$124</c:f>
              <c:strCache>
                <c:ptCount val="1"/>
                <c:pt idx="0">
                  <c:v>Non-salary recurrent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'Fig19,22-27'!$B$121:$G$121</c:f>
              <c:numCache>
                <c:formatCode>General</c:formatCode>
                <c:ptCount val="6"/>
                <c:pt idx="0">
                  <c:v>2010</c:v>
                </c:pt>
                <c:pt idx="1">
                  <c:v>2011</c:v>
                </c:pt>
                <c:pt idx="2">
                  <c:v>2012</c:v>
                </c:pt>
                <c:pt idx="3">
                  <c:v>2013</c:v>
                </c:pt>
                <c:pt idx="4">
                  <c:v>2014</c:v>
                </c:pt>
                <c:pt idx="5">
                  <c:v>2015</c:v>
                </c:pt>
              </c:numCache>
            </c:numRef>
          </c:cat>
          <c:val>
            <c:numRef>
              <c:f>'Fig19,22-27'!$B$124:$G$124</c:f>
              <c:numCache>
                <c:formatCode>0.0%</c:formatCode>
                <c:ptCount val="6"/>
                <c:pt idx="0">
                  <c:v>0.11375268503099162</c:v>
                </c:pt>
                <c:pt idx="1">
                  <c:v>9.9651656560925186E-2</c:v>
                </c:pt>
                <c:pt idx="2">
                  <c:v>0.11021222521278</c:v>
                </c:pt>
                <c:pt idx="3">
                  <c:v>0.15084222195697553</c:v>
                </c:pt>
                <c:pt idx="4">
                  <c:v>0.13932961984313383</c:v>
                </c:pt>
                <c:pt idx="5">
                  <c:v>0.2088466835099782</c:v>
                </c:pt>
              </c:numCache>
            </c:numRef>
          </c:val>
          <c:smooth val="0"/>
          <c:extLst>
            <c:ext xmlns:c16="http://schemas.microsoft.com/office/drawing/2014/chart" uri="{C3380CC4-5D6E-409C-BE32-E72D297353CC}">
              <c16:uniqueId val="{00000001-D000-45CA-85FB-7497F2E804BC}"/>
            </c:ext>
          </c:extLst>
        </c:ser>
        <c:ser>
          <c:idx val="0"/>
          <c:order val="2"/>
          <c:tx>
            <c:strRef>
              <c:f>'Fig19,22-27'!$A$122</c:f>
              <c:strCache>
                <c:ptCount val="1"/>
                <c:pt idx="0">
                  <c:v>Capital spending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'Fig19,22-27'!$B$121:$G$121</c:f>
              <c:numCache>
                <c:formatCode>General</c:formatCode>
                <c:ptCount val="6"/>
                <c:pt idx="0">
                  <c:v>2010</c:v>
                </c:pt>
                <c:pt idx="1">
                  <c:v>2011</c:v>
                </c:pt>
                <c:pt idx="2">
                  <c:v>2012</c:v>
                </c:pt>
                <c:pt idx="3">
                  <c:v>2013</c:v>
                </c:pt>
                <c:pt idx="4">
                  <c:v>2014</c:v>
                </c:pt>
                <c:pt idx="5">
                  <c:v>2015</c:v>
                </c:pt>
              </c:numCache>
            </c:numRef>
          </c:cat>
          <c:val>
            <c:numRef>
              <c:f>'Fig19,22-27'!$B$122:$G$122</c:f>
              <c:numCache>
                <c:formatCode>0.0%</c:formatCode>
                <c:ptCount val="6"/>
                <c:pt idx="0">
                  <c:v>9.8960247366657067E-2</c:v>
                </c:pt>
                <c:pt idx="1">
                  <c:v>8.1663658695292921E-2</c:v>
                </c:pt>
                <c:pt idx="2">
                  <c:v>6.0880904029426135E-2</c:v>
                </c:pt>
                <c:pt idx="3">
                  <c:v>6.3478827463811976E-2</c:v>
                </c:pt>
                <c:pt idx="4">
                  <c:v>7.5243591497248671E-2</c:v>
                </c:pt>
                <c:pt idx="5">
                  <c:v>7.4421072492850321E-2</c:v>
                </c:pt>
              </c:numCache>
            </c:numRef>
          </c:val>
          <c:smooth val="0"/>
          <c:extLst>
            <c:ext xmlns:c16="http://schemas.microsoft.com/office/drawing/2014/chart" uri="{C3380CC4-5D6E-409C-BE32-E72D297353CC}">
              <c16:uniqueId val="{00000002-D000-45CA-85FB-7497F2E804BC}"/>
            </c:ext>
          </c:extLst>
        </c:ser>
        <c:dLbls>
          <c:showLegendKey val="0"/>
          <c:showVal val="0"/>
          <c:showCatName val="0"/>
          <c:showSerName val="0"/>
          <c:showPercent val="0"/>
          <c:showBubbleSize val="0"/>
        </c:dLbls>
        <c:marker val="1"/>
        <c:smooth val="0"/>
        <c:axId val="739476360"/>
        <c:axId val="739476752"/>
      </c:lineChart>
      <c:catAx>
        <c:axId val="739476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39476752"/>
        <c:crosses val="autoZero"/>
        <c:auto val="1"/>
        <c:lblAlgn val="ctr"/>
        <c:lblOffset val="100"/>
        <c:noMultiLvlLbl val="0"/>
      </c:catAx>
      <c:valAx>
        <c:axId val="73947675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39476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MoHERST</a:t>
            </a:r>
          </a:p>
        </c:rich>
      </c:tx>
      <c:layout>
        <c:manualLayout>
          <c:xMode val="edge"/>
          <c:yMode val="edge"/>
          <c:x val="0.2786456692913386"/>
          <c:y val="4.6296296296296294E-2"/>
        </c:manualLayout>
      </c:layout>
      <c:overlay val="1"/>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'Fig19,22-27'!$A$141</c:f>
              <c:strCache>
                <c:ptCount val="1"/>
                <c:pt idx="0">
                  <c:v>Capital spending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'Fig19,22-27'!$B$140:$G$140</c:f>
              <c:numCache>
                <c:formatCode>General</c:formatCode>
                <c:ptCount val="6"/>
                <c:pt idx="0">
                  <c:v>2010</c:v>
                </c:pt>
                <c:pt idx="1">
                  <c:v>2011</c:v>
                </c:pt>
                <c:pt idx="2">
                  <c:v>2012</c:v>
                </c:pt>
                <c:pt idx="3">
                  <c:v>2013</c:v>
                </c:pt>
                <c:pt idx="4">
                  <c:v>2014</c:v>
                </c:pt>
                <c:pt idx="5">
                  <c:v>2015</c:v>
                </c:pt>
              </c:numCache>
            </c:numRef>
          </c:cat>
          <c:val>
            <c:numRef>
              <c:f>'Fig19,22-27'!$B$141:$G$141</c:f>
              <c:numCache>
                <c:formatCode>0.0%</c:formatCode>
                <c:ptCount val="6"/>
                <c:pt idx="0">
                  <c:v>0.14094828854164332</c:v>
                </c:pt>
                <c:pt idx="1">
                  <c:v>0.12653815814911348</c:v>
                </c:pt>
                <c:pt idx="2">
                  <c:v>0.15949728294775598</c:v>
                </c:pt>
                <c:pt idx="3">
                  <c:v>0.16416381197512045</c:v>
                </c:pt>
                <c:pt idx="4">
                  <c:v>0.2064162295766177</c:v>
                </c:pt>
                <c:pt idx="5">
                  <c:v>9.9755896324135881E-2</c:v>
                </c:pt>
              </c:numCache>
            </c:numRef>
          </c:val>
          <c:smooth val="0"/>
          <c:extLst>
            <c:ext xmlns:c16="http://schemas.microsoft.com/office/drawing/2014/chart" uri="{C3380CC4-5D6E-409C-BE32-E72D297353CC}">
              <c16:uniqueId val="{00000000-AB09-4922-9E94-C70EC1610B13}"/>
            </c:ext>
          </c:extLst>
        </c:ser>
        <c:ser>
          <c:idx val="1"/>
          <c:order val="1"/>
          <c:tx>
            <c:strRef>
              <c:f>'Fig19,22-27'!$A$142</c:f>
              <c:strCache>
                <c:ptCount val="1"/>
                <c:pt idx="0">
                  <c:v>Personnel recurrent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'Fig19,22-27'!$B$140:$G$140</c:f>
              <c:numCache>
                <c:formatCode>General</c:formatCode>
                <c:ptCount val="6"/>
                <c:pt idx="0">
                  <c:v>2010</c:v>
                </c:pt>
                <c:pt idx="1">
                  <c:v>2011</c:v>
                </c:pt>
                <c:pt idx="2">
                  <c:v>2012</c:v>
                </c:pt>
                <c:pt idx="3">
                  <c:v>2013</c:v>
                </c:pt>
                <c:pt idx="4">
                  <c:v>2014</c:v>
                </c:pt>
                <c:pt idx="5">
                  <c:v>2015</c:v>
                </c:pt>
              </c:numCache>
            </c:numRef>
          </c:cat>
          <c:val>
            <c:numRef>
              <c:f>'Fig19,22-27'!$B$142:$G$142</c:f>
              <c:numCache>
                <c:formatCode>0.0%</c:formatCode>
                <c:ptCount val="6"/>
                <c:pt idx="0">
                  <c:v>0.41903780499279542</c:v>
                </c:pt>
                <c:pt idx="1">
                  <c:v>0.41418357053330773</c:v>
                </c:pt>
                <c:pt idx="2">
                  <c:v>0.3886469436690651</c:v>
                </c:pt>
                <c:pt idx="3">
                  <c:v>0.40605988436700918</c:v>
                </c:pt>
                <c:pt idx="4">
                  <c:v>0.20934405576097145</c:v>
                </c:pt>
                <c:pt idx="5">
                  <c:v>0.25694781597989153</c:v>
                </c:pt>
              </c:numCache>
            </c:numRef>
          </c:val>
          <c:smooth val="0"/>
          <c:extLst>
            <c:ext xmlns:c16="http://schemas.microsoft.com/office/drawing/2014/chart" uri="{C3380CC4-5D6E-409C-BE32-E72D297353CC}">
              <c16:uniqueId val="{00000001-AB09-4922-9E94-C70EC1610B13}"/>
            </c:ext>
          </c:extLst>
        </c:ser>
        <c:ser>
          <c:idx val="2"/>
          <c:order val="2"/>
          <c:tx>
            <c:strRef>
              <c:f>'Fig19,22-27'!$A$143</c:f>
              <c:strCache>
                <c:ptCount val="1"/>
                <c:pt idx="0">
                  <c:v>Non-salary recurrent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'Fig19,22-27'!$B$140:$G$140</c:f>
              <c:numCache>
                <c:formatCode>General</c:formatCode>
                <c:ptCount val="6"/>
                <c:pt idx="0">
                  <c:v>2010</c:v>
                </c:pt>
                <c:pt idx="1">
                  <c:v>2011</c:v>
                </c:pt>
                <c:pt idx="2">
                  <c:v>2012</c:v>
                </c:pt>
                <c:pt idx="3">
                  <c:v>2013</c:v>
                </c:pt>
                <c:pt idx="4">
                  <c:v>2014</c:v>
                </c:pt>
                <c:pt idx="5">
                  <c:v>2015</c:v>
                </c:pt>
              </c:numCache>
            </c:numRef>
          </c:cat>
          <c:val>
            <c:numRef>
              <c:f>'Fig19,22-27'!$B$143:$G$143</c:f>
              <c:numCache>
                <c:formatCode>0.0%</c:formatCode>
                <c:ptCount val="6"/>
                <c:pt idx="0">
                  <c:v>0.44001390646556121</c:v>
                </c:pt>
                <c:pt idx="1">
                  <c:v>0.45927827131757876</c:v>
                </c:pt>
                <c:pt idx="2">
                  <c:v>0.45185577338317889</c:v>
                </c:pt>
                <c:pt idx="3">
                  <c:v>0.42977630365787028</c:v>
                </c:pt>
                <c:pt idx="4">
                  <c:v>0.58423971466241087</c:v>
                </c:pt>
                <c:pt idx="5">
                  <c:v>0.64329628769597258</c:v>
                </c:pt>
              </c:numCache>
            </c:numRef>
          </c:val>
          <c:smooth val="0"/>
          <c:extLst>
            <c:ext xmlns:c16="http://schemas.microsoft.com/office/drawing/2014/chart" uri="{C3380CC4-5D6E-409C-BE32-E72D297353CC}">
              <c16:uniqueId val="{00000002-AB09-4922-9E94-C70EC1610B13}"/>
            </c:ext>
          </c:extLst>
        </c:ser>
        <c:dLbls>
          <c:showLegendKey val="0"/>
          <c:showVal val="0"/>
          <c:showCatName val="0"/>
          <c:showSerName val="0"/>
          <c:showPercent val="0"/>
          <c:showBubbleSize val="0"/>
        </c:dLbls>
        <c:marker val="1"/>
        <c:smooth val="0"/>
        <c:axId val="739477536"/>
        <c:axId val="739477928"/>
      </c:lineChart>
      <c:catAx>
        <c:axId val="739477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39477928"/>
        <c:crosses val="autoZero"/>
        <c:auto val="1"/>
        <c:lblAlgn val="ctr"/>
        <c:lblOffset val="100"/>
        <c:noMultiLvlLbl val="0"/>
      </c:catAx>
      <c:valAx>
        <c:axId val="73947792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39477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391891474742689E-2"/>
          <c:y val="0.30662020905923343"/>
          <c:w val="0.89703030468661005"/>
          <c:h val="0.58560618947021859"/>
        </c:manualLayout>
      </c:layout>
      <c:lineChart>
        <c:grouping val="standard"/>
        <c:varyColors val="0"/>
        <c:ser>
          <c:idx val="0"/>
          <c:order val="0"/>
          <c:tx>
            <c:strRef>
              <c:f>'Fig 27  '!$K$3</c:f>
              <c:strCache>
                <c:ptCount val="1"/>
                <c:pt idx="0">
                  <c:v>Share of allocation to regional levels-total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'Fig 27  '!$L$2:$Q$2</c:f>
              <c:numCache>
                <c:formatCode>General</c:formatCode>
                <c:ptCount val="6"/>
                <c:pt idx="0">
                  <c:v>2010</c:v>
                </c:pt>
                <c:pt idx="1">
                  <c:v>2011</c:v>
                </c:pt>
                <c:pt idx="2">
                  <c:v>2012</c:v>
                </c:pt>
                <c:pt idx="3">
                  <c:v>2013</c:v>
                </c:pt>
                <c:pt idx="4">
                  <c:v>2014</c:v>
                </c:pt>
                <c:pt idx="5">
                  <c:v>2015</c:v>
                </c:pt>
              </c:numCache>
            </c:numRef>
          </c:cat>
          <c:val>
            <c:numRef>
              <c:f>'Fig 27  '!$L$3:$Q$3</c:f>
              <c:numCache>
                <c:formatCode>0%</c:formatCode>
                <c:ptCount val="6"/>
                <c:pt idx="0">
                  <c:v>0.87798694299422575</c:v>
                </c:pt>
                <c:pt idx="1">
                  <c:v>0.88480478595956813</c:v>
                </c:pt>
                <c:pt idx="2">
                  <c:v>0.88369339616651044</c:v>
                </c:pt>
                <c:pt idx="3">
                  <c:v>0.87914056981664246</c:v>
                </c:pt>
                <c:pt idx="4">
                  <c:v>0.88100162056212461</c:v>
                </c:pt>
                <c:pt idx="5">
                  <c:v>0.87481732409296054</c:v>
                </c:pt>
              </c:numCache>
            </c:numRef>
          </c:val>
          <c:smooth val="0"/>
          <c:extLst>
            <c:ext xmlns:c16="http://schemas.microsoft.com/office/drawing/2014/chart" uri="{C3380CC4-5D6E-409C-BE32-E72D297353CC}">
              <c16:uniqueId val="{00000000-BE09-4228-B074-8431AC2AA4F8}"/>
            </c:ext>
          </c:extLst>
        </c:ser>
        <c:ser>
          <c:idx val="1"/>
          <c:order val="1"/>
          <c:tx>
            <c:strRef>
              <c:f>'Fig 27  '!$K$4</c:f>
              <c:strCache>
                <c:ptCount val="1"/>
                <c:pt idx="0">
                  <c:v>Share of allocation to regional levels-non-salary recurrent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'Fig 27  '!$L$2:$Q$2</c:f>
              <c:numCache>
                <c:formatCode>General</c:formatCode>
                <c:ptCount val="6"/>
                <c:pt idx="0">
                  <c:v>2010</c:v>
                </c:pt>
                <c:pt idx="1">
                  <c:v>2011</c:v>
                </c:pt>
                <c:pt idx="2">
                  <c:v>2012</c:v>
                </c:pt>
                <c:pt idx="3">
                  <c:v>2013</c:v>
                </c:pt>
                <c:pt idx="4">
                  <c:v>2014</c:v>
                </c:pt>
                <c:pt idx="5">
                  <c:v>2015</c:v>
                </c:pt>
              </c:numCache>
            </c:numRef>
          </c:cat>
          <c:val>
            <c:numRef>
              <c:f>'Fig 27  '!$L$4:$Q$4</c:f>
              <c:numCache>
                <c:formatCode>0%</c:formatCode>
                <c:ptCount val="6"/>
                <c:pt idx="0">
                  <c:v>0.29111355478808415</c:v>
                </c:pt>
                <c:pt idx="1">
                  <c:v>0.24134638989662038</c:v>
                </c:pt>
                <c:pt idx="2">
                  <c:v>0.31211768353009395</c:v>
                </c:pt>
                <c:pt idx="3">
                  <c:v>0.47741799730487783</c:v>
                </c:pt>
                <c:pt idx="4">
                  <c:v>0.49027672675099088</c:v>
                </c:pt>
                <c:pt idx="5">
                  <c:v>0.58958750803433024</c:v>
                </c:pt>
              </c:numCache>
            </c:numRef>
          </c:val>
          <c:smooth val="0"/>
          <c:extLst>
            <c:ext xmlns:c16="http://schemas.microsoft.com/office/drawing/2014/chart" uri="{C3380CC4-5D6E-409C-BE32-E72D297353CC}">
              <c16:uniqueId val="{00000001-BE09-4228-B074-8431AC2AA4F8}"/>
            </c:ext>
          </c:extLst>
        </c:ser>
        <c:ser>
          <c:idx val="2"/>
          <c:order val="2"/>
          <c:tx>
            <c:strRef>
              <c:f>'Fig 27  '!$K$5</c:f>
              <c:strCache>
                <c:ptCount val="1"/>
                <c:pt idx="0">
                  <c:v>Share of allocation to regional levels-salaries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'Fig 27  '!$L$2:$Q$2</c:f>
              <c:numCache>
                <c:formatCode>General</c:formatCode>
                <c:ptCount val="6"/>
                <c:pt idx="0">
                  <c:v>2010</c:v>
                </c:pt>
                <c:pt idx="1">
                  <c:v>2011</c:v>
                </c:pt>
                <c:pt idx="2">
                  <c:v>2012</c:v>
                </c:pt>
                <c:pt idx="3">
                  <c:v>2013</c:v>
                </c:pt>
                <c:pt idx="4">
                  <c:v>2014</c:v>
                </c:pt>
                <c:pt idx="5">
                  <c:v>2015</c:v>
                </c:pt>
              </c:numCache>
            </c:numRef>
          </c:cat>
          <c:val>
            <c:numRef>
              <c:f>'Fig 27  '!$L$5:$Q$5</c:f>
              <c:numCache>
                <c:formatCode>0%</c:formatCode>
                <c:ptCount val="6"/>
                <c:pt idx="0">
                  <c:v>0.92919941089014868</c:v>
                </c:pt>
                <c:pt idx="1">
                  <c:v>0.92854054012709852</c:v>
                </c:pt>
                <c:pt idx="2">
                  <c:v>0.92625989821005184</c:v>
                </c:pt>
                <c:pt idx="3">
                  <c:v>0.92496816033902696</c:v>
                </c:pt>
                <c:pt idx="4">
                  <c:v>0.93476279507242754</c:v>
                </c:pt>
                <c:pt idx="5">
                  <c:v>0.93932206205860957</c:v>
                </c:pt>
              </c:numCache>
            </c:numRef>
          </c:val>
          <c:smooth val="0"/>
          <c:extLst>
            <c:ext xmlns:c16="http://schemas.microsoft.com/office/drawing/2014/chart" uri="{C3380CC4-5D6E-409C-BE32-E72D297353CC}">
              <c16:uniqueId val="{00000002-BE09-4228-B074-8431AC2AA4F8}"/>
            </c:ext>
          </c:extLst>
        </c:ser>
        <c:ser>
          <c:idx val="3"/>
          <c:order val="3"/>
          <c:tx>
            <c:strRef>
              <c:f>'Fig 27  '!$K$6</c:f>
              <c:strCache>
                <c:ptCount val="1"/>
                <c:pt idx="0">
                  <c:v>Share of non-salary central</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'Fig 27  '!$L$2:$Q$2</c:f>
              <c:numCache>
                <c:formatCode>General</c:formatCode>
                <c:ptCount val="6"/>
                <c:pt idx="0">
                  <c:v>2010</c:v>
                </c:pt>
                <c:pt idx="1">
                  <c:v>2011</c:v>
                </c:pt>
                <c:pt idx="2">
                  <c:v>2012</c:v>
                </c:pt>
                <c:pt idx="3">
                  <c:v>2013</c:v>
                </c:pt>
                <c:pt idx="4">
                  <c:v>2014</c:v>
                </c:pt>
                <c:pt idx="5">
                  <c:v>2015</c:v>
                </c:pt>
              </c:numCache>
            </c:numRef>
          </c:cat>
          <c:val>
            <c:numRef>
              <c:f>'Fig 27  '!$L$6:$Q$6</c:f>
              <c:numCache>
                <c:formatCode>0%</c:formatCode>
                <c:ptCount val="6"/>
                <c:pt idx="0">
                  <c:v>0.46630164806403129</c:v>
                </c:pt>
                <c:pt idx="1">
                  <c:v>0.41914690015530598</c:v>
                </c:pt>
                <c:pt idx="2">
                  <c:v>0.40992913184475754</c:v>
                </c:pt>
                <c:pt idx="3">
                  <c:v>0.44275065343688003</c:v>
                </c:pt>
                <c:pt idx="4">
                  <c:v>0.51808857004137798</c:v>
                </c:pt>
                <c:pt idx="5">
                  <c:v>0.60468530242282759</c:v>
                </c:pt>
              </c:numCache>
            </c:numRef>
          </c:val>
          <c:smooth val="0"/>
          <c:extLst xmlns:c15="http://schemas.microsoft.com/office/drawing/2012/chart">
            <c:ext xmlns:c16="http://schemas.microsoft.com/office/drawing/2014/chart" uri="{C3380CC4-5D6E-409C-BE32-E72D297353CC}">
              <c16:uniqueId val="{00000003-BE09-4228-B074-8431AC2AA4F8}"/>
            </c:ext>
          </c:extLst>
        </c:ser>
        <c:ser>
          <c:idx val="4"/>
          <c:order val="4"/>
          <c:tx>
            <c:strRef>
              <c:f>'Fig 27  '!$K$7</c:f>
              <c:strCache>
                <c:ptCount val="1"/>
                <c:pt idx="0">
                  <c:v>Share of non-salary regional</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'Fig 27  '!$L$2:$Q$2</c:f>
              <c:numCache>
                <c:formatCode>General</c:formatCode>
                <c:ptCount val="6"/>
                <c:pt idx="0">
                  <c:v>2010</c:v>
                </c:pt>
                <c:pt idx="1">
                  <c:v>2011</c:v>
                </c:pt>
                <c:pt idx="2">
                  <c:v>2012</c:v>
                </c:pt>
                <c:pt idx="3">
                  <c:v>2013</c:v>
                </c:pt>
                <c:pt idx="4">
                  <c:v>2014</c:v>
                </c:pt>
                <c:pt idx="5">
                  <c:v>2015</c:v>
                </c:pt>
              </c:numCache>
            </c:numRef>
          </c:cat>
          <c:val>
            <c:numRef>
              <c:f>'Fig 27  '!$L$7:$Q$7</c:f>
              <c:numCache>
                <c:formatCode>0%</c:formatCode>
                <c:ptCount val="6"/>
                <c:pt idx="0">
                  <c:v>2.6611598150818604E-2</c:v>
                </c:pt>
                <c:pt idx="1">
                  <c:v>1.7360031535035663E-2</c:v>
                </c:pt>
                <c:pt idx="2">
                  <c:v>2.4480245997995993E-2</c:v>
                </c:pt>
                <c:pt idx="3">
                  <c:v>5.5606526696987957E-2</c:v>
                </c:pt>
                <c:pt idx="4">
                  <c:v>6.7309314174865478E-2</c:v>
                </c:pt>
                <c:pt idx="5">
                  <c:v>0.12430367561799611</c:v>
                </c:pt>
              </c:numCache>
            </c:numRef>
          </c:val>
          <c:smooth val="0"/>
          <c:extLst>
            <c:ext xmlns:c16="http://schemas.microsoft.com/office/drawing/2014/chart" uri="{C3380CC4-5D6E-409C-BE32-E72D297353CC}">
              <c16:uniqueId val="{00000004-BE09-4228-B074-8431AC2AA4F8}"/>
            </c:ext>
          </c:extLst>
        </c:ser>
        <c:dLbls>
          <c:showLegendKey val="0"/>
          <c:showVal val="0"/>
          <c:showCatName val="0"/>
          <c:showSerName val="0"/>
          <c:showPercent val="0"/>
          <c:showBubbleSize val="0"/>
        </c:dLbls>
        <c:marker val="1"/>
        <c:smooth val="0"/>
        <c:axId val="208717631"/>
        <c:axId val="208715967"/>
        <c:extLst>
          <c:ext xmlns:c15="http://schemas.microsoft.com/office/drawing/2012/chart" uri="{02D57815-91ED-43cb-92C2-25804820EDAC}">
            <c15:filteredLineSeries>
              <c15:ser>
                <c:idx val="5"/>
                <c:order val="5"/>
                <c:tx>
                  <c:strRef>
                    <c:extLst>
                      <c:ext uri="{02D57815-91ED-43cb-92C2-25804820EDAC}">
                        <c15:formulaRef>
                          <c15:sqref>'Fig 27  '!$K$8</c15:sqref>
                        </c15:formulaRef>
                      </c:ext>
                    </c:extLst>
                    <c:strCache>
                      <c:ptCount val="1"/>
                      <c:pt idx="0">
                        <c:v>Share of budget allocted to central</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extLst>
                      <c:ext uri="{02D57815-91ED-43cb-92C2-25804820EDAC}">
                        <c15:formulaRef>
                          <c15:sqref>'Fig 27  '!$L$2:$Q$2</c15:sqref>
                        </c15:formulaRef>
                      </c:ext>
                    </c:extLst>
                    <c:numCache>
                      <c:formatCode>General</c:formatCode>
                      <c:ptCount val="6"/>
                      <c:pt idx="0">
                        <c:v>2010</c:v>
                      </c:pt>
                      <c:pt idx="1">
                        <c:v>2011</c:v>
                      </c:pt>
                      <c:pt idx="2">
                        <c:v>2012</c:v>
                      </c:pt>
                      <c:pt idx="3">
                        <c:v>2013</c:v>
                      </c:pt>
                      <c:pt idx="4">
                        <c:v>2014</c:v>
                      </c:pt>
                      <c:pt idx="5">
                        <c:v>2015</c:v>
                      </c:pt>
                    </c:numCache>
                  </c:numRef>
                </c:cat>
                <c:val>
                  <c:numRef>
                    <c:extLst>
                      <c:ext uri="{02D57815-91ED-43cb-92C2-25804820EDAC}">
                        <c15:formulaRef>
                          <c15:sqref>'Fig 27  '!$L$8:$Q$8</c15:sqref>
                        </c15:formulaRef>
                      </c:ext>
                    </c:extLst>
                    <c:numCache>
                      <c:formatCode>0%</c:formatCode>
                      <c:ptCount val="6"/>
                      <c:pt idx="0">
                        <c:v>0.12201305700577431</c:v>
                      </c:pt>
                      <c:pt idx="1">
                        <c:v>0.11519521404043193</c:v>
                      </c:pt>
                      <c:pt idx="2">
                        <c:v>0.11630660383348955</c:v>
                      </c:pt>
                      <c:pt idx="3">
                        <c:v>0.12085943018335757</c:v>
                      </c:pt>
                      <c:pt idx="4">
                        <c:v>0.11899837943787533</c:v>
                      </c:pt>
                      <c:pt idx="5">
                        <c:v>0.12518267590703946</c:v>
                      </c:pt>
                    </c:numCache>
                  </c:numRef>
                </c:val>
                <c:smooth val="0"/>
                <c:extLst>
                  <c:ext xmlns:c16="http://schemas.microsoft.com/office/drawing/2014/chart" uri="{C3380CC4-5D6E-409C-BE32-E72D297353CC}">
                    <c16:uniqueId val="{00000005-BE09-4228-B074-8431AC2AA4F8}"/>
                  </c:ext>
                </c:extLst>
              </c15:ser>
            </c15:filteredLineSeries>
          </c:ext>
        </c:extLst>
      </c:lineChart>
      <c:catAx>
        <c:axId val="208717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08715967"/>
        <c:crosses val="autoZero"/>
        <c:auto val="1"/>
        <c:lblAlgn val="ctr"/>
        <c:lblOffset val="100"/>
        <c:noMultiLvlLbl val="0"/>
      </c:catAx>
      <c:valAx>
        <c:axId val="2087159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08717631"/>
        <c:crosses val="autoZero"/>
        <c:crossBetween val="between"/>
      </c:valAx>
      <c:spPr>
        <a:noFill/>
        <a:ln>
          <a:noFill/>
        </a:ln>
        <a:effectLst/>
      </c:spPr>
    </c:plotArea>
    <c:legend>
      <c:legendPos val="r"/>
      <c:layout>
        <c:manualLayout>
          <c:xMode val="edge"/>
          <c:yMode val="edge"/>
          <c:x val="3.7721163814281616E-2"/>
          <c:y val="1.1585137223700732E-3"/>
          <c:w val="0.93664500274508267"/>
          <c:h val="0.2463799299829028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550365193114911"/>
          <c:y val="3.0877192982456142E-2"/>
          <c:w val="0.45009564815634001"/>
          <c:h val="0.9040048625500759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Sheet2!$O$32:$P$52</c:f>
              <c:multiLvlStrCache>
                <c:ptCount val="21"/>
                <c:lvl>
                  <c:pt idx="0">
                    <c:v>Contribution to West African Exam. Counc</c:v>
                  </c:pt>
                  <c:pt idx="1">
                    <c:v>Utilities - Electricity</c:v>
                  </c:pt>
                  <c:pt idx="2">
                    <c:v>Food and food services</c:v>
                  </c:pt>
                  <c:pt idx="3">
                    <c:v>Telecommunication expenses (Including po</c:v>
                  </c:pt>
                  <c:pt idx="4">
                    <c:v>Purchase of fuel &amp; lubricants</c:v>
                  </c:pt>
                  <c:pt idx="5">
                    <c:v>Training (local)</c:v>
                  </c:pt>
                  <c:pt idx="6">
                    <c:v>Rents &amp; Rates</c:v>
                  </c:pt>
                  <c:pt idx="7">
                    <c:v>Local travelling expenses</c:v>
                  </c:pt>
                  <c:pt idx="8">
                    <c:v>Subvention - Gambia National UNESCO Comm</c:v>
                  </c:pt>
                  <c:pt idx="9">
                    <c:v>Overseas travelling fares</c:v>
                  </c:pt>
                  <c:pt idx="11">
                    <c:v>Contribution to International org - Rec</c:v>
                  </c:pt>
                  <c:pt idx="12">
                    <c:v>Contributions To Other Gen Gvt Units - Current</c:v>
                  </c:pt>
                  <c:pt idx="13">
                    <c:v>Subve To Non-Fin Public Corp./Instit? OC</c:v>
                  </c:pt>
                  <c:pt idx="14">
                    <c:v>Strengthening Mgt&amp; Instit. capacity</c:v>
                  </c:pt>
                  <c:pt idx="15">
                    <c:v>Electricity ,Water &amp; Sewage</c:v>
                  </c:pt>
                  <c:pt idx="16">
                    <c:v>Purchase of fuel &amp; lubricants</c:v>
                  </c:pt>
                  <c:pt idx="17">
                    <c:v>Travel Expenses</c:v>
                  </c:pt>
                  <c:pt idx="18">
                    <c:v>Maintenance of buildings &amp; facilities</c:v>
                  </c:pt>
                  <c:pt idx="19">
                    <c:v>Motor Vehicles</c:v>
                  </c:pt>
                  <c:pt idx="20">
                    <c:v>Travel Expenses</c:v>
                  </c:pt>
                </c:lvl>
                <c:lvl>
                  <c:pt idx="0">
                    <c:v>2013</c:v>
                  </c:pt>
                  <c:pt idx="11">
                    <c:v>2015</c:v>
                  </c:pt>
                </c:lvl>
              </c:multiLvlStrCache>
            </c:multiLvlStrRef>
          </c:cat>
          <c:val>
            <c:numRef>
              <c:f>Sheet2!$Q$32:$Q$52</c:f>
              <c:numCache>
                <c:formatCode>0%</c:formatCode>
                <c:ptCount val="21"/>
                <c:pt idx="0">
                  <c:v>0.35382266468701201</c:v>
                </c:pt>
                <c:pt idx="1">
                  <c:v>8.3401056676224258E-2</c:v>
                </c:pt>
                <c:pt idx="2">
                  <c:v>7.5819142432931141E-2</c:v>
                </c:pt>
                <c:pt idx="3">
                  <c:v>5.3073399703051805E-2</c:v>
                </c:pt>
                <c:pt idx="4">
                  <c:v>5.0546094955287432E-2</c:v>
                </c:pt>
                <c:pt idx="5">
                  <c:v>5.0546094955287432E-2</c:v>
                </c:pt>
                <c:pt idx="6">
                  <c:v>4.9416642463511531E-2</c:v>
                </c:pt>
                <c:pt idx="7">
                  <c:v>3.2854961720936826E-2</c:v>
                </c:pt>
                <c:pt idx="8">
                  <c:v>3.1010029255068839E-2</c:v>
                </c:pt>
                <c:pt idx="9">
                  <c:v>3.0176018688306595E-2</c:v>
                </c:pt>
                <c:pt idx="11">
                  <c:v>0.26320984404816739</c:v>
                </c:pt>
                <c:pt idx="12">
                  <c:v>0.17108639863130881</c:v>
                </c:pt>
                <c:pt idx="13">
                  <c:v>7.8199644666710533E-2</c:v>
                </c:pt>
                <c:pt idx="14">
                  <c:v>6.68158189116273E-2</c:v>
                </c:pt>
                <c:pt idx="15">
                  <c:v>5.2641968809633483E-2</c:v>
                </c:pt>
                <c:pt idx="16">
                  <c:v>4.1889846680265845E-2</c:v>
                </c:pt>
                <c:pt idx="17">
                  <c:v>3.9481476607225112E-2</c:v>
                </c:pt>
                <c:pt idx="18">
                  <c:v>3.6191353556623021E-2</c:v>
                </c:pt>
                <c:pt idx="19">
                  <c:v>3.2901230506020923E-2</c:v>
                </c:pt>
                <c:pt idx="20">
                  <c:v>3.2901230506020923E-2</c:v>
                </c:pt>
              </c:numCache>
            </c:numRef>
          </c:val>
          <c:extLst>
            <c:ext xmlns:c16="http://schemas.microsoft.com/office/drawing/2014/chart" uri="{C3380CC4-5D6E-409C-BE32-E72D297353CC}">
              <c16:uniqueId val="{00000000-2712-4A52-9F7F-4E91DBF03304}"/>
            </c:ext>
          </c:extLst>
        </c:ser>
        <c:dLbls>
          <c:showLegendKey val="0"/>
          <c:showVal val="0"/>
          <c:showCatName val="0"/>
          <c:showSerName val="0"/>
          <c:showPercent val="0"/>
          <c:showBubbleSize val="0"/>
        </c:dLbls>
        <c:gapWidth val="182"/>
        <c:axId val="399826399"/>
        <c:axId val="399827647"/>
      </c:barChart>
      <c:catAx>
        <c:axId val="399826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399827647"/>
        <c:crosses val="autoZero"/>
        <c:auto val="1"/>
        <c:lblAlgn val="ctr"/>
        <c:lblOffset val="100"/>
        <c:noMultiLvlLbl val="0"/>
      </c:catAx>
      <c:valAx>
        <c:axId val="399827647"/>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3998263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67174867742513"/>
          <c:y val="6.4705882352941183E-2"/>
          <c:w val="0.80528678899533457"/>
          <c:h val="0.5899986104678091"/>
        </c:manualLayout>
      </c:layout>
      <c:lineChart>
        <c:grouping val="standard"/>
        <c:varyColors val="0"/>
        <c:ser>
          <c:idx val="0"/>
          <c:order val="0"/>
          <c:tx>
            <c:strRef>
              <c:f>'Fig19,22-27'!$B$76:$B$77</c:f>
              <c:strCache>
                <c:ptCount val="2"/>
                <c:pt idx="0">
                  <c:v>MoBSE</c:v>
                </c:pt>
                <c:pt idx="1">
                  <c:v>share of GDP</c:v>
                </c:pt>
              </c:strCache>
            </c:strRef>
          </c:tx>
          <c:spPr>
            <a:ln w="34925" cap="rnd">
              <a:solidFill>
                <a:schemeClr val="accent1"/>
              </a:solidFill>
              <a:prstDash val="sysDot"/>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'Fig19,22-27'!$A$78:$A$83</c:f>
              <c:numCache>
                <c:formatCode>General</c:formatCode>
                <c:ptCount val="6"/>
                <c:pt idx="0">
                  <c:v>2010</c:v>
                </c:pt>
                <c:pt idx="1">
                  <c:v>2011</c:v>
                </c:pt>
                <c:pt idx="2">
                  <c:v>2012</c:v>
                </c:pt>
                <c:pt idx="3">
                  <c:v>2013</c:v>
                </c:pt>
                <c:pt idx="4">
                  <c:v>2014</c:v>
                </c:pt>
                <c:pt idx="5">
                  <c:v>2015</c:v>
                </c:pt>
              </c:numCache>
            </c:numRef>
          </c:cat>
          <c:val>
            <c:numRef>
              <c:f>'Fig19,22-27'!$B$78:$B$83</c:f>
              <c:numCache>
                <c:formatCode>0.0%</c:formatCode>
                <c:ptCount val="6"/>
                <c:pt idx="0">
                  <c:v>2.3010416600167272E-2</c:v>
                </c:pt>
                <c:pt idx="1">
                  <c:v>2.4694816669455687E-2</c:v>
                </c:pt>
                <c:pt idx="2">
                  <c:v>2.3520046816425954E-2</c:v>
                </c:pt>
                <c:pt idx="3">
                  <c:v>2.4877660081884787E-2</c:v>
                </c:pt>
                <c:pt idx="4">
                  <c:v>2.6326887199952353E-2</c:v>
                </c:pt>
                <c:pt idx="5">
                  <c:v>2.8435307221415532E-2</c:v>
                </c:pt>
              </c:numCache>
            </c:numRef>
          </c:val>
          <c:smooth val="0"/>
          <c:extLst>
            <c:ext xmlns:c16="http://schemas.microsoft.com/office/drawing/2014/chart" uri="{C3380CC4-5D6E-409C-BE32-E72D297353CC}">
              <c16:uniqueId val="{00000000-94DF-4200-A88C-8F326DE537C6}"/>
            </c:ext>
          </c:extLst>
        </c:ser>
        <c:ser>
          <c:idx val="2"/>
          <c:order val="2"/>
          <c:tx>
            <c:strRef>
              <c:f>'Fig19,22-27'!$D$76:$D$77</c:f>
              <c:strCache>
                <c:ptCount val="2"/>
                <c:pt idx="0">
                  <c:v>MoHERST</c:v>
                </c:pt>
                <c:pt idx="1">
                  <c:v>share of GDP</c:v>
                </c:pt>
              </c:strCache>
            </c:strRef>
          </c:tx>
          <c:spPr>
            <a:ln w="34925" cap="rnd">
              <a:solidFill>
                <a:schemeClr val="accent3"/>
              </a:solidFill>
              <a:prstDash val="sysDot"/>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'Fig19,22-27'!$A$78:$A$83</c:f>
              <c:numCache>
                <c:formatCode>General</c:formatCode>
                <c:ptCount val="6"/>
                <c:pt idx="0">
                  <c:v>2010</c:v>
                </c:pt>
                <c:pt idx="1">
                  <c:v>2011</c:v>
                </c:pt>
                <c:pt idx="2">
                  <c:v>2012</c:v>
                </c:pt>
                <c:pt idx="3">
                  <c:v>2013</c:v>
                </c:pt>
                <c:pt idx="4">
                  <c:v>2014</c:v>
                </c:pt>
                <c:pt idx="5">
                  <c:v>2015</c:v>
                </c:pt>
              </c:numCache>
            </c:numRef>
          </c:cat>
          <c:val>
            <c:numRef>
              <c:f>'Fig19,22-27'!$D$78:$D$83</c:f>
              <c:numCache>
                <c:formatCode>0.0%</c:formatCode>
                <c:ptCount val="6"/>
                <c:pt idx="0">
                  <c:v>2.659276226616734E-3</c:v>
                </c:pt>
                <c:pt idx="1">
                  <c:v>2.9664151361524184E-3</c:v>
                </c:pt>
                <c:pt idx="2">
                  <c:v>2.8725538179333785E-3</c:v>
                </c:pt>
                <c:pt idx="3">
                  <c:v>2.5304819321949374E-3</c:v>
                </c:pt>
                <c:pt idx="4">
                  <c:v>4.7124572603375204E-3</c:v>
                </c:pt>
                <c:pt idx="5">
                  <c:v>3.466710627350517E-3</c:v>
                </c:pt>
              </c:numCache>
            </c:numRef>
          </c:val>
          <c:smooth val="0"/>
          <c:extLst>
            <c:ext xmlns:c16="http://schemas.microsoft.com/office/drawing/2014/chart" uri="{C3380CC4-5D6E-409C-BE32-E72D297353CC}">
              <c16:uniqueId val="{00000001-94DF-4200-A88C-8F326DE537C6}"/>
            </c:ext>
          </c:extLst>
        </c:ser>
        <c:ser>
          <c:idx val="4"/>
          <c:order val="4"/>
          <c:tx>
            <c:strRef>
              <c:f>'Fig19,22-27'!$F$76:$F$77</c:f>
              <c:strCache>
                <c:ptCount val="2"/>
                <c:pt idx="0">
                  <c:v>Total</c:v>
                </c:pt>
                <c:pt idx="1">
                  <c:v>share of GDP</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'Fig19,22-27'!$A$78:$A$83</c:f>
              <c:numCache>
                <c:formatCode>General</c:formatCode>
                <c:ptCount val="6"/>
                <c:pt idx="0">
                  <c:v>2010</c:v>
                </c:pt>
                <c:pt idx="1">
                  <c:v>2011</c:v>
                </c:pt>
                <c:pt idx="2">
                  <c:v>2012</c:v>
                </c:pt>
                <c:pt idx="3">
                  <c:v>2013</c:v>
                </c:pt>
                <c:pt idx="4">
                  <c:v>2014</c:v>
                </c:pt>
                <c:pt idx="5">
                  <c:v>2015</c:v>
                </c:pt>
              </c:numCache>
            </c:numRef>
          </c:cat>
          <c:val>
            <c:numRef>
              <c:f>'Fig19,22-27'!$F$78:$F$83</c:f>
              <c:numCache>
                <c:formatCode>0.0%</c:formatCode>
                <c:ptCount val="6"/>
                <c:pt idx="0">
                  <c:v>2.5669692826784007E-2</c:v>
                </c:pt>
                <c:pt idx="1">
                  <c:v>2.7661231805608106E-2</c:v>
                </c:pt>
                <c:pt idx="2">
                  <c:v>2.6392600634359335E-2</c:v>
                </c:pt>
                <c:pt idx="3">
                  <c:v>2.7408142014079723E-2</c:v>
                </c:pt>
                <c:pt idx="4">
                  <c:v>3.1039344460289879E-2</c:v>
                </c:pt>
                <c:pt idx="5">
                  <c:v>3.1902017848766055E-2</c:v>
                </c:pt>
              </c:numCache>
            </c:numRef>
          </c:val>
          <c:smooth val="0"/>
          <c:extLst>
            <c:ext xmlns:c16="http://schemas.microsoft.com/office/drawing/2014/chart" uri="{C3380CC4-5D6E-409C-BE32-E72D297353CC}">
              <c16:uniqueId val="{00000002-94DF-4200-A88C-8F326DE537C6}"/>
            </c:ext>
          </c:extLst>
        </c:ser>
        <c:dLbls>
          <c:showLegendKey val="0"/>
          <c:showVal val="0"/>
          <c:showCatName val="0"/>
          <c:showSerName val="0"/>
          <c:showPercent val="0"/>
          <c:showBubbleSize val="0"/>
        </c:dLbls>
        <c:marker val="1"/>
        <c:smooth val="0"/>
        <c:axId val="739471656"/>
        <c:axId val="739472048"/>
        <c:extLst>
          <c:ext xmlns:c15="http://schemas.microsoft.com/office/drawing/2012/chart" uri="{02D57815-91ED-43cb-92C2-25804820EDAC}">
            <c15:filteredLineSeries>
              <c15:ser>
                <c:idx val="1"/>
                <c:order val="1"/>
                <c:tx>
                  <c:strRef>
                    <c:extLst>
                      <c:ext uri="{02D57815-91ED-43cb-92C2-25804820EDAC}">
                        <c15:formulaRef>
                          <c15:sqref>'Fig19,22-27'!$C$76:$C$77</c15:sqref>
                        </c15:formulaRef>
                      </c:ext>
                    </c:extLst>
                    <c:strCache>
                      <c:ptCount val="2"/>
                      <c:pt idx="0">
                        <c:v>MoBSE</c:v>
                      </c:pt>
                      <c:pt idx="1">
                        <c:v>share of total budget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extLst>
                      <c:ext uri="{02D57815-91ED-43cb-92C2-25804820EDAC}">
                        <c15:formulaRef>
                          <c15:sqref>'Fig19,22-27'!$A$78:$A$83</c15:sqref>
                        </c15:formulaRef>
                      </c:ext>
                    </c:extLst>
                    <c:numCache>
                      <c:formatCode>General</c:formatCode>
                      <c:ptCount val="6"/>
                      <c:pt idx="0">
                        <c:v>2010</c:v>
                      </c:pt>
                      <c:pt idx="1">
                        <c:v>2011</c:v>
                      </c:pt>
                      <c:pt idx="2">
                        <c:v>2012</c:v>
                      </c:pt>
                      <c:pt idx="3">
                        <c:v>2013</c:v>
                      </c:pt>
                      <c:pt idx="4">
                        <c:v>2014</c:v>
                      </c:pt>
                      <c:pt idx="5">
                        <c:v>2015</c:v>
                      </c:pt>
                    </c:numCache>
                  </c:numRef>
                </c:cat>
                <c:val>
                  <c:numRef>
                    <c:extLst>
                      <c:ext uri="{02D57815-91ED-43cb-92C2-25804820EDAC}">
                        <c15:formulaRef>
                          <c15:sqref>'Fig19,22-27'!$C$78:$C$83</c15:sqref>
                        </c15:formulaRef>
                      </c:ext>
                    </c:extLst>
                    <c:numCache>
                      <c:formatCode>0.0%</c:formatCode>
                      <c:ptCount val="6"/>
                      <c:pt idx="0">
                        <c:v>0.16749938270821491</c:v>
                      </c:pt>
                      <c:pt idx="1">
                        <c:v>0.16865696114636503</c:v>
                      </c:pt>
                      <c:pt idx="2">
                        <c:v>0.15558327836384989</c:v>
                      </c:pt>
                      <c:pt idx="3">
                        <c:v>0.14580390991768108</c:v>
                      </c:pt>
                      <c:pt idx="4">
                        <c:v>0.14716795972181973</c:v>
                      </c:pt>
                      <c:pt idx="5">
                        <c:v>0.18174838977579835</c:v>
                      </c:pt>
                    </c:numCache>
                  </c:numRef>
                </c:val>
                <c:smooth val="0"/>
                <c:extLst>
                  <c:ext xmlns:c16="http://schemas.microsoft.com/office/drawing/2014/chart" uri="{C3380CC4-5D6E-409C-BE32-E72D297353CC}">
                    <c16:uniqueId val="{00000003-94DF-4200-A88C-8F326DE537C6}"/>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'Fig19,22-27'!$E$76:$E$77</c15:sqref>
                        </c15:formulaRef>
                      </c:ext>
                    </c:extLst>
                    <c:strCache>
                      <c:ptCount val="2"/>
                      <c:pt idx="0">
                        <c:v>MoHERST</c:v>
                      </c:pt>
                      <c:pt idx="1">
                        <c:v>share of total budget</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extLst xmlns:c15="http://schemas.microsoft.com/office/drawing/2012/chart">
                      <c:ext xmlns:c15="http://schemas.microsoft.com/office/drawing/2012/chart" uri="{02D57815-91ED-43cb-92C2-25804820EDAC}">
                        <c15:formulaRef>
                          <c15:sqref>'Fig19,22-27'!$A$78:$A$83</c15:sqref>
                        </c15:formulaRef>
                      </c:ext>
                    </c:extLst>
                    <c:numCache>
                      <c:formatCode>General</c:formatCode>
                      <c:ptCount val="6"/>
                      <c:pt idx="0">
                        <c:v>2010</c:v>
                      </c:pt>
                      <c:pt idx="1">
                        <c:v>2011</c:v>
                      </c:pt>
                      <c:pt idx="2">
                        <c:v>2012</c:v>
                      </c:pt>
                      <c:pt idx="3">
                        <c:v>2013</c:v>
                      </c:pt>
                      <c:pt idx="4">
                        <c:v>2014</c:v>
                      </c:pt>
                      <c:pt idx="5">
                        <c:v>2015</c:v>
                      </c:pt>
                    </c:numCache>
                  </c:numRef>
                </c:cat>
                <c:val>
                  <c:numRef>
                    <c:extLst xmlns:c15="http://schemas.microsoft.com/office/drawing/2012/chart">
                      <c:ext xmlns:c15="http://schemas.microsoft.com/office/drawing/2012/chart" uri="{02D57815-91ED-43cb-92C2-25804820EDAC}">
                        <c15:formulaRef>
                          <c15:sqref>'Fig19,22-27'!$E$78:$E$83</c15:sqref>
                        </c15:formulaRef>
                      </c:ext>
                    </c:extLst>
                    <c:numCache>
                      <c:formatCode>0.0%</c:formatCode>
                      <c:ptCount val="6"/>
                      <c:pt idx="0">
                        <c:v>1.9357629813868557E-2</c:v>
                      </c:pt>
                      <c:pt idx="1">
                        <c:v>2.0259577912998334E-2</c:v>
                      </c:pt>
                      <c:pt idx="2">
                        <c:v>1.9001719841754191E-2</c:v>
                      </c:pt>
                      <c:pt idx="3">
                        <c:v>1.4830742058363128E-2</c:v>
                      </c:pt>
                      <c:pt idx="4">
                        <c:v>2.6342754272954998E-2</c:v>
                      </c:pt>
                      <c:pt idx="5">
                        <c:v>2.2157983714875398E-2</c:v>
                      </c:pt>
                    </c:numCache>
                  </c:numRef>
                </c:val>
                <c:smooth val="0"/>
                <c:extLst xmlns:c15="http://schemas.microsoft.com/office/drawing/2012/chart">
                  <c:ext xmlns:c16="http://schemas.microsoft.com/office/drawing/2014/chart" uri="{C3380CC4-5D6E-409C-BE32-E72D297353CC}">
                    <c16:uniqueId val="{00000004-94DF-4200-A88C-8F326DE537C6}"/>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'Fig19,22-27'!$G$76:$G$77</c15:sqref>
                        </c15:formulaRef>
                      </c:ext>
                    </c:extLst>
                    <c:strCache>
                      <c:ptCount val="2"/>
                      <c:pt idx="0">
                        <c:v>Total</c:v>
                      </c:pt>
                      <c:pt idx="1">
                        <c:v>share of total budget</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extLst xmlns:c15="http://schemas.microsoft.com/office/drawing/2012/chart">
                      <c:ext xmlns:c15="http://schemas.microsoft.com/office/drawing/2012/chart" uri="{02D57815-91ED-43cb-92C2-25804820EDAC}">
                        <c15:formulaRef>
                          <c15:sqref>'Fig19,22-27'!$A$78:$A$83</c15:sqref>
                        </c15:formulaRef>
                      </c:ext>
                    </c:extLst>
                    <c:numCache>
                      <c:formatCode>General</c:formatCode>
                      <c:ptCount val="6"/>
                      <c:pt idx="0">
                        <c:v>2010</c:v>
                      </c:pt>
                      <c:pt idx="1">
                        <c:v>2011</c:v>
                      </c:pt>
                      <c:pt idx="2">
                        <c:v>2012</c:v>
                      </c:pt>
                      <c:pt idx="3">
                        <c:v>2013</c:v>
                      </c:pt>
                      <c:pt idx="4">
                        <c:v>2014</c:v>
                      </c:pt>
                      <c:pt idx="5">
                        <c:v>2015</c:v>
                      </c:pt>
                    </c:numCache>
                  </c:numRef>
                </c:cat>
                <c:val>
                  <c:numRef>
                    <c:extLst xmlns:c15="http://schemas.microsoft.com/office/drawing/2012/chart">
                      <c:ext xmlns:c15="http://schemas.microsoft.com/office/drawing/2012/chart" uri="{02D57815-91ED-43cb-92C2-25804820EDAC}">
                        <c15:formulaRef>
                          <c15:sqref>'Fig19,22-27'!$G$78:$G$83</c15:sqref>
                        </c15:formulaRef>
                      </c:ext>
                    </c:extLst>
                    <c:numCache>
                      <c:formatCode>0.0%</c:formatCode>
                      <c:ptCount val="6"/>
                      <c:pt idx="0">
                        <c:v>0.18685701252208348</c:v>
                      </c:pt>
                      <c:pt idx="1">
                        <c:v>0.18891653905936337</c:v>
                      </c:pt>
                      <c:pt idx="2">
                        <c:v>0.17458499820560408</c:v>
                      </c:pt>
                      <c:pt idx="3">
                        <c:v>0.16063465197604421</c:v>
                      </c:pt>
                      <c:pt idx="4">
                        <c:v>0.17351071399477472</c:v>
                      </c:pt>
                      <c:pt idx="5">
                        <c:v>0.20390637349067375</c:v>
                      </c:pt>
                    </c:numCache>
                  </c:numRef>
                </c:val>
                <c:smooth val="0"/>
                <c:extLst xmlns:c15="http://schemas.microsoft.com/office/drawing/2012/chart">
                  <c:ext xmlns:c16="http://schemas.microsoft.com/office/drawing/2014/chart" uri="{C3380CC4-5D6E-409C-BE32-E72D297353CC}">
                    <c16:uniqueId val="{00000005-94DF-4200-A88C-8F326DE537C6}"/>
                  </c:ext>
                </c:extLst>
              </c15:ser>
            </c15:filteredLineSeries>
          </c:ext>
        </c:extLst>
      </c:lineChart>
      <c:catAx>
        <c:axId val="739471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9472048"/>
        <c:crosses val="autoZero"/>
        <c:auto val="1"/>
        <c:lblAlgn val="ctr"/>
        <c:lblOffset val="100"/>
        <c:noMultiLvlLbl val="0"/>
      </c:catAx>
      <c:valAx>
        <c:axId val="73947204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9471656"/>
        <c:crosses val="autoZero"/>
        <c:crossBetween val="between"/>
      </c:valAx>
      <c:spPr>
        <a:noFill/>
        <a:ln>
          <a:noFill/>
        </a:ln>
        <a:effectLst/>
      </c:spPr>
    </c:plotArea>
    <c:legend>
      <c:legendPos val="b"/>
      <c:layout>
        <c:manualLayout>
          <c:xMode val="edge"/>
          <c:yMode val="edge"/>
          <c:x val="5.4078655905862867E-2"/>
          <c:y val="0.74998842056507642"/>
          <c:w val="0.92305089148742725"/>
          <c:h val="0.2147174617878647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baseline="0">
                <a:solidFill>
                  <a:schemeClr val="tx2"/>
                </a:solidFill>
                <a:latin typeface="Sylfaen" panose="010A0502050306030303" pitchFamily="18" charset="0"/>
                <a:ea typeface="+mn-ea"/>
                <a:cs typeface="+mn-cs"/>
              </a:defRPr>
            </a:pPr>
            <a:r>
              <a:rPr lang="en-US"/>
              <a:t>Tertiary</a:t>
            </a:r>
          </a:p>
        </c:rich>
      </c:tx>
      <c:layout>
        <c:manualLayout>
          <c:xMode val="edge"/>
          <c:yMode val="edge"/>
          <c:x val="9.3736822884082655E-4"/>
          <c:y val="7.0154931919333982E-3"/>
        </c:manualLayout>
      </c:layout>
      <c:overlay val="0"/>
      <c:spPr>
        <a:noFill/>
        <a:ln>
          <a:noFill/>
        </a:ln>
        <a:effectLst/>
      </c:spPr>
      <c:txPr>
        <a:bodyPr rot="0" spcFirstLastPara="1" vertOverflow="ellipsis" vert="horz" wrap="square" anchor="ctr" anchorCtr="1"/>
        <a:lstStyle/>
        <a:p>
          <a:pPr>
            <a:defRPr sz="1080" b="1" i="0" u="none" strike="noStrike" kern="1200" baseline="0">
              <a:solidFill>
                <a:schemeClr val="tx2"/>
              </a:solidFill>
              <a:latin typeface="Sylfaen" panose="010A0502050306030303" pitchFamily="18" charset="0"/>
              <a:ea typeface="+mn-ea"/>
              <a:cs typeface="+mn-cs"/>
            </a:defRPr>
          </a:pPr>
          <a:endParaRPr lang="en-US"/>
        </a:p>
      </c:txPr>
    </c:title>
    <c:autoTitleDeleted val="0"/>
    <c:plotArea>
      <c:layout>
        <c:manualLayout>
          <c:layoutTarget val="inner"/>
          <c:xMode val="edge"/>
          <c:yMode val="edge"/>
          <c:x val="7.0150334292155794E-2"/>
          <c:y val="8.1987561600711772E-2"/>
          <c:w val="0.89878997253103221"/>
          <c:h val="0.82944063589951855"/>
        </c:manualLayout>
      </c:layout>
      <c:barChart>
        <c:barDir val="bar"/>
        <c:grouping val="clustered"/>
        <c:varyColors val="0"/>
        <c:ser>
          <c:idx val="0"/>
          <c:order val="0"/>
          <c:tx>
            <c:strRef>
              <c:f>'GER regional comp'!$B$41</c:f>
              <c:strCache>
                <c:ptCount val="1"/>
                <c:pt idx="0">
                  <c:v>Rural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comp'!$C$40:$D$40</c:f>
              <c:strCache>
                <c:ptCount val="2"/>
                <c:pt idx="0">
                  <c:v>SSA</c:v>
                </c:pt>
                <c:pt idx="1">
                  <c:v>Gambia</c:v>
                </c:pt>
              </c:strCache>
            </c:strRef>
          </c:cat>
          <c:val>
            <c:numRef>
              <c:f>'GER regional comp'!$C$41:$D$41</c:f>
              <c:numCache>
                <c:formatCode>0</c:formatCode>
                <c:ptCount val="2"/>
                <c:pt idx="0">
                  <c:v>3.41439</c:v>
                </c:pt>
                <c:pt idx="1">
                  <c:v>2.5823399999999999</c:v>
                </c:pt>
              </c:numCache>
            </c:numRef>
          </c:val>
          <c:extLst>
            <c:ext xmlns:c16="http://schemas.microsoft.com/office/drawing/2014/chart" uri="{C3380CC4-5D6E-409C-BE32-E72D297353CC}">
              <c16:uniqueId val="{00000000-9105-4BC2-9E28-1D8B44641BCA}"/>
            </c:ext>
          </c:extLst>
        </c:ser>
        <c:ser>
          <c:idx val="1"/>
          <c:order val="1"/>
          <c:tx>
            <c:strRef>
              <c:f>'GER regional comp'!$B$42</c:f>
              <c:strCache>
                <c:ptCount val="1"/>
                <c:pt idx="0">
                  <c:v>Poorest</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comp'!$C$40:$D$40</c:f>
              <c:strCache>
                <c:ptCount val="2"/>
                <c:pt idx="0">
                  <c:v>SSA</c:v>
                </c:pt>
                <c:pt idx="1">
                  <c:v>Gambia</c:v>
                </c:pt>
              </c:strCache>
            </c:strRef>
          </c:cat>
          <c:val>
            <c:numRef>
              <c:f>'GER regional comp'!$C$42:$D$42</c:f>
              <c:numCache>
                <c:formatCode>0</c:formatCode>
                <c:ptCount val="2"/>
                <c:pt idx="0">
                  <c:v>0.86795999999999995</c:v>
                </c:pt>
                <c:pt idx="1">
                  <c:v>2.83772</c:v>
                </c:pt>
              </c:numCache>
            </c:numRef>
          </c:val>
          <c:extLst>
            <c:ext xmlns:c16="http://schemas.microsoft.com/office/drawing/2014/chart" uri="{C3380CC4-5D6E-409C-BE32-E72D297353CC}">
              <c16:uniqueId val="{00000001-9105-4BC2-9E28-1D8B44641BCA}"/>
            </c:ext>
          </c:extLst>
        </c:ser>
        <c:ser>
          <c:idx val="2"/>
          <c:order val="2"/>
          <c:tx>
            <c:strRef>
              <c:f>'GER regional comp'!$B$43</c:f>
              <c:strCache>
                <c:ptCount val="1"/>
                <c:pt idx="0">
                  <c:v>Female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comp'!$C$40:$D$40</c:f>
              <c:strCache>
                <c:ptCount val="2"/>
                <c:pt idx="0">
                  <c:v>SSA</c:v>
                </c:pt>
                <c:pt idx="1">
                  <c:v>Gambia</c:v>
                </c:pt>
              </c:strCache>
            </c:strRef>
          </c:cat>
          <c:val>
            <c:numRef>
              <c:f>'GER regional comp'!$C$43:$D$43</c:f>
              <c:numCache>
                <c:formatCode>0</c:formatCode>
                <c:ptCount val="2"/>
                <c:pt idx="0">
                  <c:v>8.7167200000000005</c:v>
                </c:pt>
                <c:pt idx="1">
                  <c:v>5.4770799999999999</c:v>
                </c:pt>
              </c:numCache>
            </c:numRef>
          </c:val>
          <c:extLst>
            <c:ext xmlns:c16="http://schemas.microsoft.com/office/drawing/2014/chart" uri="{C3380CC4-5D6E-409C-BE32-E72D297353CC}">
              <c16:uniqueId val="{00000002-9105-4BC2-9E28-1D8B44641BCA}"/>
            </c:ext>
          </c:extLst>
        </c:ser>
        <c:ser>
          <c:idx val="3"/>
          <c:order val="3"/>
          <c:tx>
            <c:strRef>
              <c:f>'GER regional comp'!$B$44</c:f>
              <c:strCache>
                <c:ptCount val="1"/>
                <c:pt idx="0">
                  <c:v>Average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comp'!$C$40:$D$40</c:f>
              <c:strCache>
                <c:ptCount val="2"/>
                <c:pt idx="0">
                  <c:v>SSA</c:v>
                </c:pt>
                <c:pt idx="1">
                  <c:v>Gambia</c:v>
                </c:pt>
              </c:strCache>
            </c:strRef>
          </c:cat>
          <c:val>
            <c:numRef>
              <c:f>'GER regional comp'!$C$44:$D$44</c:f>
              <c:numCache>
                <c:formatCode>0</c:formatCode>
                <c:ptCount val="2"/>
                <c:pt idx="0">
                  <c:v>9.5760299999999994</c:v>
                </c:pt>
                <c:pt idx="1">
                  <c:v>6.517100000000001</c:v>
                </c:pt>
              </c:numCache>
            </c:numRef>
          </c:val>
          <c:extLst>
            <c:ext xmlns:c16="http://schemas.microsoft.com/office/drawing/2014/chart" uri="{C3380CC4-5D6E-409C-BE32-E72D297353CC}">
              <c16:uniqueId val="{00000003-9105-4BC2-9E28-1D8B44641BCA}"/>
            </c:ext>
          </c:extLst>
        </c:ser>
        <c:ser>
          <c:idx val="4"/>
          <c:order val="4"/>
          <c:tx>
            <c:strRef>
              <c:f>'GER regional comp'!$B$45</c:f>
              <c:strCache>
                <c:ptCount val="1"/>
                <c:pt idx="0">
                  <c:v>Male</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comp'!$C$40:$D$40</c:f>
              <c:strCache>
                <c:ptCount val="2"/>
                <c:pt idx="0">
                  <c:v>SSA</c:v>
                </c:pt>
                <c:pt idx="1">
                  <c:v>Gambia</c:v>
                </c:pt>
              </c:strCache>
            </c:strRef>
          </c:cat>
          <c:val>
            <c:numRef>
              <c:f>'GER regional comp'!$C$45:$D$45</c:f>
              <c:numCache>
                <c:formatCode>0</c:formatCode>
                <c:ptCount val="2"/>
                <c:pt idx="0">
                  <c:v>10.63034</c:v>
                </c:pt>
                <c:pt idx="1">
                  <c:v>7.8992099999999992</c:v>
                </c:pt>
              </c:numCache>
            </c:numRef>
          </c:val>
          <c:extLst>
            <c:ext xmlns:c16="http://schemas.microsoft.com/office/drawing/2014/chart" uri="{C3380CC4-5D6E-409C-BE32-E72D297353CC}">
              <c16:uniqueId val="{00000004-9105-4BC2-9E28-1D8B44641BCA}"/>
            </c:ext>
          </c:extLst>
        </c:ser>
        <c:ser>
          <c:idx val="5"/>
          <c:order val="5"/>
          <c:tx>
            <c:strRef>
              <c:f>'GER regional comp'!$B$46</c:f>
              <c:strCache>
                <c:ptCount val="1"/>
                <c:pt idx="0">
                  <c:v>Urban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comp'!$C$40:$D$40</c:f>
              <c:strCache>
                <c:ptCount val="2"/>
                <c:pt idx="0">
                  <c:v>SSA</c:v>
                </c:pt>
                <c:pt idx="1">
                  <c:v>Gambia</c:v>
                </c:pt>
              </c:strCache>
            </c:strRef>
          </c:cat>
          <c:val>
            <c:numRef>
              <c:f>'GER regional comp'!$C$46:$D$46</c:f>
              <c:numCache>
                <c:formatCode>0</c:formatCode>
                <c:ptCount val="2"/>
                <c:pt idx="0">
                  <c:v>16.198930000000001</c:v>
                </c:pt>
                <c:pt idx="1">
                  <c:v>8.8360199999999995</c:v>
                </c:pt>
              </c:numCache>
            </c:numRef>
          </c:val>
          <c:extLst>
            <c:ext xmlns:c16="http://schemas.microsoft.com/office/drawing/2014/chart" uri="{C3380CC4-5D6E-409C-BE32-E72D297353CC}">
              <c16:uniqueId val="{00000005-9105-4BC2-9E28-1D8B44641BCA}"/>
            </c:ext>
          </c:extLst>
        </c:ser>
        <c:ser>
          <c:idx val="6"/>
          <c:order val="6"/>
          <c:tx>
            <c:strRef>
              <c:f>'GER regional comp'!$B$47</c:f>
              <c:strCache>
                <c:ptCount val="1"/>
                <c:pt idx="0">
                  <c:v>Richest</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dLbls>
            <c:dLbl>
              <c:idx val="0"/>
              <c:layout>
                <c:manualLayout>
                  <c:x val="0"/>
                  <c:y val="-3.3479807491106926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5DEA-4236-937B-47A4A40CFC2F}"/>
                </c:ext>
              </c:extLst>
            </c:dLbl>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'GER regional comp'!$C$40:$D$40</c:f>
              <c:strCache>
                <c:ptCount val="2"/>
                <c:pt idx="0">
                  <c:v>SSA</c:v>
                </c:pt>
                <c:pt idx="1">
                  <c:v>Gambia</c:v>
                </c:pt>
              </c:strCache>
            </c:strRef>
          </c:cat>
          <c:val>
            <c:numRef>
              <c:f>'GER regional comp'!$C$47:$D$47</c:f>
              <c:numCache>
                <c:formatCode>0</c:formatCode>
                <c:ptCount val="2"/>
                <c:pt idx="0">
                  <c:v>23.45513</c:v>
                </c:pt>
                <c:pt idx="1">
                  <c:v>13.16638</c:v>
                </c:pt>
              </c:numCache>
            </c:numRef>
          </c:val>
          <c:extLst>
            <c:ext xmlns:c16="http://schemas.microsoft.com/office/drawing/2014/chart" uri="{C3380CC4-5D6E-409C-BE32-E72D297353CC}">
              <c16:uniqueId val="{00000006-9105-4BC2-9E28-1D8B44641BCA}"/>
            </c:ext>
          </c:extLst>
        </c:ser>
        <c:dLbls>
          <c:showLegendKey val="0"/>
          <c:showVal val="0"/>
          <c:showCatName val="0"/>
          <c:showSerName val="0"/>
          <c:showPercent val="0"/>
          <c:showBubbleSize val="0"/>
        </c:dLbls>
        <c:gapWidth val="100"/>
        <c:axId val="456239696"/>
        <c:axId val="456240088"/>
      </c:barChart>
      <c:catAx>
        <c:axId val="456239696"/>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crossAx val="456240088"/>
        <c:crosses val="autoZero"/>
        <c:auto val="1"/>
        <c:lblAlgn val="ctr"/>
        <c:lblOffset val="100"/>
        <c:noMultiLvlLbl val="0"/>
      </c:catAx>
      <c:valAx>
        <c:axId val="456240088"/>
        <c:scaling>
          <c:orientation val="minMax"/>
        </c:scaling>
        <c:delete val="0"/>
        <c:axPos val="b"/>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Sylfaen" panose="010A0502050306030303" pitchFamily="18" charset="0"/>
                <a:ea typeface="+mn-ea"/>
                <a:cs typeface="+mn-cs"/>
              </a:defRPr>
            </a:pPr>
            <a:endParaRPr lang="en-US"/>
          </a:p>
        </c:txPr>
        <c:crossAx val="456239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900">
          <a:latin typeface="Sylfaen" panose="010A0502050306030303" pitchFamily="18" charset="0"/>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'Fig19,22-27'!$C$76:$C$77</c:f>
              <c:strCache>
                <c:ptCount val="2"/>
                <c:pt idx="0">
                  <c:v>MoBSE</c:v>
                </c:pt>
                <c:pt idx="1">
                  <c:v>share of total budget</c:v>
                </c:pt>
              </c:strCache>
            </c:strRef>
          </c:tx>
          <c:spPr>
            <a:ln w="34925" cap="rnd">
              <a:solidFill>
                <a:schemeClr val="accent2"/>
              </a:solidFill>
              <a:prstDash val="sysDot"/>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'Fig19,22-27'!$A$78:$A$83</c:f>
              <c:numCache>
                <c:formatCode>General</c:formatCode>
                <c:ptCount val="6"/>
                <c:pt idx="0">
                  <c:v>2010</c:v>
                </c:pt>
                <c:pt idx="1">
                  <c:v>2011</c:v>
                </c:pt>
                <c:pt idx="2">
                  <c:v>2012</c:v>
                </c:pt>
                <c:pt idx="3">
                  <c:v>2013</c:v>
                </c:pt>
                <c:pt idx="4">
                  <c:v>2014</c:v>
                </c:pt>
                <c:pt idx="5">
                  <c:v>2015</c:v>
                </c:pt>
              </c:numCache>
            </c:numRef>
          </c:cat>
          <c:val>
            <c:numRef>
              <c:f>'Fig19,22-27'!$C$78:$C$83</c:f>
              <c:numCache>
                <c:formatCode>0.0%</c:formatCode>
                <c:ptCount val="6"/>
                <c:pt idx="0">
                  <c:v>0.16749938270821491</c:v>
                </c:pt>
                <c:pt idx="1">
                  <c:v>0.16865696114636503</c:v>
                </c:pt>
                <c:pt idx="2">
                  <c:v>0.15558327836384989</c:v>
                </c:pt>
                <c:pt idx="3">
                  <c:v>0.14580390991768108</c:v>
                </c:pt>
                <c:pt idx="4">
                  <c:v>0.14716795972181973</c:v>
                </c:pt>
                <c:pt idx="5">
                  <c:v>0.18174838977579835</c:v>
                </c:pt>
              </c:numCache>
            </c:numRef>
          </c:val>
          <c:smooth val="0"/>
          <c:extLst>
            <c:ext xmlns:c16="http://schemas.microsoft.com/office/drawing/2014/chart" uri="{C3380CC4-5D6E-409C-BE32-E72D297353CC}">
              <c16:uniqueId val="{00000000-C03A-4B12-8090-8779BD42DFF9}"/>
            </c:ext>
          </c:extLst>
        </c:ser>
        <c:ser>
          <c:idx val="3"/>
          <c:order val="3"/>
          <c:tx>
            <c:strRef>
              <c:f>'Fig19,22-27'!$E$76:$E$77</c:f>
              <c:strCache>
                <c:ptCount val="2"/>
                <c:pt idx="0">
                  <c:v>MoHERST</c:v>
                </c:pt>
                <c:pt idx="1">
                  <c:v>share of total budget</c:v>
                </c:pt>
              </c:strCache>
            </c:strRef>
          </c:tx>
          <c:spPr>
            <a:ln w="34925" cap="rnd">
              <a:solidFill>
                <a:schemeClr val="accent4"/>
              </a:solidFill>
              <a:prstDash val="sysDot"/>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'Fig19,22-27'!$A$78:$A$83</c:f>
              <c:numCache>
                <c:formatCode>General</c:formatCode>
                <c:ptCount val="6"/>
                <c:pt idx="0">
                  <c:v>2010</c:v>
                </c:pt>
                <c:pt idx="1">
                  <c:v>2011</c:v>
                </c:pt>
                <c:pt idx="2">
                  <c:v>2012</c:v>
                </c:pt>
                <c:pt idx="3">
                  <c:v>2013</c:v>
                </c:pt>
                <c:pt idx="4">
                  <c:v>2014</c:v>
                </c:pt>
                <c:pt idx="5">
                  <c:v>2015</c:v>
                </c:pt>
              </c:numCache>
            </c:numRef>
          </c:cat>
          <c:val>
            <c:numRef>
              <c:f>'Fig19,22-27'!$E$78:$E$83</c:f>
              <c:numCache>
                <c:formatCode>0.0%</c:formatCode>
                <c:ptCount val="6"/>
                <c:pt idx="0">
                  <c:v>1.9357629813868557E-2</c:v>
                </c:pt>
                <c:pt idx="1">
                  <c:v>2.0259577912998334E-2</c:v>
                </c:pt>
                <c:pt idx="2">
                  <c:v>1.9001719841754191E-2</c:v>
                </c:pt>
                <c:pt idx="3">
                  <c:v>1.4830742058363128E-2</c:v>
                </c:pt>
                <c:pt idx="4">
                  <c:v>2.6342754272954998E-2</c:v>
                </c:pt>
                <c:pt idx="5">
                  <c:v>2.2157983714875398E-2</c:v>
                </c:pt>
              </c:numCache>
            </c:numRef>
          </c:val>
          <c:smooth val="0"/>
          <c:extLst>
            <c:ext xmlns:c16="http://schemas.microsoft.com/office/drawing/2014/chart" uri="{C3380CC4-5D6E-409C-BE32-E72D297353CC}">
              <c16:uniqueId val="{00000001-C03A-4B12-8090-8779BD42DFF9}"/>
            </c:ext>
          </c:extLst>
        </c:ser>
        <c:ser>
          <c:idx val="5"/>
          <c:order val="5"/>
          <c:tx>
            <c:strRef>
              <c:f>'Fig19,22-27'!$G$76:$G$77</c:f>
              <c:strCache>
                <c:ptCount val="2"/>
                <c:pt idx="0">
                  <c:v>Total</c:v>
                </c:pt>
                <c:pt idx="1">
                  <c:v>share of total budget</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'Fig19,22-27'!$A$78:$A$83</c:f>
              <c:numCache>
                <c:formatCode>General</c:formatCode>
                <c:ptCount val="6"/>
                <c:pt idx="0">
                  <c:v>2010</c:v>
                </c:pt>
                <c:pt idx="1">
                  <c:v>2011</c:v>
                </c:pt>
                <c:pt idx="2">
                  <c:v>2012</c:v>
                </c:pt>
                <c:pt idx="3">
                  <c:v>2013</c:v>
                </c:pt>
                <c:pt idx="4">
                  <c:v>2014</c:v>
                </c:pt>
                <c:pt idx="5">
                  <c:v>2015</c:v>
                </c:pt>
              </c:numCache>
            </c:numRef>
          </c:cat>
          <c:val>
            <c:numRef>
              <c:f>'Fig19,22-27'!$G$78:$G$83</c:f>
              <c:numCache>
                <c:formatCode>0.0%</c:formatCode>
                <c:ptCount val="6"/>
                <c:pt idx="0">
                  <c:v>0.18685701252208348</c:v>
                </c:pt>
                <c:pt idx="1">
                  <c:v>0.18891653905936337</c:v>
                </c:pt>
                <c:pt idx="2">
                  <c:v>0.17458499820560408</c:v>
                </c:pt>
                <c:pt idx="3">
                  <c:v>0.16063465197604421</c:v>
                </c:pt>
                <c:pt idx="4">
                  <c:v>0.17351071399477472</c:v>
                </c:pt>
                <c:pt idx="5">
                  <c:v>0.20390637349067375</c:v>
                </c:pt>
              </c:numCache>
            </c:numRef>
          </c:val>
          <c:smooth val="0"/>
          <c:extLst>
            <c:ext xmlns:c16="http://schemas.microsoft.com/office/drawing/2014/chart" uri="{C3380CC4-5D6E-409C-BE32-E72D297353CC}">
              <c16:uniqueId val="{00000002-C03A-4B12-8090-8779BD42DFF9}"/>
            </c:ext>
          </c:extLst>
        </c:ser>
        <c:dLbls>
          <c:showLegendKey val="0"/>
          <c:showVal val="0"/>
          <c:showCatName val="0"/>
          <c:showSerName val="0"/>
          <c:showPercent val="0"/>
          <c:showBubbleSize val="0"/>
        </c:dLbls>
        <c:marker val="1"/>
        <c:smooth val="0"/>
        <c:axId val="739472832"/>
        <c:axId val="739473224"/>
        <c:extLst>
          <c:ext xmlns:c15="http://schemas.microsoft.com/office/drawing/2012/chart" uri="{02D57815-91ED-43cb-92C2-25804820EDAC}">
            <c15:filteredLineSeries>
              <c15:ser>
                <c:idx val="0"/>
                <c:order val="0"/>
                <c:tx>
                  <c:strRef>
                    <c:extLst>
                      <c:ext uri="{02D57815-91ED-43cb-92C2-25804820EDAC}">
                        <c15:formulaRef>
                          <c15:sqref>'Fig19,22-27'!$B$76:$B$77</c15:sqref>
                        </c15:formulaRef>
                      </c:ext>
                    </c:extLst>
                    <c:strCache>
                      <c:ptCount val="2"/>
                      <c:pt idx="0">
                        <c:v>MoBSE</c:v>
                      </c:pt>
                      <c:pt idx="1">
                        <c:v>share of GDP</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extLst>
                      <c:ext uri="{02D57815-91ED-43cb-92C2-25804820EDAC}">
                        <c15:formulaRef>
                          <c15:sqref>'Fig19,22-27'!$A$78:$A$83</c15:sqref>
                        </c15:formulaRef>
                      </c:ext>
                    </c:extLst>
                    <c:numCache>
                      <c:formatCode>General</c:formatCode>
                      <c:ptCount val="6"/>
                      <c:pt idx="0">
                        <c:v>2010</c:v>
                      </c:pt>
                      <c:pt idx="1">
                        <c:v>2011</c:v>
                      </c:pt>
                      <c:pt idx="2">
                        <c:v>2012</c:v>
                      </c:pt>
                      <c:pt idx="3">
                        <c:v>2013</c:v>
                      </c:pt>
                      <c:pt idx="4">
                        <c:v>2014</c:v>
                      </c:pt>
                      <c:pt idx="5">
                        <c:v>2015</c:v>
                      </c:pt>
                    </c:numCache>
                  </c:numRef>
                </c:cat>
                <c:val>
                  <c:numRef>
                    <c:extLst>
                      <c:ext uri="{02D57815-91ED-43cb-92C2-25804820EDAC}">
                        <c15:formulaRef>
                          <c15:sqref>'Fig19,22-27'!$B$78:$B$83</c15:sqref>
                        </c15:formulaRef>
                      </c:ext>
                    </c:extLst>
                    <c:numCache>
                      <c:formatCode>0.0%</c:formatCode>
                      <c:ptCount val="6"/>
                      <c:pt idx="0">
                        <c:v>2.3010416600167272E-2</c:v>
                      </c:pt>
                      <c:pt idx="1">
                        <c:v>2.4694816669455687E-2</c:v>
                      </c:pt>
                      <c:pt idx="2">
                        <c:v>2.3520046816425954E-2</c:v>
                      </c:pt>
                      <c:pt idx="3">
                        <c:v>2.4877660081884787E-2</c:v>
                      </c:pt>
                      <c:pt idx="4">
                        <c:v>2.6326887199952353E-2</c:v>
                      </c:pt>
                      <c:pt idx="5">
                        <c:v>2.8435307221415532E-2</c:v>
                      </c:pt>
                    </c:numCache>
                  </c:numRef>
                </c:val>
                <c:smooth val="0"/>
                <c:extLst>
                  <c:ext xmlns:c16="http://schemas.microsoft.com/office/drawing/2014/chart" uri="{C3380CC4-5D6E-409C-BE32-E72D297353CC}">
                    <c16:uniqueId val="{00000003-C03A-4B12-8090-8779BD42DFF9}"/>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'Fig19,22-27'!$D$76:$D$77</c15:sqref>
                        </c15:formulaRef>
                      </c:ext>
                    </c:extLst>
                    <c:strCache>
                      <c:ptCount val="2"/>
                      <c:pt idx="0">
                        <c:v>MoHERST</c:v>
                      </c:pt>
                      <c:pt idx="1">
                        <c:v>share of GDP</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extLst xmlns:c15="http://schemas.microsoft.com/office/drawing/2012/chart">
                      <c:ext xmlns:c15="http://schemas.microsoft.com/office/drawing/2012/chart" uri="{02D57815-91ED-43cb-92C2-25804820EDAC}">
                        <c15:formulaRef>
                          <c15:sqref>'Fig19,22-27'!$A$78:$A$83</c15:sqref>
                        </c15:formulaRef>
                      </c:ext>
                    </c:extLst>
                    <c:numCache>
                      <c:formatCode>General</c:formatCode>
                      <c:ptCount val="6"/>
                      <c:pt idx="0">
                        <c:v>2010</c:v>
                      </c:pt>
                      <c:pt idx="1">
                        <c:v>2011</c:v>
                      </c:pt>
                      <c:pt idx="2">
                        <c:v>2012</c:v>
                      </c:pt>
                      <c:pt idx="3">
                        <c:v>2013</c:v>
                      </c:pt>
                      <c:pt idx="4">
                        <c:v>2014</c:v>
                      </c:pt>
                      <c:pt idx="5">
                        <c:v>2015</c:v>
                      </c:pt>
                    </c:numCache>
                  </c:numRef>
                </c:cat>
                <c:val>
                  <c:numRef>
                    <c:extLst xmlns:c15="http://schemas.microsoft.com/office/drawing/2012/chart">
                      <c:ext xmlns:c15="http://schemas.microsoft.com/office/drawing/2012/chart" uri="{02D57815-91ED-43cb-92C2-25804820EDAC}">
                        <c15:formulaRef>
                          <c15:sqref>'Fig19,22-27'!$D$78:$D$83</c15:sqref>
                        </c15:formulaRef>
                      </c:ext>
                    </c:extLst>
                    <c:numCache>
                      <c:formatCode>0.0%</c:formatCode>
                      <c:ptCount val="6"/>
                      <c:pt idx="0">
                        <c:v>2.659276226616734E-3</c:v>
                      </c:pt>
                      <c:pt idx="1">
                        <c:v>2.9664151361524184E-3</c:v>
                      </c:pt>
                      <c:pt idx="2">
                        <c:v>2.8725538179333785E-3</c:v>
                      </c:pt>
                      <c:pt idx="3">
                        <c:v>2.5304819321949374E-3</c:v>
                      </c:pt>
                      <c:pt idx="4">
                        <c:v>4.7124572603375204E-3</c:v>
                      </c:pt>
                      <c:pt idx="5">
                        <c:v>3.466710627350517E-3</c:v>
                      </c:pt>
                    </c:numCache>
                  </c:numRef>
                </c:val>
                <c:smooth val="0"/>
                <c:extLst xmlns:c15="http://schemas.microsoft.com/office/drawing/2012/chart">
                  <c:ext xmlns:c16="http://schemas.microsoft.com/office/drawing/2014/chart" uri="{C3380CC4-5D6E-409C-BE32-E72D297353CC}">
                    <c16:uniqueId val="{00000004-C03A-4B12-8090-8779BD42DFF9}"/>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'Fig19,22-27'!$F$76:$F$77</c15:sqref>
                        </c15:formulaRef>
                      </c:ext>
                    </c:extLst>
                    <c:strCache>
                      <c:ptCount val="2"/>
                      <c:pt idx="0">
                        <c:v>Total</c:v>
                      </c:pt>
                      <c:pt idx="1">
                        <c:v>share of GDP</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extLst xmlns:c15="http://schemas.microsoft.com/office/drawing/2012/chart">
                      <c:ext xmlns:c15="http://schemas.microsoft.com/office/drawing/2012/chart" uri="{02D57815-91ED-43cb-92C2-25804820EDAC}">
                        <c15:formulaRef>
                          <c15:sqref>'Fig19,22-27'!$A$78:$A$83</c15:sqref>
                        </c15:formulaRef>
                      </c:ext>
                    </c:extLst>
                    <c:numCache>
                      <c:formatCode>General</c:formatCode>
                      <c:ptCount val="6"/>
                      <c:pt idx="0">
                        <c:v>2010</c:v>
                      </c:pt>
                      <c:pt idx="1">
                        <c:v>2011</c:v>
                      </c:pt>
                      <c:pt idx="2">
                        <c:v>2012</c:v>
                      </c:pt>
                      <c:pt idx="3">
                        <c:v>2013</c:v>
                      </c:pt>
                      <c:pt idx="4">
                        <c:v>2014</c:v>
                      </c:pt>
                      <c:pt idx="5">
                        <c:v>2015</c:v>
                      </c:pt>
                    </c:numCache>
                  </c:numRef>
                </c:cat>
                <c:val>
                  <c:numRef>
                    <c:extLst xmlns:c15="http://schemas.microsoft.com/office/drawing/2012/chart">
                      <c:ext xmlns:c15="http://schemas.microsoft.com/office/drawing/2012/chart" uri="{02D57815-91ED-43cb-92C2-25804820EDAC}">
                        <c15:formulaRef>
                          <c15:sqref>'Fig19,22-27'!$F$78:$F$83</c15:sqref>
                        </c15:formulaRef>
                      </c:ext>
                    </c:extLst>
                    <c:numCache>
                      <c:formatCode>0.0%</c:formatCode>
                      <c:ptCount val="6"/>
                      <c:pt idx="0">
                        <c:v>2.5669692826784007E-2</c:v>
                      </c:pt>
                      <c:pt idx="1">
                        <c:v>2.7661231805608106E-2</c:v>
                      </c:pt>
                      <c:pt idx="2">
                        <c:v>2.6392600634359335E-2</c:v>
                      </c:pt>
                      <c:pt idx="3">
                        <c:v>2.7408142014079723E-2</c:v>
                      </c:pt>
                      <c:pt idx="4">
                        <c:v>3.1039344460289879E-2</c:v>
                      </c:pt>
                      <c:pt idx="5">
                        <c:v>3.1902017848766055E-2</c:v>
                      </c:pt>
                    </c:numCache>
                  </c:numRef>
                </c:val>
                <c:smooth val="0"/>
                <c:extLst xmlns:c15="http://schemas.microsoft.com/office/drawing/2012/chart">
                  <c:ext xmlns:c16="http://schemas.microsoft.com/office/drawing/2014/chart" uri="{C3380CC4-5D6E-409C-BE32-E72D297353CC}">
                    <c16:uniqueId val="{00000005-C03A-4B12-8090-8779BD42DFF9}"/>
                  </c:ext>
                </c:extLst>
              </c15:ser>
            </c15:filteredLineSeries>
          </c:ext>
        </c:extLst>
      </c:lineChart>
      <c:catAx>
        <c:axId val="73947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9473224"/>
        <c:crosses val="autoZero"/>
        <c:auto val="1"/>
        <c:lblAlgn val="ctr"/>
        <c:lblOffset val="100"/>
        <c:noMultiLvlLbl val="0"/>
      </c:catAx>
      <c:valAx>
        <c:axId val="73947322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9472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1746171291695333E-2"/>
          <c:y val="4.1198501872659173E-2"/>
          <c:w val="0.94882004433911793"/>
          <c:h val="0.68209148013801635"/>
        </c:manualLayout>
      </c:layout>
      <c:barChart>
        <c:barDir val="col"/>
        <c:grouping val="clustered"/>
        <c:varyColors val="0"/>
        <c:ser>
          <c:idx val="0"/>
          <c:order val="0"/>
          <c:tx>
            <c:strRef>
              <c:f>'Fig25'!$R$2</c:f>
              <c:strCache>
                <c:ptCount val="1"/>
                <c:pt idx="0">
                  <c:v>Education spending as share of GDP</c:v>
                </c:pt>
              </c:strCache>
            </c:strRef>
          </c:tx>
          <c:spPr>
            <a:solidFill>
              <a:srgbClr val="0070C0"/>
            </a:solidFill>
            <a:ln>
              <a:noFill/>
            </a:ln>
            <a:effectLst/>
          </c:spPr>
          <c:invertIfNegative val="0"/>
          <c:dPt>
            <c:idx val="11"/>
            <c:invertIfNegative val="0"/>
            <c:bubble3D val="0"/>
            <c:spPr>
              <a:solidFill>
                <a:srgbClr val="00B050"/>
              </a:solidFill>
              <a:ln>
                <a:noFill/>
              </a:ln>
              <a:effectLst/>
            </c:spPr>
            <c:extLst>
              <c:ext xmlns:c16="http://schemas.microsoft.com/office/drawing/2014/chart" uri="{C3380CC4-5D6E-409C-BE32-E72D297353CC}">
                <c16:uniqueId val="{00000001-95B6-4CED-9B38-4FEE237C5F36}"/>
              </c:ext>
            </c:extLst>
          </c:dPt>
          <c:dPt>
            <c:idx val="20"/>
            <c:invertIfNegative val="0"/>
            <c:bubble3D val="0"/>
            <c:spPr>
              <a:solidFill>
                <a:srgbClr val="00B050"/>
              </a:solidFill>
              <a:ln>
                <a:noFill/>
              </a:ln>
              <a:effectLst/>
            </c:spPr>
            <c:extLst>
              <c:ext xmlns:c16="http://schemas.microsoft.com/office/drawing/2014/chart" uri="{C3380CC4-5D6E-409C-BE32-E72D297353CC}">
                <c16:uniqueId val="{00000003-95B6-4CED-9B38-4FEE237C5F36}"/>
              </c:ext>
            </c:extLst>
          </c:dPt>
          <c:dPt>
            <c:idx val="28"/>
            <c:invertIfNegative val="0"/>
            <c:bubble3D val="0"/>
            <c:spPr>
              <a:solidFill>
                <a:srgbClr val="0070C0"/>
              </a:solidFill>
              <a:ln>
                <a:noFill/>
              </a:ln>
              <a:effectLst/>
            </c:spPr>
            <c:extLst>
              <c:ext xmlns:c16="http://schemas.microsoft.com/office/drawing/2014/chart" uri="{C3380CC4-5D6E-409C-BE32-E72D297353CC}">
                <c16:uniqueId val="{00000005-95B6-4CED-9B38-4FEE237C5F36}"/>
              </c:ext>
            </c:extLst>
          </c:dPt>
          <c:dLbls>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5B6-4CED-9B38-4FEE237C5F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'Fig25'!$Q$3:$Q$43</c:f>
              <c:strCache>
                <c:ptCount val="41"/>
                <c:pt idx="0">
                  <c:v>South Sudan</c:v>
                </c:pt>
                <c:pt idx="1">
                  <c:v>CAR</c:v>
                </c:pt>
                <c:pt idx="2">
                  <c:v>Zambia</c:v>
                </c:pt>
                <c:pt idx="3">
                  <c:v>DRC</c:v>
                </c:pt>
                <c:pt idx="4">
                  <c:v>Zimbabwe</c:v>
                </c:pt>
                <c:pt idx="5">
                  <c:v>Sudan</c:v>
                </c:pt>
                <c:pt idx="6">
                  <c:v>Chad</c:v>
                </c:pt>
                <c:pt idx="7">
                  <c:v>Guinea</c:v>
                </c:pt>
                <c:pt idx="8">
                  <c:v>Madagascar</c:v>
                </c:pt>
                <c:pt idx="9">
                  <c:v>Sierra Leone</c:v>
                </c:pt>
                <c:pt idx="10">
                  <c:v>Cameroon</c:v>
                </c:pt>
                <c:pt idx="11">
                  <c:v>Gambia, The</c:v>
                </c:pt>
                <c:pt idx="12">
                  <c:v>Uganda</c:v>
                </c:pt>
                <c:pt idx="13">
                  <c:v>Burkina Faso</c:v>
                </c:pt>
                <c:pt idx="14">
                  <c:v>Angola</c:v>
                </c:pt>
                <c:pt idx="15">
                  <c:v>Mauritius</c:v>
                </c:pt>
                <c:pt idx="16">
                  <c:v>Seychelles</c:v>
                </c:pt>
                <c:pt idx="17">
                  <c:v>Mauritania</c:v>
                </c:pt>
                <c:pt idx="18">
                  <c:v>Togo</c:v>
                </c:pt>
                <c:pt idx="19">
                  <c:v>Niger</c:v>
                </c:pt>
                <c:pt idx="20">
                  <c:v>SSA average</c:v>
                </c:pt>
                <c:pt idx="21">
                  <c:v>Ethiopia</c:v>
                </c:pt>
                <c:pt idx="22">
                  <c:v>Rwanda</c:v>
                </c:pt>
                <c:pt idx="23">
                  <c:v>Mali</c:v>
                </c:pt>
                <c:pt idx="24">
                  <c:v>Cabo Verde</c:v>
                </c:pt>
                <c:pt idx="25">
                  <c:v>Benin</c:v>
                </c:pt>
                <c:pt idx="26">
                  <c:v>Malawi</c:v>
                </c:pt>
                <c:pt idx="27">
                  <c:v>Senegal</c:v>
                </c:pt>
                <c:pt idx="28">
                  <c:v>Cote d'Ivoire</c:v>
                </c:pt>
                <c:pt idx="29">
                  <c:v>Burundi</c:v>
                </c:pt>
                <c:pt idx="30">
                  <c:v>Tanzania</c:v>
                </c:pt>
                <c:pt idx="31">
                  <c:v>Congo, Rep.</c:v>
                </c:pt>
                <c:pt idx="32">
                  <c:v>South Africa</c:v>
                </c:pt>
                <c:pt idx="33">
                  <c:v>Kenya</c:v>
                </c:pt>
                <c:pt idx="34">
                  <c:v>Comoros</c:v>
                </c:pt>
                <c:pt idx="35">
                  <c:v>Swaziland</c:v>
                </c:pt>
                <c:pt idx="36">
                  <c:v>Ghana</c:v>
                </c:pt>
                <c:pt idx="37">
                  <c:v>Namibia</c:v>
                </c:pt>
                <c:pt idx="38">
                  <c:v>Sao T&amp;P</c:v>
                </c:pt>
                <c:pt idx="39">
                  <c:v>Botswana</c:v>
                </c:pt>
                <c:pt idx="40">
                  <c:v>Lesotho</c:v>
                </c:pt>
              </c:strCache>
            </c:strRef>
          </c:cat>
          <c:val>
            <c:numRef>
              <c:f>'Fig25'!$R$3:$R$43</c:f>
              <c:numCache>
                <c:formatCode>0.0</c:formatCode>
                <c:ptCount val="41"/>
                <c:pt idx="0">
                  <c:v>0.72963</c:v>
                </c:pt>
                <c:pt idx="1">
                  <c:v>1.22862005233765</c:v>
                </c:pt>
                <c:pt idx="2">
                  <c:v>1.34536004066467</c:v>
                </c:pt>
                <c:pt idx="3">
                  <c:v>1.8</c:v>
                </c:pt>
                <c:pt idx="4">
                  <c:v>1.9660999774932899</c:v>
                </c:pt>
                <c:pt idx="5">
                  <c:v>2.2316699999999998</c:v>
                </c:pt>
                <c:pt idx="6">
                  <c:v>2.2578999996185298</c:v>
                </c:pt>
                <c:pt idx="7">
                  <c:v>2.4713900089263898</c:v>
                </c:pt>
                <c:pt idx="8">
                  <c:v>2.74298000335693</c:v>
                </c:pt>
                <c:pt idx="9">
                  <c:v>2.8830099105835001</c:v>
                </c:pt>
                <c:pt idx="10">
                  <c:v>2.9653298854827899</c:v>
                </c:pt>
                <c:pt idx="11">
                  <c:v>3.1902017848766056</c:v>
                </c:pt>
                <c:pt idx="12">
                  <c:v>3.2792999744415301</c:v>
                </c:pt>
                <c:pt idx="13">
                  <c:v>3.4270100593566899</c:v>
                </c:pt>
                <c:pt idx="14">
                  <c:v>3.47643995285034</c:v>
                </c:pt>
                <c:pt idx="15">
                  <c:v>3.48589992523193</c:v>
                </c:pt>
                <c:pt idx="16">
                  <c:v>3.6276400089263898</c:v>
                </c:pt>
                <c:pt idx="17">
                  <c:v>3.81241011619568</c:v>
                </c:pt>
                <c:pt idx="18">
                  <c:v>4.0131602287292498</c:v>
                </c:pt>
                <c:pt idx="19">
                  <c:v>4.43566989898682</c:v>
                </c:pt>
                <c:pt idx="20">
                  <c:v>4.6198371547014281</c:v>
                </c:pt>
                <c:pt idx="21">
                  <c:v>4.7379097938537598</c:v>
                </c:pt>
                <c:pt idx="22">
                  <c:v>4.7510099411010698</c:v>
                </c:pt>
                <c:pt idx="23">
                  <c:v>4.8086500167846697</c:v>
                </c:pt>
                <c:pt idx="24">
                  <c:v>5.0436100959777797</c:v>
                </c:pt>
                <c:pt idx="25">
                  <c:v>5.3451199531555202</c:v>
                </c:pt>
                <c:pt idx="26">
                  <c:v>5.3533701896667498</c:v>
                </c:pt>
                <c:pt idx="27">
                  <c:v>5.5999798774719203</c:v>
                </c:pt>
                <c:pt idx="28">
                  <c:v>5.8</c:v>
                </c:pt>
                <c:pt idx="29">
                  <c:v>5.8209099769592303</c:v>
                </c:pt>
                <c:pt idx="30">
                  <c:v>6.1812000274658203</c:v>
                </c:pt>
                <c:pt idx="31">
                  <c:v>6.2207899093627903</c:v>
                </c:pt>
                <c:pt idx="32">
                  <c:v>6.5691900253295898</c:v>
                </c:pt>
                <c:pt idx="33">
                  <c:v>6.6388998031616202</c:v>
                </c:pt>
                <c:pt idx="34">
                  <c:v>7.6081299781799299</c:v>
                </c:pt>
                <c:pt idx="35">
                  <c:v>7.8295397758483896</c:v>
                </c:pt>
                <c:pt idx="36">
                  <c:v>8.1409702301025408</c:v>
                </c:pt>
                <c:pt idx="37">
                  <c:v>8.4951896667480504</c:v>
                </c:pt>
                <c:pt idx="38">
                  <c:v>9.4794197082519496</c:v>
                </c:pt>
                <c:pt idx="39">
                  <c:v>9.4873800277709996</c:v>
                </c:pt>
                <c:pt idx="40">
                  <c:v>12.9820098876953</c:v>
                </c:pt>
              </c:numCache>
            </c:numRef>
          </c:val>
          <c:extLst>
            <c:ext xmlns:c16="http://schemas.microsoft.com/office/drawing/2014/chart" uri="{C3380CC4-5D6E-409C-BE32-E72D297353CC}">
              <c16:uniqueId val="{00000006-95B6-4CED-9B38-4FEE237C5F36}"/>
            </c:ext>
          </c:extLst>
        </c:ser>
        <c:dLbls>
          <c:showLegendKey val="0"/>
          <c:showVal val="0"/>
          <c:showCatName val="0"/>
          <c:showSerName val="0"/>
          <c:showPercent val="0"/>
          <c:showBubbleSize val="0"/>
        </c:dLbls>
        <c:gapWidth val="219"/>
        <c:axId val="456250672"/>
        <c:axId val="739447352"/>
      </c:barChart>
      <c:lineChart>
        <c:grouping val="standard"/>
        <c:varyColors val="0"/>
        <c:ser>
          <c:idx val="1"/>
          <c:order val="1"/>
          <c:tx>
            <c:strRef>
              <c:f>'Fig25'!$S$2</c:f>
              <c:strCache>
                <c:ptCount val="1"/>
                <c:pt idx="0">
                  <c:v>Education spending as share of total public spending</c:v>
                </c:pt>
              </c:strCache>
            </c:strRef>
          </c:tx>
          <c:spPr>
            <a:ln w="25400" cap="rnd">
              <a:noFill/>
              <a:round/>
            </a:ln>
            <a:effectLst/>
          </c:spPr>
          <c:marker>
            <c:symbol val="triangle"/>
            <c:size val="6"/>
            <c:spPr>
              <a:solidFill>
                <a:schemeClr val="accent2"/>
              </a:solidFill>
              <a:ln w="9525">
                <a:solidFill>
                  <a:schemeClr val="accent2"/>
                </a:solidFill>
              </a:ln>
              <a:effectLst/>
            </c:spPr>
          </c:marker>
          <c:dLbls>
            <c:dLbl>
              <c:idx val="2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5B6-4CED-9B38-4FEE237C5F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'Fig25'!$Q$3:$Q$43</c:f>
              <c:strCache>
                <c:ptCount val="41"/>
                <c:pt idx="0">
                  <c:v>South Sudan</c:v>
                </c:pt>
                <c:pt idx="1">
                  <c:v>CAR</c:v>
                </c:pt>
                <c:pt idx="2">
                  <c:v>Zambia</c:v>
                </c:pt>
                <c:pt idx="3">
                  <c:v>DRC</c:v>
                </c:pt>
                <c:pt idx="4">
                  <c:v>Zimbabwe</c:v>
                </c:pt>
                <c:pt idx="5">
                  <c:v>Sudan</c:v>
                </c:pt>
                <c:pt idx="6">
                  <c:v>Chad</c:v>
                </c:pt>
                <c:pt idx="7">
                  <c:v>Guinea</c:v>
                </c:pt>
                <c:pt idx="8">
                  <c:v>Madagascar</c:v>
                </c:pt>
                <c:pt idx="9">
                  <c:v>Sierra Leone</c:v>
                </c:pt>
                <c:pt idx="10">
                  <c:v>Cameroon</c:v>
                </c:pt>
                <c:pt idx="11">
                  <c:v>Gambia, The</c:v>
                </c:pt>
                <c:pt idx="12">
                  <c:v>Uganda</c:v>
                </c:pt>
                <c:pt idx="13">
                  <c:v>Burkina Faso</c:v>
                </c:pt>
                <c:pt idx="14">
                  <c:v>Angola</c:v>
                </c:pt>
                <c:pt idx="15">
                  <c:v>Mauritius</c:v>
                </c:pt>
                <c:pt idx="16">
                  <c:v>Seychelles</c:v>
                </c:pt>
                <c:pt idx="17">
                  <c:v>Mauritania</c:v>
                </c:pt>
                <c:pt idx="18">
                  <c:v>Togo</c:v>
                </c:pt>
                <c:pt idx="19">
                  <c:v>Niger</c:v>
                </c:pt>
                <c:pt idx="20">
                  <c:v>SSA average</c:v>
                </c:pt>
                <c:pt idx="21">
                  <c:v>Ethiopia</c:v>
                </c:pt>
                <c:pt idx="22">
                  <c:v>Rwanda</c:v>
                </c:pt>
                <c:pt idx="23">
                  <c:v>Mali</c:v>
                </c:pt>
                <c:pt idx="24">
                  <c:v>Cabo Verde</c:v>
                </c:pt>
                <c:pt idx="25">
                  <c:v>Benin</c:v>
                </c:pt>
                <c:pt idx="26">
                  <c:v>Malawi</c:v>
                </c:pt>
                <c:pt idx="27">
                  <c:v>Senegal</c:v>
                </c:pt>
                <c:pt idx="28">
                  <c:v>Cote d'Ivoire</c:v>
                </c:pt>
                <c:pt idx="29">
                  <c:v>Burundi</c:v>
                </c:pt>
                <c:pt idx="30">
                  <c:v>Tanzania</c:v>
                </c:pt>
                <c:pt idx="31">
                  <c:v>Congo, Rep.</c:v>
                </c:pt>
                <c:pt idx="32">
                  <c:v>South Africa</c:v>
                </c:pt>
                <c:pt idx="33">
                  <c:v>Kenya</c:v>
                </c:pt>
                <c:pt idx="34">
                  <c:v>Comoros</c:v>
                </c:pt>
                <c:pt idx="35">
                  <c:v>Swaziland</c:v>
                </c:pt>
                <c:pt idx="36">
                  <c:v>Ghana</c:v>
                </c:pt>
                <c:pt idx="37">
                  <c:v>Namibia</c:v>
                </c:pt>
                <c:pt idx="38">
                  <c:v>Sao T&amp;P</c:v>
                </c:pt>
                <c:pt idx="39">
                  <c:v>Botswana</c:v>
                </c:pt>
                <c:pt idx="40">
                  <c:v>Lesotho</c:v>
                </c:pt>
              </c:strCache>
            </c:strRef>
          </c:cat>
          <c:val>
            <c:numRef>
              <c:f>'Fig25'!$S$3:$S$43</c:f>
              <c:numCache>
                <c:formatCode>0.0</c:formatCode>
                <c:ptCount val="41"/>
                <c:pt idx="0">
                  <c:v>3.9304299999999999</c:v>
                </c:pt>
                <c:pt idx="1">
                  <c:v>7.8169598579406703</c:v>
                </c:pt>
                <c:pt idx="2">
                  <c:v>5.6518001556396502</c:v>
                </c:pt>
                <c:pt idx="3">
                  <c:v>10.9</c:v>
                </c:pt>
                <c:pt idx="4">
                  <c:v>8.7209100723266602</c:v>
                </c:pt>
                <c:pt idx="5">
                  <c:v>10.7707</c:v>
                </c:pt>
                <c:pt idx="6">
                  <c:v>10.083259582519499</c:v>
                </c:pt>
                <c:pt idx="7">
                  <c:v>9.4606103897094709</c:v>
                </c:pt>
                <c:pt idx="8">
                  <c:v>20.325799942016602</c:v>
                </c:pt>
                <c:pt idx="9">
                  <c:v>14.1259603500366</c:v>
                </c:pt>
                <c:pt idx="10">
                  <c:v>15.176219940185501</c:v>
                </c:pt>
                <c:pt idx="11">
                  <c:v>20.390637349067376</c:v>
                </c:pt>
                <c:pt idx="12">
                  <c:v>14.0230703353882</c:v>
                </c:pt>
                <c:pt idx="13">
                  <c:v>15.052410125732401</c:v>
                </c:pt>
                <c:pt idx="14">
                  <c:v>8.6847696304321307</c:v>
                </c:pt>
                <c:pt idx="15">
                  <c:v>14.960619926452599</c:v>
                </c:pt>
                <c:pt idx="16">
                  <c:v>10.3864097595215</c:v>
                </c:pt>
                <c:pt idx="17">
                  <c:v>12.985099792480501</c:v>
                </c:pt>
                <c:pt idx="18">
                  <c:v>15.1992197036743</c:v>
                </c:pt>
                <c:pt idx="19">
                  <c:v>19.192020416259801</c:v>
                </c:pt>
                <c:pt idx="20">
                  <c:v>17.051802568348528</c:v>
                </c:pt>
                <c:pt idx="21">
                  <c:v>24.3503608703613</c:v>
                </c:pt>
                <c:pt idx="22">
                  <c:v>17.956569671630898</c:v>
                </c:pt>
                <c:pt idx="23">
                  <c:v>19.268190383911101</c:v>
                </c:pt>
                <c:pt idx="24">
                  <c:v>15.1532802581787</c:v>
                </c:pt>
                <c:pt idx="25">
                  <c:v>26.1439609527588</c:v>
                </c:pt>
                <c:pt idx="26">
                  <c:v>14.931180000305201</c:v>
                </c:pt>
                <c:pt idx="27">
                  <c:v>20.723180770873999</c:v>
                </c:pt>
                <c:pt idx="28">
                  <c:v>25.42879703097945</c:v>
                </c:pt>
                <c:pt idx="29">
                  <c:v>16.348920822143601</c:v>
                </c:pt>
                <c:pt idx="30">
                  <c:v>21.156919479370099</c:v>
                </c:pt>
                <c:pt idx="31">
                  <c:v>29.018360137939499</c:v>
                </c:pt>
                <c:pt idx="32">
                  <c:v>20.609779357910199</c:v>
                </c:pt>
                <c:pt idx="33">
                  <c:v>23.809909820556602</c:v>
                </c:pt>
                <c:pt idx="34">
                  <c:v>29.233119964599599</c:v>
                </c:pt>
                <c:pt idx="35">
                  <c:v>24.4676208496094</c:v>
                </c:pt>
                <c:pt idx="36">
                  <c:v>33.426891326904297</c:v>
                </c:pt>
                <c:pt idx="37">
                  <c:v>23.681259155273398</c:v>
                </c:pt>
                <c:pt idx="38">
                  <c:v>19.3235893249512</c:v>
                </c:pt>
                <c:pt idx="39">
                  <c:v>18.7418403625488</c:v>
                </c:pt>
                <c:pt idx="40">
                  <c:v>20.127519607543899</c:v>
                </c:pt>
              </c:numCache>
            </c:numRef>
          </c:val>
          <c:smooth val="0"/>
          <c:extLst>
            <c:ext xmlns:c16="http://schemas.microsoft.com/office/drawing/2014/chart" uri="{C3380CC4-5D6E-409C-BE32-E72D297353CC}">
              <c16:uniqueId val="{00000008-95B6-4CED-9B38-4FEE237C5F36}"/>
            </c:ext>
          </c:extLst>
        </c:ser>
        <c:ser>
          <c:idx val="2"/>
          <c:order val="2"/>
          <c:tx>
            <c:strRef>
              <c:f>'Fig25'!$T$2</c:f>
              <c:strCache>
                <c:ptCount val="1"/>
              </c:strCache>
            </c:strRef>
          </c:tx>
          <c:spPr>
            <a:ln w="25400" cap="rnd">
              <a:noFill/>
              <a:round/>
            </a:ln>
            <a:effectLst/>
          </c:spPr>
          <c:marker>
            <c:symbol val="none"/>
          </c:marker>
          <c:cat>
            <c:strRef>
              <c:f>'Fig25'!$Q$3:$Q$43</c:f>
              <c:strCache>
                <c:ptCount val="41"/>
                <c:pt idx="0">
                  <c:v>South Sudan</c:v>
                </c:pt>
                <c:pt idx="1">
                  <c:v>CAR</c:v>
                </c:pt>
                <c:pt idx="2">
                  <c:v>Zambia</c:v>
                </c:pt>
                <c:pt idx="3">
                  <c:v>DRC</c:v>
                </c:pt>
                <c:pt idx="4">
                  <c:v>Zimbabwe</c:v>
                </c:pt>
                <c:pt idx="5">
                  <c:v>Sudan</c:v>
                </c:pt>
                <c:pt idx="6">
                  <c:v>Chad</c:v>
                </c:pt>
                <c:pt idx="7">
                  <c:v>Guinea</c:v>
                </c:pt>
                <c:pt idx="8">
                  <c:v>Madagascar</c:v>
                </c:pt>
                <c:pt idx="9">
                  <c:v>Sierra Leone</c:v>
                </c:pt>
                <c:pt idx="10">
                  <c:v>Cameroon</c:v>
                </c:pt>
                <c:pt idx="11">
                  <c:v>Gambia, The</c:v>
                </c:pt>
                <c:pt idx="12">
                  <c:v>Uganda</c:v>
                </c:pt>
                <c:pt idx="13">
                  <c:v>Burkina Faso</c:v>
                </c:pt>
                <c:pt idx="14">
                  <c:v>Angola</c:v>
                </c:pt>
                <c:pt idx="15">
                  <c:v>Mauritius</c:v>
                </c:pt>
                <c:pt idx="16">
                  <c:v>Seychelles</c:v>
                </c:pt>
                <c:pt idx="17">
                  <c:v>Mauritania</c:v>
                </c:pt>
                <c:pt idx="18">
                  <c:v>Togo</c:v>
                </c:pt>
                <c:pt idx="19">
                  <c:v>Niger</c:v>
                </c:pt>
                <c:pt idx="20">
                  <c:v>SSA average</c:v>
                </c:pt>
                <c:pt idx="21">
                  <c:v>Ethiopia</c:v>
                </c:pt>
                <c:pt idx="22">
                  <c:v>Rwanda</c:v>
                </c:pt>
                <c:pt idx="23">
                  <c:v>Mali</c:v>
                </c:pt>
                <c:pt idx="24">
                  <c:v>Cabo Verde</c:v>
                </c:pt>
                <c:pt idx="25">
                  <c:v>Benin</c:v>
                </c:pt>
                <c:pt idx="26">
                  <c:v>Malawi</c:v>
                </c:pt>
                <c:pt idx="27">
                  <c:v>Senegal</c:v>
                </c:pt>
                <c:pt idx="28">
                  <c:v>Cote d'Ivoire</c:v>
                </c:pt>
                <c:pt idx="29">
                  <c:v>Burundi</c:v>
                </c:pt>
                <c:pt idx="30">
                  <c:v>Tanzania</c:v>
                </c:pt>
                <c:pt idx="31">
                  <c:v>Congo, Rep.</c:v>
                </c:pt>
                <c:pt idx="32">
                  <c:v>South Africa</c:v>
                </c:pt>
                <c:pt idx="33">
                  <c:v>Kenya</c:v>
                </c:pt>
                <c:pt idx="34">
                  <c:v>Comoros</c:v>
                </c:pt>
                <c:pt idx="35">
                  <c:v>Swaziland</c:v>
                </c:pt>
                <c:pt idx="36">
                  <c:v>Ghana</c:v>
                </c:pt>
                <c:pt idx="37">
                  <c:v>Namibia</c:v>
                </c:pt>
                <c:pt idx="38">
                  <c:v>Sao T&amp;P</c:v>
                </c:pt>
                <c:pt idx="39">
                  <c:v>Botswana</c:v>
                </c:pt>
                <c:pt idx="40">
                  <c:v>Lesotho</c:v>
                </c:pt>
              </c:strCache>
            </c:strRef>
          </c:cat>
          <c:val>
            <c:numRef>
              <c:f>'Fig25'!$T$3:$T$43</c:f>
              <c:numCache>
                <c:formatCode>0.0</c:formatCode>
                <c:ptCount val="41"/>
                <c:pt idx="0">
                  <c:v>0.72963</c:v>
                </c:pt>
                <c:pt idx="1">
                  <c:v>1.22862005233765</c:v>
                </c:pt>
                <c:pt idx="2">
                  <c:v>1.34536004066467</c:v>
                </c:pt>
                <c:pt idx="3">
                  <c:v>1.8</c:v>
                </c:pt>
                <c:pt idx="4">
                  <c:v>1.9660999774932899</c:v>
                </c:pt>
                <c:pt idx="5">
                  <c:v>2.2316699999999998</c:v>
                </c:pt>
                <c:pt idx="6">
                  <c:v>2.2578999996185298</c:v>
                </c:pt>
                <c:pt idx="7">
                  <c:v>2.4713900089263898</c:v>
                </c:pt>
                <c:pt idx="8">
                  <c:v>2.74298000335693</c:v>
                </c:pt>
                <c:pt idx="9">
                  <c:v>2.8830099105835001</c:v>
                </c:pt>
                <c:pt idx="10">
                  <c:v>2.9653298854827899</c:v>
                </c:pt>
                <c:pt idx="11">
                  <c:v>3.1902017848766056</c:v>
                </c:pt>
                <c:pt idx="12">
                  <c:v>3.2792999744415301</c:v>
                </c:pt>
                <c:pt idx="13">
                  <c:v>3.4270100593566899</c:v>
                </c:pt>
                <c:pt idx="14">
                  <c:v>3.47643995285034</c:v>
                </c:pt>
                <c:pt idx="15">
                  <c:v>3.48589992523193</c:v>
                </c:pt>
                <c:pt idx="16">
                  <c:v>3.6276400089263898</c:v>
                </c:pt>
                <c:pt idx="17">
                  <c:v>3.81241011619568</c:v>
                </c:pt>
                <c:pt idx="18">
                  <c:v>4.0131602287292498</c:v>
                </c:pt>
                <c:pt idx="19">
                  <c:v>4.43566989898682</c:v>
                </c:pt>
                <c:pt idx="20">
                  <c:v>4.6198371547014281</c:v>
                </c:pt>
                <c:pt idx="21">
                  <c:v>4.7379097938537598</c:v>
                </c:pt>
                <c:pt idx="22">
                  <c:v>4.7510099411010698</c:v>
                </c:pt>
                <c:pt idx="23">
                  <c:v>4.8086500167846697</c:v>
                </c:pt>
                <c:pt idx="24">
                  <c:v>5.0436100959777797</c:v>
                </c:pt>
                <c:pt idx="25">
                  <c:v>5.3451199531555202</c:v>
                </c:pt>
                <c:pt idx="26">
                  <c:v>5.3533701896667498</c:v>
                </c:pt>
                <c:pt idx="27">
                  <c:v>5.5999798774719203</c:v>
                </c:pt>
                <c:pt idx="28">
                  <c:v>5.8</c:v>
                </c:pt>
                <c:pt idx="29">
                  <c:v>5.8209099769592303</c:v>
                </c:pt>
                <c:pt idx="30">
                  <c:v>6.1812000274658203</c:v>
                </c:pt>
                <c:pt idx="31">
                  <c:v>6.2207899093627903</c:v>
                </c:pt>
                <c:pt idx="32">
                  <c:v>6.5691900253295898</c:v>
                </c:pt>
                <c:pt idx="33">
                  <c:v>6.6388998031616202</c:v>
                </c:pt>
                <c:pt idx="34">
                  <c:v>7.6081299781799299</c:v>
                </c:pt>
                <c:pt idx="35">
                  <c:v>7.8295397758483896</c:v>
                </c:pt>
                <c:pt idx="36">
                  <c:v>8.1409702301025408</c:v>
                </c:pt>
                <c:pt idx="37">
                  <c:v>8.4951896667480504</c:v>
                </c:pt>
                <c:pt idx="38">
                  <c:v>9.4794197082519496</c:v>
                </c:pt>
                <c:pt idx="39">
                  <c:v>9.4873800277709996</c:v>
                </c:pt>
                <c:pt idx="40">
                  <c:v>12.9820098876953</c:v>
                </c:pt>
              </c:numCache>
            </c:numRef>
          </c:val>
          <c:smooth val="0"/>
          <c:extLst>
            <c:ext xmlns:c16="http://schemas.microsoft.com/office/drawing/2014/chart" uri="{C3380CC4-5D6E-409C-BE32-E72D297353CC}">
              <c16:uniqueId val="{00000009-95B6-4CED-9B38-4FEE237C5F36}"/>
            </c:ext>
          </c:extLst>
        </c:ser>
        <c:dLbls>
          <c:showLegendKey val="0"/>
          <c:showVal val="0"/>
          <c:showCatName val="0"/>
          <c:showSerName val="0"/>
          <c:showPercent val="0"/>
          <c:showBubbleSize val="0"/>
        </c:dLbls>
        <c:hiLowLines>
          <c:spPr>
            <a:ln w="9525" cap="flat" cmpd="sng" algn="ctr">
              <a:solidFill>
                <a:srgbClr val="FF0000"/>
              </a:solidFill>
              <a:round/>
              <a:headEnd type="none"/>
            </a:ln>
            <a:effectLst/>
          </c:spPr>
        </c:hiLowLines>
        <c:marker val="1"/>
        <c:smooth val="0"/>
        <c:axId val="456250672"/>
        <c:axId val="739447352"/>
      </c:lineChart>
      <c:catAx>
        <c:axId val="456250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39447352"/>
        <c:crosses val="autoZero"/>
        <c:auto val="1"/>
        <c:lblAlgn val="ctr"/>
        <c:lblOffset val="100"/>
        <c:noMultiLvlLbl val="0"/>
      </c:catAx>
      <c:valAx>
        <c:axId val="739447352"/>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250672"/>
        <c:crosses val="autoZero"/>
        <c:crossBetween val="between"/>
      </c:valAx>
      <c:spPr>
        <a:noFill/>
        <a:ln>
          <a:noFill/>
        </a:ln>
        <a:effectLst/>
      </c:spPr>
    </c:plotArea>
    <c:legend>
      <c:legendPos val="b"/>
      <c:legendEntry>
        <c:idx val="2"/>
        <c:delete val="1"/>
      </c:legendEntry>
      <c:layout>
        <c:manualLayout>
          <c:xMode val="edge"/>
          <c:yMode val="edge"/>
          <c:x val="0.15168360920829171"/>
          <c:y val="6.076321920434103E-2"/>
          <c:w val="0.48690215580637558"/>
          <c:h val="0.201721077000206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961067863111889"/>
          <c:y val="0.12610929472209248"/>
          <c:w val="0.75044607505787086"/>
          <c:h val="0.64351414270320362"/>
        </c:manualLayout>
      </c:layout>
      <c:barChart>
        <c:barDir val="col"/>
        <c:grouping val="clustered"/>
        <c:varyColors val="0"/>
        <c:ser>
          <c:idx val="0"/>
          <c:order val="0"/>
          <c:tx>
            <c:strRef>
              <c:f>'Fig30'!$A$7</c:f>
              <c:strCache>
                <c:ptCount val="1"/>
                <c:pt idx="0">
                  <c:v>Basic Education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'Fig30'!$B$6:$G$6</c:f>
              <c:numCache>
                <c:formatCode>General</c:formatCode>
                <c:ptCount val="5"/>
                <c:pt idx="0">
                  <c:v>2011</c:v>
                </c:pt>
                <c:pt idx="1">
                  <c:v>2012</c:v>
                </c:pt>
                <c:pt idx="2">
                  <c:v>2013</c:v>
                </c:pt>
                <c:pt idx="3">
                  <c:v>2014</c:v>
                </c:pt>
                <c:pt idx="4">
                  <c:v>2015</c:v>
                </c:pt>
              </c:numCache>
            </c:numRef>
          </c:cat>
          <c:val>
            <c:numRef>
              <c:f>'Fig30'!$B$7:$G$7</c:f>
              <c:numCache>
                <c:formatCode>_(* #,##0_);_(* \(#,##0\);_(* "-"??_);_(@_)</c:formatCode>
                <c:ptCount val="5"/>
                <c:pt idx="0">
                  <c:v>2544.2690392449967</c:v>
                </c:pt>
                <c:pt idx="1">
                  <c:v>2512.2479367511419</c:v>
                </c:pt>
                <c:pt idx="2">
                  <c:v>2925.4343379834177</c:v>
                </c:pt>
                <c:pt idx="3">
                  <c:v>3104.6571738553253</c:v>
                </c:pt>
                <c:pt idx="4">
                  <c:v>3498.6906989956801</c:v>
                </c:pt>
              </c:numCache>
            </c:numRef>
          </c:val>
          <c:extLst>
            <c:ext xmlns:c16="http://schemas.microsoft.com/office/drawing/2014/chart" uri="{C3380CC4-5D6E-409C-BE32-E72D297353CC}">
              <c16:uniqueId val="{00000000-D5F6-45A7-A083-D0114F2753DA}"/>
            </c:ext>
          </c:extLst>
        </c:ser>
        <c:dLbls>
          <c:showLegendKey val="0"/>
          <c:showVal val="0"/>
          <c:showCatName val="0"/>
          <c:showSerName val="0"/>
          <c:showPercent val="0"/>
          <c:showBubbleSize val="0"/>
        </c:dLbls>
        <c:gapWidth val="247"/>
        <c:axId val="669812032"/>
        <c:axId val="669812424"/>
      </c:barChart>
      <c:lineChart>
        <c:grouping val="standard"/>
        <c:varyColors val="0"/>
        <c:ser>
          <c:idx val="1"/>
          <c:order val="1"/>
          <c:tx>
            <c:strRef>
              <c:f>'Fig30'!$A$8</c:f>
              <c:strCache>
                <c:ptCount val="1"/>
                <c:pt idx="0">
                  <c:v>Secondary Education</c:v>
                </c:pt>
              </c:strCache>
            </c:strRef>
          </c:tx>
          <c:spPr>
            <a:ln w="22225" cap="rnd">
              <a:solidFill>
                <a:schemeClr val="accent2"/>
              </a:solidFill>
              <a:round/>
            </a:ln>
            <a:effectLst/>
          </c:spPr>
          <c:marker>
            <c:symbol val="circle"/>
            <c:size val="6"/>
            <c:spPr>
              <a:solidFill>
                <a:schemeClr val="lt1"/>
              </a:solidFill>
              <a:ln w="1587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'Fig30'!$B$6:$G$6</c:f>
              <c:numCache>
                <c:formatCode>General</c:formatCode>
                <c:ptCount val="5"/>
                <c:pt idx="0">
                  <c:v>2011</c:v>
                </c:pt>
                <c:pt idx="1">
                  <c:v>2012</c:v>
                </c:pt>
                <c:pt idx="2">
                  <c:v>2013</c:v>
                </c:pt>
                <c:pt idx="3">
                  <c:v>2014</c:v>
                </c:pt>
                <c:pt idx="4">
                  <c:v>2015</c:v>
                </c:pt>
              </c:numCache>
            </c:numRef>
          </c:cat>
          <c:val>
            <c:numRef>
              <c:f>'Fig30'!$B$8:$G$8</c:f>
              <c:numCache>
                <c:formatCode>_(* #,##0_);_(* \(#,##0\);_(* "-"??_);_(@_)</c:formatCode>
                <c:ptCount val="5"/>
                <c:pt idx="0">
                  <c:v>2768.3813237237914</c:v>
                </c:pt>
                <c:pt idx="1">
                  <c:v>3074.773962960061</c:v>
                </c:pt>
                <c:pt idx="2">
                  <c:v>3289.529790168559</c:v>
                </c:pt>
                <c:pt idx="3">
                  <c:v>3553.5067743378618</c:v>
                </c:pt>
                <c:pt idx="4">
                  <c:v>4811.9490572078385</c:v>
                </c:pt>
              </c:numCache>
            </c:numRef>
          </c:val>
          <c:smooth val="0"/>
          <c:extLst>
            <c:ext xmlns:c16="http://schemas.microsoft.com/office/drawing/2014/chart" uri="{C3380CC4-5D6E-409C-BE32-E72D297353CC}">
              <c16:uniqueId val="{00000001-D5F6-45A7-A083-D0114F2753DA}"/>
            </c:ext>
          </c:extLst>
        </c:ser>
        <c:ser>
          <c:idx val="2"/>
          <c:order val="2"/>
          <c:tx>
            <c:strRef>
              <c:f>'Fig30'!$A$9</c:f>
              <c:strCache>
                <c:ptCount val="1"/>
                <c:pt idx="0">
                  <c:v>Post-secondary</c:v>
                </c:pt>
              </c:strCache>
            </c:strRef>
          </c:tx>
          <c:spPr>
            <a:ln w="22225" cap="rnd">
              <a:solidFill>
                <a:schemeClr val="accent3"/>
              </a:solidFill>
              <a:round/>
            </a:ln>
            <a:effectLst/>
          </c:spPr>
          <c:marker>
            <c:symbol val="circle"/>
            <c:size val="6"/>
            <c:spPr>
              <a:solidFill>
                <a:schemeClr val="lt1"/>
              </a:solidFill>
              <a:ln w="1587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'Fig30'!$B$6:$G$6</c:f>
              <c:numCache>
                <c:formatCode>General</c:formatCode>
                <c:ptCount val="5"/>
                <c:pt idx="0">
                  <c:v>2011</c:v>
                </c:pt>
                <c:pt idx="1">
                  <c:v>2012</c:v>
                </c:pt>
                <c:pt idx="2">
                  <c:v>2013</c:v>
                </c:pt>
                <c:pt idx="3">
                  <c:v>2014</c:v>
                </c:pt>
                <c:pt idx="4">
                  <c:v>2015</c:v>
                </c:pt>
              </c:numCache>
            </c:numRef>
          </c:cat>
          <c:val>
            <c:numRef>
              <c:f>'Fig30'!$B$9:$G$9</c:f>
              <c:numCache>
                <c:formatCode>_(* #,##0_);_(* \(#,##0\);_(* "-"??_);_(@_)</c:formatCode>
                <c:ptCount val="5"/>
                <c:pt idx="0">
                  <c:v>8943.829598231956</c:v>
                </c:pt>
                <c:pt idx="1">
                  <c:v>12072.256191102344</c:v>
                </c:pt>
                <c:pt idx="2">
                  <c:v>13096.457422503032</c:v>
                </c:pt>
                <c:pt idx="3">
                  <c:v>17815.168130165293</c:v>
                </c:pt>
                <c:pt idx="4">
                  <c:v>18762.496558511004</c:v>
                </c:pt>
              </c:numCache>
            </c:numRef>
          </c:val>
          <c:smooth val="0"/>
          <c:extLst>
            <c:ext xmlns:c16="http://schemas.microsoft.com/office/drawing/2014/chart" uri="{C3380CC4-5D6E-409C-BE32-E72D297353CC}">
              <c16:uniqueId val="{00000002-D5F6-45A7-A083-D0114F2753DA}"/>
            </c:ext>
          </c:extLst>
        </c:ser>
        <c:dLbls>
          <c:showLegendKey val="0"/>
          <c:showVal val="0"/>
          <c:showCatName val="0"/>
          <c:showSerName val="0"/>
          <c:showPercent val="0"/>
          <c:showBubbleSize val="0"/>
        </c:dLbls>
        <c:marker val="1"/>
        <c:smooth val="0"/>
        <c:axId val="669812032"/>
        <c:axId val="669812424"/>
      </c:lineChart>
      <c:catAx>
        <c:axId val="669812032"/>
        <c:scaling>
          <c:orientation val="minMax"/>
        </c:scaling>
        <c:delete val="0"/>
        <c:axPos val="b"/>
        <c:majorGridlines>
          <c:spPr>
            <a:ln w="9525" cap="flat" cmpd="sng" algn="ctr">
              <a:no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69812424"/>
        <c:crosses val="autoZero"/>
        <c:auto val="1"/>
        <c:lblAlgn val="ctr"/>
        <c:lblOffset val="100"/>
        <c:noMultiLvlLbl val="0"/>
      </c:catAx>
      <c:valAx>
        <c:axId val="669812424"/>
        <c:scaling>
          <c:orientation val="minMax"/>
        </c:scaling>
        <c:delete val="0"/>
        <c:axPos val="l"/>
        <c:majorGridlines>
          <c:spPr>
            <a:ln w="9525" cap="flat" cmpd="sng" algn="ctr">
              <a:no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69812032"/>
        <c:crosses val="autoZero"/>
        <c:crossBetween val="between"/>
      </c:valAx>
      <c:spPr>
        <a:noFill/>
        <a:ln>
          <a:noFill/>
        </a:ln>
        <a:effectLst/>
      </c:spPr>
    </c:plotArea>
    <c:legend>
      <c:legendPos val="b"/>
      <c:layout>
        <c:manualLayout>
          <c:xMode val="edge"/>
          <c:yMode val="edge"/>
          <c:x val="0"/>
          <c:y val="0.83697944796611612"/>
          <c:w val="0.97030825743830829"/>
          <c:h val="0.13594473975951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457194176987823"/>
          <c:y val="5.2468399713808726E-2"/>
          <c:w val="0.79679852684196972"/>
          <c:h val="0.73182751154436254"/>
        </c:manualLayout>
      </c:layout>
      <c:barChart>
        <c:barDir val="col"/>
        <c:grouping val="clustered"/>
        <c:varyColors val="0"/>
        <c:ser>
          <c:idx val="0"/>
          <c:order val="0"/>
          <c:tx>
            <c:strRef>
              <c:f>'Fig30'!$E$52</c:f>
              <c:strCache>
                <c:ptCount val="1"/>
                <c:pt idx="0">
                  <c:v>Basic Education</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'Fig30'!$D$53:$D$57</c:f>
              <c:numCache>
                <c:formatCode>General</c:formatCode>
                <c:ptCount val="5"/>
                <c:pt idx="0">
                  <c:v>2011</c:v>
                </c:pt>
                <c:pt idx="1">
                  <c:v>2012</c:v>
                </c:pt>
                <c:pt idx="2">
                  <c:v>2013</c:v>
                </c:pt>
                <c:pt idx="3">
                  <c:v>2014</c:v>
                </c:pt>
                <c:pt idx="4" formatCode="_(* #,##0_);_(* \(#,##0\);_(* &quot;-&quot;??_);_(@_)">
                  <c:v>2015</c:v>
                </c:pt>
              </c:numCache>
            </c:numRef>
          </c:cat>
          <c:val>
            <c:numRef>
              <c:f>'Fig30'!$E$53:$E$57</c:f>
              <c:numCache>
                <c:formatCode>0%</c:formatCode>
                <c:ptCount val="5"/>
                <c:pt idx="0">
                  <c:v>0.16704387887597993</c:v>
                </c:pt>
                <c:pt idx="1">
                  <c:v>0.15509043401295056</c:v>
                </c:pt>
                <c:pt idx="2">
                  <c:v>0.16805574055221917</c:v>
                </c:pt>
                <c:pt idx="3">
                  <c:v>0.16893371618253877</c:v>
                </c:pt>
                <c:pt idx="4">
                  <c:v>0.17119878862026119</c:v>
                </c:pt>
              </c:numCache>
            </c:numRef>
          </c:val>
          <c:extLst>
            <c:ext xmlns:c16="http://schemas.microsoft.com/office/drawing/2014/chart" uri="{C3380CC4-5D6E-409C-BE32-E72D297353CC}">
              <c16:uniqueId val="{00000000-C553-41F3-9CDA-0CCA6D16D1CB}"/>
            </c:ext>
          </c:extLst>
        </c:ser>
        <c:ser>
          <c:idx val="1"/>
          <c:order val="1"/>
          <c:tx>
            <c:strRef>
              <c:f>'Fig30'!$F$52</c:f>
              <c:strCache>
                <c:ptCount val="1"/>
                <c:pt idx="0">
                  <c:v>Secondary Education</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'Fig30'!$D$53:$D$57</c:f>
              <c:numCache>
                <c:formatCode>General</c:formatCode>
                <c:ptCount val="5"/>
                <c:pt idx="0">
                  <c:v>2011</c:v>
                </c:pt>
                <c:pt idx="1">
                  <c:v>2012</c:v>
                </c:pt>
                <c:pt idx="2">
                  <c:v>2013</c:v>
                </c:pt>
                <c:pt idx="3">
                  <c:v>2014</c:v>
                </c:pt>
                <c:pt idx="4" formatCode="_(* #,##0_);_(* \(#,##0\);_(* &quot;-&quot;??_);_(@_)">
                  <c:v>2015</c:v>
                </c:pt>
              </c:numCache>
            </c:numRef>
          </c:cat>
          <c:val>
            <c:numRef>
              <c:f>'Fig30'!$F$53:$F$57</c:f>
              <c:numCache>
                <c:formatCode>0%</c:formatCode>
                <c:ptCount val="5"/>
                <c:pt idx="0">
                  <c:v>0.18175796167368757</c:v>
                </c:pt>
                <c:pt idx="1">
                  <c:v>0.18981726342818103</c:v>
                </c:pt>
                <c:pt idx="2">
                  <c:v>0.18897172217389105</c:v>
                </c:pt>
                <c:pt idx="3">
                  <c:v>0.19335697027162169</c:v>
                </c:pt>
                <c:pt idx="4">
                  <c:v>0.2354594676611072</c:v>
                </c:pt>
              </c:numCache>
            </c:numRef>
          </c:val>
          <c:extLst>
            <c:ext xmlns:c16="http://schemas.microsoft.com/office/drawing/2014/chart" uri="{C3380CC4-5D6E-409C-BE32-E72D297353CC}">
              <c16:uniqueId val="{00000001-C553-41F3-9CDA-0CCA6D16D1CB}"/>
            </c:ext>
          </c:extLst>
        </c:ser>
        <c:ser>
          <c:idx val="2"/>
          <c:order val="2"/>
          <c:tx>
            <c:strRef>
              <c:f>'Fig30'!$G$52</c:f>
              <c:strCache>
                <c:ptCount val="1"/>
                <c:pt idx="0">
                  <c:v>Post-secondary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'Fig30'!$D$53:$D$57</c:f>
              <c:numCache>
                <c:formatCode>General</c:formatCode>
                <c:ptCount val="5"/>
                <c:pt idx="0">
                  <c:v>2011</c:v>
                </c:pt>
                <c:pt idx="1">
                  <c:v>2012</c:v>
                </c:pt>
                <c:pt idx="2">
                  <c:v>2013</c:v>
                </c:pt>
                <c:pt idx="3">
                  <c:v>2014</c:v>
                </c:pt>
                <c:pt idx="4" formatCode="_(* #,##0_);_(* \(#,##0\);_(* &quot;-&quot;??_);_(@_)">
                  <c:v>2015</c:v>
                </c:pt>
              </c:numCache>
            </c:numRef>
          </c:cat>
          <c:val>
            <c:numRef>
              <c:f>'Fig30'!$G$53:$G$57</c:f>
              <c:numCache>
                <c:formatCode>0%</c:formatCode>
                <c:ptCount val="5"/>
                <c:pt idx="0">
                  <c:v>0.58720676353386203</c:v>
                </c:pt>
                <c:pt idx="1">
                  <c:v>0.74526539550664461</c:v>
                </c:pt>
                <c:pt idx="2">
                  <c:v>0.75234464235711385</c:v>
                </c:pt>
                <c:pt idx="3">
                  <c:v>0.96937677434713043</c:v>
                </c:pt>
                <c:pt idx="4">
                  <c:v>1.1100000000000001</c:v>
                </c:pt>
              </c:numCache>
            </c:numRef>
          </c:val>
          <c:extLst>
            <c:ext xmlns:c16="http://schemas.microsoft.com/office/drawing/2014/chart" uri="{C3380CC4-5D6E-409C-BE32-E72D297353CC}">
              <c16:uniqueId val="{00000002-C553-41F3-9CDA-0CCA6D16D1CB}"/>
            </c:ext>
          </c:extLst>
        </c:ser>
        <c:dLbls>
          <c:showLegendKey val="0"/>
          <c:showVal val="0"/>
          <c:showCatName val="0"/>
          <c:showSerName val="0"/>
          <c:showPercent val="0"/>
          <c:showBubbleSize val="0"/>
        </c:dLbls>
        <c:gapWidth val="219"/>
        <c:overlap val="-27"/>
        <c:axId val="456243224"/>
        <c:axId val="456243616"/>
      </c:barChart>
      <c:catAx>
        <c:axId val="45624322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243616"/>
        <c:crosses val="autoZero"/>
        <c:auto val="1"/>
        <c:lblAlgn val="ctr"/>
        <c:lblOffset val="100"/>
        <c:noMultiLvlLbl val="0"/>
      </c:catAx>
      <c:valAx>
        <c:axId val="456243616"/>
        <c:scaling>
          <c:orientation val="minMax"/>
          <c:max val="1.150000000000000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243224"/>
        <c:crosses val="autoZero"/>
        <c:crossBetween val="between"/>
      </c:valAx>
      <c:spPr>
        <a:noFill/>
        <a:ln>
          <a:noFill/>
        </a:ln>
        <a:effectLst/>
      </c:spPr>
    </c:plotArea>
    <c:legend>
      <c:legendPos val="b"/>
      <c:layout>
        <c:manualLayout>
          <c:xMode val="edge"/>
          <c:yMode val="edge"/>
          <c:x val="2.4328341583296789E-2"/>
          <c:y val="0.85907447025717065"/>
          <c:w val="0.85850512054693429"/>
          <c:h val="0.113868032561318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2.6013394430736678E-2"/>
          <c:y val="2.3499001292445073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47339055413570491"/>
          <c:y val="3.310269156080551E-2"/>
          <c:w val="0.44735991490744709"/>
          <c:h val="0.90956104050617204"/>
        </c:manualLayout>
      </c:layout>
      <c:barChart>
        <c:barDir val="bar"/>
        <c:grouping val="clustered"/>
        <c:varyColors val="0"/>
        <c:ser>
          <c:idx val="0"/>
          <c:order val="0"/>
          <c:tx>
            <c:strRef>
              <c:f>'Fig31'!$B$2</c:f>
              <c:strCache>
                <c:ptCount val="1"/>
                <c:pt idx="0">
                  <c:v>Primary</c:v>
                </c:pt>
              </c:strCache>
            </c:strRef>
          </c:tx>
          <c:spPr>
            <a:solidFill>
              <a:schemeClr val="accent1"/>
            </a:solidFill>
            <a:ln>
              <a:noFill/>
            </a:ln>
            <a:effectLst/>
          </c:spPr>
          <c:invertIfNegative val="0"/>
          <c:dPt>
            <c:idx val="13"/>
            <c:invertIfNegative val="0"/>
            <c:bubble3D val="0"/>
            <c:spPr>
              <a:solidFill>
                <a:srgbClr val="FF0000"/>
              </a:solidFill>
              <a:ln>
                <a:noFill/>
              </a:ln>
              <a:effectLst/>
            </c:spPr>
            <c:extLst>
              <c:ext xmlns:c16="http://schemas.microsoft.com/office/drawing/2014/chart" uri="{C3380CC4-5D6E-409C-BE32-E72D297353CC}">
                <c16:uniqueId val="{00000003-0B34-4FF0-AB6B-B349EBDB0418}"/>
              </c:ext>
            </c:extLst>
          </c:dPt>
          <c:dPt>
            <c:idx val="18"/>
            <c:invertIfNegative val="0"/>
            <c:bubble3D val="0"/>
            <c:spPr>
              <a:solidFill>
                <a:srgbClr val="FF0000"/>
              </a:solidFill>
              <a:ln>
                <a:noFill/>
              </a:ln>
              <a:effectLst/>
            </c:spPr>
            <c:extLst>
              <c:ext xmlns:c16="http://schemas.microsoft.com/office/drawing/2014/chart" uri="{C3380CC4-5D6E-409C-BE32-E72D297353CC}">
                <c16:uniqueId val="{00000002-0B34-4FF0-AB6B-B349EBDB0418}"/>
              </c:ext>
            </c:extLst>
          </c:dPt>
          <c:dPt>
            <c:idx val="22"/>
            <c:invertIfNegative val="0"/>
            <c:bubble3D val="0"/>
            <c:spPr>
              <a:solidFill>
                <a:schemeClr val="accent1"/>
              </a:solidFill>
              <a:ln>
                <a:noFill/>
              </a:ln>
              <a:effectLst/>
            </c:spPr>
            <c:extLst>
              <c:ext xmlns:c16="http://schemas.microsoft.com/office/drawing/2014/chart" uri="{C3380CC4-5D6E-409C-BE32-E72D297353CC}">
                <c16:uniqueId val="{00000001-CC87-41DF-85EE-3DED2316C7AF}"/>
              </c:ext>
            </c:extLst>
          </c:dPt>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'Fig31'!$A$3:$A$26</c:f>
              <c:strCache>
                <c:ptCount val="24"/>
                <c:pt idx="0">
                  <c:v>Chad</c:v>
                </c:pt>
                <c:pt idx="1">
                  <c:v>Cameroon</c:v>
                </c:pt>
                <c:pt idx="2">
                  <c:v>Uganda</c:v>
                </c:pt>
                <c:pt idx="3">
                  <c:v>Madagascar</c:v>
                </c:pt>
                <c:pt idx="4">
                  <c:v>Rwanda</c:v>
                </c:pt>
                <c:pt idx="5">
                  <c:v>DRC</c:v>
                </c:pt>
                <c:pt idx="6">
                  <c:v>Seychelles</c:v>
                </c:pt>
                <c:pt idx="7">
                  <c:v>Ghana</c:v>
                </c:pt>
                <c:pt idx="8">
                  <c:v>Mauritania</c:v>
                </c:pt>
                <c:pt idx="9">
                  <c:v>Guinea</c:v>
                </c:pt>
                <c:pt idx="10">
                  <c:v>Benin</c:v>
                </c:pt>
                <c:pt idx="11">
                  <c:v>Burundi</c:v>
                </c:pt>
                <c:pt idx="12">
                  <c:v>Sao T&amp;P</c:v>
                </c:pt>
                <c:pt idx="13">
                  <c:v>SSA average</c:v>
                </c:pt>
                <c:pt idx="14">
                  <c:v>Mali</c:v>
                </c:pt>
                <c:pt idx="15">
                  <c:v>Mauritius</c:v>
                </c:pt>
                <c:pt idx="16">
                  <c:v>Malawi</c:v>
                </c:pt>
                <c:pt idx="17">
                  <c:v>Cabo Verde</c:v>
                </c:pt>
                <c:pt idx="18">
                  <c:v>The Gambia</c:v>
                </c:pt>
                <c:pt idx="19">
                  <c:v>Mozambique</c:v>
                </c:pt>
                <c:pt idx="20">
                  <c:v>South Africa</c:v>
                </c:pt>
                <c:pt idx="21">
                  <c:v>Burkina Faso</c:v>
                </c:pt>
                <c:pt idx="22">
                  <c:v>Cote d'Ivoire</c:v>
                </c:pt>
                <c:pt idx="23">
                  <c:v>Niger</c:v>
                </c:pt>
              </c:strCache>
            </c:strRef>
          </c:cat>
          <c:val>
            <c:numRef>
              <c:f>'Fig31'!$B$3:$B$26</c:f>
              <c:numCache>
                <c:formatCode>0</c:formatCode>
                <c:ptCount val="24"/>
                <c:pt idx="0">
                  <c:v>5.7513399999999999</c:v>
                </c:pt>
                <c:pt idx="1">
                  <c:v>6.0513399999999997</c:v>
                </c:pt>
                <c:pt idx="2">
                  <c:v>6.3419299999999996</c:v>
                </c:pt>
                <c:pt idx="3">
                  <c:v>6.5510299999999999</c:v>
                </c:pt>
                <c:pt idx="4">
                  <c:v>7.2210999999999999</c:v>
                </c:pt>
                <c:pt idx="5">
                  <c:v>7.4078900000000001</c:v>
                </c:pt>
                <c:pt idx="6">
                  <c:v>8.6898499999999999</c:v>
                </c:pt>
                <c:pt idx="7">
                  <c:v>9.3873099999999994</c:v>
                </c:pt>
                <c:pt idx="8">
                  <c:v>9.6762599999999992</c:v>
                </c:pt>
                <c:pt idx="9">
                  <c:v>10.01868</c:v>
                </c:pt>
                <c:pt idx="10">
                  <c:v>11.66128</c:v>
                </c:pt>
                <c:pt idx="11">
                  <c:v>12.438560000000001</c:v>
                </c:pt>
                <c:pt idx="12">
                  <c:v>12.507619999999999</c:v>
                </c:pt>
                <c:pt idx="13" formatCode="_(* #,##0_);_(* \(#,##0\);_(* &quot;-&quot;??_);_(@_)">
                  <c:v>12.5918763636364</c:v>
                </c:pt>
                <c:pt idx="14">
                  <c:v>13.530150000000001</c:v>
                </c:pt>
                <c:pt idx="15">
                  <c:v>13.53424</c:v>
                </c:pt>
                <c:pt idx="16">
                  <c:v>13.592449999999999</c:v>
                </c:pt>
                <c:pt idx="17">
                  <c:v>14.243499999999999</c:v>
                </c:pt>
                <c:pt idx="18">
                  <c:v>15.231201855252351</c:v>
                </c:pt>
                <c:pt idx="19">
                  <c:v>15.459519999999999</c:v>
                </c:pt>
                <c:pt idx="20">
                  <c:v>17.681139999999999</c:v>
                </c:pt>
                <c:pt idx="21">
                  <c:v>18.579999999999998</c:v>
                </c:pt>
                <c:pt idx="22">
                  <c:v>20</c:v>
                </c:pt>
                <c:pt idx="23">
                  <c:v>28.792269999999998</c:v>
                </c:pt>
              </c:numCache>
            </c:numRef>
          </c:val>
          <c:extLst>
            <c:ext xmlns:c16="http://schemas.microsoft.com/office/drawing/2014/chart" uri="{C3380CC4-5D6E-409C-BE32-E72D297353CC}">
              <c16:uniqueId val="{00000002-CC87-41DF-85EE-3DED2316C7AF}"/>
            </c:ext>
          </c:extLst>
        </c:ser>
        <c:dLbls>
          <c:showLegendKey val="0"/>
          <c:showVal val="0"/>
          <c:showCatName val="0"/>
          <c:showSerName val="0"/>
          <c:showPercent val="0"/>
          <c:showBubbleSize val="0"/>
        </c:dLbls>
        <c:gapWidth val="182"/>
        <c:axId val="451193400"/>
        <c:axId val="451193008"/>
      </c:barChart>
      <c:catAx>
        <c:axId val="451193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51193008"/>
        <c:crosses val="autoZero"/>
        <c:auto val="1"/>
        <c:lblAlgn val="ctr"/>
        <c:lblOffset val="100"/>
        <c:noMultiLvlLbl val="0"/>
      </c:catAx>
      <c:valAx>
        <c:axId val="451193008"/>
        <c:scaling>
          <c:orientation val="minMax"/>
          <c:max val="30"/>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51193400"/>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4.0798980025499093E-3"/>
          <c:y val="3.2367697038355723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49366163483708181"/>
          <c:y val="5.2496537563800835E-2"/>
          <c:w val="0.42087333643430569"/>
          <c:h val="0.89043515317042932"/>
        </c:manualLayout>
      </c:layout>
      <c:barChart>
        <c:barDir val="bar"/>
        <c:grouping val="clustered"/>
        <c:varyColors val="0"/>
        <c:ser>
          <c:idx val="0"/>
          <c:order val="0"/>
          <c:tx>
            <c:strRef>
              <c:f>'Fig31'!$E$2</c:f>
              <c:strCache>
                <c:ptCount val="1"/>
                <c:pt idx="0">
                  <c:v>Secondary</c:v>
                </c:pt>
              </c:strCache>
            </c:strRef>
          </c:tx>
          <c:spPr>
            <a:solidFill>
              <a:schemeClr val="accent1"/>
            </a:solidFill>
            <a:ln>
              <a:noFill/>
            </a:ln>
            <a:effectLst/>
          </c:spPr>
          <c:invertIfNegative val="0"/>
          <c:dPt>
            <c:idx val="15"/>
            <c:invertIfNegative val="0"/>
            <c:bubble3D val="0"/>
            <c:spPr>
              <a:solidFill>
                <a:srgbClr val="FF0000"/>
              </a:solidFill>
              <a:ln>
                <a:noFill/>
              </a:ln>
              <a:effectLst/>
            </c:spPr>
            <c:extLst>
              <c:ext xmlns:c16="http://schemas.microsoft.com/office/drawing/2014/chart" uri="{C3380CC4-5D6E-409C-BE32-E72D297353CC}">
                <c16:uniqueId val="{00000002-B77A-4C51-9370-F76A9068D46A}"/>
              </c:ext>
            </c:extLst>
          </c:dPt>
          <c:dPt>
            <c:idx val="21"/>
            <c:invertIfNegative val="0"/>
            <c:bubble3D val="0"/>
            <c:spPr>
              <a:solidFill>
                <a:schemeClr val="accent1"/>
              </a:solidFill>
              <a:ln>
                <a:noFill/>
              </a:ln>
              <a:effectLst/>
            </c:spPr>
            <c:extLst>
              <c:ext xmlns:c16="http://schemas.microsoft.com/office/drawing/2014/chart" uri="{C3380CC4-5D6E-409C-BE32-E72D297353CC}">
                <c16:uniqueId val="{00000001-C9C6-49F4-B08F-D71E74F46A49}"/>
              </c:ext>
            </c:extLst>
          </c:dPt>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'Fig31'!$D$3:$D$26</c:f>
              <c:strCache>
                <c:ptCount val="24"/>
                <c:pt idx="0">
                  <c:v>DRC</c:v>
                </c:pt>
                <c:pt idx="1">
                  <c:v>Seychelles</c:v>
                </c:pt>
                <c:pt idx="2">
                  <c:v>Madagascar</c:v>
                </c:pt>
                <c:pt idx="3">
                  <c:v>Sao T&amp;P</c:v>
                </c:pt>
                <c:pt idx="4">
                  <c:v>Guinea</c:v>
                </c:pt>
                <c:pt idx="5">
                  <c:v>Benin</c:v>
                </c:pt>
                <c:pt idx="6">
                  <c:v>Burkina Faso</c:v>
                </c:pt>
                <c:pt idx="7">
                  <c:v>Cabo Verde</c:v>
                </c:pt>
                <c:pt idx="8">
                  <c:v>Mauritania</c:v>
                </c:pt>
                <c:pt idx="9">
                  <c:v>South Africa</c:v>
                </c:pt>
                <c:pt idx="10">
                  <c:v>Uganda</c:v>
                </c:pt>
                <c:pt idx="11">
                  <c:v>Cameroon</c:v>
                </c:pt>
                <c:pt idx="12">
                  <c:v>Chad</c:v>
                </c:pt>
                <c:pt idx="13">
                  <c:v>SSA average</c:v>
                </c:pt>
                <c:pt idx="14">
                  <c:v>Mali</c:v>
                </c:pt>
                <c:pt idx="15">
                  <c:v>The Gambia</c:v>
                </c:pt>
                <c:pt idx="16">
                  <c:v>Mauritius</c:v>
                </c:pt>
                <c:pt idx="17">
                  <c:v>Burundi</c:v>
                </c:pt>
                <c:pt idx="18">
                  <c:v>Malawi</c:v>
                </c:pt>
                <c:pt idx="19">
                  <c:v>Ghana</c:v>
                </c:pt>
                <c:pt idx="20">
                  <c:v>Rwanda</c:v>
                </c:pt>
                <c:pt idx="21">
                  <c:v>Cote d'Ivoire</c:v>
                </c:pt>
                <c:pt idx="22">
                  <c:v>Mozambique</c:v>
                </c:pt>
                <c:pt idx="23">
                  <c:v>Niger</c:v>
                </c:pt>
              </c:strCache>
            </c:strRef>
          </c:cat>
          <c:val>
            <c:numRef>
              <c:f>'Fig31'!$E$3:$E$26</c:f>
              <c:numCache>
                <c:formatCode>0</c:formatCode>
                <c:ptCount val="24"/>
                <c:pt idx="0">
                  <c:v>5.44665</c:v>
                </c:pt>
                <c:pt idx="1">
                  <c:v>6.7478499999999997</c:v>
                </c:pt>
                <c:pt idx="2">
                  <c:v>8.3861799999999995</c:v>
                </c:pt>
                <c:pt idx="3">
                  <c:v>9.0139399999999998</c:v>
                </c:pt>
                <c:pt idx="4">
                  <c:v>9.8918800000000005</c:v>
                </c:pt>
                <c:pt idx="5">
                  <c:v>14.88026</c:v>
                </c:pt>
                <c:pt idx="6">
                  <c:v>15.24179</c:v>
                </c:pt>
                <c:pt idx="7">
                  <c:v>16.248249999999999</c:v>
                </c:pt>
                <c:pt idx="8">
                  <c:v>17.359940000000002</c:v>
                </c:pt>
                <c:pt idx="9">
                  <c:v>19.014800000000001</c:v>
                </c:pt>
                <c:pt idx="10">
                  <c:v>19.44257</c:v>
                </c:pt>
                <c:pt idx="11">
                  <c:v>19.736090000000001</c:v>
                </c:pt>
                <c:pt idx="12">
                  <c:v>20.879480000000001</c:v>
                </c:pt>
                <c:pt idx="13" formatCode="_(* #,##0_);_(* \(#,##0\);_(* &quot;-&quot;??_);_(@_)">
                  <c:v>22.142856666666699</c:v>
                </c:pt>
                <c:pt idx="14">
                  <c:v>24.26474</c:v>
                </c:pt>
                <c:pt idx="15">
                  <c:v>27.051485020324566</c:v>
                </c:pt>
                <c:pt idx="16">
                  <c:v>29.15344</c:v>
                </c:pt>
                <c:pt idx="17">
                  <c:v>30.06334</c:v>
                </c:pt>
                <c:pt idx="18">
                  <c:v>30.16442</c:v>
                </c:pt>
                <c:pt idx="19">
                  <c:v>31.61936</c:v>
                </c:pt>
                <c:pt idx="20">
                  <c:v>41.292960000000001</c:v>
                </c:pt>
                <c:pt idx="21">
                  <c:v>58</c:v>
                </c:pt>
                <c:pt idx="22">
                  <c:v>70.028949999999995</c:v>
                </c:pt>
                <c:pt idx="23">
                  <c:v>71.024789999999996</c:v>
                </c:pt>
              </c:numCache>
            </c:numRef>
          </c:val>
          <c:extLst>
            <c:ext xmlns:c16="http://schemas.microsoft.com/office/drawing/2014/chart" uri="{C3380CC4-5D6E-409C-BE32-E72D297353CC}">
              <c16:uniqueId val="{00000002-C9C6-49F4-B08F-D71E74F46A49}"/>
            </c:ext>
          </c:extLst>
        </c:ser>
        <c:dLbls>
          <c:showLegendKey val="0"/>
          <c:showVal val="0"/>
          <c:showCatName val="0"/>
          <c:showSerName val="0"/>
          <c:showPercent val="0"/>
          <c:showBubbleSize val="0"/>
        </c:dLbls>
        <c:gapWidth val="182"/>
        <c:axId val="451192224"/>
        <c:axId val="451196536"/>
      </c:barChart>
      <c:catAx>
        <c:axId val="451192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51196536"/>
        <c:crosses val="autoZero"/>
        <c:auto val="1"/>
        <c:lblAlgn val="ctr"/>
        <c:lblOffset val="100"/>
        <c:noMultiLvlLbl val="0"/>
      </c:catAx>
      <c:valAx>
        <c:axId val="451196536"/>
        <c:scaling>
          <c:orientation val="minMax"/>
          <c:max val="70"/>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51192224"/>
        <c:crosses val="autoZero"/>
        <c:crossBetween val="between"/>
        <c:majorUnit val="3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765037100773691"/>
          <c:y val="6.4951834338480285E-2"/>
          <c:w val="0.50613161496512127"/>
          <c:h val="0.874367046233259"/>
        </c:manualLayout>
      </c:layout>
      <c:barChart>
        <c:barDir val="bar"/>
        <c:grouping val="stacked"/>
        <c:varyColors val="0"/>
        <c:ser>
          <c:idx val="0"/>
          <c:order val="0"/>
          <c:tx>
            <c:strRef>
              <c:f>'Fig31'!$H$2</c:f>
              <c:strCache>
                <c:ptCount val="1"/>
                <c:pt idx="0">
                  <c:v>Tertiary</c:v>
                </c:pt>
              </c:strCache>
            </c:strRef>
          </c:tx>
          <c:spPr>
            <a:solidFill>
              <a:schemeClr val="accent1"/>
            </a:solidFill>
            <a:ln>
              <a:noFill/>
            </a:ln>
            <a:effectLst/>
          </c:spPr>
          <c:invertIfNegative val="0"/>
          <c:dPt>
            <c:idx val="12"/>
            <c:invertIfNegative val="0"/>
            <c:bubble3D val="0"/>
            <c:spPr>
              <a:solidFill>
                <a:srgbClr val="FF0000"/>
              </a:solidFill>
              <a:ln>
                <a:noFill/>
              </a:ln>
              <a:effectLst/>
            </c:spPr>
            <c:extLst>
              <c:ext xmlns:c16="http://schemas.microsoft.com/office/drawing/2014/chart" uri="{C3380CC4-5D6E-409C-BE32-E72D297353CC}">
                <c16:uniqueId val="{00000001-B275-4C1A-9F7F-179E45CDEE70}"/>
              </c:ext>
            </c:extLst>
          </c:dPt>
          <c:dPt>
            <c:idx val="15"/>
            <c:invertIfNegative val="0"/>
            <c:bubble3D val="0"/>
            <c:spPr>
              <a:solidFill>
                <a:srgbClr val="FF0000"/>
              </a:solidFill>
              <a:ln>
                <a:noFill/>
              </a:ln>
              <a:effectLst/>
            </c:spPr>
            <c:extLst>
              <c:ext xmlns:c16="http://schemas.microsoft.com/office/drawing/2014/chart" uri="{C3380CC4-5D6E-409C-BE32-E72D297353CC}">
                <c16:uniqueId val="{00000003-B275-4C1A-9F7F-179E45CDEE70}"/>
              </c:ext>
            </c:extLst>
          </c:dPt>
          <c:dPt>
            <c:idx val="18"/>
            <c:invertIfNegative val="0"/>
            <c:bubble3D val="0"/>
            <c:spPr>
              <a:solidFill>
                <a:schemeClr val="accent1"/>
              </a:solidFill>
              <a:ln>
                <a:noFill/>
              </a:ln>
              <a:effectLst/>
            </c:spPr>
            <c:extLst>
              <c:ext xmlns:c16="http://schemas.microsoft.com/office/drawing/2014/chart" uri="{C3380CC4-5D6E-409C-BE32-E72D297353CC}">
                <c16:uniqueId val="{00000005-B275-4C1A-9F7F-179E45CDEE7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'Fig31'!$G$3:$G$25</c:f>
              <c:strCache>
                <c:ptCount val="23"/>
                <c:pt idx="0">
                  <c:v>Mauritius</c:v>
                </c:pt>
                <c:pt idx="1">
                  <c:v>Cabo Verde</c:v>
                </c:pt>
                <c:pt idx="2">
                  <c:v>South Africa</c:v>
                </c:pt>
                <c:pt idx="3">
                  <c:v>Cameroon</c:v>
                </c:pt>
                <c:pt idx="4">
                  <c:v>Sao T&amp;P</c:v>
                </c:pt>
                <c:pt idx="5">
                  <c:v>Benin</c:v>
                </c:pt>
                <c:pt idx="6">
                  <c:v>DRC</c:v>
                </c:pt>
                <c:pt idx="7">
                  <c:v>Mauritania</c:v>
                </c:pt>
                <c:pt idx="8">
                  <c:v>Uganda</c:v>
                </c:pt>
                <c:pt idx="9">
                  <c:v>Ghana</c:v>
                </c:pt>
                <c:pt idx="10">
                  <c:v>Madagascar</c:v>
                </c:pt>
                <c:pt idx="11">
                  <c:v>Rwanda</c:v>
                </c:pt>
                <c:pt idx="12">
                  <c:v>The Gambia</c:v>
                </c:pt>
                <c:pt idx="13">
                  <c:v>Mali</c:v>
                </c:pt>
                <c:pt idx="14">
                  <c:v>Guinea</c:v>
                </c:pt>
                <c:pt idx="15">
                  <c:v>SSA average</c:v>
                </c:pt>
                <c:pt idx="16">
                  <c:v>Chad</c:v>
                </c:pt>
                <c:pt idx="17">
                  <c:v>Mozambique</c:v>
                </c:pt>
                <c:pt idx="18">
                  <c:v>Cote d'Ivoire</c:v>
                </c:pt>
                <c:pt idx="19">
                  <c:v>Burkina Faso</c:v>
                </c:pt>
                <c:pt idx="20">
                  <c:v>Burundi</c:v>
                </c:pt>
                <c:pt idx="21">
                  <c:v>Seychelles</c:v>
                </c:pt>
                <c:pt idx="22">
                  <c:v>Niger</c:v>
                </c:pt>
              </c:strCache>
            </c:strRef>
          </c:cat>
          <c:val>
            <c:numRef>
              <c:f>'Fig31'!$H$3:$H$25</c:f>
              <c:numCache>
                <c:formatCode>0</c:formatCode>
                <c:ptCount val="23"/>
                <c:pt idx="0">
                  <c:v>10.978949999999999</c:v>
                </c:pt>
                <c:pt idx="1">
                  <c:v>30.421050000000001</c:v>
                </c:pt>
                <c:pt idx="2">
                  <c:v>37.880029999999998</c:v>
                </c:pt>
                <c:pt idx="3">
                  <c:v>39.91574</c:v>
                </c:pt>
                <c:pt idx="4">
                  <c:v>44.16977</c:v>
                </c:pt>
                <c:pt idx="5">
                  <c:v>74.833789999999993</c:v>
                </c:pt>
                <c:pt idx="6">
                  <c:v>75.107060000000004</c:v>
                </c:pt>
                <c:pt idx="7">
                  <c:v>76.673259999999999</c:v>
                </c:pt>
                <c:pt idx="8">
                  <c:v>78.245339999999999</c:v>
                </c:pt>
                <c:pt idx="9">
                  <c:v>85.977860000000007</c:v>
                </c:pt>
                <c:pt idx="10">
                  <c:v>102.60191</c:v>
                </c:pt>
                <c:pt idx="11">
                  <c:v>104.74612</c:v>
                </c:pt>
                <c:pt idx="12" formatCode="_(* #,##0_);_(* \(#,##0\);_(* &quot;-&quot;??_);_(@_)">
                  <c:v>111.18812980797121</c:v>
                </c:pt>
                <c:pt idx="13">
                  <c:v>130.04338000000001</c:v>
                </c:pt>
                <c:pt idx="14">
                  <c:v>131.60576</c:v>
                </c:pt>
                <c:pt idx="15" formatCode="_(* #,##0_);_(* \(#,##0\);_(* &quot;-&quot;??_);_(@_)">
                  <c:v>153</c:v>
                </c:pt>
                <c:pt idx="16">
                  <c:v>182.41175999999999</c:v>
                </c:pt>
                <c:pt idx="17">
                  <c:v>185.45692</c:v>
                </c:pt>
                <c:pt idx="18">
                  <c:v>200</c:v>
                </c:pt>
                <c:pt idx="19">
                  <c:v>224.11600999999999</c:v>
                </c:pt>
                <c:pt idx="20">
                  <c:v>297.08373999999998</c:v>
                </c:pt>
                <c:pt idx="21">
                  <c:v>542.52295000000004</c:v>
                </c:pt>
                <c:pt idx="22">
                  <c:v>600.93035999999995</c:v>
                </c:pt>
              </c:numCache>
            </c:numRef>
          </c:val>
          <c:extLst>
            <c:ext xmlns:c16="http://schemas.microsoft.com/office/drawing/2014/chart" uri="{C3380CC4-5D6E-409C-BE32-E72D297353CC}">
              <c16:uniqueId val="{00000006-B275-4C1A-9F7F-179E45CDEE70}"/>
            </c:ext>
          </c:extLst>
        </c:ser>
        <c:dLbls>
          <c:dLblPos val="ctr"/>
          <c:showLegendKey val="0"/>
          <c:showVal val="1"/>
          <c:showCatName val="0"/>
          <c:showSerName val="0"/>
          <c:showPercent val="0"/>
          <c:showBubbleSize val="0"/>
        </c:dLbls>
        <c:gapWidth val="150"/>
        <c:overlap val="100"/>
        <c:axId val="451195360"/>
        <c:axId val="451195752"/>
      </c:barChart>
      <c:catAx>
        <c:axId val="451195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51195752"/>
        <c:crosses val="autoZero"/>
        <c:auto val="1"/>
        <c:lblAlgn val="ctr"/>
        <c:lblOffset val="100"/>
        <c:noMultiLvlLbl val="0"/>
      </c:catAx>
      <c:valAx>
        <c:axId val="451195752"/>
        <c:scaling>
          <c:orientation val="minMax"/>
          <c:max val="600"/>
          <c:min val="0"/>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1953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553368328958883E-2"/>
          <c:y val="0.12728018372703409"/>
          <c:w val="0.87889107611548556"/>
          <c:h val="0.77239173228346469"/>
        </c:manualLayout>
      </c:layout>
      <c:barChart>
        <c:barDir val="col"/>
        <c:grouping val="stacked"/>
        <c:varyColors val="0"/>
        <c:ser>
          <c:idx val="0"/>
          <c:order val="0"/>
          <c:tx>
            <c:strRef>
              <c:f>Sheet4!$K$36</c:f>
              <c:strCache>
                <c:ptCount val="1"/>
                <c:pt idx="0">
                  <c:v>General Administration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Sheet4!$L$35:$N$35</c:f>
              <c:strCache>
                <c:ptCount val="3"/>
                <c:pt idx="0">
                  <c:v>Public</c:v>
                </c:pt>
                <c:pt idx="1">
                  <c:v>Private</c:v>
                </c:pt>
                <c:pt idx="2">
                  <c:v>Total</c:v>
                </c:pt>
              </c:strCache>
            </c:strRef>
          </c:cat>
          <c:val>
            <c:numRef>
              <c:f>Sheet4!$L$36:$N$36</c:f>
              <c:numCache>
                <c:formatCode>_(* #,##0_);_(* \(#,##0\);_(* "-"??_);_(@_)</c:formatCode>
                <c:ptCount val="3"/>
                <c:pt idx="0">
                  <c:v>7.19</c:v>
                </c:pt>
                <c:pt idx="1">
                  <c:v>1.2</c:v>
                </c:pt>
                <c:pt idx="2">
                  <c:v>3.51</c:v>
                </c:pt>
              </c:numCache>
            </c:numRef>
          </c:val>
          <c:extLst>
            <c:ext xmlns:c16="http://schemas.microsoft.com/office/drawing/2014/chart" uri="{C3380CC4-5D6E-409C-BE32-E72D297353CC}">
              <c16:uniqueId val="{00000000-B97C-4DA2-9834-E4F9E831E3EA}"/>
            </c:ext>
          </c:extLst>
        </c:ser>
        <c:ser>
          <c:idx val="1"/>
          <c:order val="1"/>
          <c:tx>
            <c:strRef>
              <c:f>Sheet4!$K$37</c:f>
              <c:strCache>
                <c:ptCount val="1"/>
                <c:pt idx="0">
                  <c:v>Education sector staff</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Sheet4!$L$35:$N$35</c:f>
              <c:strCache>
                <c:ptCount val="3"/>
                <c:pt idx="0">
                  <c:v>Public</c:v>
                </c:pt>
                <c:pt idx="1">
                  <c:v>Private</c:v>
                </c:pt>
                <c:pt idx="2">
                  <c:v>Total</c:v>
                </c:pt>
              </c:strCache>
            </c:strRef>
          </c:cat>
          <c:val>
            <c:numRef>
              <c:f>Sheet4!$L$37:$N$37</c:f>
              <c:numCache>
                <c:formatCode>_(* #,##0_);_(* \(#,##0\);_(* "-"??_);_(@_)</c:formatCode>
                <c:ptCount val="3"/>
                <c:pt idx="0">
                  <c:v>28.3</c:v>
                </c:pt>
                <c:pt idx="1">
                  <c:v>7.87</c:v>
                </c:pt>
                <c:pt idx="2">
                  <c:v>15.74</c:v>
                </c:pt>
              </c:numCache>
            </c:numRef>
          </c:val>
          <c:extLst>
            <c:ext xmlns:c16="http://schemas.microsoft.com/office/drawing/2014/chart" uri="{C3380CC4-5D6E-409C-BE32-E72D297353CC}">
              <c16:uniqueId val="{00000001-B97C-4DA2-9834-E4F9E831E3EA}"/>
            </c:ext>
          </c:extLst>
        </c:ser>
        <c:ser>
          <c:idx val="2"/>
          <c:order val="2"/>
          <c:tx>
            <c:strRef>
              <c:f>Sheet4!$K$38</c:f>
              <c:strCache>
                <c:ptCount val="1"/>
                <c:pt idx="0">
                  <c:v>Health sector staff</c:v>
                </c:pt>
              </c:strCache>
            </c:strRef>
          </c:tx>
          <c:spPr>
            <a:solidFill>
              <a:schemeClr val="accent3"/>
            </a:solidFill>
            <a:ln>
              <a:noFill/>
            </a:ln>
            <a:effectLst/>
          </c:spPr>
          <c:invertIfNegative val="0"/>
          <c:dLbls>
            <c:dLbl>
              <c:idx val="1"/>
              <c:layout>
                <c:manualLayout>
                  <c:x val="0"/>
                  <c:y val="-1.83430143686947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0B-4167-8236-2A9F925DC5B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Sheet4!$L$35:$N$35</c:f>
              <c:strCache>
                <c:ptCount val="3"/>
                <c:pt idx="0">
                  <c:v>Public</c:v>
                </c:pt>
                <c:pt idx="1">
                  <c:v>Private</c:v>
                </c:pt>
                <c:pt idx="2">
                  <c:v>Total</c:v>
                </c:pt>
              </c:strCache>
            </c:strRef>
          </c:cat>
          <c:val>
            <c:numRef>
              <c:f>Sheet4!$L$38:$N$38</c:f>
              <c:numCache>
                <c:formatCode>_(* #,##0_);_(* \(#,##0\);_(* "-"??_);_(@_)</c:formatCode>
                <c:ptCount val="3"/>
                <c:pt idx="0">
                  <c:v>8.26</c:v>
                </c:pt>
                <c:pt idx="1">
                  <c:v>3.38</c:v>
                </c:pt>
                <c:pt idx="2">
                  <c:v>5.25</c:v>
                </c:pt>
              </c:numCache>
            </c:numRef>
          </c:val>
          <c:extLst>
            <c:ext xmlns:c16="http://schemas.microsoft.com/office/drawing/2014/chart" uri="{C3380CC4-5D6E-409C-BE32-E72D297353CC}">
              <c16:uniqueId val="{00000002-B97C-4DA2-9834-E4F9E831E3EA}"/>
            </c:ext>
          </c:extLst>
        </c:ser>
        <c:ser>
          <c:idx val="3"/>
          <c:order val="3"/>
          <c:tx>
            <c:strRef>
              <c:f>Sheet4!$K$39</c:f>
              <c:strCache>
                <c:ptCount val="1"/>
                <c:pt idx="0">
                  <c:v>Others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Sheet4!$L$35:$N$35</c:f>
              <c:strCache>
                <c:ptCount val="3"/>
                <c:pt idx="0">
                  <c:v>Public</c:v>
                </c:pt>
                <c:pt idx="1">
                  <c:v>Private</c:v>
                </c:pt>
                <c:pt idx="2">
                  <c:v>Total</c:v>
                </c:pt>
              </c:strCache>
            </c:strRef>
          </c:cat>
          <c:val>
            <c:numRef>
              <c:f>Sheet4!$L$39:$N$39</c:f>
              <c:numCache>
                <c:formatCode>_(* #,##0_);_(* \(#,##0\);_(* "-"??_);_(@_)</c:formatCode>
                <c:ptCount val="3"/>
                <c:pt idx="0">
                  <c:v>56</c:v>
                </c:pt>
                <c:pt idx="1">
                  <c:v>87.51</c:v>
                </c:pt>
                <c:pt idx="2">
                  <c:v>75.38</c:v>
                </c:pt>
              </c:numCache>
            </c:numRef>
          </c:val>
          <c:extLst>
            <c:ext xmlns:c16="http://schemas.microsoft.com/office/drawing/2014/chart" uri="{C3380CC4-5D6E-409C-BE32-E72D297353CC}">
              <c16:uniqueId val="{00000003-B97C-4DA2-9834-E4F9E831E3EA}"/>
            </c:ext>
          </c:extLst>
        </c:ser>
        <c:dLbls>
          <c:showLegendKey val="0"/>
          <c:showVal val="0"/>
          <c:showCatName val="0"/>
          <c:showSerName val="0"/>
          <c:showPercent val="0"/>
          <c:showBubbleSize val="0"/>
        </c:dLbls>
        <c:gapWidth val="150"/>
        <c:overlap val="100"/>
        <c:axId val="303136607"/>
        <c:axId val="303138271"/>
      </c:barChart>
      <c:catAx>
        <c:axId val="303136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3138271"/>
        <c:crosses val="autoZero"/>
        <c:auto val="1"/>
        <c:lblAlgn val="ctr"/>
        <c:lblOffset val="100"/>
        <c:noMultiLvlLbl val="0"/>
      </c:catAx>
      <c:valAx>
        <c:axId val="303138271"/>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3136607"/>
        <c:crosses val="autoZero"/>
        <c:crossBetween val="between"/>
      </c:valAx>
      <c:spPr>
        <a:noFill/>
        <a:ln>
          <a:noFill/>
        </a:ln>
        <a:effectLst/>
      </c:spPr>
    </c:plotArea>
    <c:legend>
      <c:legendPos val="t"/>
      <c:layout>
        <c:manualLayout>
          <c:xMode val="edge"/>
          <c:yMode val="edge"/>
          <c:x val="0.1317365269461078"/>
          <c:y val="9.2592592592592587E-3"/>
          <c:w val="0.82237634966287898"/>
          <c:h val="0.228162708092055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22012049841764"/>
          <c:y val="4.3554981191719556E-2"/>
          <c:w val="0.8617798795015823"/>
          <c:h val="0.81875729075532244"/>
        </c:manualLayout>
      </c:layout>
      <c:barChart>
        <c:barDir val="col"/>
        <c:grouping val="clustered"/>
        <c:varyColors val="0"/>
        <c:ser>
          <c:idx val="0"/>
          <c:order val="0"/>
          <c:tx>
            <c:strRef>
              <c:f>'Teachers slary'!$L$41</c:f>
              <c:strCache>
                <c:ptCount val="1"/>
                <c:pt idx="0">
                  <c:v>Total</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'Teachers slary'!$K$42:$K$46</c:f>
              <c:strCache>
                <c:ptCount val="5"/>
                <c:pt idx="0">
                  <c:v>General Administration</c:v>
                </c:pt>
                <c:pt idx="1">
                  <c:v>Education sector (Payroll)</c:v>
                </c:pt>
                <c:pt idx="2">
                  <c:v>Education sector staff (Survey)</c:v>
                </c:pt>
                <c:pt idx="3">
                  <c:v>Health sector staff</c:v>
                </c:pt>
                <c:pt idx="4">
                  <c:v>Others</c:v>
                </c:pt>
              </c:strCache>
            </c:strRef>
          </c:cat>
          <c:val>
            <c:numRef>
              <c:f>'Teachers slary'!$L$42:$L$46</c:f>
              <c:numCache>
                <c:formatCode>General</c:formatCode>
                <c:ptCount val="5"/>
                <c:pt idx="0" formatCode="_(* #,##0_);_(* \(#,##0\);_(* &quot;-&quot;??_);_(@_)">
                  <c:v>6592.1980000000003</c:v>
                </c:pt>
                <c:pt idx="2" formatCode="_(* #,##0_);_(* \(#,##0\);_(* &quot;-&quot;??_);_(@_)">
                  <c:v>3886.1309999999999</c:v>
                </c:pt>
                <c:pt idx="3" formatCode="_(* #,##0_);_(* \(#,##0\);_(* &quot;-&quot;??_);_(@_)">
                  <c:v>6618.8779999999997</c:v>
                </c:pt>
                <c:pt idx="4" formatCode="_(* #,##0_);_(* \(#,##0\);_(* &quot;-&quot;??_);_(@_)">
                  <c:v>3618.8130000000001</c:v>
                </c:pt>
              </c:numCache>
            </c:numRef>
          </c:val>
          <c:extLst>
            <c:ext xmlns:c16="http://schemas.microsoft.com/office/drawing/2014/chart" uri="{C3380CC4-5D6E-409C-BE32-E72D297353CC}">
              <c16:uniqueId val="{00000000-C54E-494A-ABBF-3BAEA81D9A8F}"/>
            </c:ext>
          </c:extLst>
        </c:ser>
        <c:ser>
          <c:idx val="1"/>
          <c:order val="1"/>
          <c:tx>
            <c:strRef>
              <c:f>'Teachers slary'!$M$41</c:f>
              <c:strCache>
                <c:ptCount val="1"/>
                <c:pt idx="0">
                  <c:v>Private</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'Teachers slary'!$K$42:$K$46</c:f>
              <c:strCache>
                <c:ptCount val="5"/>
                <c:pt idx="0">
                  <c:v>General Administration</c:v>
                </c:pt>
                <c:pt idx="1">
                  <c:v>Education sector (Payroll)</c:v>
                </c:pt>
                <c:pt idx="2">
                  <c:v>Education sector staff (Survey)</c:v>
                </c:pt>
                <c:pt idx="3">
                  <c:v>Health sector staff</c:v>
                </c:pt>
                <c:pt idx="4">
                  <c:v>Others</c:v>
                </c:pt>
              </c:strCache>
            </c:strRef>
          </c:cat>
          <c:val>
            <c:numRef>
              <c:f>'Teachers slary'!$M$42:$M$46</c:f>
              <c:numCache>
                <c:formatCode>General</c:formatCode>
                <c:ptCount val="5"/>
                <c:pt idx="0" formatCode="_(* #,##0_);_(* \(#,##0\);_(* &quot;-&quot;??_);_(@_)">
                  <c:v>11152.73</c:v>
                </c:pt>
                <c:pt idx="2" formatCode="_(* #,##0_);_(* \(#,##0\);_(* &quot;-&quot;??_);_(@_)">
                  <c:v>3994.59</c:v>
                </c:pt>
                <c:pt idx="3" formatCode="_(* #,##0_);_(* \(#,##0\);_(* &quot;-&quot;??_);_(@_)">
                  <c:v>7989.58</c:v>
                </c:pt>
                <c:pt idx="4" formatCode="_(* #,##0_);_(* \(#,##0\);_(* &quot;-&quot;??_);_(@_)">
                  <c:v>3476.576</c:v>
                </c:pt>
              </c:numCache>
            </c:numRef>
          </c:val>
          <c:extLst>
            <c:ext xmlns:c16="http://schemas.microsoft.com/office/drawing/2014/chart" uri="{C3380CC4-5D6E-409C-BE32-E72D297353CC}">
              <c16:uniqueId val="{00000001-C54E-494A-ABBF-3BAEA81D9A8F}"/>
            </c:ext>
          </c:extLst>
        </c:ser>
        <c:ser>
          <c:idx val="2"/>
          <c:order val="2"/>
          <c:tx>
            <c:strRef>
              <c:f>'Teachers slary'!$N$41</c:f>
              <c:strCache>
                <c:ptCount val="1"/>
                <c:pt idx="0">
                  <c:v>Public</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'Teachers slary'!$K$42:$K$46</c:f>
              <c:strCache>
                <c:ptCount val="5"/>
                <c:pt idx="0">
                  <c:v>General Administration</c:v>
                </c:pt>
                <c:pt idx="1">
                  <c:v>Education sector (Payroll)</c:v>
                </c:pt>
                <c:pt idx="2">
                  <c:v>Education sector staff (Survey)</c:v>
                </c:pt>
                <c:pt idx="3">
                  <c:v>Health sector staff</c:v>
                </c:pt>
                <c:pt idx="4">
                  <c:v>Others</c:v>
                </c:pt>
              </c:strCache>
            </c:strRef>
          </c:cat>
          <c:val>
            <c:numRef>
              <c:f>'Teachers slary'!$N$42:$N$46</c:f>
              <c:numCache>
                <c:formatCode>_(* #,##0_);_(* \(#,##0\);_(* "-"??_);_(@_)</c:formatCode>
                <c:ptCount val="5"/>
                <c:pt idx="0">
                  <c:v>5443.2070000000003</c:v>
                </c:pt>
                <c:pt idx="1">
                  <c:v>6510.8070030406561</c:v>
                </c:pt>
                <c:pt idx="2">
                  <c:v>3836.518</c:v>
                </c:pt>
                <c:pt idx="3">
                  <c:v>5636.8879999999999</c:v>
                </c:pt>
                <c:pt idx="4">
                  <c:v>3994.424</c:v>
                </c:pt>
              </c:numCache>
            </c:numRef>
          </c:val>
          <c:extLst>
            <c:ext xmlns:c16="http://schemas.microsoft.com/office/drawing/2014/chart" uri="{C3380CC4-5D6E-409C-BE32-E72D297353CC}">
              <c16:uniqueId val="{00000002-C54E-494A-ABBF-3BAEA81D9A8F}"/>
            </c:ext>
          </c:extLst>
        </c:ser>
        <c:dLbls>
          <c:dLblPos val="outEnd"/>
          <c:showLegendKey val="0"/>
          <c:showVal val="1"/>
          <c:showCatName val="0"/>
          <c:showSerName val="0"/>
          <c:showPercent val="0"/>
          <c:showBubbleSize val="0"/>
        </c:dLbls>
        <c:gapWidth val="219"/>
        <c:overlap val="-27"/>
        <c:axId val="412628703"/>
        <c:axId val="412632863"/>
      </c:barChart>
      <c:catAx>
        <c:axId val="412628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12632863"/>
        <c:crosses val="autoZero"/>
        <c:auto val="1"/>
        <c:lblAlgn val="ctr"/>
        <c:lblOffset val="100"/>
        <c:noMultiLvlLbl val="0"/>
      </c:catAx>
      <c:valAx>
        <c:axId val="412632863"/>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628703"/>
        <c:crosses val="autoZero"/>
        <c:crossBetween val="between"/>
      </c:valAx>
      <c:spPr>
        <a:noFill/>
        <a:ln w="25400">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'Teachers slary'!$L$70</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'Teachers slary'!$K$71:$K$74</c:f>
              <c:strCache>
                <c:ptCount val="4"/>
                <c:pt idx="0">
                  <c:v>Primary teachers</c:v>
                </c:pt>
                <c:pt idx="1">
                  <c:v>Secondary teachers</c:v>
                </c:pt>
                <c:pt idx="2">
                  <c:v>Postsecondary teachers</c:v>
                </c:pt>
                <c:pt idx="3">
                  <c:v>Other education staff</c:v>
                </c:pt>
              </c:strCache>
            </c:strRef>
          </c:cat>
          <c:val>
            <c:numRef>
              <c:f>'Teachers slary'!$L$71:$L$74</c:f>
              <c:numCache>
                <c:formatCode>_(* #,##0_);_(* \(#,##0\);_(* "-"??_);_(@_)</c:formatCode>
                <c:ptCount val="4"/>
                <c:pt idx="0">
                  <c:v>3322.48</c:v>
                </c:pt>
                <c:pt idx="1">
                  <c:v>4901.2610000000004</c:v>
                </c:pt>
                <c:pt idx="2">
                  <c:v>6674.3639999999996</c:v>
                </c:pt>
                <c:pt idx="3">
                  <c:v>3677.415</c:v>
                </c:pt>
              </c:numCache>
            </c:numRef>
          </c:val>
          <c:extLst>
            <c:ext xmlns:c16="http://schemas.microsoft.com/office/drawing/2014/chart" uri="{C3380CC4-5D6E-409C-BE32-E72D297353CC}">
              <c16:uniqueId val="{00000000-C572-4E94-BF5B-B21420451ADB}"/>
            </c:ext>
          </c:extLst>
        </c:ser>
        <c:ser>
          <c:idx val="1"/>
          <c:order val="1"/>
          <c:tx>
            <c:strRef>
              <c:f>'Teachers slary'!$M$70</c:f>
              <c:strCache>
                <c:ptCount val="1"/>
                <c:pt idx="0">
                  <c:v>Private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'Teachers slary'!$K$71:$K$74</c:f>
              <c:strCache>
                <c:ptCount val="4"/>
                <c:pt idx="0">
                  <c:v>Primary teachers</c:v>
                </c:pt>
                <c:pt idx="1">
                  <c:v>Secondary teachers</c:v>
                </c:pt>
                <c:pt idx="2">
                  <c:v>Postsecondary teachers</c:v>
                </c:pt>
                <c:pt idx="3">
                  <c:v>Other education staff</c:v>
                </c:pt>
              </c:strCache>
            </c:strRef>
          </c:cat>
          <c:val>
            <c:numRef>
              <c:f>'Teachers slary'!$M$71:$M$74</c:f>
              <c:numCache>
                <c:formatCode>_(* #,##0_);_(* \(#,##0\);_(* "-"??_);_(@_)</c:formatCode>
                <c:ptCount val="4"/>
                <c:pt idx="0">
                  <c:v>3423.1729999999998</c:v>
                </c:pt>
                <c:pt idx="1">
                  <c:v>5316.67</c:v>
                </c:pt>
                <c:pt idx="2">
                  <c:v>4000</c:v>
                </c:pt>
                <c:pt idx="3">
                  <c:v>3821.5439999999999</c:v>
                </c:pt>
              </c:numCache>
            </c:numRef>
          </c:val>
          <c:extLst>
            <c:ext xmlns:c16="http://schemas.microsoft.com/office/drawing/2014/chart" uri="{C3380CC4-5D6E-409C-BE32-E72D297353CC}">
              <c16:uniqueId val="{00000001-C572-4E94-BF5B-B21420451ADB}"/>
            </c:ext>
          </c:extLst>
        </c:ser>
        <c:ser>
          <c:idx val="2"/>
          <c:order val="2"/>
          <c:tx>
            <c:strRef>
              <c:f>'Teachers slary'!$N$70</c:f>
              <c:strCache>
                <c:ptCount val="1"/>
                <c:pt idx="0">
                  <c:v>Public</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'Teachers slary'!$K$71:$K$74</c:f>
              <c:strCache>
                <c:ptCount val="4"/>
                <c:pt idx="0">
                  <c:v>Primary teachers</c:v>
                </c:pt>
                <c:pt idx="1">
                  <c:v>Secondary teachers</c:v>
                </c:pt>
                <c:pt idx="2">
                  <c:v>Postsecondary teachers</c:v>
                </c:pt>
                <c:pt idx="3">
                  <c:v>Other education staff</c:v>
                </c:pt>
              </c:strCache>
            </c:strRef>
          </c:cat>
          <c:val>
            <c:numRef>
              <c:f>'Teachers slary'!$N$71:$N$74</c:f>
              <c:numCache>
                <c:formatCode>_(* #,##0_);_(* \(#,##0\);_(* "-"??_);_(@_)</c:formatCode>
                <c:ptCount val="4"/>
                <c:pt idx="0">
                  <c:v>3284.9659999999999</c:v>
                </c:pt>
                <c:pt idx="1">
                  <c:v>4700.9930000000004</c:v>
                </c:pt>
                <c:pt idx="2">
                  <c:v>6803.576</c:v>
                </c:pt>
                <c:pt idx="3">
                  <c:v>3522.261</c:v>
                </c:pt>
              </c:numCache>
            </c:numRef>
          </c:val>
          <c:extLst>
            <c:ext xmlns:c16="http://schemas.microsoft.com/office/drawing/2014/chart" uri="{C3380CC4-5D6E-409C-BE32-E72D297353CC}">
              <c16:uniqueId val="{00000002-C572-4E94-BF5B-B21420451ADB}"/>
            </c:ext>
          </c:extLst>
        </c:ser>
        <c:dLbls>
          <c:showLegendKey val="0"/>
          <c:showVal val="0"/>
          <c:showCatName val="0"/>
          <c:showSerName val="0"/>
          <c:showPercent val="0"/>
          <c:showBubbleSize val="0"/>
        </c:dLbls>
        <c:gapWidth val="219"/>
        <c:overlap val="-27"/>
        <c:axId val="523262559"/>
        <c:axId val="523257983"/>
        <c:extLst>
          <c:ext xmlns:c15="http://schemas.microsoft.com/office/drawing/2012/chart" uri="{02D57815-91ED-43cb-92C2-25804820EDAC}">
            <c15:filteredBarSeries>
              <c15:ser>
                <c:idx val="3"/>
                <c:order val="3"/>
                <c:tx>
                  <c:strRef>
                    <c:extLst>
                      <c:ext uri="{02D57815-91ED-43cb-92C2-25804820EDAC}">
                        <c15:formulaRef>
                          <c15:sqref>'Teachers slary'!$O$70</c15:sqref>
                        </c15:formulaRef>
                      </c:ext>
                    </c:extLst>
                    <c:strCache>
                      <c:ptCount val="1"/>
                      <c:pt idx="0">
                        <c:v>Payroll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'Teachers slary'!$K$71:$K$74</c15:sqref>
                        </c15:formulaRef>
                      </c:ext>
                    </c:extLst>
                    <c:strCache>
                      <c:ptCount val="4"/>
                      <c:pt idx="0">
                        <c:v>Primary teachers</c:v>
                      </c:pt>
                      <c:pt idx="1">
                        <c:v>Secondary teachers</c:v>
                      </c:pt>
                      <c:pt idx="2">
                        <c:v>Postsecondary teachers</c:v>
                      </c:pt>
                      <c:pt idx="3">
                        <c:v>Other education staff</c:v>
                      </c:pt>
                    </c:strCache>
                  </c:strRef>
                </c:cat>
                <c:val>
                  <c:numRef>
                    <c:extLst>
                      <c:ext uri="{02D57815-91ED-43cb-92C2-25804820EDAC}">
                        <c15:formulaRef>
                          <c15:sqref>'Teachers slary'!$O$71:$O$74</c15:sqref>
                        </c15:formulaRef>
                      </c:ext>
                    </c:extLst>
                    <c:numCache>
                      <c:formatCode>0</c:formatCode>
                      <c:ptCount val="4"/>
                      <c:pt idx="0" formatCode="_(* #,##0_);_(* \(#,##0\);_(* &quot;-&quot;??_);_(@_)">
                        <c:v>3691.998957612569</c:v>
                      </c:pt>
                      <c:pt idx="1">
                        <c:v>7515.727974634553</c:v>
                      </c:pt>
                    </c:numCache>
                  </c:numRef>
                </c:val>
                <c:extLst>
                  <c:ext xmlns:c16="http://schemas.microsoft.com/office/drawing/2014/chart" uri="{C3380CC4-5D6E-409C-BE32-E72D297353CC}">
                    <c16:uniqueId val="{00000003-C572-4E94-BF5B-B21420451ADB}"/>
                  </c:ext>
                </c:extLst>
              </c15:ser>
            </c15:filteredBarSeries>
          </c:ext>
        </c:extLst>
      </c:barChart>
      <c:catAx>
        <c:axId val="523262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3257983"/>
        <c:crosses val="autoZero"/>
        <c:auto val="1"/>
        <c:lblAlgn val="ctr"/>
        <c:lblOffset val="100"/>
        <c:noMultiLvlLbl val="0"/>
      </c:catAx>
      <c:valAx>
        <c:axId val="523257983"/>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3262559"/>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945625546806649"/>
          <c:y val="0.2344634547800169"/>
          <c:w val="0.79368354901321125"/>
          <c:h val="0.71832234530005779"/>
        </c:manualLayout>
      </c:layout>
      <c:barChart>
        <c:barDir val="col"/>
        <c:grouping val="clustered"/>
        <c:varyColors val="0"/>
        <c:ser>
          <c:idx val="0"/>
          <c:order val="0"/>
          <c:tx>
            <c:strRef>
              <c:f>'Fig17'!$A$2</c:f>
              <c:strCache>
                <c:ptCount val="1"/>
                <c:pt idx="0">
                  <c:v>Total spending </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'Fig17'!$C$2</c:f>
              <c:numCache>
                <c:formatCode>#,###.0,,</c:formatCode>
                <c:ptCount val="1"/>
                <c:pt idx="0">
                  <c:v>87259102.410211593</c:v>
                </c:pt>
              </c:numCache>
            </c:numRef>
          </c:val>
          <c:extLst>
            <c:ext xmlns:c16="http://schemas.microsoft.com/office/drawing/2014/chart" uri="{C3380CC4-5D6E-409C-BE32-E72D297353CC}">
              <c16:uniqueId val="{00000000-5FE8-4838-93AA-5228420649E6}"/>
            </c:ext>
          </c:extLst>
        </c:ser>
        <c:ser>
          <c:idx val="1"/>
          <c:order val="1"/>
          <c:tx>
            <c:strRef>
              <c:f>'Fig17'!$A$3</c:f>
              <c:strCache>
                <c:ptCount val="1"/>
                <c:pt idx="0">
                  <c:v>Public </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'Fig17'!$C$3</c:f>
              <c:numCache>
                <c:formatCode>#,###.0,,</c:formatCode>
                <c:ptCount val="1"/>
                <c:pt idx="0">
                  <c:v>29278683.004369821</c:v>
                </c:pt>
              </c:numCache>
            </c:numRef>
          </c:val>
          <c:extLst>
            <c:ext xmlns:c16="http://schemas.microsoft.com/office/drawing/2014/chart" uri="{C3380CC4-5D6E-409C-BE32-E72D297353CC}">
              <c16:uniqueId val="{00000001-5FE8-4838-93AA-5228420649E6}"/>
            </c:ext>
          </c:extLst>
        </c:ser>
        <c:ser>
          <c:idx val="2"/>
          <c:order val="2"/>
          <c:tx>
            <c:strRef>
              <c:f>'Fig17'!$A$4</c:f>
              <c:strCache>
                <c:ptCount val="1"/>
                <c:pt idx="0">
                  <c:v>Household </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'Fig17'!$C$4</c:f>
              <c:numCache>
                <c:formatCode>#,###.0,,</c:formatCode>
                <c:ptCount val="1"/>
                <c:pt idx="0">
                  <c:v>50154969.094204225</c:v>
                </c:pt>
              </c:numCache>
            </c:numRef>
          </c:val>
          <c:extLst>
            <c:ext xmlns:c16="http://schemas.microsoft.com/office/drawing/2014/chart" uri="{C3380CC4-5D6E-409C-BE32-E72D297353CC}">
              <c16:uniqueId val="{00000002-5FE8-4838-93AA-5228420649E6}"/>
            </c:ext>
          </c:extLst>
        </c:ser>
        <c:ser>
          <c:idx val="3"/>
          <c:order val="3"/>
          <c:tx>
            <c:strRef>
              <c:f>'Fig17'!$A$5</c:f>
              <c:strCache>
                <c:ptCount val="1"/>
                <c:pt idx="0">
                  <c:v>Donors</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'Fig17'!$C$5</c:f>
              <c:numCache>
                <c:formatCode>#,###.0,,</c:formatCode>
                <c:ptCount val="1"/>
                <c:pt idx="0">
                  <c:v>7825450.3116375338</c:v>
                </c:pt>
              </c:numCache>
            </c:numRef>
          </c:val>
          <c:extLst>
            <c:ext xmlns:c16="http://schemas.microsoft.com/office/drawing/2014/chart" uri="{C3380CC4-5D6E-409C-BE32-E72D297353CC}">
              <c16:uniqueId val="{00000003-5FE8-4838-93AA-5228420649E6}"/>
            </c:ext>
          </c:extLst>
        </c:ser>
        <c:dLbls>
          <c:showLegendKey val="0"/>
          <c:showVal val="0"/>
          <c:showCatName val="0"/>
          <c:showSerName val="0"/>
          <c:showPercent val="0"/>
          <c:showBubbleSize val="0"/>
        </c:dLbls>
        <c:gapWidth val="164"/>
        <c:overlap val="-22"/>
        <c:axId val="456242048"/>
        <c:axId val="456242440"/>
      </c:barChart>
      <c:catAx>
        <c:axId val="456242048"/>
        <c:scaling>
          <c:orientation val="minMax"/>
        </c:scaling>
        <c:delete val="1"/>
        <c:axPos val="b"/>
        <c:numFmt formatCode="General" sourceLinked="1"/>
        <c:majorTickMark val="none"/>
        <c:minorTickMark val="none"/>
        <c:tickLblPos val="nextTo"/>
        <c:crossAx val="456242440"/>
        <c:crosses val="autoZero"/>
        <c:auto val="1"/>
        <c:lblAlgn val="ctr"/>
        <c:lblOffset val="100"/>
        <c:noMultiLvlLbl val="0"/>
      </c:catAx>
      <c:valAx>
        <c:axId val="45624244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242048"/>
        <c:crosses val="autoZero"/>
        <c:crossBetween val="between"/>
      </c:valAx>
      <c:spPr>
        <a:noFill/>
        <a:ln>
          <a:noFill/>
        </a:ln>
        <a:effectLst/>
      </c:spPr>
    </c:plotArea>
    <c:legend>
      <c:legendPos val="r"/>
      <c:layout>
        <c:manualLayout>
          <c:xMode val="edge"/>
          <c:yMode val="edge"/>
          <c:x val="0.42174194609485827"/>
          <c:y val="4.021908719743366E-2"/>
          <c:w val="0.5688085497145754"/>
          <c:h val="0.219025045598113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'from stata'!$H$2</c:f>
              <c:strCache>
                <c:ptCount val="1"/>
                <c:pt idx="0">
                  <c:v>Basic Salary</c:v>
                </c:pt>
              </c:strCache>
            </c:strRef>
          </c:tx>
          <c:spPr>
            <a:solidFill>
              <a:schemeClr val="accent1"/>
            </a:solidFill>
            <a:ln>
              <a:noFill/>
            </a:ln>
            <a:effectLst/>
          </c:spPr>
          <c:invertIfNegative val="0"/>
          <c:cat>
            <c:multiLvlStrRef>
              <c:f>'from stata'!$F$3:$G$35</c:f>
              <c:multiLvlStrCache>
                <c:ptCount val="33"/>
                <c:lvl>
                  <c:pt idx="0">
                    <c:v>Region 1</c:v>
                  </c:pt>
                  <c:pt idx="1">
                    <c:v>Region 2</c:v>
                  </c:pt>
                  <c:pt idx="2">
                    <c:v>Region 3</c:v>
                  </c:pt>
                  <c:pt idx="3">
                    <c:v>Region 4</c:v>
                  </c:pt>
                  <c:pt idx="4">
                    <c:v>Region 5</c:v>
                  </c:pt>
                  <c:pt idx="5">
                    <c:v>Region 6</c:v>
                  </c:pt>
                  <c:pt idx="6">
                    <c:v>Average</c:v>
                  </c:pt>
                  <c:pt idx="9">
                    <c:v>Region 2</c:v>
                  </c:pt>
                  <c:pt idx="10">
                    <c:v>Region 3</c:v>
                  </c:pt>
                  <c:pt idx="11">
                    <c:v>Region 4</c:v>
                  </c:pt>
                  <c:pt idx="12">
                    <c:v>Region 5</c:v>
                  </c:pt>
                  <c:pt idx="13">
                    <c:v>Region 6</c:v>
                  </c:pt>
                  <c:pt idx="14">
                    <c:v>Average</c:v>
                  </c:pt>
                  <c:pt idx="17">
                    <c:v>Region 1</c:v>
                  </c:pt>
                  <c:pt idx="18">
                    <c:v>Region 2</c:v>
                  </c:pt>
                  <c:pt idx="19">
                    <c:v>Region 3</c:v>
                  </c:pt>
                  <c:pt idx="20">
                    <c:v>Region 4</c:v>
                  </c:pt>
                  <c:pt idx="21">
                    <c:v>Region 5</c:v>
                  </c:pt>
                  <c:pt idx="22">
                    <c:v>Region 6</c:v>
                  </c:pt>
                  <c:pt idx="23">
                    <c:v>Average</c:v>
                  </c:pt>
                  <c:pt idx="26">
                    <c:v>Region 1</c:v>
                  </c:pt>
                  <c:pt idx="27">
                    <c:v>Region 2</c:v>
                  </c:pt>
                  <c:pt idx="28">
                    <c:v>Region 3</c:v>
                  </c:pt>
                  <c:pt idx="29">
                    <c:v>Region 4</c:v>
                  </c:pt>
                  <c:pt idx="30">
                    <c:v>Region 5</c:v>
                  </c:pt>
                  <c:pt idx="31">
                    <c:v>Region 6</c:v>
                  </c:pt>
                  <c:pt idx="32">
                    <c:v>Average</c:v>
                  </c:pt>
                </c:lvl>
                <c:lvl>
                  <c:pt idx="0">
                    <c:v>LBS</c:v>
                  </c:pt>
                  <c:pt idx="9">
                    <c:v>BCS</c:v>
                  </c:pt>
                  <c:pt idx="17">
                    <c:v>UBS</c:v>
                  </c:pt>
                  <c:pt idx="26">
                    <c:v>SSS</c:v>
                  </c:pt>
                </c:lvl>
              </c:multiLvlStrCache>
            </c:multiLvlStrRef>
          </c:cat>
          <c:val>
            <c:numRef>
              <c:f>'from stata'!$H$3:$H$35</c:f>
              <c:numCache>
                <c:formatCode>_(* #,##0_);_(* \(#,##0\);_(* "-"??_);_(@_)</c:formatCode>
                <c:ptCount val="33"/>
                <c:pt idx="0">
                  <c:v>2305.971</c:v>
                </c:pt>
                <c:pt idx="1">
                  <c:v>2334.2800000000002</c:v>
                </c:pt>
                <c:pt idx="2">
                  <c:v>2190.2440000000001</c:v>
                </c:pt>
                <c:pt idx="3">
                  <c:v>2035.645</c:v>
                </c:pt>
                <c:pt idx="4">
                  <c:v>2102.8359999999998</c:v>
                </c:pt>
                <c:pt idx="5">
                  <c:v>2149.067</c:v>
                </c:pt>
                <c:pt idx="6">
                  <c:v>2243.0239999999999</c:v>
                </c:pt>
                <c:pt idx="8">
                  <c:v>0</c:v>
                </c:pt>
                <c:pt idx="9">
                  <c:v>2483.8049999999998</c:v>
                </c:pt>
                <c:pt idx="10">
                  <c:v>2398.7750000000001</c:v>
                </c:pt>
                <c:pt idx="11">
                  <c:v>2249.232</c:v>
                </c:pt>
                <c:pt idx="12">
                  <c:v>2494.569</c:v>
                </c:pt>
                <c:pt idx="13">
                  <c:v>2387.0650000000001</c:v>
                </c:pt>
                <c:pt idx="14">
                  <c:v>2429.6819999999998</c:v>
                </c:pt>
                <c:pt idx="16">
                  <c:v>0</c:v>
                </c:pt>
                <c:pt idx="17">
                  <c:v>3100.6819999999998</c:v>
                </c:pt>
                <c:pt idx="18">
                  <c:v>3177.8380000000002</c:v>
                </c:pt>
                <c:pt idx="19">
                  <c:v>3121.2829999999999</c:v>
                </c:pt>
                <c:pt idx="20">
                  <c:v>3121.5079999999998</c:v>
                </c:pt>
                <c:pt idx="21">
                  <c:v>3063.23</c:v>
                </c:pt>
                <c:pt idx="22">
                  <c:v>3130.8</c:v>
                </c:pt>
                <c:pt idx="23">
                  <c:v>3134.8389999999999</c:v>
                </c:pt>
                <c:pt idx="25">
                  <c:v>0</c:v>
                </c:pt>
                <c:pt idx="26">
                  <c:v>3403.6880000000001</c:v>
                </c:pt>
                <c:pt idx="27">
                  <c:v>3343.529</c:v>
                </c:pt>
                <c:pt idx="28">
                  <c:v>3328.2660000000001</c:v>
                </c:pt>
                <c:pt idx="29">
                  <c:v>3535.364</c:v>
                </c:pt>
                <c:pt idx="30">
                  <c:v>3245.6129999999998</c:v>
                </c:pt>
                <c:pt idx="31">
                  <c:v>3387.7779999999998</c:v>
                </c:pt>
                <c:pt idx="32">
                  <c:v>3349.7579999999998</c:v>
                </c:pt>
              </c:numCache>
            </c:numRef>
          </c:val>
          <c:extLst>
            <c:ext xmlns:c16="http://schemas.microsoft.com/office/drawing/2014/chart" uri="{C3380CC4-5D6E-409C-BE32-E72D297353CC}">
              <c16:uniqueId val="{00000000-D485-4BFA-B8E9-2C7A0E1E04F8}"/>
            </c:ext>
          </c:extLst>
        </c:ser>
        <c:ser>
          <c:idx val="1"/>
          <c:order val="1"/>
          <c:tx>
            <c:strRef>
              <c:f>'from stata'!$I$2</c:f>
              <c:strCache>
                <c:ptCount val="1"/>
                <c:pt idx="0">
                  <c:v>Allowances</c:v>
                </c:pt>
              </c:strCache>
            </c:strRef>
          </c:tx>
          <c:spPr>
            <a:solidFill>
              <a:schemeClr val="accent2"/>
            </a:solidFill>
            <a:ln>
              <a:noFill/>
            </a:ln>
            <a:effectLst/>
          </c:spPr>
          <c:invertIfNegative val="0"/>
          <c:dLbls>
            <c:dLbl>
              <c:idx val="1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485-4BFA-B8E9-2C7A0E1E04F8}"/>
                </c:ext>
              </c:extLst>
            </c:dLbl>
            <c:dLbl>
              <c:idx val="2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85-4BFA-B8E9-2C7A0E1E04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'from stata'!$F$3:$G$35</c:f>
              <c:multiLvlStrCache>
                <c:ptCount val="33"/>
                <c:lvl>
                  <c:pt idx="0">
                    <c:v>Region 1</c:v>
                  </c:pt>
                  <c:pt idx="1">
                    <c:v>Region 2</c:v>
                  </c:pt>
                  <c:pt idx="2">
                    <c:v>Region 3</c:v>
                  </c:pt>
                  <c:pt idx="3">
                    <c:v>Region 4</c:v>
                  </c:pt>
                  <c:pt idx="4">
                    <c:v>Region 5</c:v>
                  </c:pt>
                  <c:pt idx="5">
                    <c:v>Region 6</c:v>
                  </c:pt>
                  <c:pt idx="6">
                    <c:v>Average</c:v>
                  </c:pt>
                  <c:pt idx="9">
                    <c:v>Region 2</c:v>
                  </c:pt>
                  <c:pt idx="10">
                    <c:v>Region 3</c:v>
                  </c:pt>
                  <c:pt idx="11">
                    <c:v>Region 4</c:v>
                  </c:pt>
                  <c:pt idx="12">
                    <c:v>Region 5</c:v>
                  </c:pt>
                  <c:pt idx="13">
                    <c:v>Region 6</c:v>
                  </c:pt>
                  <c:pt idx="14">
                    <c:v>Average</c:v>
                  </c:pt>
                  <c:pt idx="17">
                    <c:v>Region 1</c:v>
                  </c:pt>
                  <c:pt idx="18">
                    <c:v>Region 2</c:v>
                  </c:pt>
                  <c:pt idx="19">
                    <c:v>Region 3</c:v>
                  </c:pt>
                  <c:pt idx="20">
                    <c:v>Region 4</c:v>
                  </c:pt>
                  <c:pt idx="21">
                    <c:v>Region 5</c:v>
                  </c:pt>
                  <c:pt idx="22">
                    <c:v>Region 6</c:v>
                  </c:pt>
                  <c:pt idx="23">
                    <c:v>Average</c:v>
                  </c:pt>
                  <c:pt idx="26">
                    <c:v>Region 1</c:v>
                  </c:pt>
                  <c:pt idx="27">
                    <c:v>Region 2</c:v>
                  </c:pt>
                  <c:pt idx="28">
                    <c:v>Region 3</c:v>
                  </c:pt>
                  <c:pt idx="29">
                    <c:v>Region 4</c:v>
                  </c:pt>
                  <c:pt idx="30">
                    <c:v>Region 5</c:v>
                  </c:pt>
                  <c:pt idx="31">
                    <c:v>Region 6</c:v>
                  </c:pt>
                  <c:pt idx="32">
                    <c:v>Average</c:v>
                  </c:pt>
                </c:lvl>
                <c:lvl>
                  <c:pt idx="0">
                    <c:v>LBS</c:v>
                  </c:pt>
                  <c:pt idx="9">
                    <c:v>BCS</c:v>
                  </c:pt>
                  <c:pt idx="17">
                    <c:v>UBS</c:v>
                  </c:pt>
                  <c:pt idx="26">
                    <c:v>SSS</c:v>
                  </c:pt>
                </c:lvl>
              </c:multiLvlStrCache>
            </c:multiLvlStrRef>
          </c:cat>
          <c:val>
            <c:numRef>
              <c:f>'from stata'!$I$3:$I$35</c:f>
              <c:numCache>
                <c:formatCode>_(* #,##0_);_(* \(#,##0\);_(* "-"??_);_(@_)</c:formatCode>
                <c:ptCount val="33"/>
                <c:pt idx="0">
                  <c:v>1334.3649999999998</c:v>
                </c:pt>
                <c:pt idx="1">
                  <c:v>1314.1149999999998</c:v>
                </c:pt>
                <c:pt idx="2">
                  <c:v>1251.0519999999997</c:v>
                </c:pt>
                <c:pt idx="3">
                  <c:v>1107.9110000000001</c:v>
                </c:pt>
                <c:pt idx="4">
                  <c:v>1356.5950000000003</c:v>
                </c:pt>
                <c:pt idx="5">
                  <c:v>1736.5619999999999</c:v>
                </c:pt>
                <c:pt idx="6">
                  <c:v>1330.2910000000002</c:v>
                </c:pt>
                <c:pt idx="8">
                  <c:v>0</c:v>
                </c:pt>
                <c:pt idx="9">
                  <c:v>1533.4690000000001</c:v>
                </c:pt>
                <c:pt idx="10">
                  <c:v>1960.623</c:v>
                </c:pt>
                <c:pt idx="11">
                  <c:v>1390.3400000000001</c:v>
                </c:pt>
                <c:pt idx="12">
                  <c:v>2397.8610000000003</c:v>
                </c:pt>
                <c:pt idx="13">
                  <c:v>3348.511</c:v>
                </c:pt>
                <c:pt idx="14">
                  <c:v>1985.4390000000003</c:v>
                </c:pt>
                <c:pt idx="16">
                  <c:v>0</c:v>
                </c:pt>
                <c:pt idx="17">
                  <c:v>1793.3159999999998</c:v>
                </c:pt>
                <c:pt idx="18">
                  <c:v>1943.5849999999996</c:v>
                </c:pt>
                <c:pt idx="19">
                  <c:v>5563.7070000000003</c:v>
                </c:pt>
                <c:pt idx="20">
                  <c:v>4099.7240000000002</c:v>
                </c:pt>
                <c:pt idx="21">
                  <c:v>3560.7990000000004</c:v>
                </c:pt>
                <c:pt idx="22">
                  <c:v>8217.5799999999981</c:v>
                </c:pt>
                <c:pt idx="23">
                  <c:v>2635.4710000000005</c:v>
                </c:pt>
                <c:pt idx="25">
                  <c:v>0</c:v>
                </c:pt>
                <c:pt idx="26">
                  <c:v>3519.9529999999995</c:v>
                </c:pt>
                <c:pt idx="27">
                  <c:v>2873.3589999999999</c:v>
                </c:pt>
                <c:pt idx="28">
                  <c:v>5633.2219999999998</c:v>
                </c:pt>
                <c:pt idx="29">
                  <c:v>4832.41</c:v>
                </c:pt>
                <c:pt idx="30">
                  <c:v>4775.82</c:v>
                </c:pt>
                <c:pt idx="31">
                  <c:v>7790.7819999999992</c:v>
                </c:pt>
                <c:pt idx="32">
                  <c:v>4223.8550000000005</c:v>
                </c:pt>
              </c:numCache>
            </c:numRef>
          </c:val>
          <c:extLst>
            <c:ext xmlns:c16="http://schemas.microsoft.com/office/drawing/2014/chart" uri="{C3380CC4-5D6E-409C-BE32-E72D297353CC}">
              <c16:uniqueId val="{00000001-D485-4BFA-B8E9-2C7A0E1E04F8}"/>
            </c:ext>
          </c:extLst>
        </c:ser>
        <c:dLbls>
          <c:showLegendKey val="0"/>
          <c:showVal val="0"/>
          <c:showCatName val="0"/>
          <c:showSerName val="0"/>
          <c:showPercent val="0"/>
          <c:showBubbleSize val="0"/>
        </c:dLbls>
        <c:gapWidth val="150"/>
        <c:overlap val="100"/>
        <c:axId val="389808200"/>
        <c:axId val="308078472"/>
      </c:barChart>
      <c:catAx>
        <c:axId val="389808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8078472"/>
        <c:crosses val="autoZero"/>
        <c:auto val="1"/>
        <c:lblAlgn val="ctr"/>
        <c:lblOffset val="100"/>
        <c:noMultiLvlLbl val="0"/>
      </c:catAx>
      <c:valAx>
        <c:axId val="30807847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80820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STR, public schools only</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144312966465784"/>
          <c:y val="3.3432835820895519E-2"/>
          <c:w val="0.82734644202994179"/>
          <c:h val="0.75259176558154106"/>
        </c:manualLayout>
      </c:layout>
      <c:barChart>
        <c:barDir val="col"/>
        <c:grouping val="stacked"/>
        <c:varyColors val="0"/>
        <c:ser>
          <c:idx val="0"/>
          <c:order val="0"/>
          <c:tx>
            <c:strRef>
              <c:f>'Results LBS'!$AR$508</c:f>
              <c:strCache>
                <c:ptCount val="1"/>
                <c:pt idx="0">
                  <c:v>LBS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'Results LBS'!$AS$507:$AY$507</c:f>
              <c:numCache>
                <c:formatCode>General</c:formatCode>
                <c:ptCount val="7"/>
                <c:pt idx="0">
                  <c:v>2010</c:v>
                </c:pt>
                <c:pt idx="1">
                  <c:v>2011</c:v>
                </c:pt>
                <c:pt idx="2">
                  <c:v>2012</c:v>
                </c:pt>
                <c:pt idx="3">
                  <c:v>2013</c:v>
                </c:pt>
                <c:pt idx="4">
                  <c:v>2014</c:v>
                </c:pt>
                <c:pt idx="5">
                  <c:v>2015</c:v>
                </c:pt>
                <c:pt idx="6">
                  <c:v>2016</c:v>
                </c:pt>
              </c:numCache>
            </c:numRef>
          </c:cat>
          <c:val>
            <c:numRef>
              <c:f>'Results LBS'!$AS$508:$AY$508</c:f>
              <c:numCache>
                <c:formatCode>0</c:formatCode>
                <c:ptCount val="7"/>
                <c:pt idx="0">
                  <c:v>41.382243952552258</c:v>
                </c:pt>
                <c:pt idx="1">
                  <c:v>39.133134895651281</c:v>
                </c:pt>
                <c:pt idx="2">
                  <c:v>32.988517603499872</c:v>
                </c:pt>
                <c:pt idx="3">
                  <c:v>31.182695874274188</c:v>
                </c:pt>
                <c:pt idx="4">
                  <c:v>32.236653256276981</c:v>
                </c:pt>
                <c:pt idx="5">
                  <c:v>32.283456303249473</c:v>
                </c:pt>
                <c:pt idx="6">
                  <c:v>33.030738137001585</c:v>
                </c:pt>
              </c:numCache>
            </c:numRef>
          </c:val>
          <c:extLst>
            <c:ext xmlns:c16="http://schemas.microsoft.com/office/drawing/2014/chart" uri="{C3380CC4-5D6E-409C-BE32-E72D297353CC}">
              <c16:uniqueId val="{00000000-2C5E-4782-83AA-A52E8786D9CF}"/>
            </c:ext>
          </c:extLst>
        </c:ser>
        <c:ser>
          <c:idx val="1"/>
          <c:order val="1"/>
          <c:tx>
            <c:strRef>
              <c:f>'Results LBS'!$AR$509</c:f>
              <c:strCache>
                <c:ptCount val="1"/>
                <c:pt idx="0">
                  <c:v>UBS</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'Results LBS'!$AS$507:$AY$507</c:f>
              <c:numCache>
                <c:formatCode>General</c:formatCode>
                <c:ptCount val="7"/>
                <c:pt idx="0">
                  <c:v>2010</c:v>
                </c:pt>
                <c:pt idx="1">
                  <c:v>2011</c:v>
                </c:pt>
                <c:pt idx="2">
                  <c:v>2012</c:v>
                </c:pt>
                <c:pt idx="3">
                  <c:v>2013</c:v>
                </c:pt>
                <c:pt idx="4">
                  <c:v>2014</c:v>
                </c:pt>
                <c:pt idx="5">
                  <c:v>2015</c:v>
                </c:pt>
                <c:pt idx="6">
                  <c:v>2016</c:v>
                </c:pt>
              </c:numCache>
            </c:numRef>
          </c:cat>
          <c:val>
            <c:numRef>
              <c:f>'Results LBS'!$AS$509:$AY$509</c:f>
              <c:numCache>
                <c:formatCode>0</c:formatCode>
                <c:ptCount val="7"/>
                <c:pt idx="0">
                  <c:v>43.753559151344525</c:v>
                </c:pt>
                <c:pt idx="1">
                  <c:v>44.453284922260586</c:v>
                </c:pt>
                <c:pt idx="2">
                  <c:v>34.454575709143633</c:v>
                </c:pt>
                <c:pt idx="3">
                  <c:v>32.013798380886733</c:v>
                </c:pt>
                <c:pt idx="4">
                  <c:v>33.158176300162857</c:v>
                </c:pt>
                <c:pt idx="5">
                  <c:v>30.226950062331337</c:v>
                </c:pt>
                <c:pt idx="6">
                  <c:v>28.119103123719526</c:v>
                </c:pt>
              </c:numCache>
            </c:numRef>
          </c:val>
          <c:extLst>
            <c:ext xmlns:c16="http://schemas.microsoft.com/office/drawing/2014/chart" uri="{C3380CC4-5D6E-409C-BE32-E72D297353CC}">
              <c16:uniqueId val="{00000001-2C5E-4782-83AA-A52E8786D9CF}"/>
            </c:ext>
          </c:extLst>
        </c:ser>
        <c:ser>
          <c:idx val="2"/>
          <c:order val="2"/>
          <c:tx>
            <c:strRef>
              <c:f>'Results LBS'!$AR$510</c:f>
              <c:strCache>
                <c:ptCount val="1"/>
                <c:pt idx="0">
                  <c:v>SSS</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'Results LBS'!$AS$507:$AY$507</c:f>
              <c:numCache>
                <c:formatCode>General</c:formatCode>
                <c:ptCount val="7"/>
                <c:pt idx="0">
                  <c:v>2010</c:v>
                </c:pt>
                <c:pt idx="1">
                  <c:v>2011</c:v>
                </c:pt>
                <c:pt idx="2">
                  <c:v>2012</c:v>
                </c:pt>
                <c:pt idx="3">
                  <c:v>2013</c:v>
                </c:pt>
                <c:pt idx="4">
                  <c:v>2014</c:v>
                </c:pt>
                <c:pt idx="5">
                  <c:v>2015</c:v>
                </c:pt>
                <c:pt idx="6">
                  <c:v>2016</c:v>
                </c:pt>
              </c:numCache>
            </c:numRef>
          </c:cat>
          <c:val>
            <c:numRef>
              <c:f>'Results LBS'!$AS$510:$AY$510</c:f>
              <c:numCache>
                <c:formatCode>0</c:formatCode>
                <c:ptCount val="7"/>
                <c:pt idx="0">
                  <c:v>43.185263059218165</c:v>
                </c:pt>
                <c:pt idx="1">
                  <c:v>44.027750499837339</c:v>
                </c:pt>
                <c:pt idx="2">
                  <c:v>37.667824059949005</c:v>
                </c:pt>
                <c:pt idx="3">
                  <c:v>32.893039905532639</c:v>
                </c:pt>
                <c:pt idx="4">
                  <c:v>28.4975811740971</c:v>
                </c:pt>
                <c:pt idx="5">
                  <c:v>28.289450232383501</c:v>
                </c:pt>
                <c:pt idx="6">
                  <c:v>26.998724300334853</c:v>
                </c:pt>
              </c:numCache>
            </c:numRef>
          </c:val>
          <c:extLst>
            <c:ext xmlns:c16="http://schemas.microsoft.com/office/drawing/2014/chart" uri="{C3380CC4-5D6E-409C-BE32-E72D297353CC}">
              <c16:uniqueId val="{00000002-2C5E-4782-83AA-A52E8786D9CF}"/>
            </c:ext>
          </c:extLst>
        </c:ser>
        <c:dLbls>
          <c:showLegendKey val="0"/>
          <c:showVal val="0"/>
          <c:showCatName val="0"/>
          <c:showSerName val="0"/>
          <c:showPercent val="0"/>
          <c:showBubbleSize val="0"/>
        </c:dLbls>
        <c:gapWidth val="150"/>
        <c:overlap val="100"/>
        <c:axId val="390992128"/>
        <c:axId val="390992520"/>
      </c:barChart>
      <c:catAx>
        <c:axId val="39099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90992520"/>
        <c:crosses val="autoZero"/>
        <c:auto val="1"/>
        <c:lblAlgn val="ctr"/>
        <c:lblOffset val="100"/>
        <c:noMultiLvlLbl val="0"/>
      </c:catAx>
      <c:valAx>
        <c:axId val="39099252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90992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'index lbs'!$C$1</c:f>
              <c:strCache>
                <c:ptCount val="1"/>
                <c:pt idx="0">
                  <c:v>index</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'index lbs'!$A$2:$B$50</c:f>
              <c:multiLvlStrCache>
                <c:ptCount val="49"/>
                <c:lvl>
                  <c:pt idx="0">
                    <c:v>Kanifing</c:v>
                  </c:pt>
                  <c:pt idx="1">
                    <c:v>Banjul</c:v>
                  </c:pt>
                  <c:pt idx="3">
                    <c:v>Foni Jarrol</c:v>
                  </c:pt>
                  <c:pt idx="4">
                    <c:v>Kombo South</c:v>
                  </c:pt>
                  <c:pt idx="5">
                    <c:v>Kombo Central</c:v>
                  </c:pt>
                  <c:pt idx="6">
                    <c:v>Foni Kansala</c:v>
                  </c:pt>
                  <c:pt idx="7">
                    <c:v>Kombo North</c:v>
                  </c:pt>
                  <c:pt idx="8">
                    <c:v>Kombo East</c:v>
                  </c:pt>
                  <c:pt idx="9">
                    <c:v>Foni Bondali</c:v>
                  </c:pt>
                  <c:pt idx="10">
                    <c:v>Foni Bintang Kar</c:v>
                  </c:pt>
                  <c:pt idx="11">
                    <c:v>Foni Berefet</c:v>
                  </c:pt>
                  <c:pt idx="13">
                    <c:v>Sabach Sanjal</c:v>
                  </c:pt>
                  <c:pt idx="14">
                    <c:v>Jokadou</c:v>
                  </c:pt>
                  <c:pt idx="15">
                    <c:v>Lower Badibou</c:v>
                  </c:pt>
                  <c:pt idx="16">
                    <c:v>Lower Niumi</c:v>
                  </c:pt>
                  <c:pt idx="17">
                    <c:v>Upper Niumi</c:v>
                  </c:pt>
                  <c:pt idx="18">
                    <c:v>Central Badibou</c:v>
                  </c:pt>
                  <c:pt idx="19">
                    <c:v>Upper Badibou</c:v>
                  </c:pt>
                  <c:pt idx="21">
                    <c:v>Jarra East</c:v>
                  </c:pt>
                  <c:pt idx="22">
                    <c:v>Kiang East</c:v>
                  </c:pt>
                  <c:pt idx="23">
                    <c:v>Kiang Central</c:v>
                  </c:pt>
                  <c:pt idx="24">
                    <c:v>Kiang West</c:v>
                  </c:pt>
                  <c:pt idx="25">
                    <c:v>Jarra Central</c:v>
                  </c:pt>
                  <c:pt idx="26">
                    <c:v>Jarra West</c:v>
                  </c:pt>
                  <c:pt idx="28">
                    <c:v>Nianija</c:v>
                  </c:pt>
                  <c:pt idx="29">
                    <c:v>Upper Fuladu Wes</c:v>
                  </c:pt>
                  <c:pt idx="30">
                    <c:v>Niamina West</c:v>
                  </c:pt>
                  <c:pt idx="31">
                    <c:v>Lower Fuladu Wes</c:v>
                  </c:pt>
                  <c:pt idx="32">
                    <c:v>Upper Saloum</c:v>
                  </c:pt>
                  <c:pt idx="33">
                    <c:v>Niamina East</c:v>
                  </c:pt>
                  <c:pt idx="34">
                    <c:v>Niamina Dankunku</c:v>
                  </c:pt>
                  <c:pt idx="35">
                    <c:v>Niani</c:v>
                  </c:pt>
                  <c:pt idx="36">
                    <c:v>Sami</c:v>
                  </c:pt>
                  <c:pt idx="37">
                    <c:v>Lower Saloum</c:v>
                  </c:pt>
                  <c:pt idx="38">
                    <c:v>Janjanbureh</c:v>
                  </c:pt>
                  <c:pt idx="40">
                    <c:v>Sandu</c:v>
                  </c:pt>
                  <c:pt idx="41">
                    <c:v>Wuli West</c:v>
                  </c:pt>
                  <c:pt idx="42">
                    <c:v>Kantora</c:v>
                  </c:pt>
                  <c:pt idx="43">
                    <c:v>Tumana</c:v>
                  </c:pt>
                  <c:pt idx="44">
                    <c:v>Wuli East</c:v>
                  </c:pt>
                  <c:pt idx="45">
                    <c:v>Jimara</c:v>
                  </c:pt>
                  <c:pt idx="46">
                    <c:v>Basse</c:v>
                  </c:pt>
                  <c:pt idx="48">
                    <c:v>The Gambia</c:v>
                  </c:pt>
                </c:lvl>
                <c:lvl>
                  <c:pt idx="0">
                    <c:v>Region 1</c:v>
                  </c:pt>
                  <c:pt idx="3">
                    <c:v>Region 2</c:v>
                  </c:pt>
                  <c:pt idx="13">
                    <c:v>Region 3</c:v>
                  </c:pt>
                  <c:pt idx="21">
                    <c:v>Region 4</c:v>
                  </c:pt>
                  <c:pt idx="28">
                    <c:v>Region 5</c:v>
                  </c:pt>
                  <c:pt idx="40">
                    <c:v>Region 6</c:v>
                  </c:pt>
                </c:lvl>
              </c:multiLvlStrCache>
            </c:multiLvlStrRef>
          </c:cat>
          <c:val>
            <c:numRef>
              <c:f>'index lbs'!$C$2:$C$50</c:f>
              <c:numCache>
                <c:formatCode>0.00</c:formatCode>
                <c:ptCount val="49"/>
                <c:pt idx="0">
                  <c:v>0.85931869999999999</c:v>
                </c:pt>
                <c:pt idx="1">
                  <c:v>0.93886239999999999</c:v>
                </c:pt>
                <c:pt idx="3">
                  <c:v>0.66926839999999999</c:v>
                </c:pt>
                <c:pt idx="4">
                  <c:v>0.701955</c:v>
                </c:pt>
                <c:pt idx="5">
                  <c:v>0.70615130000000004</c:v>
                </c:pt>
                <c:pt idx="6">
                  <c:v>0.70970250000000001</c:v>
                </c:pt>
                <c:pt idx="7">
                  <c:v>0.74486010000000002</c:v>
                </c:pt>
                <c:pt idx="8">
                  <c:v>0.75534769999999996</c:v>
                </c:pt>
                <c:pt idx="9">
                  <c:v>0.78688290000000005</c:v>
                </c:pt>
                <c:pt idx="10">
                  <c:v>0.80934410000000001</c:v>
                </c:pt>
                <c:pt idx="11">
                  <c:v>0.92440359999999999</c:v>
                </c:pt>
                <c:pt idx="13">
                  <c:v>0.70017660000000004</c:v>
                </c:pt>
                <c:pt idx="14">
                  <c:v>0.72502279999999997</c:v>
                </c:pt>
                <c:pt idx="15">
                  <c:v>0.73377239999999999</c:v>
                </c:pt>
                <c:pt idx="16">
                  <c:v>0.75378509999999999</c:v>
                </c:pt>
                <c:pt idx="17">
                  <c:v>0.77024429999999999</c:v>
                </c:pt>
                <c:pt idx="18">
                  <c:v>0.78495400000000004</c:v>
                </c:pt>
                <c:pt idx="19">
                  <c:v>0.79918990000000001</c:v>
                </c:pt>
                <c:pt idx="21">
                  <c:v>0.6472329</c:v>
                </c:pt>
                <c:pt idx="22">
                  <c:v>0.65231870000000003</c:v>
                </c:pt>
                <c:pt idx="23">
                  <c:v>0.71711380000000002</c:v>
                </c:pt>
                <c:pt idx="24">
                  <c:v>0.74764240000000004</c:v>
                </c:pt>
                <c:pt idx="25">
                  <c:v>0.77774299999999996</c:v>
                </c:pt>
                <c:pt idx="26">
                  <c:v>0.87214979999999998</c:v>
                </c:pt>
                <c:pt idx="28">
                  <c:v>0.47092210000000001</c:v>
                </c:pt>
                <c:pt idx="29">
                  <c:v>0.55678399999999995</c:v>
                </c:pt>
                <c:pt idx="30">
                  <c:v>0.57558679999999995</c:v>
                </c:pt>
                <c:pt idx="31">
                  <c:v>0.62205429999999995</c:v>
                </c:pt>
                <c:pt idx="32">
                  <c:v>0.6534683</c:v>
                </c:pt>
                <c:pt idx="33">
                  <c:v>0.66752359999999999</c:v>
                </c:pt>
                <c:pt idx="34">
                  <c:v>0.71678359999999997</c:v>
                </c:pt>
                <c:pt idx="35">
                  <c:v>0.72262839999999995</c:v>
                </c:pt>
                <c:pt idx="36">
                  <c:v>0.74731400000000003</c:v>
                </c:pt>
                <c:pt idx="37">
                  <c:v>0.84415419999999997</c:v>
                </c:pt>
                <c:pt idx="38">
                  <c:v>0.92440359999999999</c:v>
                </c:pt>
                <c:pt idx="40">
                  <c:v>0.68896040000000003</c:v>
                </c:pt>
                <c:pt idx="41">
                  <c:v>0.75588250000000001</c:v>
                </c:pt>
                <c:pt idx="42">
                  <c:v>0.75660939999999999</c:v>
                </c:pt>
                <c:pt idx="43">
                  <c:v>0.76528779999999996</c:v>
                </c:pt>
                <c:pt idx="44">
                  <c:v>0.76603080000000001</c:v>
                </c:pt>
                <c:pt idx="45">
                  <c:v>0.78865739999999995</c:v>
                </c:pt>
                <c:pt idx="46">
                  <c:v>0.79822590000000004</c:v>
                </c:pt>
                <c:pt idx="48">
                  <c:v>0.7376684</c:v>
                </c:pt>
              </c:numCache>
            </c:numRef>
          </c:val>
          <c:extLst>
            <c:ext xmlns:c16="http://schemas.microsoft.com/office/drawing/2014/chart" uri="{C3380CC4-5D6E-409C-BE32-E72D297353CC}">
              <c16:uniqueId val="{00000000-F00D-4084-A9EE-6E77E474DF61}"/>
            </c:ext>
          </c:extLst>
        </c:ser>
        <c:dLbls>
          <c:showLegendKey val="0"/>
          <c:showVal val="0"/>
          <c:showCatName val="0"/>
          <c:showSerName val="0"/>
          <c:showPercent val="0"/>
          <c:showBubbleSize val="0"/>
        </c:dLbls>
        <c:gapWidth val="219"/>
        <c:overlap val="-27"/>
        <c:axId val="872876399"/>
        <c:axId val="951974367"/>
      </c:barChart>
      <c:catAx>
        <c:axId val="872876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1974367"/>
        <c:crosses val="autoZero"/>
        <c:auto val="1"/>
        <c:lblAlgn val="ctr"/>
        <c:lblOffset val="100"/>
        <c:noMultiLvlLbl val="0"/>
      </c:catAx>
      <c:valAx>
        <c:axId val="951974367"/>
        <c:scaling>
          <c:orientation val="minMax"/>
          <c:min val="0.4"/>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28763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Sheet1!$D$3</c:f>
              <c:strCache>
                <c:ptCount val="1"/>
                <c:pt idx="0">
                  <c:v>   &lt;1KM  </c:v>
                </c:pt>
              </c:strCache>
            </c:strRef>
          </c:tx>
          <c:spPr>
            <a:solidFill>
              <a:schemeClr val="accent1"/>
            </a:solidFill>
            <a:ln>
              <a:noFill/>
            </a:ln>
            <a:effectLst/>
          </c:spPr>
          <c:invertIfNegative val="0"/>
          <c:dLbls>
            <c:dLbl>
              <c:idx val="1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7BB-46A9-850E-B8818CFD44C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Sheet1!$B$4:$C$26</c:f>
              <c:multiLvlStrCache>
                <c:ptCount val="23"/>
                <c:lvl>
                  <c:pt idx="0">
                    <c:v>Region1</c:v>
                  </c:pt>
                  <c:pt idx="1">
                    <c:v>Region2</c:v>
                  </c:pt>
                  <c:pt idx="2">
                    <c:v>Region3</c:v>
                  </c:pt>
                  <c:pt idx="3">
                    <c:v>Region4</c:v>
                  </c:pt>
                  <c:pt idx="4">
                    <c:v>Region5</c:v>
                  </c:pt>
                  <c:pt idx="5">
                    <c:v>Region6</c:v>
                  </c:pt>
                  <c:pt idx="6">
                    <c:v>Average</c:v>
                  </c:pt>
                  <c:pt idx="8">
                    <c:v>Region1 </c:v>
                  </c:pt>
                  <c:pt idx="9">
                    <c:v>Region2 </c:v>
                  </c:pt>
                  <c:pt idx="10">
                    <c:v>Region3 </c:v>
                  </c:pt>
                  <c:pt idx="11">
                    <c:v>Region4 </c:v>
                  </c:pt>
                  <c:pt idx="12">
                    <c:v>Region5 </c:v>
                  </c:pt>
                  <c:pt idx="13">
                    <c:v>Region6 </c:v>
                  </c:pt>
                  <c:pt idx="14">
                    <c:v>Average</c:v>
                  </c:pt>
                  <c:pt idx="16">
                    <c:v>Region1</c:v>
                  </c:pt>
                  <c:pt idx="17">
                    <c:v>Region2</c:v>
                  </c:pt>
                  <c:pt idx="18">
                    <c:v>Region3</c:v>
                  </c:pt>
                  <c:pt idx="19">
                    <c:v>Region4</c:v>
                  </c:pt>
                  <c:pt idx="20">
                    <c:v>Region5</c:v>
                  </c:pt>
                  <c:pt idx="21">
                    <c:v>Region6</c:v>
                  </c:pt>
                  <c:pt idx="22">
                    <c:v>Average</c:v>
                  </c:pt>
                </c:lvl>
                <c:lvl>
                  <c:pt idx="7">
                    <c:v>UBS</c:v>
                  </c:pt>
                  <c:pt idx="15">
                    <c:v>SSS</c:v>
                  </c:pt>
                </c:lvl>
              </c:multiLvlStrCache>
            </c:multiLvlStrRef>
          </c:cat>
          <c:val>
            <c:numRef>
              <c:f>Sheet1!$D$4:$D$26</c:f>
              <c:numCache>
                <c:formatCode>0%</c:formatCode>
                <c:ptCount val="23"/>
                <c:pt idx="0">
                  <c:v>0.625</c:v>
                </c:pt>
                <c:pt idx="1">
                  <c:v>0.49230000000000002</c:v>
                </c:pt>
                <c:pt idx="2">
                  <c:v>0.75029999999999997</c:v>
                </c:pt>
                <c:pt idx="3">
                  <c:v>0.67779999999999996</c:v>
                </c:pt>
                <c:pt idx="4">
                  <c:v>0.59</c:v>
                </c:pt>
                <c:pt idx="5">
                  <c:v>0.5948</c:v>
                </c:pt>
                <c:pt idx="6">
                  <c:v>0.57479999999999998</c:v>
                </c:pt>
                <c:pt idx="7" formatCode="General">
                  <c:v>0</c:v>
                </c:pt>
                <c:pt idx="8">
                  <c:v>0.48630000000000001</c:v>
                </c:pt>
                <c:pt idx="9">
                  <c:v>0.34060000000000001</c:v>
                </c:pt>
                <c:pt idx="10">
                  <c:v>0.42570000000000002</c:v>
                </c:pt>
                <c:pt idx="11">
                  <c:v>0.44690000000000002</c:v>
                </c:pt>
                <c:pt idx="12">
                  <c:v>0.44529999999999997</c:v>
                </c:pt>
                <c:pt idx="13">
                  <c:v>0.34570000000000001</c:v>
                </c:pt>
                <c:pt idx="14">
                  <c:v>0.40260000000000001</c:v>
                </c:pt>
                <c:pt idx="15" formatCode="General">
                  <c:v>0</c:v>
                </c:pt>
                <c:pt idx="16">
                  <c:v>0.21640000000000001</c:v>
                </c:pt>
                <c:pt idx="17">
                  <c:v>0.28510000000000002</c:v>
                </c:pt>
                <c:pt idx="18">
                  <c:v>0.49480000000000002</c:v>
                </c:pt>
                <c:pt idx="19">
                  <c:v>0.38990000000000002</c:v>
                </c:pt>
                <c:pt idx="20">
                  <c:v>0.33069999999999999</c:v>
                </c:pt>
                <c:pt idx="21">
                  <c:v>0.3085</c:v>
                </c:pt>
                <c:pt idx="22">
                  <c:v>0.29149999999999998</c:v>
                </c:pt>
              </c:numCache>
            </c:numRef>
          </c:val>
          <c:extLst>
            <c:ext xmlns:c16="http://schemas.microsoft.com/office/drawing/2014/chart" uri="{C3380CC4-5D6E-409C-BE32-E72D297353CC}">
              <c16:uniqueId val="{00000001-A7BB-46A9-850E-B8818CFD44C8}"/>
            </c:ext>
          </c:extLst>
        </c:ser>
        <c:ser>
          <c:idx val="1"/>
          <c:order val="1"/>
          <c:tx>
            <c:strRef>
              <c:f>Sheet1!$E$3</c:f>
              <c:strCache>
                <c:ptCount val="1"/>
                <c:pt idx="0">
                  <c:v>&lt;2KM  </c:v>
                </c:pt>
              </c:strCache>
            </c:strRef>
          </c:tx>
          <c:spPr>
            <a:solidFill>
              <a:schemeClr val="accent2"/>
            </a:solidFill>
            <a:ln>
              <a:noFill/>
            </a:ln>
            <a:effectLst/>
          </c:spPr>
          <c:invertIfNegative val="0"/>
          <c:dLbls>
            <c:dLbl>
              <c:idx val="1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BB-46A9-850E-B8818CFD44C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Sheet1!$B$4:$C$26</c:f>
              <c:multiLvlStrCache>
                <c:ptCount val="23"/>
                <c:lvl>
                  <c:pt idx="0">
                    <c:v>Region1</c:v>
                  </c:pt>
                  <c:pt idx="1">
                    <c:v>Region2</c:v>
                  </c:pt>
                  <c:pt idx="2">
                    <c:v>Region3</c:v>
                  </c:pt>
                  <c:pt idx="3">
                    <c:v>Region4</c:v>
                  </c:pt>
                  <c:pt idx="4">
                    <c:v>Region5</c:v>
                  </c:pt>
                  <c:pt idx="5">
                    <c:v>Region6</c:v>
                  </c:pt>
                  <c:pt idx="6">
                    <c:v>Average</c:v>
                  </c:pt>
                  <c:pt idx="8">
                    <c:v>Region1 </c:v>
                  </c:pt>
                  <c:pt idx="9">
                    <c:v>Region2 </c:v>
                  </c:pt>
                  <c:pt idx="10">
                    <c:v>Region3 </c:v>
                  </c:pt>
                  <c:pt idx="11">
                    <c:v>Region4 </c:v>
                  </c:pt>
                  <c:pt idx="12">
                    <c:v>Region5 </c:v>
                  </c:pt>
                  <c:pt idx="13">
                    <c:v>Region6 </c:v>
                  </c:pt>
                  <c:pt idx="14">
                    <c:v>Average</c:v>
                  </c:pt>
                  <c:pt idx="16">
                    <c:v>Region1</c:v>
                  </c:pt>
                  <c:pt idx="17">
                    <c:v>Region2</c:v>
                  </c:pt>
                  <c:pt idx="18">
                    <c:v>Region3</c:v>
                  </c:pt>
                  <c:pt idx="19">
                    <c:v>Region4</c:v>
                  </c:pt>
                  <c:pt idx="20">
                    <c:v>Region5</c:v>
                  </c:pt>
                  <c:pt idx="21">
                    <c:v>Region6</c:v>
                  </c:pt>
                  <c:pt idx="22">
                    <c:v>Average</c:v>
                  </c:pt>
                </c:lvl>
                <c:lvl>
                  <c:pt idx="7">
                    <c:v>UBS</c:v>
                  </c:pt>
                  <c:pt idx="15">
                    <c:v>SSS</c:v>
                  </c:pt>
                </c:lvl>
              </c:multiLvlStrCache>
            </c:multiLvlStrRef>
          </c:cat>
          <c:val>
            <c:numRef>
              <c:f>Sheet1!$E$4:$E$26</c:f>
              <c:numCache>
                <c:formatCode>0%</c:formatCode>
                <c:ptCount val="23"/>
                <c:pt idx="0">
                  <c:v>0.23630000000000001</c:v>
                </c:pt>
                <c:pt idx="1">
                  <c:v>0.28570000000000001</c:v>
                </c:pt>
                <c:pt idx="2">
                  <c:v>0.14779999999999999</c:v>
                </c:pt>
                <c:pt idx="3">
                  <c:v>0.17730000000000001</c:v>
                </c:pt>
                <c:pt idx="4">
                  <c:v>0.2329</c:v>
                </c:pt>
                <c:pt idx="5">
                  <c:v>0.28549999999999998</c:v>
                </c:pt>
                <c:pt idx="6">
                  <c:v>0.25030000000000002</c:v>
                </c:pt>
                <c:pt idx="7" formatCode="General">
                  <c:v>0</c:v>
                </c:pt>
                <c:pt idx="8">
                  <c:v>0.193</c:v>
                </c:pt>
                <c:pt idx="9">
                  <c:v>0.24160000000000001</c:v>
                </c:pt>
                <c:pt idx="10">
                  <c:v>0.14680000000000001</c:v>
                </c:pt>
                <c:pt idx="11">
                  <c:v>0.21590000000000001</c:v>
                </c:pt>
                <c:pt idx="12">
                  <c:v>0.21210000000000001</c:v>
                </c:pt>
                <c:pt idx="13">
                  <c:v>0.1986</c:v>
                </c:pt>
                <c:pt idx="14">
                  <c:v>0.21690000000000001</c:v>
                </c:pt>
                <c:pt idx="15" formatCode="General">
                  <c:v>0</c:v>
                </c:pt>
                <c:pt idx="16">
                  <c:v>0.2346</c:v>
                </c:pt>
                <c:pt idx="17">
                  <c:v>0.1716</c:v>
                </c:pt>
                <c:pt idx="18">
                  <c:v>0.13220000000000001</c:v>
                </c:pt>
                <c:pt idx="19">
                  <c:v>0.26019999999999999</c:v>
                </c:pt>
                <c:pt idx="20">
                  <c:v>0.22839999999999999</c:v>
                </c:pt>
                <c:pt idx="21">
                  <c:v>7.6399999999999996E-2</c:v>
                </c:pt>
                <c:pt idx="22">
                  <c:v>0.2026</c:v>
                </c:pt>
              </c:numCache>
            </c:numRef>
          </c:val>
          <c:extLst>
            <c:ext xmlns:c16="http://schemas.microsoft.com/office/drawing/2014/chart" uri="{C3380CC4-5D6E-409C-BE32-E72D297353CC}">
              <c16:uniqueId val="{00000003-A7BB-46A9-850E-B8818CFD44C8}"/>
            </c:ext>
          </c:extLst>
        </c:ser>
        <c:ser>
          <c:idx val="2"/>
          <c:order val="2"/>
          <c:tx>
            <c:strRef>
              <c:f>Sheet1!$F$3</c:f>
              <c:strCache>
                <c:ptCount val="1"/>
                <c:pt idx="0">
                  <c:v>&lt;3KM  </c:v>
                </c:pt>
              </c:strCache>
            </c:strRef>
          </c:tx>
          <c:spPr>
            <a:solidFill>
              <a:schemeClr val="accent3"/>
            </a:solidFill>
            <a:ln>
              <a:noFill/>
            </a:ln>
            <a:effectLst/>
          </c:spPr>
          <c:invertIfNegative val="0"/>
          <c:dLbls>
            <c:dLbl>
              <c:idx val="1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7BB-46A9-850E-B8818CFD44C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Sheet1!$B$4:$C$26</c:f>
              <c:multiLvlStrCache>
                <c:ptCount val="23"/>
                <c:lvl>
                  <c:pt idx="0">
                    <c:v>Region1</c:v>
                  </c:pt>
                  <c:pt idx="1">
                    <c:v>Region2</c:v>
                  </c:pt>
                  <c:pt idx="2">
                    <c:v>Region3</c:v>
                  </c:pt>
                  <c:pt idx="3">
                    <c:v>Region4</c:v>
                  </c:pt>
                  <c:pt idx="4">
                    <c:v>Region5</c:v>
                  </c:pt>
                  <c:pt idx="5">
                    <c:v>Region6</c:v>
                  </c:pt>
                  <c:pt idx="6">
                    <c:v>Average</c:v>
                  </c:pt>
                  <c:pt idx="8">
                    <c:v>Region1 </c:v>
                  </c:pt>
                  <c:pt idx="9">
                    <c:v>Region2 </c:v>
                  </c:pt>
                  <c:pt idx="10">
                    <c:v>Region3 </c:v>
                  </c:pt>
                  <c:pt idx="11">
                    <c:v>Region4 </c:v>
                  </c:pt>
                  <c:pt idx="12">
                    <c:v>Region5 </c:v>
                  </c:pt>
                  <c:pt idx="13">
                    <c:v>Region6 </c:v>
                  </c:pt>
                  <c:pt idx="14">
                    <c:v>Average</c:v>
                  </c:pt>
                  <c:pt idx="16">
                    <c:v>Region1</c:v>
                  </c:pt>
                  <c:pt idx="17">
                    <c:v>Region2</c:v>
                  </c:pt>
                  <c:pt idx="18">
                    <c:v>Region3</c:v>
                  </c:pt>
                  <c:pt idx="19">
                    <c:v>Region4</c:v>
                  </c:pt>
                  <c:pt idx="20">
                    <c:v>Region5</c:v>
                  </c:pt>
                  <c:pt idx="21">
                    <c:v>Region6</c:v>
                  </c:pt>
                  <c:pt idx="22">
                    <c:v>Average</c:v>
                  </c:pt>
                </c:lvl>
                <c:lvl>
                  <c:pt idx="7">
                    <c:v>UBS</c:v>
                  </c:pt>
                  <c:pt idx="15">
                    <c:v>SSS</c:v>
                  </c:pt>
                </c:lvl>
              </c:multiLvlStrCache>
            </c:multiLvlStrRef>
          </c:cat>
          <c:val>
            <c:numRef>
              <c:f>Sheet1!$F$4:$F$26</c:f>
              <c:numCache>
                <c:formatCode>0%</c:formatCode>
                <c:ptCount val="23"/>
                <c:pt idx="0">
                  <c:v>5.5399999999999998E-2</c:v>
                </c:pt>
                <c:pt idx="1">
                  <c:v>0.1293</c:v>
                </c:pt>
                <c:pt idx="2">
                  <c:v>5.5899999999999998E-2</c:v>
                </c:pt>
                <c:pt idx="3">
                  <c:v>9.0200000000000002E-2</c:v>
                </c:pt>
                <c:pt idx="4">
                  <c:v>8.8800000000000004E-2</c:v>
                </c:pt>
                <c:pt idx="5">
                  <c:v>6.8400000000000002E-2</c:v>
                </c:pt>
                <c:pt idx="6">
                  <c:v>9.6199999999999994E-2</c:v>
                </c:pt>
                <c:pt idx="7" formatCode="General">
                  <c:v>0</c:v>
                </c:pt>
                <c:pt idx="8">
                  <c:v>9.9299999999999999E-2</c:v>
                </c:pt>
                <c:pt idx="9">
                  <c:v>0.1706</c:v>
                </c:pt>
                <c:pt idx="10">
                  <c:v>0.13009999999999999</c:v>
                </c:pt>
                <c:pt idx="11">
                  <c:v>0.1424</c:v>
                </c:pt>
                <c:pt idx="12">
                  <c:v>9.9000000000000005E-2</c:v>
                </c:pt>
                <c:pt idx="13">
                  <c:v>0.18099999999999999</c:v>
                </c:pt>
                <c:pt idx="14">
                  <c:v>0.1426</c:v>
                </c:pt>
                <c:pt idx="15" formatCode="General">
                  <c:v>0</c:v>
                </c:pt>
                <c:pt idx="16">
                  <c:v>0.13489999999999999</c:v>
                </c:pt>
                <c:pt idx="17">
                  <c:v>0.1507</c:v>
                </c:pt>
                <c:pt idx="18">
                  <c:v>7.8799999999999995E-2</c:v>
                </c:pt>
                <c:pt idx="19">
                  <c:v>0.1472</c:v>
                </c:pt>
                <c:pt idx="20">
                  <c:v>0.1208</c:v>
                </c:pt>
                <c:pt idx="21">
                  <c:v>0.1066</c:v>
                </c:pt>
                <c:pt idx="22">
                  <c:v>0.14119999999999999</c:v>
                </c:pt>
              </c:numCache>
            </c:numRef>
          </c:val>
          <c:extLst>
            <c:ext xmlns:c16="http://schemas.microsoft.com/office/drawing/2014/chart" uri="{C3380CC4-5D6E-409C-BE32-E72D297353CC}">
              <c16:uniqueId val="{00000005-A7BB-46A9-850E-B8818CFD44C8}"/>
            </c:ext>
          </c:extLst>
        </c:ser>
        <c:ser>
          <c:idx val="3"/>
          <c:order val="3"/>
          <c:tx>
            <c:strRef>
              <c:f>Sheet1!$G$3</c:f>
              <c:strCache>
                <c:ptCount val="1"/>
                <c:pt idx="0">
                  <c:v>3+KM </c:v>
                </c:pt>
              </c:strCache>
            </c:strRef>
          </c:tx>
          <c:spPr>
            <a:solidFill>
              <a:schemeClr val="accent4"/>
            </a:solidFill>
            <a:ln>
              <a:noFill/>
            </a:ln>
            <a:effectLst/>
          </c:spPr>
          <c:invertIfNegative val="0"/>
          <c:dLbls>
            <c:dLbl>
              <c:idx val="1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7BB-46A9-850E-B8818CFD44C8}"/>
                </c:ext>
              </c:extLst>
            </c:dLbl>
            <c:dLbl>
              <c:idx val="2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7BB-46A9-850E-B8818CFD44C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Sheet1!$B$4:$C$26</c:f>
              <c:multiLvlStrCache>
                <c:ptCount val="23"/>
                <c:lvl>
                  <c:pt idx="0">
                    <c:v>Region1</c:v>
                  </c:pt>
                  <c:pt idx="1">
                    <c:v>Region2</c:v>
                  </c:pt>
                  <c:pt idx="2">
                    <c:v>Region3</c:v>
                  </c:pt>
                  <c:pt idx="3">
                    <c:v>Region4</c:v>
                  </c:pt>
                  <c:pt idx="4">
                    <c:v>Region5</c:v>
                  </c:pt>
                  <c:pt idx="5">
                    <c:v>Region6</c:v>
                  </c:pt>
                  <c:pt idx="6">
                    <c:v>Average</c:v>
                  </c:pt>
                  <c:pt idx="8">
                    <c:v>Region1 </c:v>
                  </c:pt>
                  <c:pt idx="9">
                    <c:v>Region2 </c:v>
                  </c:pt>
                  <c:pt idx="10">
                    <c:v>Region3 </c:v>
                  </c:pt>
                  <c:pt idx="11">
                    <c:v>Region4 </c:v>
                  </c:pt>
                  <c:pt idx="12">
                    <c:v>Region5 </c:v>
                  </c:pt>
                  <c:pt idx="13">
                    <c:v>Region6 </c:v>
                  </c:pt>
                  <c:pt idx="14">
                    <c:v>Average</c:v>
                  </c:pt>
                  <c:pt idx="16">
                    <c:v>Region1</c:v>
                  </c:pt>
                  <c:pt idx="17">
                    <c:v>Region2</c:v>
                  </c:pt>
                  <c:pt idx="18">
                    <c:v>Region3</c:v>
                  </c:pt>
                  <c:pt idx="19">
                    <c:v>Region4</c:v>
                  </c:pt>
                  <c:pt idx="20">
                    <c:v>Region5</c:v>
                  </c:pt>
                  <c:pt idx="21">
                    <c:v>Region6</c:v>
                  </c:pt>
                  <c:pt idx="22">
                    <c:v>Average</c:v>
                  </c:pt>
                </c:lvl>
                <c:lvl>
                  <c:pt idx="7">
                    <c:v>UBS</c:v>
                  </c:pt>
                  <c:pt idx="15">
                    <c:v>SSS</c:v>
                  </c:pt>
                </c:lvl>
              </c:multiLvlStrCache>
            </c:multiLvlStrRef>
          </c:cat>
          <c:val>
            <c:numRef>
              <c:f>Sheet1!$G$4:$G$26</c:f>
              <c:numCache>
                <c:formatCode>0%</c:formatCode>
                <c:ptCount val="23"/>
                <c:pt idx="0">
                  <c:v>8.3299999999999999E-2</c:v>
                </c:pt>
                <c:pt idx="1">
                  <c:v>9.2700000000000005E-2</c:v>
                </c:pt>
                <c:pt idx="2">
                  <c:v>4.5999999999999999E-2</c:v>
                </c:pt>
                <c:pt idx="3">
                  <c:v>5.4699999999999999E-2</c:v>
                </c:pt>
                <c:pt idx="4">
                  <c:v>8.8300000000000003E-2</c:v>
                </c:pt>
                <c:pt idx="5">
                  <c:v>5.1200000000000002E-2</c:v>
                </c:pt>
                <c:pt idx="6">
                  <c:v>7.8700000000000006E-2</c:v>
                </c:pt>
                <c:pt idx="7" formatCode="General">
                  <c:v>0</c:v>
                </c:pt>
                <c:pt idx="8">
                  <c:v>0.22140000000000001</c:v>
                </c:pt>
                <c:pt idx="9">
                  <c:v>0.2472</c:v>
                </c:pt>
                <c:pt idx="10">
                  <c:v>0.2974</c:v>
                </c:pt>
                <c:pt idx="11">
                  <c:v>0.19470000000000001</c:v>
                </c:pt>
                <c:pt idx="12">
                  <c:v>0.24360000000000001</c:v>
                </c:pt>
                <c:pt idx="13">
                  <c:v>0.2747</c:v>
                </c:pt>
                <c:pt idx="14">
                  <c:v>0.23799999999999999</c:v>
                </c:pt>
                <c:pt idx="15" formatCode="General">
                  <c:v>0</c:v>
                </c:pt>
                <c:pt idx="16">
                  <c:v>0.41410000000000002</c:v>
                </c:pt>
                <c:pt idx="17">
                  <c:v>0.3926</c:v>
                </c:pt>
                <c:pt idx="18">
                  <c:v>0.29430000000000001</c:v>
                </c:pt>
                <c:pt idx="19">
                  <c:v>0.20280000000000001</c:v>
                </c:pt>
                <c:pt idx="20">
                  <c:v>0.32019999999999998</c:v>
                </c:pt>
                <c:pt idx="21">
                  <c:v>0.50849999999999995</c:v>
                </c:pt>
                <c:pt idx="22">
                  <c:v>0.36470000000000002</c:v>
                </c:pt>
              </c:numCache>
            </c:numRef>
          </c:val>
          <c:extLst>
            <c:ext xmlns:c16="http://schemas.microsoft.com/office/drawing/2014/chart" uri="{C3380CC4-5D6E-409C-BE32-E72D297353CC}">
              <c16:uniqueId val="{00000008-A7BB-46A9-850E-B8818CFD44C8}"/>
            </c:ext>
          </c:extLst>
        </c:ser>
        <c:dLbls>
          <c:showLegendKey val="0"/>
          <c:showVal val="0"/>
          <c:showCatName val="0"/>
          <c:showSerName val="0"/>
          <c:showPercent val="0"/>
          <c:showBubbleSize val="0"/>
        </c:dLbls>
        <c:gapWidth val="150"/>
        <c:overlap val="100"/>
        <c:axId val="391296416"/>
        <c:axId val="391501568"/>
      </c:barChart>
      <c:catAx>
        <c:axId val="39129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501568"/>
        <c:crosses val="autoZero"/>
        <c:auto val="1"/>
        <c:lblAlgn val="ctr"/>
        <c:lblOffset val="100"/>
        <c:noMultiLvlLbl val="0"/>
      </c:catAx>
      <c:valAx>
        <c:axId val="3915015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29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97974423958676E-2"/>
          <c:y val="0.12015893525847765"/>
          <c:w val="0.93900223774239522"/>
          <c:h val="0.53893844549677661"/>
        </c:manualLayout>
      </c:layout>
      <c:barChart>
        <c:barDir val="col"/>
        <c:grouping val="clustered"/>
        <c:varyColors val="0"/>
        <c:ser>
          <c:idx val="1"/>
          <c:order val="1"/>
          <c:tx>
            <c:strRef>
              <c:f>'LBS Elise'!$D$3</c:f>
              <c:strCache>
                <c:ptCount val="1"/>
                <c:pt idx="0">
                  <c:v>Average of Efficiency</c:v>
                </c:pt>
              </c:strCache>
            </c:strRef>
          </c:tx>
          <c:spPr>
            <a:solidFill>
              <a:schemeClr val="accent2"/>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E6-44DF-96F0-9B70AB7402BA}"/>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E6-44DF-96F0-9B70AB7402BA}"/>
                </c:ext>
              </c:extLst>
            </c:dLbl>
            <c:dLbl>
              <c:idx val="1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8E6-44DF-96F0-9B70AB7402BA}"/>
                </c:ext>
              </c:extLst>
            </c:dLbl>
            <c:dLbl>
              <c:idx val="2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8E6-44DF-96F0-9B70AB7402BA}"/>
                </c:ext>
              </c:extLst>
            </c:dLbl>
            <c:dLbl>
              <c:idx val="3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8E6-44DF-96F0-9B70AB7402BA}"/>
                </c:ext>
              </c:extLst>
            </c:dLbl>
            <c:dLbl>
              <c:idx val="4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8E6-44DF-96F0-9B70AB7402BA}"/>
                </c:ext>
              </c:extLst>
            </c:dLbl>
            <c:dLbl>
              <c:idx val="5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8E6-44DF-96F0-9B70AB7402BA}"/>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'LBS Elise'!$A$4:$B$58</c:f>
              <c:multiLvlStrCache>
                <c:ptCount val="55"/>
                <c:lvl>
                  <c:pt idx="0">
                    <c:v>Average</c:v>
                  </c:pt>
                  <c:pt idx="1">
                    <c:v>Kanifing</c:v>
                  </c:pt>
                  <c:pt idx="2">
                    <c:v>Banjul</c:v>
                  </c:pt>
                  <c:pt idx="4">
                    <c:v>Average</c:v>
                  </c:pt>
                  <c:pt idx="5">
                    <c:v>Foni Kansala</c:v>
                  </c:pt>
                  <c:pt idx="6">
                    <c:v>Kombo Central</c:v>
                  </c:pt>
                  <c:pt idx="7">
                    <c:v>Kombo North</c:v>
                  </c:pt>
                  <c:pt idx="8">
                    <c:v>Kombo East</c:v>
                  </c:pt>
                  <c:pt idx="9">
                    <c:v>Foni Jarrol</c:v>
                  </c:pt>
                  <c:pt idx="10">
                    <c:v>Foni Berefet</c:v>
                  </c:pt>
                  <c:pt idx="11">
                    <c:v>Kombo South</c:v>
                  </c:pt>
                  <c:pt idx="12">
                    <c:v>Foni Bintang Karanai</c:v>
                  </c:pt>
                  <c:pt idx="13">
                    <c:v>Foni Bondali</c:v>
                  </c:pt>
                  <c:pt idx="15">
                    <c:v>Average</c:v>
                  </c:pt>
                  <c:pt idx="16">
                    <c:v>Central Badibou</c:v>
                  </c:pt>
                  <c:pt idx="17">
                    <c:v>Lower Badibou</c:v>
                  </c:pt>
                  <c:pt idx="18">
                    <c:v>Lower Niumi</c:v>
                  </c:pt>
                  <c:pt idx="19">
                    <c:v>Sabach Sanjal</c:v>
                  </c:pt>
                  <c:pt idx="20">
                    <c:v>Upper Badibou</c:v>
                  </c:pt>
                  <c:pt idx="21">
                    <c:v>Jokadou</c:v>
                  </c:pt>
                  <c:pt idx="22">
                    <c:v>Upper Niumi</c:v>
                  </c:pt>
                  <c:pt idx="24">
                    <c:v>Average</c:v>
                  </c:pt>
                  <c:pt idx="25">
                    <c:v>Jarra East</c:v>
                  </c:pt>
                  <c:pt idx="26">
                    <c:v>Jarra Central</c:v>
                  </c:pt>
                  <c:pt idx="27">
                    <c:v>Kiang Central</c:v>
                  </c:pt>
                  <c:pt idx="28">
                    <c:v>Kiang East</c:v>
                  </c:pt>
                  <c:pt idx="29">
                    <c:v>Jarra West</c:v>
                  </c:pt>
                  <c:pt idx="30">
                    <c:v>Kiang West</c:v>
                  </c:pt>
                  <c:pt idx="32">
                    <c:v>Average</c:v>
                  </c:pt>
                  <c:pt idx="33">
                    <c:v>Niamina East</c:v>
                  </c:pt>
                  <c:pt idx="34">
                    <c:v>Sami</c:v>
                  </c:pt>
                  <c:pt idx="35">
                    <c:v>Upper Fuladu West</c:v>
                  </c:pt>
                  <c:pt idx="36">
                    <c:v>Niani</c:v>
                  </c:pt>
                  <c:pt idx="37">
                    <c:v>Lower Fuladu West</c:v>
                  </c:pt>
                  <c:pt idx="38">
                    <c:v>Nianija</c:v>
                  </c:pt>
                  <c:pt idx="39">
                    <c:v>Upper Saloum</c:v>
                  </c:pt>
                  <c:pt idx="40">
                    <c:v>Niamina West</c:v>
                  </c:pt>
                  <c:pt idx="41">
                    <c:v>Lower Saloum</c:v>
                  </c:pt>
                  <c:pt idx="42">
                    <c:v>Janjanbureh</c:v>
                  </c:pt>
                  <c:pt idx="43">
                    <c:v>Niamina Dankunku</c:v>
                  </c:pt>
                  <c:pt idx="45">
                    <c:v>Average</c:v>
                  </c:pt>
                  <c:pt idx="46">
                    <c:v>Tumana</c:v>
                  </c:pt>
                  <c:pt idx="47">
                    <c:v>Kantora</c:v>
                  </c:pt>
                  <c:pt idx="48">
                    <c:v>Basse</c:v>
                  </c:pt>
                  <c:pt idx="49">
                    <c:v>Jimara</c:v>
                  </c:pt>
                  <c:pt idx="50">
                    <c:v>Wuli West</c:v>
                  </c:pt>
                  <c:pt idx="51">
                    <c:v>Wuli East</c:v>
                  </c:pt>
                  <c:pt idx="52">
                    <c:v>Sandu</c:v>
                  </c:pt>
                  <c:pt idx="54">
                    <c:v>The Gambia</c:v>
                  </c:pt>
                </c:lvl>
                <c:lvl>
                  <c:pt idx="0">
                    <c:v>Region 1</c:v>
                  </c:pt>
                  <c:pt idx="4">
                    <c:v>Region 2</c:v>
                  </c:pt>
                  <c:pt idx="15">
                    <c:v>Region 3</c:v>
                  </c:pt>
                  <c:pt idx="24">
                    <c:v>Region 4</c:v>
                  </c:pt>
                  <c:pt idx="32">
                    <c:v>Region 5</c:v>
                  </c:pt>
                  <c:pt idx="45">
                    <c:v>Region 6</c:v>
                  </c:pt>
                  <c:pt idx="54">
                    <c:v>.</c:v>
                  </c:pt>
                </c:lvl>
              </c:multiLvlStrCache>
            </c:multiLvlStrRef>
          </c:cat>
          <c:val>
            <c:numRef>
              <c:f>'LBS Elise'!$D$4:$D$58</c:f>
              <c:numCache>
                <c:formatCode>0%</c:formatCode>
                <c:ptCount val="55"/>
                <c:pt idx="0">
                  <c:v>0.82615962366666673</c:v>
                </c:pt>
                <c:pt idx="1">
                  <c:v>0.81351292866666669</c:v>
                </c:pt>
                <c:pt idx="2">
                  <c:v>0.86409970866666663</c:v>
                </c:pt>
                <c:pt idx="4">
                  <c:v>0.73647981451111111</c:v>
                </c:pt>
                <c:pt idx="5">
                  <c:v>0.620060681</c:v>
                </c:pt>
                <c:pt idx="6">
                  <c:v>0.69025582060000001</c:v>
                </c:pt>
                <c:pt idx="7">
                  <c:v>0.70001363007142869</c:v>
                </c:pt>
                <c:pt idx="8">
                  <c:v>0.7121908726666667</c:v>
                </c:pt>
                <c:pt idx="9">
                  <c:v>0.71982952350000007</c:v>
                </c:pt>
                <c:pt idx="10">
                  <c:v>0.73156322100000004</c:v>
                </c:pt>
                <c:pt idx="11">
                  <c:v>0.76345993857142858</c:v>
                </c:pt>
                <c:pt idx="12">
                  <c:v>0.82040361716666654</c:v>
                </c:pt>
                <c:pt idx="13">
                  <c:v>0.91374452500000003</c:v>
                </c:pt>
                <c:pt idx="15">
                  <c:v>0.78134018818367346</c:v>
                </c:pt>
                <c:pt idx="16">
                  <c:v>0.72649345150000011</c:v>
                </c:pt>
                <c:pt idx="17">
                  <c:v>0.73659491633333329</c:v>
                </c:pt>
                <c:pt idx="18">
                  <c:v>0.76464292900000008</c:v>
                </c:pt>
                <c:pt idx="19">
                  <c:v>0.78551941599999997</c:v>
                </c:pt>
                <c:pt idx="20">
                  <c:v>0.78607328841666668</c:v>
                </c:pt>
                <c:pt idx="21">
                  <c:v>0.7983497888333333</c:v>
                </c:pt>
                <c:pt idx="22">
                  <c:v>0.82603289662500001</c:v>
                </c:pt>
                <c:pt idx="24">
                  <c:v>0.84499189932432439</c:v>
                </c:pt>
                <c:pt idx="25">
                  <c:v>0.72062154439999992</c:v>
                </c:pt>
                <c:pt idx="26">
                  <c:v>0.84039099866666678</c:v>
                </c:pt>
                <c:pt idx="27">
                  <c:v>0.8519074046666667</c:v>
                </c:pt>
                <c:pt idx="28">
                  <c:v>0.85858672039999995</c:v>
                </c:pt>
                <c:pt idx="29">
                  <c:v>0.86307323866666674</c:v>
                </c:pt>
                <c:pt idx="30">
                  <c:v>0.87980017458333337</c:v>
                </c:pt>
                <c:pt idx="32">
                  <c:v>0.88312863318181811</c:v>
                </c:pt>
                <c:pt idx="33">
                  <c:v>0.82511721459999998</c:v>
                </c:pt>
                <c:pt idx="34">
                  <c:v>0.83677324824999999</c:v>
                </c:pt>
                <c:pt idx="35">
                  <c:v>0.8538936880000001</c:v>
                </c:pt>
                <c:pt idx="36">
                  <c:v>0.85554289311111109</c:v>
                </c:pt>
                <c:pt idx="37">
                  <c:v>0.85648748033333333</c:v>
                </c:pt>
                <c:pt idx="38">
                  <c:v>0.88125741766666665</c:v>
                </c:pt>
                <c:pt idx="39">
                  <c:v>0.89517895866666664</c:v>
                </c:pt>
                <c:pt idx="40">
                  <c:v>0.97902424649999997</c:v>
                </c:pt>
                <c:pt idx="41">
                  <c:v>0.99154314700000012</c:v>
                </c:pt>
                <c:pt idx="42">
                  <c:v>1</c:v>
                </c:pt>
                <c:pt idx="43">
                  <c:v>1</c:v>
                </c:pt>
                <c:pt idx="45">
                  <c:v>0.83879716598039233</c:v>
                </c:pt>
                <c:pt idx="46">
                  <c:v>0.7407333774999999</c:v>
                </c:pt>
                <c:pt idx="47">
                  <c:v>0.74271134783333326</c:v>
                </c:pt>
                <c:pt idx="48">
                  <c:v>0.8285397645</c:v>
                </c:pt>
                <c:pt idx="49">
                  <c:v>0.83707752150000003</c:v>
                </c:pt>
                <c:pt idx="50">
                  <c:v>0.84782477919999999</c:v>
                </c:pt>
                <c:pt idx="51">
                  <c:v>0.90935142125000012</c:v>
                </c:pt>
                <c:pt idx="52">
                  <c:v>0.95658282979999998</c:v>
                </c:pt>
                <c:pt idx="54">
                  <c:v>0.82181162264615393</c:v>
                </c:pt>
              </c:numCache>
            </c:numRef>
          </c:val>
          <c:extLst>
            <c:ext xmlns:c16="http://schemas.microsoft.com/office/drawing/2014/chart" uri="{C3380CC4-5D6E-409C-BE32-E72D297353CC}">
              <c16:uniqueId val="{00000007-88E6-44DF-96F0-9B70AB7402BA}"/>
            </c:ext>
          </c:extLst>
        </c:ser>
        <c:dLbls>
          <c:showLegendKey val="0"/>
          <c:showVal val="0"/>
          <c:showCatName val="0"/>
          <c:showSerName val="0"/>
          <c:showPercent val="0"/>
          <c:showBubbleSize val="0"/>
        </c:dLbls>
        <c:gapWidth val="150"/>
        <c:axId val="198891823"/>
        <c:axId val="347867647"/>
      </c:barChart>
      <c:lineChart>
        <c:grouping val="standard"/>
        <c:varyColors val="0"/>
        <c:ser>
          <c:idx val="0"/>
          <c:order val="0"/>
          <c:tx>
            <c:strRef>
              <c:f>'LBS Elise'!$C$3</c:f>
              <c:strCache>
                <c:ptCount val="1"/>
                <c:pt idx="0">
                  <c:v>Min of Efficiency</c:v>
                </c:pt>
              </c:strCache>
            </c:strRef>
          </c:tx>
          <c:spPr>
            <a:ln w="25400" cap="rnd">
              <a:noFill/>
              <a:round/>
            </a:ln>
            <a:effectLst/>
          </c:spPr>
          <c:marker>
            <c:symbol val="diamond"/>
            <c:size val="6"/>
            <c:spPr>
              <a:solidFill>
                <a:srgbClr val="FF0000"/>
              </a:solidFill>
              <a:ln w="9525">
                <a:solidFill>
                  <a:schemeClr val="accent1"/>
                </a:solidFill>
              </a:ln>
              <a:effectLst/>
            </c:spPr>
          </c:marker>
          <c:cat>
            <c:multiLvlStrRef>
              <c:f>'LBS Elise'!$A$4:$B$58</c:f>
              <c:multiLvlStrCache>
                <c:ptCount val="55"/>
                <c:lvl>
                  <c:pt idx="0">
                    <c:v>Average</c:v>
                  </c:pt>
                  <c:pt idx="1">
                    <c:v>Kanifing</c:v>
                  </c:pt>
                  <c:pt idx="2">
                    <c:v>Banjul</c:v>
                  </c:pt>
                  <c:pt idx="4">
                    <c:v>Average</c:v>
                  </c:pt>
                  <c:pt idx="5">
                    <c:v>Foni Kansala</c:v>
                  </c:pt>
                  <c:pt idx="6">
                    <c:v>Kombo Central</c:v>
                  </c:pt>
                  <c:pt idx="7">
                    <c:v>Kombo North</c:v>
                  </c:pt>
                  <c:pt idx="8">
                    <c:v>Kombo East</c:v>
                  </c:pt>
                  <c:pt idx="9">
                    <c:v>Foni Jarrol</c:v>
                  </c:pt>
                  <c:pt idx="10">
                    <c:v>Foni Berefet</c:v>
                  </c:pt>
                  <c:pt idx="11">
                    <c:v>Kombo South</c:v>
                  </c:pt>
                  <c:pt idx="12">
                    <c:v>Foni Bintang Karanai</c:v>
                  </c:pt>
                  <c:pt idx="13">
                    <c:v>Foni Bondali</c:v>
                  </c:pt>
                  <c:pt idx="15">
                    <c:v>Average</c:v>
                  </c:pt>
                  <c:pt idx="16">
                    <c:v>Central Badibou</c:v>
                  </c:pt>
                  <c:pt idx="17">
                    <c:v>Lower Badibou</c:v>
                  </c:pt>
                  <c:pt idx="18">
                    <c:v>Lower Niumi</c:v>
                  </c:pt>
                  <c:pt idx="19">
                    <c:v>Sabach Sanjal</c:v>
                  </c:pt>
                  <c:pt idx="20">
                    <c:v>Upper Badibou</c:v>
                  </c:pt>
                  <c:pt idx="21">
                    <c:v>Jokadou</c:v>
                  </c:pt>
                  <c:pt idx="22">
                    <c:v>Upper Niumi</c:v>
                  </c:pt>
                  <c:pt idx="24">
                    <c:v>Average</c:v>
                  </c:pt>
                  <c:pt idx="25">
                    <c:v>Jarra East</c:v>
                  </c:pt>
                  <c:pt idx="26">
                    <c:v>Jarra Central</c:v>
                  </c:pt>
                  <c:pt idx="27">
                    <c:v>Kiang Central</c:v>
                  </c:pt>
                  <c:pt idx="28">
                    <c:v>Kiang East</c:v>
                  </c:pt>
                  <c:pt idx="29">
                    <c:v>Jarra West</c:v>
                  </c:pt>
                  <c:pt idx="30">
                    <c:v>Kiang West</c:v>
                  </c:pt>
                  <c:pt idx="32">
                    <c:v>Average</c:v>
                  </c:pt>
                  <c:pt idx="33">
                    <c:v>Niamina East</c:v>
                  </c:pt>
                  <c:pt idx="34">
                    <c:v>Sami</c:v>
                  </c:pt>
                  <c:pt idx="35">
                    <c:v>Upper Fuladu West</c:v>
                  </c:pt>
                  <c:pt idx="36">
                    <c:v>Niani</c:v>
                  </c:pt>
                  <c:pt idx="37">
                    <c:v>Lower Fuladu West</c:v>
                  </c:pt>
                  <c:pt idx="38">
                    <c:v>Nianija</c:v>
                  </c:pt>
                  <c:pt idx="39">
                    <c:v>Upper Saloum</c:v>
                  </c:pt>
                  <c:pt idx="40">
                    <c:v>Niamina West</c:v>
                  </c:pt>
                  <c:pt idx="41">
                    <c:v>Lower Saloum</c:v>
                  </c:pt>
                  <c:pt idx="42">
                    <c:v>Janjanbureh</c:v>
                  </c:pt>
                  <c:pt idx="43">
                    <c:v>Niamina Dankunku</c:v>
                  </c:pt>
                  <c:pt idx="45">
                    <c:v>Average</c:v>
                  </c:pt>
                  <c:pt idx="46">
                    <c:v>Tumana</c:v>
                  </c:pt>
                  <c:pt idx="47">
                    <c:v>Kantora</c:v>
                  </c:pt>
                  <c:pt idx="48">
                    <c:v>Basse</c:v>
                  </c:pt>
                  <c:pt idx="49">
                    <c:v>Jimara</c:v>
                  </c:pt>
                  <c:pt idx="50">
                    <c:v>Wuli West</c:v>
                  </c:pt>
                  <c:pt idx="51">
                    <c:v>Wuli East</c:v>
                  </c:pt>
                  <c:pt idx="52">
                    <c:v>Sandu</c:v>
                  </c:pt>
                  <c:pt idx="54">
                    <c:v>The Gambia</c:v>
                  </c:pt>
                </c:lvl>
                <c:lvl>
                  <c:pt idx="0">
                    <c:v>Region 1</c:v>
                  </c:pt>
                  <c:pt idx="4">
                    <c:v>Region 2</c:v>
                  </c:pt>
                  <c:pt idx="15">
                    <c:v>Region 3</c:v>
                  </c:pt>
                  <c:pt idx="24">
                    <c:v>Region 4</c:v>
                  </c:pt>
                  <c:pt idx="32">
                    <c:v>Region 5</c:v>
                  </c:pt>
                  <c:pt idx="45">
                    <c:v>Region 6</c:v>
                  </c:pt>
                  <c:pt idx="54">
                    <c:v>.</c:v>
                  </c:pt>
                </c:lvl>
              </c:multiLvlStrCache>
            </c:multiLvlStrRef>
          </c:cat>
          <c:val>
            <c:numRef>
              <c:f>'LBS Elise'!$C$4:$C$58</c:f>
              <c:numCache>
                <c:formatCode>0%</c:formatCode>
                <c:ptCount val="55"/>
                <c:pt idx="0">
                  <c:v>0.67212727900000002</c:v>
                </c:pt>
                <c:pt idx="1">
                  <c:v>0.67212727900000002</c:v>
                </c:pt>
                <c:pt idx="2">
                  <c:v>0.83118168400000003</c:v>
                </c:pt>
                <c:pt idx="4">
                  <c:v>0.456613783</c:v>
                </c:pt>
                <c:pt idx="5">
                  <c:v>0.620060681</c:v>
                </c:pt>
                <c:pt idx="6">
                  <c:v>0.57754424800000004</c:v>
                </c:pt>
                <c:pt idx="7">
                  <c:v>0.56996897599999996</c:v>
                </c:pt>
                <c:pt idx="8">
                  <c:v>0.56192756200000005</c:v>
                </c:pt>
                <c:pt idx="9">
                  <c:v>0.65579559700000001</c:v>
                </c:pt>
                <c:pt idx="10">
                  <c:v>0.62802265700000004</c:v>
                </c:pt>
                <c:pt idx="11">
                  <c:v>0.456613783</c:v>
                </c:pt>
                <c:pt idx="12">
                  <c:v>0.54408862199999997</c:v>
                </c:pt>
                <c:pt idx="13">
                  <c:v>0.82748904999999995</c:v>
                </c:pt>
                <c:pt idx="15">
                  <c:v>0.45359353200000002</c:v>
                </c:pt>
                <c:pt idx="16">
                  <c:v>0.55029119900000001</c:v>
                </c:pt>
                <c:pt idx="17">
                  <c:v>0.70408770300000001</c:v>
                </c:pt>
                <c:pt idx="18">
                  <c:v>0.45359353200000002</c:v>
                </c:pt>
                <c:pt idx="19">
                  <c:v>0.64823337599999997</c:v>
                </c:pt>
                <c:pt idx="20">
                  <c:v>0.50873871400000004</c:v>
                </c:pt>
                <c:pt idx="21">
                  <c:v>0.64036220099999996</c:v>
                </c:pt>
                <c:pt idx="22">
                  <c:v>0.68665335999999999</c:v>
                </c:pt>
                <c:pt idx="24">
                  <c:v>0.44665565600000001</c:v>
                </c:pt>
                <c:pt idx="25">
                  <c:v>0.49555621799999999</c:v>
                </c:pt>
                <c:pt idx="26">
                  <c:v>0.59683910699999998</c:v>
                </c:pt>
                <c:pt idx="27">
                  <c:v>0.44665565600000001</c:v>
                </c:pt>
                <c:pt idx="28">
                  <c:v>0.636547643</c:v>
                </c:pt>
                <c:pt idx="29">
                  <c:v>0.59126060400000002</c:v>
                </c:pt>
                <c:pt idx="30">
                  <c:v>0.65911025700000003</c:v>
                </c:pt>
                <c:pt idx="32">
                  <c:v>0.57814923799999995</c:v>
                </c:pt>
                <c:pt idx="33">
                  <c:v>0.59792920299999996</c:v>
                </c:pt>
                <c:pt idx="34">
                  <c:v>0.57814923799999995</c:v>
                </c:pt>
                <c:pt idx="35">
                  <c:v>0.72921952999999995</c:v>
                </c:pt>
                <c:pt idx="36">
                  <c:v>0.58906383299999998</c:v>
                </c:pt>
                <c:pt idx="37">
                  <c:v>0.67356585800000002</c:v>
                </c:pt>
                <c:pt idx="38">
                  <c:v>0.64377225299999996</c:v>
                </c:pt>
                <c:pt idx="39">
                  <c:v>0.78511847300000004</c:v>
                </c:pt>
                <c:pt idx="40">
                  <c:v>0.916096986</c:v>
                </c:pt>
                <c:pt idx="41">
                  <c:v>0.94925888199999997</c:v>
                </c:pt>
                <c:pt idx="42">
                  <c:v>1</c:v>
                </c:pt>
                <c:pt idx="43">
                  <c:v>1</c:v>
                </c:pt>
                <c:pt idx="45">
                  <c:v>0.48167348300000001</c:v>
                </c:pt>
                <c:pt idx="46">
                  <c:v>0.62896661399999998</c:v>
                </c:pt>
                <c:pt idx="47">
                  <c:v>0.56965779599999999</c:v>
                </c:pt>
                <c:pt idx="48">
                  <c:v>0.495888791</c:v>
                </c:pt>
                <c:pt idx="49">
                  <c:v>0.48167348300000001</c:v>
                </c:pt>
                <c:pt idx="50">
                  <c:v>0.70509619599999995</c:v>
                </c:pt>
                <c:pt idx="51">
                  <c:v>0.72588949700000005</c:v>
                </c:pt>
                <c:pt idx="52">
                  <c:v>0.812834995</c:v>
                </c:pt>
                <c:pt idx="54">
                  <c:v>0.44665565600000001</c:v>
                </c:pt>
              </c:numCache>
            </c:numRef>
          </c:val>
          <c:smooth val="0"/>
          <c:extLst xmlns:c15="http://schemas.microsoft.com/office/drawing/2012/chart">
            <c:ext xmlns:c16="http://schemas.microsoft.com/office/drawing/2014/chart" uri="{C3380CC4-5D6E-409C-BE32-E72D297353CC}">
              <c16:uniqueId val="{00000008-88E6-44DF-96F0-9B70AB7402BA}"/>
            </c:ext>
          </c:extLst>
        </c:ser>
        <c:ser>
          <c:idx val="2"/>
          <c:order val="2"/>
          <c:tx>
            <c:strRef>
              <c:f>'LBS Elise'!$E$3</c:f>
              <c:strCache>
                <c:ptCount val="1"/>
                <c:pt idx="0">
                  <c:v>Max of Efficiency</c:v>
                </c:pt>
              </c:strCache>
            </c:strRef>
          </c:tx>
          <c:spPr>
            <a:ln w="25400" cap="rnd">
              <a:noFill/>
              <a:round/>
            </a:ln>
            <a:effectLst/>
          </c:spPr>
          <c:marker>
            <c:symbol val="circle"/>
            <c:size val="6"/>
            <c:spPr>
              <a:solidFill>
                <a:srgbClr val="00B050"/>
              </a:solidFill>
              <a:ln w="9525">
                <a:solidFill>
                  <a:srgbClr val="00B050"/>
                </a:solidFill>
              </a:ln>
              <a:effectLst/>
            </c:spPr>
          </c:marker>
          <c:cat>
            <c:multiLvlStrRef>
              <c:f>'LBS Elise'!$A$4:$B$58</c:f>
              <c:multiLvlStrCache>
                <c:ptCount val="55"/>
                <c:lvl>
                  <c:pt idx="0">
                    <c:v>Average</c:v>
                  </c:pt>
                  <c:pt idx="1">
                    <c:v>Kanifing</c:v>
                  </c:pt>
                  <c:pt idx="2">
                    <c:v>Banjul</c:v>
                  </c:pt>
                  <c:pt idx="4">
                    <c:v>Average</c:v>
                  </c:pt>
                  <c:pt idx="5">
                    <c:v>Foni Kansala</c:v>
                  </c:pt>
                  <c:pt idx="6">
                    <c:v>Kombo Central</c:v>
                  </c:pt>
                  <c:pt idx="7">
                    <c:v>Kombo North</c:v>
                  </c:pt>
                  <c:pt idx="8">
                    <c:v>Kombo East</c:v>
                  </c:pt>
                  <c:pt idx="9">
                    <c:v>Foni Jarrol</c:v>
                  </c:pt>
                  <c:pt idx="10">
                    <c:v>Foni Berefet</c:v>
                  </c:pt>
                  <c:pt idx="11">
                    <c:v>Kombo South</c:v>
                  </c:pt>
                  <c:pt idx="12">
                    <c:v>Foni Bintang Karanai</c:v>
                  </c:pt>
                  <c:pt idx="13">
                    <c:v>Foni Bondali</c:v>
                  </c:pt>
                  <c:pt idx="15">
                    <c:v>Average</c:v>
                  </c:pt>
                  <c:pt idx="16">
                    <c:v>Central Badibou</c:v>
                  </c:pt>
                  <c:pt idx="17">
                    <c:v>Lower Badibou</c:v>
                  </c:pt>
                  <c:pt idx="18">
                    <c:v>Lower Niumi</c:v>
                  </c:pt>
                  <c:pt idx="19">
                    <c:v>Sabach Sanjal</c:v>
                  </c:pt>
                  <c:pt idx="20">
                    <c:v>Upper Badibou</c:v>
                  </c:pt>
                  <c:pt idx="21">
                    <c:v>Jokadou</c:v>
                  </c:pt>
                  <c:pt idx="22">
                    <c:v>Upper Niumi</c:v>
                  </c:pt>
                  <c:pt idx="24">
                    <c:v>Average</c:v>
                  </c:pt>
                  <c:pt idx="25">
                    <c:v>Jarra East</c:v>
                  </c:pt>
                  <c:pt idx="26">
                    <c:v>Jarra Central</c:v>
                  </c:pt>
                  <c:pt idx="27">
                    <c:v>Kiang Central</c:v>
                  </c:pt>
                  <c:pt idx="28">
                    <c:v>Kiang East</c:v>
                  </c:pt>
                  <c:pt idx="29">
                    <c:v>Jarra West</c:v>
                  </c:pt>
                  <c:pt idx="30">
                    <c:v>Kiang West</c:v>
                  </c:pt>
                  <c:pt idx="32">
                    <c:v>Average</c:v>
                  </c:pt>
                  <c:pt idx="33">
                    <c:v>Niamina East</c:v>
                  </c:pt>
                  <c:pt idx="34">
                    <c:v>Sami</c:v>
                  </c:pt>
                  <c:pt idx="35">
                    <c:v>Upper Fuladu West</c:v>
                  </c:pt>
                  <c:pt idx="36">
                    <c:v>Niani</c:v>
                  </c:pt>
                  <c:pt idx="37">
                    <c:v>Lower Fuladu West</c:v>
                  </c:pt>
                  <c:pt idx="38">
                    <c:v>Nianija</c:v>
                  </c:pt>
                  <c:pt idx="39">
                    <c:v>Upper Saloum</c:v>
                  </c:pt>
                  <c:pt idx="40">
                    <c:v>Niamina West</c:v>
                  </c:pt>
                  <c:pt idx="41">
                    <c:v>Lower Saloum</c:v>
                  </c:pt>
                  <c:pt idx="42">
                    <c:v>Janjanbureh</c:v>
                  </c:pt>
                  <c:pt idx="43">
                    <c:v>Niamina Dankunku</c:v>
                  </c:pt>
                  <c:pt idx="45">
                    <c:v>Average</c:v>
                  </c:pt>
                  <c:pt idx="46">
                    <c:v>Tumana</c:v>
                  </c:pt>
                  <c:pt idx="47">
                    <c:v>Kantora</c:v>
                  </c:pt>
                  <c:pt idx="48">
                    <c:v>Basse</c:v>
                  </c:pt>
                  <c:pt idx="49">
                    <c:v>Jimara</c:v>
                  </c:pt>
                  <c:pt idx="50">
                    <c:v>Wuli West</c:v>
                  </c:pt>
                  <c:pt idx="51">
                    <c:v>Wuli East</c:v>
                  </c:pt>
                  <c:pt idx="52">
                    <c:v>Sandu</c:v>
                  </c:pt>
                  <c:pt idx="54">
                    <c:v>The Gambia</c:v>
                  </c:pt>
                </c:lvl>
                <c:lvl>
                  <c:pt idx="0">
                    <c:v>Region 1</c:v>
                  </c:pt>
                  <c:pt idx="4">
                    <c:v>Region 2</c:v>
                  </c:pt>
                  <c:pt idx="15">
                    <c:v>Region 3</c:v>
                  </c:pt>
                  <c:pt idx="24">
                    <c:v>Region 4</c:v>
                  </c:pt>
                  <c:pt idx="32">
                    <c:v>Region 5</c:v>
                  </c:pt>
                  <c:pt idx="45">
                    <c:v>Region 6</c:v>
                  </c:pt>
                  <c:pt idx="54">
                    <c:v>.</c:v>
                  </c:pt>
                </c:lvl>
              </c:multiLvlStrCache>
            </c:multiLvlStrRef>
          </c:cat>
          <c:val>
            <c:numRef>
              <c:f>'LBS Elise'!$E$4:$E$58</c:f>
              <c:numCache>
                <c:formatCode>0%</c:formatCode>
                <c:ptCount val="55"/>
                <c:pt idx="0">
                  <c:v>1</c:v>
                </c:pt>
                <c:pt idx="1">
                  <c:v>1</c:v>
                </c:pt>
                <c:pt idx="2">
                  <c:v>0.88983087699999996</c:v>
                </c:pt>
                <c:pt idx="4">
                  <c:v>1</c:v>
                </c:pt>
                <c:pt idx="5">
                  <c:v>0.620060681</c:v>
                </c:pt>
                <c:pt idx="6">
                  <c:v>0.82805577100000005</c:v>
                </c:pt>
                <c:pt idx="7">
                  <c:v>0.90260387099999995</c:v>
                </c:pt>
                <c:pt idx="8">
                  <c:v>0.81786458500000003</c:v>
                </c:pt>
                <c:pt idx="9">
                  <c:v>0.78386345000000002</c:v>
                </c:pt>
                <c:pt idx="10">
                  <c:v>0.83510378500000004</c:v>
                </c:pt>
                <c:pt idx="11">
                  <c:v>0.91077636399999995</c:v>
                </c:pt>
                <c:pt idx="12">
                  <c:v>1</c:v>
                </c:pt>
                <c:pt idx="13">
                  <c:v>1</c:v>
                </c:pt>
                <c:pt idx="15">
                  <c:v>1</c:v>
                </c:pt>
                <c:pt idx="16">
                  <c:v>0.84990268099999999</c:v>
                </c:pt>
                <c:pt idx="17">
                  <c:v>0.78670351500000002</c:v>
                </c:pt>
                <c:pt idx="18">
                  <c:v>1</c:v>
                </c:pt>
                <c:pt idx="19">
                  <c:v>1</c:v>
                </c:pt>
                <c:pt idx="20">
                  <c:v>1</c:v>
                </c:pt>
                <c:pt idx="21">
                  <c:v>1</c:v>
                </c:pt>
                <c:pt idx="22">
                  <c:v>1</c:v>
                </c:pt>
                <c:pt idx="24">
                  <c:v>1</c:v>
                </c:pt>
                <c:pt idx="25">
                  <c:v>0.89926304700000004</c:v>
                </c:pt>
                <c:pt idx="26">
                  <c:v>1</c:v>
                </c:pt>
                <c:pt idx="27">
                  <c:v>1</c:v>
                </c:pt>
                <c:pt idx="28">
                  <c:v>1</c:v>
                </c:pt>
                <c:pt idx="29">
                  <c:v>1</c:v>
                </c:pt>
                <c:pt idx="30">
                  <c:v>1</c:v>
                </c:pt>
                <c:pt idx="32">
                  <c:v>1</c:v>
                </c:pt>
                <c:pt idx="33">
                  <c:v>0.94417071600000002</c:v>
                </c:pt>
                <c:pt idx="34">
                  <c:v>1</c:v>
                </c:pt>
                <c:pt idx="35">
                  <c:v>1</c:v>
                </c:pt>
                <c:pt idx="36">
                  <c:v>1</c:v>
                </c:pt>
                <c:pt idx="37">
                  <c:v>1</c:v>
                </c:pt>
                <c:pt idx="38">
                  <c:v>1</c:v>
                </c:pt>
                <c:pt idx="39">
                  <c:v>1</c:v>
                </c:pt>
                <c:pt idx="40">
                  <c:v>1</c:v>
                </c:pt>
                <c:pt idx="41">
                  <c:v>1</c:v>
                </c:pt>
                <c:pt idx="42">
                  <c:v>1</c:v>
                </c:pt>
                <c:pt idx="43">
                  <c:v>1</c:v>
                </c:pt>
                <c:pt idx="45">
                  <c:v>1</c:v>
                </c:pt>
                <c:pt idx="46">
                  <c:v>0.85712103299999998</c:v>
                </c:pt>
                <c:pt idx="47">
                  <c:v>0.978596354</c:v>
                </c:pt>
                <c:pt idx="48">
                  <c:v>1</c:v>
                </c:pt>
                <c:pt idx="49">
                  <c:v>1</c:v>
                </c:pt>
                <c:pt idx="50">
                  <c:v>1</c:v>
                </c:pt>
                <c:pt idx="51">
                  <c:v>1</c:v>
                </c:pt>
                <c:pt idx="52">
                  <c:v>1</c:v>
                </c:pt>
                <c:pt idx="54">
                  <c:v>1</c:v>
                </c:pt>
              </c:numCache>
            </c:numRef>
          </c:val>
          <c:smooth val="0"/>
          <c:extLst>
            <c:ext xmlns:c16="http://schemas.microsoft.com/office/drawing/2014/chart" uri="{C3380CC4-5D6E-409C-BE32-E72D297353CC}">
              <c16:uniqueId val="{00000009-88E6-44DF-96F0-9B70AB7402BA}"/>
            </c:ext>
          </c:extLst>
        </c:ser>
        <c:dLbls>
          <c:showLegendKey val="0"/>
          <c:showVal val="0"/>
          <c:showCatName val="0"/>
          <c:showSerName val="0"/>
          <c:showPercent val="0"/>
          <c:showBubbleSize val="0"/>
        </c:dLbls>
        <c:marker val="1"/>
        <c:smooth val="0"/>
        <c:axId val="198891823"/>
        <c:axId val="347867647"/>
      </c:lineChart>
      <c:catAx>
        <c:axId val="1988918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347867647"/>
        <c:crosses val="autoZero"/>
        <c:auto val="1"/>
        <c:lblAlgn val="ctr"/>
        <c:lblOffset val="100"/>
        <c:noMultiLvlLbl val="0"/>
      </c:catAx>
      <c:valAx>
        <c:axId val="347867647"/>
        <c:scaling>
          <c:orientation val="minMax"/>
          <c:max val="1"/>
          <c:min val="0.30000000000000004"/>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9889182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97974423958676E-2"/>
          <c:y val="0.11604003642211982"/>
          <c:w val="0.93900223774239522"/>
          <c:h val="0.64872784233827219"/>
        </c:manualLayout>
      </c:layout>
      <c:barChart>
        <c:barDir val="col"/>
        <c:grouping val="clustered"/>
        <c:varyColors val="0"/>
        <c:ser>
          <c:idx val="1"/>
          <c:order val="1"/>
          <c:tx>
            <c:strRef>
              <c:f>'LBS Elise'!$D$101</c:f>
              <c:strCache>
                <c:ptCount val="1"/>
                <c:pt idx="0">
                  <c:v>Average of Efficiency</c:v>
                </c:pt>
              </c:strCache>
            </c:strRef>
          </c:tx>
          <c:spPr>
            <a:solidFill>
              <a:schemeClr val="accent2"/>
            </a:solidFill>
            <a:ln>
              <a:noFill/>
            </a:ln>
            <a:effectLst/>
          </c:spPr>
          <c:invertIfNegative val="0"/>
          <c:cat>
            <c:multiLvlStrRef>
              <c:f>'LBS Elise'!$A$102:$B$133</c:f>
              <c:multiLvlStrCache>
                <c:ptCount val="32"/>
                <c:lvl>
                  <c:pt idx="0">
                    <c:v>The Gambia</c:v>
                  </c:pt>
                  <c:pt idx="1">
                    <c:v>Region 1</c:v>
                  </c:pt>
                  <c:pt idx="2">
                    <c:v>Region 2</c:v>
                  </c:pt>
                  <c:pt idx="3">
                    <c:v>Region 3</c:v>
                  </c:pt>
                  <c:pt idx="4">
                    <c:v>Region 4</c:v>
                  </c:pt>
                  <c:pt idx="5">
                    <c:v>Region 5</c:v>
                  </c:pt>
                  <c:pt idx="6">
                    <c:v>Region 6</c:v>
                  </c:pt>
                  <c:pt idx="8">
                    <c:v>The Gambia</c:v>
                  </c:pt>
                  <c:pt idx="9">
                    <c:v>Region 1</c:v>
                  </c:pt>
                  <c:pt idx="10">
                    <c:v>Region 2</c:v>
                  </c:pt>
                  <c:pt idx="11">
                    <c:v>Region 3</c:v>
                  </c:pt>
                  <c:pt idx="12">
                    <c:v>Region 4</c:v>
                  </c:pt>
                  <c:pt idx="13">
                    <c:v>Region 5</c:v>
                  </c:pt>
                  <c:pt idx="14">
                    <c:v>Region 6</c:v>
                  </c:pt>
                  <c:pt idx="17">
                    <c:v>The Gambia</c:v>
                  </c:pt>
                  <c:pt idx="18">
                    <c:v>Region 1</c:v>
                  </c:pt>
                  <c:pt idx="19">
                    <c:v>Region 2</c:v>
                  </c:pt>
                  <c:pt idx="20">
                    <c:v>Region 3</c:v>
                  </c:pt>
                  <c:pt idx="21">
                    <c:v>Region 4</c:v>
                  </c:pt>
                  <c:pt idx="22">
                    <c:v>Region 5</c:v>
                  </c:pt>
                  <c:pt idx="23">
                    <c:v>Region 6</c:v>
                  </c:pt>
                  <c:pt idx="25">
                    <c:v>The Gambia</c:v>
                  </c:pt>
                  <c:pt idx="26">
                    <c:v>Region 1</c:v>
                  </c:pt>
                  <c:pt idx="27">
                    <c:v>Region 2</c:v>
                  </c:pt>
                  <c:pt idx="28">
                    <c:v>Region 3</c:v>
                  </c:pt>
                  <c:pt idx="29">
                    <c:v>Region 4</c:v>
                  </c:pt>
                  <c:pt idx="30">
                    <c:v>Region 5</c:v>
                  </c:pt>
                  <c:pt idx="31">
                    <c:v>Region 6</c:v>
                  </c:pt>
                </c:lvl>
                <c:lvl>
                  <c:pt idx="0">
                    <c:v>LBS</c:v>
                  </c:pt>
                  <c:pt idx="8">
                    <c:v>BCS</c:v>
                  </c:pt>
                  <c:pt idx="17">
                    <c:v>UBS</c:v>
                  </c:pt>
                  <c:pt idx="25">
                    <c:v>SSS</c:v>
                  </c:pt>
                </c:lvl>
              </c:multiLvlStrCache>
            </c:multiLvlStrRef>
          </c:cat>
          <c:val>
            <c:numRef>
              <c:f>'LBS Elise'!$D$102:$D$133</c:f>
              <c:numCache>
                <c:formatCode>0%</c:formatCode>
                <c:ptCount val="32"/>
                <c:pt idx="0">
                  <c:v>0.64881694664074097</c:v>
                </c:pt>
                <c:pt idx="1">
                  <c:v>0.50676686457142861</c:v>
                </c:pt>
                <c:pt idx="2">
                  <c:v>0.50153098833333332</c:v>
                </c:pt>
                <c:pt idx="3">
                  <c:v>0.62900697975510189</c:v>
                </c:pt>
                <c:pt idx="4">
                  <c:v>0.71715460886486493</c:v>
                </c:pt>
                <c:pt idx="5">
                  <c:v>0.73420166522388064</c:v>
                </c:pt>
                <c:pt idx="6">
                  <c:v>0.69154201880769217</c:v>
                </c:pt>
                <c:pt idx="8">
                  <c:v>0.49854269457142869</c:v>
                </c:pt>
                <c:pt idx="9">
                  <c:v>0.36099382299999999</c:v>
                </c:pt>
                <c:pt idx="10">
                  <c:v>0.45023586021052636</c:v>
                </c:pt>
                <c:pt idx="11">
                  <c:v>0.4641400644117647</c:v>
                </c:pt>
                <c:pt idx="12">
                  <c:v>0.51404024440000007</c:v>
                </c:pt>
                <c:pt idx="13">
                  <c:v>0.53485386779999988</c:v>
                </c:pt>
                <c:pt idx="14">
                  <c:v>0.58486086430769235</c:v>
                </c:pt>
                <c:pt idx="17">
                  <c:v>0.70348302795161288</c:v>
                </c:pt>
                <c:pt idx="18">
                  <c:v>0.61294914050000004</c:v>
                </c:pt>
                <c:pt idx="19">
                  <c:v>0.66163800891666669</c:v>
                </c:pt>
                <c:pt idx="20">
                  <c:v>0.76778556636363637</c:v>
                </c:pt>
                <c:pt idx="21">
                  <c:v>0.71315994366666668</c:v>
                </c:pt>
                <c:pt idx="22">
                  <c:v>0.76254515450000004</c:v>
                </c:pt>
                <c:pt idx="23">
                  <c:v>0.80161605340000008</c:v>
                </c:pt>
                <c:pt idx="25">
                  <c:v>0.81809538516666658</c:v>
                </c:pt>
                <c:pt idx="26">
                  <c:v>0.76286600433333318</c:v>
                </c:pt>
                <c:pt idx="27">
                  <c:v>0.81122690255555552</c:v>
                </c:pt>
                <c:pt idx="28">
                  <c:v>0.84662436044444445</c:v>
                </c:pt>
                <c:pt idx="29">
                  <c:v>0.81597490099999992</c:v>
                </c:pt>
                <c:pt idx="30">
                  <c:v>0.76175677500000005</c:v>
                </c:pt>
                <c:pt idx="31">
                  <c:v>0.90256855920000001</c:v>
                </c:pt>
              </c:numCache>
            </c:numRef>
          </c:val>
          <c:extLst>
            <c:ext xmlns:c16="http://schemas.microsoft.com/office/drawing/2014/chart" uri="{C3380CC4-5D6E-409C-BE32-E72D297353CC}">
              <c16:uniqueId val="{00000000-6815-4978-91DD-8A6D39B99E9F}"/>
            </c:ext>
          </c:extLst>
        </c:ser>
        <c:dLbls>
          <c:showLegendKey val="0"/>
          <c:showVal val="0"/>
          <c:showCatName val="0"/>
          <c:showSerName val="0"/>
          <c:showPercent val="0"/>
          <c:showBubbleSize val="0"/>
        </c:dLbls>
        <c:gapWidth val="150"/>
        <c:axId val="198891823"/>
        <c:axId val="347867647"/>
      </c:barChart>
      <c:lineChart>
        <c:grouping val="standard"/>
        <c:varyColors val="0"/>
        <c:ser>
          <c:idx val="0"/>
          <c:order val="0"/>
          <c:tx>
            <c:strRef>
              <c:f>'LBS Elise'!$C$101</c:f>
              <c:strCache>
                <c:ptCount val="1"/>
                <c:pt idx="0">
                  <c:v>Min of Efficiency</c:v>
                </c:pt>
              </c:strCache>
            </c:strRef>
          </c:tx>
          <c:spPr>
            <a:ln w="25400" cap="rnd">
              <a:noFill/>
              <a:round/>
            </a:ln>
            <a:effectLst/>
          </c:spPr>
          <c:marker>
            <c:symbol val="diamond"/>
            <c:size val="6"/>
            <c:spPr>
              <a:solidFill>
                <a:srgbClr val="FF0000"/>
              </a:solidFill>
              <a:ln w="9525">
                <a:solidFill>
                  <a:schemeClr val="accent1"/>
                </a:solidFill>
              </a:ln>
              <a:effectLst/>
            </c:spPr>
          </c:marker>
          <c:cat>
            <c:multiLvlStrRef>
              <c:f>'LBS Elise'!$A$102:$B$133</c:f>
              <c:multiLvlStrCache>
                <c:ptCount val="32"/>
                <c:lvl>
                  <c:pt idx="0">
                    <c:v>The Gambia</c:v>
                  </c:pt>
                  <c:pt idx="1">
                    <c:v>Region 1</c:v>
                  </c:pt>
                  <c:pt idx="2">
                    <c:v>Region 2</c:v>
                  </c:pt>
                  <c:pt idx="3">
                    <c:v>Region 3</c:v>
                  </c:pt>
                  <c:pt idx="4">
                    <c:v>Region 4</c:v>
                  </c:pt>
                  <c:pt idx="5">
                    <c:v>Region 5</c:v>
                  </c:pt>
                  <c:pt idx="6">
                    <c:v>Region 6</c:v>
                  </c:pt>
                  <c:pt idx="8">
                    <c:v>The Gambia</c:v>
                  </c:pt>
                  <c:pt idx="9">
                    <c:v>Region 1</c:v>
                  </c:pt>
                  <c:pt idx="10">
                    <c:v>Region 2</c:v>
                  </c:pt>
                  <c:pt idx="11">
                    <c:v>Region 3</c:v>
                  </c:pt>
                  <c:pt idx="12">
                    <c:v>Region 4</c:v>
                  </c:pt>
                  <c:pt idx="13">
                    <c:v>Region 5</c:v>
                  </c:pt>
                  <c:pt idx="14">
                    <c:v>Region 6</c:v>
                  </c:pt>
                  <c:pt idx="17">
                    <c:v>The Gambia</c:v>
                  </c:pt>
                  <c:pt idx="18">
                    <c:v>Region 1</c:v>
                  </c:pt>
                  <c:pt idx="19">
                    <c:v>Region 2</c:v>
                  </c:pt>
                  <c:pt idx="20">
                    <c:v>Region 3</c:v>
                  </c:pt>
                  <c:pt idx="21">
                    <c:v>Region 4</c:v>
                  </c:pt>
                  <c:pt idx="22">
                    <c:v>Region 5</c:v>
                  </c:pt>
                  <c:pt idx="23">
                    <c:v>Region 6</c:v>
                  </c:pt>
                  <c:pt idx="25">
                    <c:v>The Gambia</c:v>
                  </c:pt>
                  <c:pt idx="26">
                    <c:v>Region 1</c:v>
                  </c:pt>
                  <c:pt idx="27">
                    <c:v>Region 2</c:v>
                  </c:pt>
                  <c:pt idx="28">
                    <c:v>Region 3</c:v>
                  </c:pt>
                  <c:pt idx="29">
                    <c:v>Region 4</c:v>
                  </c:pt>
                  <c:pt idx="30">
                    <c:v>Region 5</c:v>
                  </c:pt>
                  <c:pt idx="31">
                    <c:v>Region 6</c:v>
                  </c:pt>
                </c:lvl>
                <c:lvl>
                  <c:pt idx="0">
                    <c:v>LBS</c:v>
                  </c:pt>
                  <c:pt idx="8">
                    <c:v>BCS</c:v>
                  </c:pt>
                  <c:pt idx="17">
                    <c:v>UBS</c:v>
                  </c:pt>
                  <c:pt idx="25">
                    <c:v>SSS</c:v>
                  </c:pt>
                </c:lvl>
              </c:multiLvlStrCache>
            </c:multiLvlStrRef>
          </c:cat>
          <c:val>
            <c:numRef>
              <c:f>'LBS Elise'!$C$102:$C$133</c:f>
              <c:numCache>
                <c:formatCode>0%</c:formatCode>
                <c:ptCount val="32"/>
                <c:pt idx="0">
                  <c:v>0.31209936799999999</c:v>
                </c:pt>
                <c:pt idx="1">
                  <c:v>0.34178651799999998</c:v>
                </c:pt>
                <c:pt idx="2">
                  <c:v>0.31209936799999999</c:v>
                </c:pt>
                <c:pt idx="3">
                  <c:v>0.33611833400000002</c:v>
                </c:pt>
                <c:pt idx="4">
                  <c:v>0.36917903200000002</c:v>
                </c:pt>
                <c:pt idx="5">
                  <c:v>0.35579637200000003</c:v>
                </c:pt>
                <c:pt idx="6">
                  <c:v>0.31471095500000001</c:v>
                </c:pt>
                <c:pt idx="8">
                  <c:v>0.273648738</c:v>
                </c:pt>
                <c:pt idx="9">
                  <c:v>0.36099382299999999</c:v>
                </c:pt>
                <c:pt idx="10">
                  <c:v>0.273648738</c:v>
                </c:pt>
                <c:pt idx="11">
                  <c:v>0.29157413300000001</c:v>
                </c:pt>
                <c:pt idx="12">
                  <c:v>0.39757983200000002</c:v>
                </c:pt>
                <c:pt idx="13">
                  <c:v>0.33239928200000002</c:v>
                </c:pt>
                <c:pt idx="14">
                  <c:v>0.43212203799999999</c:v>
                </c:pt>
                <c:pt idx="17">
                  <c:v>0.33196148199999997</c:v>
                </c:pt>
                <c:pt idx="18">
                  <c:v>0.46091652599999999</c:v>
                </c:pt>
                <c:pt idx="19">
                  <c:v>0.33196148199999997</c:v>
                </c:pt>
                <c:pt idx="20">
                  <c:v>0.48350485999999998</c:v>
                </c:pt>
                <c:pt idx="21">
                  <c:v>0.52251227499999997</c:v>
                </c:pt>
                <c:pt idx="22">
                  <c:v>0.49943130400000002</c:v>
                </c:pt>
                <c:pt idx="23">
                  <c:v>0.59161570299999999</c:v>
                </c:pt>
                <c:pt idx="25">
                  <c:v>0.45174895900000001</c:v>
                </c:pt>
                <c:pt idx="26">
                  <c:v>0.45174895900000001</c:v>
                </c:pt>
                <c:pt idx="27">
                  <c:v>0.53607939199999999</c:v>
                </c:pt>
                <c:pt idx="28">
                  <c:v>0.607642444</c:v>
                </c:pt>
                <c:pt idx="29">
                  <c:v>0.75678329099999997</c:v>
                </c:pt>
                <c:pt idx="30">
                  <c:v>0.53197054099999996</c:v>
                </c:pt>
                <c:pt idx="31">
                  <c:v>0.622211717</c:v>
                </c:pt>
              </c:numCache>
            </c:numRef>
          </c:val>
          <c:smooth val="0"/>
          <c:extLst xmlns:c15="http://schemas.microsoft.com/office/drawing/2012/chart">
            <c:ext xmlns:c16="http://schemas.microsoft.com/office/drawing/2014/chart" uri="{C3380CC4-5D6E-409C-BE32-E72D297353CC}">
              <c16:uniqueId val="{00000001-6815-4978-91DD-8A6D39B99E9F}"/>
            </c:ext>
          </c:extLst>
        </c:ser>
        <c:ser>
          <c:idx val="2"/>
          <c:order val="2"/>
          <c:tx>
            <c:strRef>
              <c:f>'LBS Elise'!$E$101</c:f>
              <c:strCache>
                <c:ptCount val="1"/>
                <c:pt idx="0">
                  <c:v>Max of Efficiency2</c:v>
                </c:pt>
              </c:strCache>
            </c:strRef>
          </c:tx>
          <c:spPr>
            <a:ln w="25400" cap="rnd">
              <a:noFill/>
              <a:round/>
            </a:ln>
            <a:effectLst/>
          </c:spPr>
          <c:marker>
            <c:symbol val="circle"/>
            <c:size val="6"/>
            <c:spPr>
              <a:solidFill>
                <a:srgbClr val="00B050"/>
              </a:solidFill>
              <a:ln w="9525">
                <a:solidFill>
                  <a:srgbClr val="00B050"/>
                </a:solidFill>
              </a:ln>
              <a:effectLst/>
            </c:spPr>
          </c:marker>
          <c:cat>
            <c:multiLvlStrRef>
              <c:f>'LBS Elise'!$A$102:$B$133</c:f>
              <c:multiLvlStrCache>
                <c:ptCount val="32"/>
                <c:lvl>
                  <c:pt idx="0">
                    <c:v>The Gambia</c:v>
                  </c:pt>
                  <c:pt idx="1">
                    <c:v>Region 1</c:v>
                  </c:pt>
                  <c:pt idx="2">
                    <c:v>Region 2</c:v>
                  </c:pt>
                  <c:pt idx="3">
                    <c:v>Region 3</c:v>
                  </c:pt>
                  <c:pt idx="4">
                    <c:v>Region 4</c:v>
                  </c:pt>
                  <c:pt idx="5">
                    <c:v>Region 5</c:v>
                  </c:pt>
                  <c:pt idx="6">
                    <c:v>Region 6</c:v>
                  </c:pt>
                  <c:pt idx="8">
                    <c:v>The Gambia</c:v>
                  </c:pt>
                  <c:pt idx="9">
                    <c:v>Region 1</c:v>
                  </c:pt>
                  <c:pt idx="10">
                    <c:v>Region 2</c:v>
                  </c:pt>
                  <c:pt idx="11">
                    <c:v>Region 3</c:v>
                  </c:pt>
                  <c:pt idx="12">
                    <c:v>Region 4</c:v>
                  </c:pt>
                  <c:pt idx="13">
                    <c:v>Region 5</c:v>
                  </c:pt>
                  <c:pt idx="14">
                    <c:v>Region 6</c:v>
                  </c:pt>
                  <c:pt idx="17">
                    <c:v>The Gambia</c:v>
                  </c:pt>
                  <c:pt idx="18">
                    <c:v>Region 1</c:v>
                  </c:pt>
                  <c:pt idx="19">
                    <c:v>Region 2</c:v>
                  </c:pt>
                  <c:pt idx="20">
                    <c:v>Region 3</c:v>
                  </c:pt>
                  <c:pt idx="21">
                    <c:v>Region 4</c:v>
                  </c:pt>
                  <c:pt idx="22">
                    <c:v>Region 5</c:v>
                  </c:pt>
                  <c:pt idx="23">
                    <c:v>Region 6</c:v>
                  </c:pt>
                  <c:pt idx="25">
                    <c:v>The Gambia</c:v>
                  </c:pt>
                  <c:pt idx="26">
                    <c:v>Region 1</c:v>
                  </c:pt>
                  <c:pt idx="27">
                    <c:v>Region 2</c:v>
                  </c:pt>
                  <c:pt idx="28">
                    <c:v>Region 3</c:v>
                  </c:pt>
                  <c:pt idx="29">
                    <c:v>Region 4</c:v>
                  </c:pt>
                  <c:pt idx="30">
                    <c:v>Region 5</c:v>
                  </c:pt>
                  <c:pt idx="31">
                    <c:v>Region 6</c:v>
                  </c:pt>
                </c:lvl>
                <c:lvl>
                  <c:pt idx="0">
                    <c:v>LBS</c:v>
                  </c:pt>
                  <c:pt idx="8">
                    <c:v>BCS</c:v>
                  </c:pt>
                  <c:pt idx="17">
                    <c:v>UBS</c:v>
                  </c:pt>
                  <c:pt idx="25">
                    <c:v>SSS</c:v>
                  </c:pt>
                </c:lvl>
              </c:multiLvlStrCache>
            </c:multiLvlStrRef>
          </c:cat>
          <c:val>
            <c:numRef>
              <c:f>'LBS Elise'!$E$102:$E$133</c:f>
              <c:numCache>
                <c:formatCode>0%</c:formatCode>
                <c:ptCount val="32"/>
                <c:pt idx="0">
                  <c:v>1</c:v>
                </c:pt>
                <c:pt idx="1">
                  <c:v>1</c:v>
                </c:pt>
                <c:pt idx="2">
                  <c:v>1</c:v>
                </c:pt>
                <c:pt idx="3">
                  <c:v>1</c:v>
                </c:pt>
                <c:pt idx="4">
                  <c:v>1</c:v>
                </c:pt>
                <c:pt idx="5">
                  <c:v>1</c:v>
                </c:pt>
                <c:pt idx="6">
                  <c:v>1</c:v>
                </c:pt>
                <c:pt idx="8">
                  <c:v>1</c:v>
                </c:pt>
                <c:pt idx="9">
                  <c:v>0.36099382299999999</c:v>
                </c:pt>
                <c:pt idx="10">
                  <c:v>0.63542765800000001</c:v>
                </c:pt>
                <c:pt idx="11">
                  <c:v>0.65133539299999998</c:v>
                </c:pt>
                <c:pt idx="12">
                  <c:v>0.784209461</c:v>
                </c:pt>
                <c:pt idx="13">
                  <c:v>1</c:v>
                </c:pt>
                <c:pt idx="14">
                  <c:v>0.82487552099999994</c:v>
                </c:pt>
                <c:pt idx="17">
                  <c:v>1</c:v>
                </c:pt>
                <c:pt idx="18">
                  <c:v>0.96104883799999996</c:v>
                </c:pt>
                <c:pt idx="19">
                  <c:v>1</c:v>
                </c:pt>
                <c:pt idx="20">
                  <c:v>1</c:v>
                </c:pt>
                <c:pt idx="21">
                  <c:v>1</c:v>
                </c:pt>
                <c:pt idx="22">
                  <c:v>1</c:v>
                </c:pt>
                <c:pt idx="23">
                  <c:v>1</c:v>
                </c:pt>
                <c:pt idx="25">
                  <c:v>1</c:v>
                </c:pt>
                <c:pt idx="26">
                  <c:v>0.99854028500000003</c:v>
                </c:pt>
                <c:pt idx="27">
                  <c:v>1</c:v>
                </c:pt>
                <c:pt idx="28">
                  <c:v>1</c:v>
                </c:pt>
                <c:pt idx="29">
                  <c:v>0.87516651099999998</c:v>
                </c:pt>
                <c:pt idx="30">
                  <c:v>1</c:v>
                </c:pt>
                <c:pt idx="31">
                  <c:v>1</c:v>
                </c:pt>
              </c:numCache>
            </c:numRef>
          </c:val>
          <c:smooth val="0"/>
          <c:extLst>
            <c:ext xmlns:c16="http://schemas.microsoft.com/office/drawing/2014/chart" uri="{C3380CC4-5D6E-409C-BE32-E72D297353CC}">
              <c16:uniqueId val="{00000002-6815-4978-91DD-8A6D39B99E9F}"/>
            </c:ext>
          </c:extLst>
        </c:ser>
        <c:dLbls>
          <c:showLegendKey val="0"/>
          <c:showVal val="0"/>
          <c:showCatName val="0"/>
          <c:showSerName val="0"/>
          <c:showPercent val="0"/>
          <c:showBubbleSize val="0"/>
        </c:dLbls>
        <c:marker val="1"/>
        <c:smooth val="0"/>
        <c:axId val="198891823"/>
        <c:axId val="347867647"/>
      </c:lineChart>
      <c:catAx>
        <c:axId val="1988918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347867647"/>
        <c:crosses val="autoZero"/>
        <c:auto val="1"/>
        <c:lblAlgn val="ctr"/>
        <c:lblOffset val="100"/>
        <c:noMultiLvlLbl val="0"/>
      </c:catAx>
      <c:valAx>
        <c:axId val="347867647"/>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9889182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LBS</a:t>
            </a:r>
          </a:p>
        </c:rich>
      </c:tx>
      <c:layout>
        <c:manualLayout>
          <c:xMode val="edge"/>
          <c:yMode val="edge"/>
          <c:x val="0.11745816850314049"/>
          <c:y val="9.2592592592592587E-3"/>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639349149035943"/>
          <c:y val="3.7453703703703718E-2"/>
          <c:w val="0.8127396394295956"/>
          <c:h val="0.82338692038495209"/>
        </c:manualLayout>
      </c:layout>
      <c:barChart>
        <c:barDir val="col"/>
        <c:grouping val="clustered"/>
        <c:varyColors val="0"/>
        <c:ser>
          <c:idx val="0"/>
          <c:order val="0"/>
          <c:tx>
            <c:strRef>
              <c:f>'Fi 36'!$Z$75</c:f>
              <c:strCache>
                <c:ptCount val="1"/>
                <c:pt idx="0">
                  <c:v>Government</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 36'!$AA$74:$AG$74</c:f>
              <c:strCache>
                <c:ptCount val="7"/>
                <c:pt idx="0">
                  <c:v>Region 1</c:v>
                </c:pt>
                <c:pt idx="1">
                  <c:v>Region 2</c:v>
                </c:pt>
                <c:pt idx="2">
                  <c:v>Region 3</c:v>
                </c:pt>
                <c:pt idx="3">
                  <c:v>Region 4</c:v>
                </c:pt>
                <c:pt idx="4">
                  <c:v>Region 5</c:v>
                </c:pt>
                <c:pt idx="5">
                  <c:v>Region 6</c:v>
                </c:pt>
                <c:pt idx="6">
                  <c:v>Total</c:v>
                </c:pt>
              </c:strCache>
            </c:strRef>
          </c:cat>
          <c:val>
            <c:numRef>
              <c:f>'Fi 36'!$AA$75:$AG$75</c:f>
              <c:numCache>
                <c:formatCode>_(* #,##0_);_(* \(#,##0\);_(* "-"??_);_(@_)</c:formatCode>
                <c:ptCount val="7"/>
                <c:pt idx="0">
                  <c:v>1499.9730876197686</c:v>
                </c:pt>
                <c:pt idx="1">
                  <c:v>1472.8380092878135</c:v>
                </c:pt>
                <c:pt idx="2">
                  <c:v>1742.0503820571266</c:v>
                </c:pt>
                <c:pt idx="3">
                  <c:v>1713.2832905573985</c:v>
                </c:pt>
                <c:pt idx="4">
                  <c:v>1575.899913437943</c:v>
                </c:pt>
                <c:pt idx="5">
                  <c:v>1216.271893962178</c:v>
                </c:pt>
                <c:pt idx="6">
                  <c:v>1520.6803333967498</c:v>
                </c:pt>
              </c:numCache>
            </c:numRef>
          </c:val>
          <c:extLst>
            <c:ext xmlns:c16="http://schemas.microsoft.com/office/drawing/2014/chart" uri="{C3380CC4-5D6E-409C-BE32-E72D297353CC}">
              <c16:uniqueId val="{00000000-5A0B-4C52-9216-B638C4DF3A37}"/>
            </c:ext>
          </c:extLst>
        </c:ser>
        <c:ser>
          <c:idx val="1"/>
          <c:order val="1"/>
          <c:tx>
            <c:strRef>
              <c:f>'Fi 36'!$Z$76</c:f>
              <c:strCache>
                <c:ptCount val="1"/>
                <c:pt idx="0">
                  <c:v>Grant-Aided</c:v>
                </c:pt>
              </c:strCache>
            </c:strRef>
          </c:tx>
          <c:spPr>
            <a:solidFill>
              <a:schemeClr val="accent2"/>
            </a:solidFill>
            <a:ln>
              <a:noFill/>
            </a:ln>
            <a:effectLst/>
          </c:spPr>
          <c:invertIfNegative val="0"/>
          <c:cat>
            <c:strRef>
              <c:f>'Fi 36'!$AA$74:$AG$74</c:f>
              <c:strCache>
                <c:ptCount val="7"/>
                <c:pt idx="0">
                  <c:v>Region 1</c:v>
                </c:pt>
                <c:pt idx="1">
                  <c:v>Region 2</c:v>
                </c:pt>
                <c:pt idx="2">
                  <c:v>Region 3</c:v>
                </c:pt>
                <c:pt idx="3">
                  <c:v>Region 4</c:v>
                </c:pt>
                <c:pt idx="4">
                  <c:v>Region 5</c:v>
                </c:pt>
                <c:pt idx="5">
                  <c:v>Region 6</c:v>
                </c:pt>
                <c:pt idx="6">
                  <c:v>Total</c:v>
                </c:pt>
              </c:strCache>
            </c:strRef>
          </c:cat>
          <c:val>
            <c:numRef>
              <c:f>'Fi 36'!$AA$76:$AG$76</c:f>
              <c:numCache>
                <c:formatCode>_(* #,##0_);_(* \(#,##0\);_(* "-"??_);_(@_)</c:formatCode>
                <c:ptCount val="7"/>
                <c:pt idx="0">
                  <c:v>1774.904148226223</c:v>
                </c:pt>
                <c:pt idx="1">
                  <c:v>1422.7984107663494</c:v>
                </c:pt>
                <c:pt idx="2">
                  <c:v>956.61614906832312</c:v>
                </c:pt>
                <c:pt idx="4">
                  <c:v>3633.1550561797749</c:v>
                </c:pt>
                <c:pt idx="5">
                  <c:v>958.13418363107598</c:v>
                </c:pt>
                <c:pt idx="6">
                  <c:v>1445.4991891802845</c:v>
                </c:pt>
              </c:numCache>
            </c:numRef>
          </c:val>
          <c:extLst>
            <c:ext xmlns:c16="http://schemas.microsoft.com/office/drawing/2014/chart" uri="{C3380CC4-5D6E-409C-BE32-E72D297353CC}">
              <c16:uniqueId val="{00000001-5A0B-4C52-9216-B638C4DF3A37}"/>
            </c:ext>
          </c:extLst>
        </c:ser>
        <c:ser>
          <c:idx val="2"/>
          <c:order val="2"/>
          <c:tx>
            <c:strRef>
              <c:f>'Fi 36'!$Z$77</c:f>
              <c:strCache>
                <c:ptCount val="1"/>
                <c:pt idx="0">
                  <c:v>Average</c:v>
                </c:pt>
              </c:strCache>
            </c:strRef>
          </c:tx>
          <c:spPr>
            <a:solidFill>
              <a:schemeClr val="accent3"/>
            </a:solidFill>
            <a:ln>
              <a:noFill/>
            </a:ln>
            <a:effectLst/>
          </c:spPr>
          <c:invertIfNegative val="0"/>
          <c:cat>
            <c:strRef>
              <c:f>'Fi 36'!$AA$74:$AG$74</c:f>
              <c:strCache>
                <c:ptCount val="7"/>
                <c:pt idx="0">
                  <c:v>Region 1</c:v>
                </c:pt>
                <c:pt idx="1">
                  <c:v>Region 2</c:v>
                </c:pt>
                <c:pt idx="2">
                  <c:v>Region 3</c:v>
                </c:pt>
                <c:pt idx="3">
                  <c:v>Region 4</c:v>
                </c:pt>
                <c:pt idx="4">
                  <c:v>Region 5</c:v>
                </c:pt>
                <c:pt idx="5">
                  <c:v>Region 6</c:v>
                </c:pt>
                <c:pt idx="6">
                  <c:v>Total</c:v>
                </c:pt>
              </c:strCache>
            </c:strRef>
          </c:cat>
          <c:val>
            <c:numRef>
              <c:f>'Fi 36'!$AA$77:$AG$77</c:f>
              <c:numCache>
                <c:formatCode>_(* #,##0_);_(* \(#,##0\);_(* "-"??_);_(@_)</c:formatCode>
                <c:ptCount val="7"/>
                <c:pt idx="0">
                  <c:v>1569.7705616506225</c:v>
                </c:pt>
                <c:pt idx="1">
                  <c:v>1460.8351108568354</c:v>
                </c:pt>
                <c:pt idx="2">
                  <c:v>1731.7811977703016</c:v>
                </c:pt>
                <c:pt idx="3">
                  <c:v>1713.2832905573985</c:v>
                </c:pt>
                <c:pt idx="4">
                  <c:v>1593.9657063746988</c:v>
                </c:pt>
                <c:pt idx="5">
                  <c:v>1194.8054940612431</c:v>
                </c:pt>
                <c:pt idx="6">
                  <c:v>1513.6427834708793</c:v>
                </c:pt>
              </c:numCache>
            </c:numRef>
          </c:val>
          <c:extLst>
            <c:ext xmlns:c16="http://schemas.microsoft.com/office/drawing/2014/chart" uri="{C3380CC4-5D6E-409C-BE32-E72D297353CC}">
              <c16:uniqueId val="{00000002-5A0B-4C52-9216-B638C4DF3A37}"/>
            </c:ext>
          </c:extLst>
        </c:ser>
        <c:dLbls>
          <c:showLegendKey val="0"/>
          <c:showVal val="0"/>
          <c:showCatName val="0"/>
          <c:showSerName val="0"/>
          <c:showPercent val="0"/>
          <c:showBubbleSize val="0"/>
        </c:dLbls>
        <c:gapWidth val="219"/>
        <c:overlap val="-27"/>
        <c:axId val="1940133680"/>
        <c:axId val="1940144080"/>
      </c:barChart>
      <c:catAx>
        <c:axId val="1940133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0144080"/>
        <c:crosses val="autoZero"/>
        <c:auto val="1"/>
        <c:lblAlgn val="ctr"/>
        <c:lblOffset val="100"/>
        <c:noMultiLvlLbl val="0"/>
      </c:catAx>
      <c:valAx>
        <c:axId val="1940144080"/>
        <c:scaling>
          <c:orientation val="minMax"/>
          <c:min val="500"/>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0133680"/>
        <c:crosses val="autoZero"/>
        <c:crossBetween val="between"/>
      </c:valAx>
      <c:spPr>
        <a:noFill/>
        <a:ln>
          <a:noFill/>
        </a:ln>
        <a:effectLst/>
      </c:spPr>
    </c:plotArea>
    <c:legend>
      <c:legendPos val="b"/>
      <c:layout>
        <c:manualLayout>
          <c:xMode val="edge"/>
          <c:yMode val="edge"/>
          <c:x val="0.24213751569805558"/>
          <c:y val="5.1504082822980447E-2"/>
          <c:w val="0.25566278192508402"/>
          <c:h val="0.1799773986585009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SSS</a:t>
            </a:r>
          </a:p>
        </c:rich>
      </c:tx>
      <c:layout>
        <c:manualLayout>
          <c:xMode val="edge"/>
          <c:yMode val="edge"/>
          <c:x val="0.11745816850314049"/>
          <c:y val="9.2592592592592587E-3"/>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639349149035943"/>
          <c:y val="3.7453703703703718E-2"/>
          <c:w val="0.8127396394295956"/>
          <c:h val="0.82338692038495209"/>
        </c:manualLayout>
      </c:layout>
      <c:barChart>
        <c:barDir val="col"/>
        <c:grouping val="clustered"/>
        <c:varyColors val="0"/>
        <c:ser>
          <c:idx val="0"/>
          <c:order val="0"/>
          <c:tx>
            <c:strRef>
              <c:f>'Fi 36'!$Z$79</c:f>
              <c:strCache>
                <c:ptCount val="1"/>
                <c:pt idx="0">
                  <c:v>Government</c:v>
                </c:pt>
              </c:strCache>
            </c:strRef>
          </c:tx>
          <c:spPr>
            <a:solidFill>
              <a:schemeClr val="accent1"/>
            </a:solidFill>
            <a:ln>
              <a:noFill/>
            </a:ln>
            <a:effectLst/>
          </c:spPr>
          <c:invertIfNegative val="0"/>
          <c:cat>
            <c:strRef>
              <c:f>'Fi 36'!$AA$78:$AG$78</c:f>
              <c:strCache>
                <c:ptCount val="7"/>
                <c:pt idx="0">
                  <c:v>Region 1</c:v>
                </c:pt>
                <c:pt idx="1">
                  <c:v>Region 2</c:v>
                </c:pt>
                <c:pt idx="2">
                  <c:v>Region 3</c:v>
                </c:pt>
                <c:pt idx="3">
                  <c:v>Region 4</c:v>
                </c:pt>
                <c:pt idx="4">
                  <c:v>Region 5</c:v>
                </c:pt>
                <c:pt idx="5">
                  <c:v>Region 6</c:v>
                </c:pt>
                <c:pt idx="6">
                  <c:v>Total</c:v>
                </c:pt>
              </c:strCache>
            </c:strRef>
          </c:cat>
          <c:val>
            <c:numRef>
              <c:f>'Fi 36'!$AA$79:$AG$79</c:f>
              <c:numCache>
                <c:formatCode>_(* #,##0_);_(* \(#,##0\);_(* "-"??_);_(@_)</c:formatCode>
                <c:ptCount val="7"/>
                <c:pt idx="0">
                  <c:v>4030.3035379061375</c:v>
                </c:pt>
                <c:pt idx="1">
                  <c:v>3722.5362279369929</c:v>
                </c:pt>
                <c:pt idx="2">
                  <c:v>7478.1772861019826</c:v>
                </c:pt>
                <c:pt idx="3">
                  <c:v>3491.0225267784854</c:v>
                </c:pt>
                <c:pt idx="4">
                  <c:v>6245.5132392934684</c:v>
                </c:pt>
                <c:pt idx="5">
                  <c:v>13503.250198107256</c:v>
                </c:pt>
                <c:pt idx="6">
                  <c:v>5824.6615713388856</c:v>
                </c:pt>
              </c:numCache>
            </c:numRef>
          </c:val>
          <c:extLst>
            <c:ext xmlns:c16="http://schemas.microsoft.com/office/drawing/2014/chart" uri="{C3380CC4-5D6E-409C-BE32-E72D297353CC}">
              <c16:uniqueId val="{00000000-C27B-4E49-9CB8-B1EA2C3B8A17}"/>
            </c:ext>
          </c:extLst>
        </c:ser>
        <c:ser>
          <c:idx val="1"/>
          <c:order val="1"/>
          <c:tx>
            <c:strRef>
              <c:f>'Fi 36'!$Z$80</c:f>
              <c:strCache>
                <c:ptCount val="1"/>
                <c:pt idx="0">
                  <c:v>Grant-Aided</c:v>
                </c:pt>
              </c:strCache>
            </c:strRef>
          </c:tx>
          <c:spPr>
            <a:solidFill>
              <a:schemeClr val="accent2"/>
            </a:solidFill>
            <a:ln>
              <a:noFill/>
            </a:ln>
            <a:effectLst/>
          </c:spPr>
          <c:invertIfNegative val="0"/>
          <c:cat>
            <c:strRef>
              <c:f>'Fi 36'!$AA$78:$AG$78</c:f>
              <c:strCache>
                <c:ptCount val="7"/>
                <c:pt idx="0">
                  <c:v>Region 1</c:v>
                </c:pt>
                <c:pt idx="1">
                  <c:v>Region 2</c:v>
                </c:pt>
                <c:pt idx="2">
                  <c:v>Region 3</c:v>
                </c:pt>
                <c:pt idx="3">
                  <c:v>Region 4</c:v>
                </c:pt>
                <c:pt idx="4">
                  <c:v>Region 5</c:v>
                </c:pt>
                <c:pt idx="5">
                  <c:v>Region 6</c:v>
                </c:pt>
                <c:pt idx="6">
                  <c:v>Total</c:v>
                </c:pt>
              </c:strCache>
            </c:strRef>
          </c:cat>
          <c:val>
            <c:numRef>
              <c:f>'Fi 36'!$AA$80:$AG$80</c:f>
              <c:numCache>
                <c:formatCode>_(* #,##0_);_(* \(#,##0\);_(* "-"??_);_(@_)</c:formatCode>
                <c:ptCount val="7"/>
                <c:pt idx="0">
                  <c:v>3413.2990881382216</c:v>
                </c:pt>
                <c:pt idx="1">
                  <c:v>3070.0087352938376</c:v>
                </c:pt>
                <c:pt idx="2">
                  <c:v>4116.5322691705796</c:v>
                </c:pt>
                <c:pt idx="3">
                  <c:v>4777.5739984350539</c:v>
                </c:pt>
                <c:pt idx="4">
                  <c:v>2225.5737058674122</c:v>
                </c:pt>
                <c:pt idx="5">
                  <c:v>2044.3442767547035</c:v>
                </c:pt>
                <c:pt idx="6">
                  <c:v>3177.7205612172738</c:v>
                </c:pt>
              </c:numCache>
            </c:numRef>
          </c:val>
          <c:extLst>
            <c:ext xmlns:c16="http://schemas.microsoft.com/office/drawing/2014/chart" uri="{C3380CC4-5D6E-409C-BE32-E72D297353CC}">
              <c16:uniqueId val="{00000001-C27B-4E49-9CB8-B1EA2C3B8A17}"/>
            </c:ext>
          </c:extLst>
        </c:ser>
        <c:ser>
          <c:idx val="2"/>
          <c:order val="2"/>
          <c:tx>
            <c:strRef>
              <c:f>'Fi 36'!$Z$81</c:f>
              <c:strCache>
                <c:ptCount val="1"/>
                <c:pt idx="0">
                  <c:v>Average</c:v>
                </c:pt>
              </c:strCache>
            </c:strRef>
          </c:tx>
          <c:spPr>
            <a:solidFill>
              <a:schemeClr val="accent3"/>
            </a:solidFill>
            <a:ln>
              <a:noFill/>
            </a:ln>
            <a:effectLst/>
          </c:spPr>
          <c:invertIfNegative val="0"/>
          <c:cat>
            <c:strRef>
              <c:f>'Fi 36'!$AA$78:$AG$78</c:f>
              <c:strCache>
                <c:ptCount val="7"/>
                <c:pt idx="0">
                  <c:v>Region 1</c:v>
                </c:pt>
                <c:pt idx="1">
                  <c:v>Region 2</c:v>
                </c:pt>
                <c:pt idx="2">
                  <c:v>Region 3</c:v>
                </c:pt>
                <c:pt idx="3">
                  <c:v>Region 4</c:v>
                </c:pt>
                <c:pt idx="4">
                  <c:v>Region 5</c:v>
                </c:pt>
                <c:pt idx="5">
                  <c:v>Region 6</c:v>
                </c:pt>
                <c:pt idx="6">
                  <c:v>Total</c:v>
                </c:pt>
              </c:strCache>
            </c:strRef>
          </c:cat>
          <c:val>
            <c:numRef>
              <c:f>'Fi 36'!$AA$81:$AG$81</c:f>
              <c:numCache>
                <c:formatCode>_(* #,##0_);_(* \(#,##0\);_(* "-"??_);_(@_)</c:formatCode>
                <c:ptCount val="7"/>
                <c:pt idx="0">
                  <c:v>3452.4028976584295</c:v>
                </c:pt>
                <c:pt idx="1">
                  <c:v>3238.0245795992519</c:v>
                </c:pt>
                <c:pt idx="2">
                  <c:v>6015.1630358909779</c:v>
                </c:pt>
                <c:pt idx="3">
                  <c:v>3664.9625852915801</c:v>
                </c:pt>
                <c:pt idx="4">
                  <c:v>3512.4029091226198</c:v>
                </c:pt>
                <c:pt idx="5">
                  <c:v>6912.2441089561644</c:v>
                </c:pt>
                <c:pt idx="6">
                  <c:v>4024.7454459565024</c:v>
                </c:pt>
              </c:numCache>
            </c:numRef>
          </c:val>
          <c:extLst>
            <c:ext xmlns:c16="http://schemas.microsoft.com/office/drawing/2014/chart" uri="{C3380CC4-5D6E-409C-BE32-E72D297353CC}">
              <c16:uniqueId val="{00000002-C27B-4E49-9CB8-B1EA2C3B8A17}"/>
            </c:ext>
          </c:extLst>
        </c:ser>
        <c:dLbls>
          <c:showLegendKey val="0"/>
          <c:showVal val="0"/>
          <c:showCatName val="0"/>
          <c:showSerName val="0"/>
          <c:showPercent val="0"/>
          <c:showBubbleSize val="0"/>
        </c:dLbls>
        <c:gapWidth val="219"/>
        <c:overlap val="-27"/>
        <c:axId val="1940133680"/>
        <c:axId val="1940144080"/>
      </c:barChart>
      <c:catAx>
        <c:axId val="1940133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0144080"/>
        <c:crosses val="autoZero"/>
        <c:auto val="1"/>
        <c:lblAlgn val="ctr"/>
        <c:lblOffset val="100"/>
        <c:noMultiLvlLbl val="0"/>
      </c:catAx>
      <c:valAx>
        <c:axId val="1940144080"/>
        <c:scaling>
          <c:orientation val="minMax"/>
          <c:min val="1000"/>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0133680"/>
        <c:crosses val="autoZero"/>
        <c:crossBetween val="between"/>
      </c:valAx>
      <c:spPr>
        <a:noFill/>
        <a:ln>
          <a:noFill/>
        </a:ln>
        <a:effectLst/>
      </c:spPr>
    </c:plotArea>
    <c:legend>
      <c:legendPos val="b"/>
      <c:layout>
        <c:manualLayout>
          <c:xMode val="edge"/>
          <c:yMode val="edge"/>
          <c:x val="0.24213751569805558"/>
          <c:y val="5.1504082822980447E-2"/>
          <c:w val="0.31340191403456319"/>
          <c:h val="0.226273694954797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Grade 6</a:t>
            </a:r>
          </a:p>
        </c:rich>
      </c:tx>
      <c:layout>
        <c:manualLayout>
          <c:xMode val="edge"/>
          <c:yMode val="edge"/>
          <c:x val="0.41024696618805012"/>
          <c:y val="4.6296296296296294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425474756831868"/>
          <c:y val="8.8912219305920082E-2"/>
          <c:w val="0.81398054654932839"/>
          <c:h val="0.54427201808107317"/>
        </c:manualLayout>
      </c:layout>
      <c:barChart>
        <c:barDir val="col"/>
        <c:grouping val="stacked"/>
        <c:varyColors val="0"/>
        <c:ser>
          <c:idx val="0"/>
          <c:order val="0"/>
          <c:tx>
            <c:strRef>
              <c:f>Sheet1!$B$88</c:f>
              <c:strCache>
                <c:ptCount val="1"/>
                <c:pt idx="0">
                  <c:v>Under age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Sheet1!$A$89:$A$96</c:f>
              <c:strCache>
                <c:ptCount val="8"/>
                <c:pt idx="0">
                  <c:v>Region1</c:v>
                </c:pt>
                <c:pt idx="1">
                  <c:v>Region2</c:v>
                </c:pt>
                <c:pt idx="2">
                  <c:v>Region3</c:v>
                </c:pt>
                <c:pt idx="3">
                  <c:v>Region4</c:v>
                </c:pt>
                <c:pt idx="4">
                  <c:v>Region5</c:v>
                </c:pt>
                <c:pt idx="5">
                  <c:v>Region6</c:v>
                </c:pt>
                <c:pt idx="7">
                  <c:v>Total</c:v>
                </c:pt>
              </c:strCache>
            </c:strRef>
          </c:cat>
          <c:val>
            <c:numRef>
              <c:f>Sheet1!$B$89:$B$96</c:f>
              <c:numCache>
                <c:formatCode>0</c:formatCode>
                <c:ptCount val="8"/>
                <c:pt idx="0">
                  <c:v>21.98</c:v>
                </c:pt>
                <c:pt idx="1">
                  <c:v>9.17</c:v>
                </c:pt>
                <c:pt idx="2">
                  <c:v>12.6</c:v>
                </c:pt>
                <c:pt idx="3">
                  <c:v>13.35</c:v>
                </c:pt>
                <c:pt idx="4">
                  <c:v>21.18</c:v>
                </c:pt>
                <c:pt idx="5">
                  <c:v>8.92</c:v>
                </c:pt>
                <c:pt idx="7">
                  <c:v>14.11</c:v>
                </c:pt>
              </c:numCache>
            </c:numRef>
          </c:val>
          <c:extLst>
            <c:ext xmlns:c16="http://schemas.microsoft.com/office/drawing/2014/chart" uri="{C3380CC4-5D6E-409C-BE32-E72D297353CC}">
              <c16:uniqueId val="{00000000-4B8C-46BD-995A-C507FEBFFF35}"/>
            </c:ext>
          </c:extLst>
        </c:ser>
        <c:ser>
          <c:idx val="1"/>
          <c:order val="1"/>
          <c:tx>
            <c:strRef>
              <c:f>Sheet1!$C$88</c:f>
              <c:strCache>
                <c:ptCount val="1"/>
                <c:pt idx="0">
                  <c:v>On time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Sheet1!$A$89:$A$96</c:f>
              <c:strCache>
                <c:ptCount val="8"/>
                <c:pt idx="0">
                  <c:v>Region1</c:v>
                </c:pt>
                <c:pt idx="1">
                  <c:v>Region2</c:v>
                </c:pt>
                <c:pt idx="2">
                  <c:v>Region3</c:v>
                </c:pt>
                <c:pt idx="3">
                  <c:v>Region4</c:v>
                </c:pt>
                <c:pt idx="4">
                  <c:v>Region5</c:v>
                </c:pt>
                <c:pt idx="5">
                  <c:v>Region6</c:v>
                </c:pt>
                <c:pt idx="7">
                  <c:v>Total</c:v>
                </c:pt>
              </c:strCache>
            </c:strRef>
          </c:cat>
          <c:val>
            <c:numRef>
              <c:f>Sheet1!$C$89:$C$96</c:f>
              <c:numCache>
                <c:formatCode>0</c:formatCode>
                <c:ptCount val="8"/>
                <c:pt idx="0">
                  <c:v>11.52</c:v>
                </c:pt>
                <c:pt idx="1">
                  <c:v>18.920000000000002</c:v>
                </c:pt>
                <c:pt idx="2">
                  <c:v>15.12</c:v>
                </c:pt>
                <c:pt idx="3">
                  <c:v>18.98</c:v>
                </c:pt>
                <c:pt idx="4">
                  <c:v>15.93</c:v>
                </c:pt>
                <c:pt idx="5">
                  <c:v>12.28</c:v>
                </c:pt>
                <c:pt idx="7">
                  <c:v>15.82</c:v>
                </c:pt>
              </c:numCache>
            </c:numRef>
          </c:val>
          <c:extLst>
            <c:ext xmlns:c16="http://schemas.microsoft.com/office/drawing/2014/chart" uri="{C3380CC4-5D6E-409C-BE32-E72D297353CC}">
              <c16:uniqueId val="{00000001-4B8C-46BD-995A-C507FEBFFF35}"/>
            </c:ext>
          </c:extLst>
        </c:ser>
        <c:ser>
          <c:idx val="2"/>
          <c:order val="2"/>
          <c:tx>
            <c:strRef>
              <c:f>Sheet1!$D$88</c:f>
              <c:strCache>
                <c:ptCount val="1"/>
                <c:pt idx="0">
                  <c:v>1-2 years delay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Sheet1!$A$89:$A$96</c:f>
              <c:strCache>
                <c:ptCount val="8"/>
                <c:pt idx="0">
                  <c:v>Region1</c:v>
                </c:pt>
                <c:pt idx="1">
                  <c:v>Region2</c:v>
                </c:pt>
                <c:pt idx="2">
                  <c:v>Region3</c:v>
                </c:pt>
                <c:pt idx="3">
                  <c:v>Region4</c:v>
                </c:pt>
                <c:pt idx="4">
                  <c:v>Region5</c:v>
                </c:pt>
                <c:pt idx="5">
                  <c:v>Region6</c:v>
                </c:pt>
                <c:pt idx="7">
                  <c:v>Total</c:v>
                </c:pt>
              </c:strCache>
            </c:strRef>
          </c:cat>
          <c:val>
            <c:numRef>
              <c:f>Sheet1!$D$89:$D$96</c:f>
              <c:numCache>
                <c:formatCode>0</c:formatCode>
                <c:ptCount val="8"/>
                <c:pt idx="0">
                  <c:v>49.39</c:v>
                </c:pt>
                <c:pt idx="1">
                  <c:v>41.4</c:v>
                </c:pt>
                <c:pt idx="2">
                  <c:v>42.91</c:v>
                </c:pt>
                <c:pt idx="3">
                  <c:v>41.01</c:v>
                </c:pt>
                <c:pt idx="4">
                  <c:v>37.520000000000003</c:v>
                </c:pt>
                <c:pt idx="5">
                  <c:v>45.95</c:v>
                </c:pt>
                <c:pt idx="7">
                  <c:v>43.9</c:v>
                </c:pt>
              </c:numCache>
            </c:numRef>
          </c:val>
          <c:extLst>
            <c:ext xmlns:c16="http://schemas.microsoft.com/office/drawing/2014/chart" uri="{C3380CC4-5D6E-409C-BE32-E72D297353CC}">
              <c16:uniqueId val="{00000002-4B8C-46BD-995A-C507FEBFFF35}"/>
            </c:ext>
          </c:extLst>
        </c:ser>
        <c:ser>
          <c:idx val="3"/>
          <c:order val="3"/>
          <c:tx>
            <c:strRef>
              <c:f>Sheet1!$E$88</c:f>
              <c:strCache>
                <c:ptCount val="1"/>
                <c:pt idx="0">
                  <c:v>3+ years delayed</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Sheet1!$A$89:$A$96</c:f>
              <c:strCache>
                <c:ptCount val="8"/>
                <c:pt idx="0">
                  <c:v>Region1</c:v>
                </c:pt>
                <c:pt idx="1">
                  <c:v>Region2</c:v>
                </c:pt>
                <c:pt idx="2">
                  <c:v>Region3</c:v>
                </c:pt>
                <c:pt idx="3">
                  <c:v>Region4</c:v>
                </c:pt>
                <c:pt idx="4">
                  <c:v>Region5</c:v>
                </c:pt>
                <c:pt idx="5">
                  <c:v>Region6</c:v>
                </c:pt>
                <c:pt idx="7">
                  <c:v>Total</c:v>
                </c:pt>
              </c:strCache>
            </c:strRef>
          </c:cat>
          <c:val>
            <c:numRef>
              <c:f>Sheet1!$E$89:$E$96</c:f>
              <c:numCache>
                <c:formatCode>0</c:formatCode>
                <c:ptCount val="8"/>
                <c:pt idx="0">
                  <c:v>17.100000000000001</c:v>
                </c:pt>
                <c:pt idx="1">
                  <c:v>30.51</c:v>
                </c:pt>
                <c:pt idx="2">
                  <c:v>29.37</c:v>
                </c:pt>
                <c:pt idx="3">
                  <c:v>26.66</c:v>
                </c:pt>
                <c:pt idx="4">
                  <c:v>25.37</c:v>
                </c:pt>
                <c:pt idx="5">
                  <c:v>32.840000000000003</c:v>
                </c:pt>
                <c:pt idx="7">
                  <c:v>26.17</c:v>
                </c:pt>
              </c:numCache>
            </c:numRef>
          </c:val>
          <c:extLst>
            <c:ext xmlns:c16="http://schemas.microsoft.com/office/drawing/2014/chart" uri="{C3380CC4-5D6E-409C-BE32-E72D297353CC}">
              <c16:uniqueId val="{00000003-4B8C-46BD-995A-C507FEBFFF35}"/>
            </c:ext>
          </c:extLst>
        </c:ser>
        <c:dLbls>
          <c:showLegendKey val="0"/>
          <c:showVal val="0"/>
          <c:showCatName val="0"/>
          <c:showSerName val="0"/>
          <c:showPercent val="0"/>
          <c:showBubbleSize val="0"/>
        </c:dLbls>
        <c:gapWidth val="150"/>
        <c:overlap val="100"/>
        <c:axId val="203918287"/>
        <c:axId val="203922447"/>
      </c:barChart>
      <c:catAx>
        <c:axId val="203918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922447"/>
        <c:crosses val="autoZero"/>
        <c:auto val="1"/>
        <c:lblAlgn val="ctr"/>
        <c:lblOffset val="100"/>
        <c:noMultiLvlLbl val="0"/>
      </c:catAx>
      <c:valAx>
        <c:axId val="203922447"/>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918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Grade 1</a:t>
            </a:r>
          </a:p>
        </c:rich>
      </c:tx>
      <c:layout>
        <c:manualLayout>
          <c:xMode val="edge"/>
          <c:yMode val="edge"/>
          <c:x val="0.42001476068374655"/>
          <c:y val="1.3888888888888888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964409250688915"/>
          <c:y val="7.9652960046660823E-2"/>
          <c:w val="0.83422464307709077"/>
          <c:h val="0.55353127734033247"/>
        </c:manualLayout>
      </c:layout>
      <c:barChart>
        <c:barDir val="col"/>
        <c:grouping val="stacked"/>
        <c:varyColors val="0"/>
        <c:ser>
          <c:idx val="0"/>
          <c:order val="0"/>
          <c:tx>
            <c:strRef>
              <c:f>Sheet1!$B$73</c:f>
              <c:strCache>
                <c:ptCount val="1"/>
                <c:pt idx="0">
                  <c:v>Under age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Sheet1!$A$74:$A$81</c:f>
              <c:strCache>
                <c:ptCount val="8"/>
                <c:pt idx="0">
                  <c:v>Region1</c:v>
                </c:pt>
                <c:pt idx="1">
                  <c:v>Region2</c:v>
                </c:pt>
                <c:pt idx="2">
                  <c:v>Region3</c:v>
                </c:pt>
                <c:pt idx="3">
                  <c:v>Region4</c:v>
                </c:pt>
                <c:pt idx="4">
                  <c:v>Region5</c:v>
                </c:pt>
                <c:pt idx="5">
                  <c:v>Region6</c:v>
                </c:pt>
                <c:pt idx="7">
                  <c:v>Total</c:v>
                </c:pt>
              </c:strCache>
            </c:strRef>
          </c:cat>
          <c:val>
            <c:numRef>
              <c:f>Sheet1!$B$74:$B$81</c:f>
              <c:numCache>
                <c:formatCode>0</c:formatCode>
                <c:ptCount val="8"/>
                <c:pt idx="0">
                  <c:v>39.11</c:v>
                </c:pt>
                <c:pt idx="1">
                  <c:v>21.86</c:v>
                </c:pt>
                <c:pt idx="2">
                  <c:v>29.32</c:v>
                </c:pt>
                <c:pt idx="3">
                  <c:v>29.47</c:v>
                </c:pt>
                <c:pt idx="4">
                  <c:v>28.83</c:v>
                </c:pt>
                <c:pt idx="5">
                  <c:v>30.06</c:v>
                </c:pt>
                <c:pt idx="7">
                  <c:v>28.5</c:v>
                </c:pt>
              </c:numCache>
            </c:numRef>
          </c:val>
          <c:extLst>
            <c:ext xmlns:c16="http://schemas.microsoft.com/office/drawing/2014/chart" uri="{C3380CC4-5D6E-409C-BE32-E72D297353CC}">
              <c16:uniqueId val="{00000000-049C-42D0-A0E9-AF88D6914C18}"/>
            </c:ext>
          </c:extLst>
        </c:ser>
        <c:ser>
          <c:idx val="1"/>
          <c:order val="1"/>
          <c:tx>
            <c:strRef>
              <c:f>Sheet1!$C$73</c:f>
              <c:strCache>
                <c:ptCount val="1"/>
                <c:pt idx="0">
                  <c:v>On time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Sheet1!$A$74:$A$81</c:f>
              <c:strCache>
                <c:ptCount val="8"/>
                <c:pt idx="0">
                  <c:v>Region1</c:v>
                </c:pt>
                <c:pt idx="1">
                  <c:v>Region2</c:v>
                </c:pt>
                <c:pt idx="2">
                  <c:v>Region3</c:v>
                </c:pt>
                <c:pt idx="3">
                  <c:v>Region4</c:v>
                </c:pt>
                <c:pt idx="4">
                  <c:v>Region5</c:v>
                </c:pt>
                <c:pt idx="5">
                  <c:v>Region6</c:v>
                </c:pt>
                <c:pt idx="7">
                  <c:v>Total</c:v>
                </c:pt>
              </c:strCache>
            </c:strRef>
          </c:cat>
          <c:val>
            <c:numRef>
              <c:f>Sheet1!$C$74:$C$81</c:f>
              <c:numCache>
                <c:formatCode>0</c:formatCode>
                <c:ptCount val="8"/>
                <c:pt idx="0">
                  <c:v>42.81</c:v>
                </c:pt>
                <c:pt idx="1">
                  <c:v>32.1</c:v>
                </c:pt>
                <c:pt idx="2">
                  <c:v>32.020000000000003</c:v>
                </c:pt>
                <c:pt idx="3">
                  <c:v>33.68</c:v>
                </c:pt>
                <c:pt idx="4">
                  <c:v>29.12</c:v>
                </c:pt>
                <c:pt idx="5">
                  <c:v>24.96</c:v>
                </c:pt>
                <c:pt idx="7">
                  <c:v>33.08</c:v>
                </c:pt>
              </c:numCache>
            </c:numRef>
          </c:val>
          <c:extLst>
            <c:ext xmlns:c16="http://schemas.microsoft.com/office/drawing/2014/chart" uri="{C3380CC4-5D6E-409C-BE32-E72D297353CC}">
              <c16:uniqueId val="{00000001-049C-42D0-A0E9-AF88D6914C18}"/>
            </c:ext>
          </c:extLst>
        </c:ser>
        <c:ser>
          <c:idx val="2"/>
          <c:order val="2"/>
          <c:tx>
            <c:strRef>
              <c:f>Sheet1!$D$73</c:f>
              <c:strCache>
                <c:ptCount val="1"/>
                <c:pt idx="0">
                  <c:v>1-2 years delay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Sheet1!$A$74:$A$81</c:f>
              <c:strCache>
                <c:ptCount val="8"/>
                <c:pt idx="0">
                  <c:v>Region1</c:v>
                </c:pt>
                <c:pt idx="1">
                  <c:v>Region2</c:v>
                </c:pt>
                <c:pt idx="2">
                  <c:v>Region3</c:v>
                </c:pt>
                <c:pt idx="3">
                  <c:v>Region4</c:v>
                </c:pt>
                <c:pt idx="4">
                  <c:v>Region5</c:v>
                </c:pt>
                <c:pt idx="5">
                  <c:v>Region6</c:v>
                </c:pt>
                <c:pt idx="7">
                  <c:v>Total</c:v>
                </c:pt>
              </c:strCache>
            </c:strRef>
          </c:cat>
          <c:val>
            <c:numRef>
              <c:f>Sheet1!$D$74:$D$81</c:f>
              <c:numCache>
                <c:formatCode>0</c:formatCode>
                <c:ptCount val="8"/>
                <c:pt idx="0">
                  <c:v>15.12</c:v>
                </c:pt>
                <c:pt idx="1">
                  <c:v>35.840000000000003</c:v>
                </c:pt>
                <c:pt idx="2">
                  <c:v>28.37</c:v>
                </c:pt>
                <c:pt idx="3">
                  <c:v>29.56</c:v>
                </c:pt>
                <c:pt idx="4">
                  <c:v>32.49</c:v>
                </c:pt>
                <c:pt idx="5">
                  <c:v>31.07</c:v>
                </c:pt>
                <c:pt idx="7">
                  <c:v>29.47</c:v>
                </c:pt>
              </c:numCache>
            </c:numRef>
          </c:val>
          <c:extLst>
            <c:ext xmlns:c16="http://schemas.microsoft.com/office/drawing/2014/chart" uri="{C3380CC4-5D6E-409C-BE32-E72D297353CC}">
              <c16:uniqueId val="{00000002-049C-42D0-A0E9-AF88D6914C18}"/>
            </c:ext>
          </c:extLst>
        </c:ser>
        <c:ser>
          <c:idx val="3"/>
          <c:order val="3"/>
          <c:tx>
            <c:strRef>
              <c:f>Sheet1!$E$73</c:f>
              <c:strCache>
                <c:ptCount val="1"/>
                <c:pt idx="0">
                  <c:v>3+ years delayed</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Sheet1!$A$74:$A$81</c:f>
              <c:strCache>
                <c:ptCount val="8"/>
                <c:pt idx="0">
                  <c:v>Region1</c:v>
                </c:pt>
                <c:pt idx="1">
                  <c:v>Region2</c:v>
                </c:pt>
                <c:pt idx="2">
                  <c:v>Region3</c:v>
                </c:pt>
                <c:pt idx="3">
                  <c:v>Region4</c:v>
                </c:pt>
                <c:pt idx="4">
                  <c:v>Region5</c:v>
                </c:pt>
                <c:pt idx="5">
                  <c:v>Region6</c:v>
                </c:pt>
                <c:pt idx="7">
                  <c:v>Total</c:v>
                </c:pt>
              </c:strCache>
            </c:strRef>
          </c:cat>
          <c:val>
            <c:numRef>
              <c:f>Sheet1!$E$74:$E$81</c:f>
              <c:numCache>
                <c:formatCode>0</c:formatCode>
                <c:ptCount val="8"/>
                <c:pt idx="0">
                  <c:v>2.95</c:v>
                </c:pt>
                <c:pt idx="1">
                  <c:v>10.199999999999999</c:v>
                </c:pt>
                <c:pt idx="2">
                  <c:v>10.28</c:v>
                </c:pt>
                <c:pt idx="3">
                  <c:v>7.28</c:v>
                </c:pt>
                <c:pt idx="4">
                  <c:v>9.56</c:v>
                </c:pt>
                <c:pt idx="5">
                  <c:v>13.9</c:v>
                </c:pt>
                <c:pt idx="7">
                  <c:v>8.9600000000000009</c:v>
                </c:pt>
              </c:numCache>
            </c:numRef>
          </c:val>
          <c:extLst>
            <c:ext xmlns:c16="http://schemas.microsoft.com/office/drawing/2014/chart" uri="{C3380CC4-5D6E-409C-BE32-E72D297353CC}">
              <c16:uniqueId val="{00000003-049C-42D0-A0E9-AF88D6914C18}"/>
            </c:ext>
          </c:extLst>
        </c:ser>
        <c:dLbls>
          <c:showLegendKey val="0"/>
          <c:showVal val="0"/>
          <c:showCatName val="0"/>
          <c:showSerName val="0"/>
          <c:showPercent val="0"/>
          <c:showBubbleSize val="0"/>
        </c:dLbls>
        <c:gapWidth val="150"/>
        <c:overlap val="100"/>
        <c:axId val="305008879"/>
        <c:axId val="305014703"/>
      </c:barChart>
      <c:catAx>
        <c:axId val="3050088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014703"/>
        <c:crosses val="autoZero"/>
        <c:auto val="1"/>
        <c:lblAlgn val="ctr"/>
        <c:lblOffset val="100"/>
        <c:noMultiLvlLbl val="0"/>
      </c:catAx>
      <c:valAx>
        <c:axId val="305014703"/>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0088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67174867742513"/>
          <c:y val="6.4705882352941183E-2"/>
          <c:w val="0.80528678899533457"/>
          <c:h val="0.5899986104678091"/>
        </c:manualLayout>
      </c:layout>
      <c:lineChart>
        <c:grouping val="standard"/>
        <c:varyColors val="0"/>
        <c:ser>
          <c:idx val="0"/>
          <c:order val="0"/>
          <c:tx>
            <c:strRef>
              <c:f>'Fig19,22-27'!$B$76:$B$77</c:f>
              <c:strCache>
                <c:ptCount val="2"/>
                <c:pt idx="0">
                  <c:v>MoBSE</c:v>
                </c:pt>
                <c:pt idx="1">
                  <c:v>share of GDP</c:v>
                </c:pt>
              </c:strCache>
            </c:strRef>
          </c:tx>
          <c:spPr>
            <a:ln w="34925" cap="rnd">
              <a:solidFill>
                <a:schemeClr val="accent1"/>
              </a:solidFill>
              <a:prstDash val="sysDot"/>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'Fig19,22-27'!$A$78:$A$83</c:f>
              <c:numCache>
                <c:formatCode>General</c:formatCode>
                <c:ptCount val="6"/>
                <c:pt idx="0">
                  <c:v>2010</c:v>
                </c:pt>
                <c:pt idx="1">
                  <c:v>2011</c:v>
                </c:pt>
                <c:pt idx="2">
                  <c:v>2012</c:v>
                </c:pt>
                <c:pt idx="3">
                  <c:v>2013</c:v>
                </c:pt>
                <c:pt idx="4">
                  <c:v>2014</c:v>
                </c:pt>
                <c:pt idx="5">
                  <c:v>2015</c:v>
                </c:pt>
              </c:numCache>
            </c:numRef>
          </c:cat>
          <c:val>
            <c:numRef>
              <c:f>'Fig19,22-27'!$B$78:$B$83</c:f>
              <c:numCache>
                <c:formatCode>0.0%</c:formatCode>
                <c:ptCount val="6"/>
                <c:pt idx="0">
                  <c:v>2.3010416600167272E-2</c:v>
                </c:pt>
                <c:pt idx="1">
                  <c:v>2.4694816669455687E-2</c:v>
                </c:pt>
                <c:pt idx="2">
                  <c:v>2.3520046816425954E-2</c:v>
                </c:pt>
                <c:pt idx="3">
                  <c:v>2.4877660081884787E-2</c:v>
                </c:pt>
                <c:pt idx="4">
                  <c:v>2.6326887199952353E-2</c:v>
                </c:pt>
                <c:pt idx="5">
                  <c:v>2.8435307221415532E-2</c:v>
                </c:pt>
              </c:numCache>
            </c:numRef>
          </c:val>
          <c:smooth val="0"/>
          <c:extLst>
            <c:ext xmlns:c16="http://schemas.microsoft.com/office/drawing/2014/chart" uri="{C3380CC4-5D6E-409C-BE32-E72D297353CC}">
              <c16:uniqueId val="{00000000-49BE-4F2E-BAF5-06E9FFB82889}"/>
            </c:ext>
          </c:extLst>
        </c:ser>
        <c:ser>
          <c:idx val="2"/>
          <c:order val="2"/>
          <c:tx>
            <c:strRef>
              <c:f>'Fig19,22-27'!$D$76:$D$77</c:f>
              <c:strCache>
                <c:ptCount val="2"/>
                <c:pt idx="0">
                  <c:v>MoHERST</c:v>
                </c:pt>
                <c:pt idx="1">
                  <c:v>share of GDP</c:v>
                </c:pt>
              </c:strCache>
            </c:strRef>
          </c:tx>
          <c:spPr>
            <a:ln w="34925" cap="rnd">
              <a:solidFill>
                <a:schemeClr val="accent3"/>
              </a:solidFill>
              <a:prstDash val="sysDot"/>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'Fig19,22-27'!$A$78:$A$83</c:f>
              <c:numCache>
                <c:formatCode>General</c:formatCode>
                <c:ptCount val="6"/>
                <c:pt idx="0">
                  <c:v>2010</c:v>
                </c:pt>
                <c:pt idx="1">
                  <c:v>2011</c:v>
                </c:pt>
                <c:pt idx="2">
                  <c:v>2012</c:v>
                </c:pt>
                <c:pt idx="3">
                  <c:v>2013</c:v>
                </c:pt>
                <c:pt idx="4">
                  <c:v>2014</c:v>
                </c:pt>
                <c:pt idx="5">
                  <c:v>2015</c:v>
                </c:pt>
              </c:numCache>
            </c:numRef>
          </c:cat>
          <c:val>
            <c:numRef>
              <c:f>'Fig19,22-27'!$D$78:$D$83</c:f>
              <c:numCache>
                <c:formatCode>0.0%</c:formatCode>
                <c:ptCount val="6"/>
                <c:pt idx="0">
                  <c:v>2.659276226616734E-3</c:v>
                </c:pt>
                <c:pt idx="1">
                  <c:v>2.9664151361524184E-3</c:v>
                </c:pt>
                <c:pt idx="2">
                  <c:v>2.8725538179333785E-3</c:v>
                </c:pt>
                <c:pt idx="3">
                  <c:v>2.5304819321949374E-3</c:v>
                </c:pt>
                <c:pt idx="4">
                  <c:v>4.7124572603375204E-3</c:v>
                </c:pt>
                <c:pt idx="5">
                  <c:v>3.466710627350517E-3</c:v>
                </c:pt>
              </c:numCache>
            </c:numRef>
          </c:val>
          <c:smooth val="0"/>
          <c:extLst>
            <c:ext xmlns:c16="http://schemas.microsoft.com/office/drawing/2014/chart" uri="{C3380CC4-5D6E-409C-BE32-E72D297353CC}">
              <c16:uniqueId val="{00000001-49BE-4F2E-BAF5-06E9FFB82889}"/>
            </c:ext>
          </c:extLst>
        </c:ser>
        <c:ser>
          <c:idx val="4"/>
          <c:order val="4"/>
          <c:tx>
            <c:strRef>
              <c:f>'Fig19,22-27'!$F$76:$F$77</c:f>
              <c:strCache>
                <c:ptCount val="2"/>
                <c:pt idx="0">
                  <c:v>Total</c:v>
                </c:pt>
                <c:pt idx="1">
                  <c:v>share of GDP</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'Fig19,22-27'!$A$78:$A$83</c:f>
              <c:numCache>
                <c:formatCode>General</c:formatCode>
                <c:ptCount val="6"/>
                <c:pt idx="0">
                  <c:v>2010</c:v>
                </c:pt>
                <c:pt idx="1">
                  <c:v>2011</c:v>
                </c:pt>
                <c:pt idx="2">
                  <c:v>2012</c:v>
                </c:pt>
                <c:pt idx="3">
                  <c:v>2013</c:v>
                </c:pt>
                <c:pt idx="4">
                  <c:v>2014</c:v>
                </c:pt>
                <c:pt idx="5">
                  <c:v>2015</c:v>
                </c:pt>
              </c:numCache>
            </c:numRef>
          </c:cat>
          <c:val>
            <c:numRef>
              <c:f>'Fig19,22-27'!$F$78:$F$83</c:f>
              <c:numCache>
                <c:formatCode>0.0%</c:formatCode>
                <c:ptCount val="6"/>
                <c:pt idx="0">
                  <c:v>2.5669692826784007E-2</c:v>
                </c:pt>
                <c:pt idx="1">
                  <c:v>2.7661231805608106E-2</c:v>
                </c:pt>
                <c:pt idx="2">
                  <c:v>2.6392600634359335E-2</c:v>
                </c:pt>
                <c:pt idx="3">
                  <c:v>2.7408142014079723E-2</c:v>
                </c:pt>
                <c:pt idx="4">
                  <c:v>3.1039344460289879E-2</c:v>
                </c:pt>
                <c:pt idx="5">
                  <c:v>3.1902017848766055E-2</c:v>
                </c:pt>
              </c:numCache>
            </c:numRef>
          </c:val>
          <c:smooth val="0"/>
          <c:extLst>
            <c:ext xmlns:c16="http://schemas.microsoft.com/office/drawing/2014/chart" uri="{C3380CC4-5D6E-409C-BE32-E72D297353CC}">
              <c16:uniqueId val="{00000002-49BE-4F2E-BAF5-06E9FFB82889}"/>
            </c:ext>
          </c:extLst>
        </c:ser>
        <c:dLbls>
          <c:showLegendKey val="0"/>
          <c:showVal val="0"/>
          <c:showCatName val="0"/>
          <c:showSerName val="0"/>
          <c:showPercent val="0"/>
          <c:showBubbleSize val="0"/>
        </c:dLbls>
        <c:marker val="1"/>
        <c:smooth val="0"/>
        <c:axId val="739471656"/>
        <c:axId val="739472048"/>
        <c:extLst>
          <c:ext xmlns:c15="http://schemas.microsoft.com/office/drawing/2012/chart" uri="{02D57815-91ED-43cb-92C2-25804820EDAC}">
            <c15:filteredLineSeries>
              <c15:ser>
                <c:idx val="1"/>
                <c:order val="1"/>
                <c:tx>
                  <c:strRef>
                    <c:extLst>
                      <c:ext uri="{02D57815-91ED-43cb-92C2-25804820EDAC}">
                        <c15:formulaRef>
                          <c15:sqref>'Fig19,22-27'!$C$76:$C$77</c15:sqref>
                        </c15:formulaRef>
                      </c:ext>
                    </c:extLst>
                    <c:strCache>
                      <c:ptCount val="2"/>
                      <c:pt idx="0">
                        <c:v>MoBSE</c:v>
                      </c:pt>
                      <c:pt idx="1">
                        <c:v>share of total budget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extLst>
                      <c:ext uri="{02D57815-91ED-43cb-92C2-25804820EDAC}">
                        <c15:formulaRef>
                          <c15:sqref>'Fig19,22-27'!$A$78:$A$83</c15:sqref>
                        </c15:formulaRef>
                      </c:ext>
                    </c:extLst>
                    <c:numCache>
                      <c:formatCode>General</c:formatCode>
                      <c:ptCount val="6"/>
                      <c:pt idx="0">
                        <c:v>2010</c:v>
                      </c:pt>
                      <c:pt idx="1">
                        <c:v>2011</c:v>
                      </c:pt>
                      <c:pt idx="2">
                        <c:v>2012</c:v>
                      </c:pt>
                      <c:pt idx="3">
                        <c:v>2013</c:v>
                      </c:pt>
                      <c:pt idx="4">
                        <c:v>2014</c:v>
                      </c:pt>
                      <c:pt idx="5">
                        <c:v>2015</c:v>
                      </c:pt>
                    </c:numCache>
                  </c:numRef>
                </c:cat>
                <c:val>
                  <c:numRef>
                    <c:extLst>
                      <c:ext uri="{02D57815-91ED-43cb-92C2-25804820EDAC}">
                        <c15:formulaRef>
                          <c15:sqref>'Fig19,22-27'!$C$78:$C$83</c15:sqref>
                        </c15:formulaRef>
                      </c:ext>
                    </c:extLst>
                    <c:numCache>
                      <c:formatCode>0.0%</c:formatCode>
                      <c:ptCount val="6"/>
                      <c:pt idx="0">
                        <c:v>0.16749938270821491</c:v>
                      </c:pt>
                      <c:pt idx="1">
                        <c:v>0.16865696114636503</c:v>
                      </c:pt>
                      <c:pt idx="2">
                        <c:v>0.15558327836384989</c:v>
                      </c:pt>
                      <c:pt idx="3">
                        <c:v>0.14580390991768108</c:v>
                      </c:pt>
                      <c:pt idx="4">
                        <c:v>0.14716795972181973</c:v>
                      </c:pt>
                      <c:pt idx="5">
                        <c:v>0.18174838977579835</c:v>
                      </c:pt>
                    </c:numCache>
                  </c:numRef>
                </c:val>
                <c:smooth val="0"/>
                <c:extLst>
                  <c:ext xmlns:c16="http://schemas.microsoft.com/office/drawing/2014/chart" uri="{C3380CC4-5D6E-409C-BE32-E72D297353CC}">
                    <c16:uniqueId val="{00000003-49BE-4F2E-BAF5-06E9FFB82889}"/>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'Fig19,22-27'!$E$76:$E$77</c15:sqref>
                        </c15:formulaRef>
                      </c:ext>
                    </c:extLst>
                    <c:strCache>
                      <c:ptCount val="2"/>
                      <c:pt idx="0">
                        <c:v>MoHERST</c:v>
                      </c:pt>
                      <c:pt idx="1">
                        <c:v>share of total budget</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extLst xmlns:c15="http://schemas.microsoft.com/office/drawing/2012/chart">
                      <c:ext xmlns:c15="http://schemas.microsoft.com/office/drawing/2012/chart" uri="{02D57815-91ED-43cb-92C2-25804820EDAC}">
                        <c15:formulaRef>
                          <c15:sqref>'Fig19,22-27'!$A$78:$A$83</c15:sqref>
                        </c15:formulaRef>
                      </c:ext>
                    </c:extLst>
                    <c:numCache>
                      <c:formatCode>General</c:formatCode>
                      <c:ptCount val="6"/>
                      <c:pt idx="0">
                        <c:v>2010</c:v>
                      </c:pt>
                      <c:pt idx="1">
                        <c:v>2011</c:v>
                      </c:pt>
                      <c:pt idx="2">
                        <c:v>2012</c:v>
                      </c:pt>
                      <c:pt idx="3">
                        <c:v>2013</c:v>
                      </c:pt>
                      <c:pt idx="4">
                        <c:v>2014</c:v>
                      </c:pt>
                      <c:pt idx="5">
                        <c:v>2015</c:v>
                      </c:pt>
                    </c:numCache>
                  </c:numRef>
                </c:cat>
                <c:val>
                  <c:numRef>
                    <c:extLst xmlns:c15="http://schemas.microsoft.com/office/drawing/2012/chart">
                      <c:ext xmlns:c15="http://schemas.microsoft.com/office/drawing/2012/chart" uri="{02D57815-91ED-43cb-92C2-25804820EDAC}">
                        <c15:formulaRef>
                          <c15:sqref>'Fig19,22-27'!$E$78:$E$83</c15:sqref>
                        </c15:formulaRef>
                      </c:ext>
                    </c:extLst>
                    <c:numCache>
                      <c:formatCode>0.0%</c:formatCode>
                      <c:ptCount val="6"/>
                      <c:pt idx="0">
                        <c:v>1.9357629813868557E-2</c:v>
                      </c:pt>
                      <c:pt idx="1">
                        <c:v>2.0259577912998334E-2</c:v>
                      </c:pt>
                      <c:pt idx="2">
                        <c:v>1.9001719841754191E-2</c:v>
                      </c:pt>
                      <c:pt idx="3">
                        <c:v>1.4830742058363128E-2</c:v>
                      </c:pt>
                      <c:pt idx="4">
                        <c:v>2.6342754272954998E-2</c:v>
                      </c:pt>
                      <c:pt idx="5">
                        <c:v>2.2157983714875398E-2</c:v>
                      </c:pt>
                    </c:numCache>
                  </c:numRef>
                </c:val>
                <c:smooth val="0"/>
                <c:extLst xmlns:c15="http://schemas.microsoft.com/office/drawing/2012/chart">
                  <c:ext xmlns:c16="http://schemas.microsoft.com/office/drawing/2014/chart" uri="{C3380CC4-5D6E-409C-BE32-E72D297353CC}">
                    <c16:uniqueId val="{00000004-49BE-4F2E-BAF5-06E9FFB82889}"/>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'Fig19,22-27'!$G$76:$G$77</c15:sqref>
                        </c15:formulaRef>
                      </c:ext>
                    </c:extLst>
                    <c:strCache>
                      <c:ptCount val="2"/>
                      <c:pt idx="0">
                        <c:v>Total</c:v>
                      </c:pt>
                      <c:pt idx="1">
                        <c:v>share of total budget</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extLst xmlns:c15="http://schemas.microsoft.com/office/drawing/2012/chart">
                      <c:ext xmlns:c15="http://schemas.microsoft.com/office/drawing/2012/chart" uri="{02D57815-91ED-43cb-92C2-25804820EDAC}">
                        <c15:formulaRef>
                          <c15:sqref>'Fig19,22-27'!$A$78:$A$83</c15:sqref>
                        </c15:formulaRef>
                      </c:ext>
                    </c:extLst>
                    <c:numCache>
                      <c:formatCode>General</c:formatCode>
                      <c:ptCount val="6"/>
                      <c:pt idx="0">
                        <c:v>2010</c:v>
                      </c:pt>
                      <c:pt idx="1">
                        <c:v>2011</c:v>
                      </c:pt>
                      <c:pt idx="2">
                        <c:v>2012</c:v>
                      </c:pt>
                      <c:pt idx="3">
                        <c:v>2013</c:v>
                      </c:pt>
                      <c:pt idx="4">
                        <c:v>2014</c:v>
                      </c:pt>
                      <c:pt idx="5">
                        <c:v>2015</c:v>
                      </c:pt>
                    </c:numCache>
                  </c:numRef>
                </c:cat>
                <c:val>
                  <c:numRef>
                    <c:extLst xmlns:c15="http://schemas.microsoft.com/office/drawing/2012/chart">
                      <c:ext xmlns:c15="http://schemas.microsoft.com/office/drawing/2012/chart" uri="{02D57815-91ED-43cb-92C2-25804820EDAC}">
                        <c15:formulaRef>
                          <c15:sqref>'Fig19,22-27'!$G$78:$G$83</c15:sqref>
                        </c15:formulaRef>
                      </c:ext>
                    </c:extLst>
                    <c:numCache>
                      <c:formatCode>0.0%</c:formatCode>
                      <c:ptCount val="6"/>
                      <c:pt idx="0">
                        <c:v>0.18685701252208348</c:v>
                      </c:pt>
                      <c:pt idx="1">
                        <c:v>0.18891653905936337</c:v>
                      </c:pt>
                      <c:pt idx="2">
                        <c:v>0.17458499820560408</c:v>
                      </c:pt>
                      <c:pt idx="3">
                        <c:v>0.16063465197604421</c:v>
                      </c:pt>
                      <c:pt idx="4">
                        <c:v>0.17351071399477472</c:v>
                      </c:pt>
                      <c:pt idx="5">
                        <c:v>0.20390637349067375</c:v>
                      </c:pt>
                    </c:numCache>
                  </c:numRef>
                </c:val>
                <c:smooth val="0"/>
                <c:extLst xmlns:c15="http://schemas.microsoft.com/office/drawing/2012/chart">
                  <c:ext xmlns:c16="http://schemas.microsoft.com/office/drawing/2014/chart" uri="{C3380CC4-5D6E-409C-BE32-E72D297353CC}">
                    <c16:uniqueId val="{00000005-49BE-4F2E-BAF5-06E9FFB82889}"/>
                  </c:ext>
                </c:extLst>
              </c15:ser>
            </c15:filteredLineSeries>
          </c:ext>
        </c:extLst>
      </c:lineChart>
      <c:catAx>
        <c:axId val="739471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9472048"/>
        <c:crosses val="autoZero"/>
        <c:auto val="1"/>
        <c:lblAlgn val="ctr"/>
        <c:lblOffset val="100"/>
        <c:noMultiLvlLbl val="0"/>
      </c:catAx>
      <c:valAx>
        <c:axId val="73947204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9471656"/>
        <c:crosses val="autoZero"/>
        <c:crossBetween val="between"/>
      </c:valAx>
      <c:spPr>
        <a:noFill/>
        <a:ln>
          <a:noFill/>
        </a:ln>
        <a:effectLst/>
      </c:spPr>
    </c:plotArea>
    <c:legend>
      <c:legendPos val="b"/>
      <c:layout>
        <c:manualLayout>
          <c:xMode val="edge"/>
          <c:yMode val="edge"/>
          <c:x val="5.4078655905862867E-2"/>
          <c:y val="0.74998842056507642"/>
          <c:w val="0.92305089148742725"/>
          <c:h val="0.2147174617878647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'Fig 47 surv'!$C$4</c:f>
              <c:strCache>
                <c:ptCount val="1"/>
                <c:pt idx="0">
                  <c:v>survival rate</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 47 surv'!$A$5:$B$16</c:f>
              <c:multiLvlStrCache>
                <c:ptCount val="12"/>
                <c:lvl>
                  <c:pt idx="0">
                    <c:v>grade1</c:v>
                  </c:pt>
                  <c:pt idx="1">
                    <c:v>grade2</c:v>
                  </c:pt>
                  <c:pt idx="2">
                    <c:v>grade3</c:v>
                  </c:pt>
                  <c:pt idx="3">
                    <c:v>grade4</c:v>
                  </c:pt>
                  <c:pt idx="4">
                    <c:v>grade5</c:v>
                  </c:pt>
                  <c:pt idx="5">
                    <c:v>grade6</c:v>
                  </c:pt>
                  <c:pt idx="6">
                    <c:v>grade7</c:v>
                  </c:pt>
                  <c:pt idx="7">
                    <c:v>grade8</c:v>
                  </c:pt>
                  <c:pt idx="8">
                    <c:v>grade9</c:v>
                  </c:pt>
                  <c:pt idx="9">
                    <c:v>grade10</c:v>
                  </c:pt>
                  <c:pt idx="10">
                    <c:v>grade11</c:v>
                  </c:pt>
                  <c:pt idx="11">
                    <c:v>grade12</c:v>
                  </c:pt>
                </c:lvl>
                <c:lvl>
                  <c:pt idx="0">
                    <c:v>Primary</c:v>
                  </c:pt>
                  <c:pt idx="6">
                    <c:v>Lower secondary</c:v>
                  </c:pt>
                  <c:pt idx="9">
                    <c:v>Senior secondary</c:v>
                  </c:pt>
                </c:lvl>
              </c:multiLvlStrCache>
            </c:multiLvlStrRef>
          </c:cat>
          <c:val>
            <c:numRef>
              <c:f>'Fig 47 surv'!$C$5:$C$16</c:f>
              <c:numCache>
                <c:formatCode>0.0</c:formatCode>
                <c:ptCount val="12"/>
                <c:pt idx="0">
                  <c:v>100</c:v>
                </c:pt>
                <c:pt idx="1">
                  <c:v>90.107312124526089</c:v>
                </c:pt>
                <c:pt idx="2">
                  <c:v>83.101114334171655</c:v>
                </c:pt>
                <c:pt idx="3">
                  <c:v>72.38258278250315</c:v>
                </c:pt>
                <c:pt idx="4">
                  <c:v>62.034967584440729</c:v>
                </c:pt>
                <c:pt idx="5">
                  <c:v>56.322221693842657</c:v>
                </c:pt>
                <c:pt idx="6">
                  <c:v>50.595209789644798</c:v>
                </c:pt>
                <c:pt idx="7">
                  <c:v>46.0269152123116</c:v>
                </c:pt>
                <c:pt idx="8">
                  <c:v>42.942286049402703</c:v>
                </c:pt>
                <c:pt idx="9">
                  <c:v>33.284194842017364</c:v>
                </c:pt>
                <c:pt idx="10">
                  <c:v>27.625342780554302</c:v>
                </c:pt>
                <c:pt idx="11">
                  <c:v>23.928860145392559</c:v>
                </c:pt>
              </c:numCache>
            </c:numRef>
          </c:val>
          <c:smooth val="0"/>
          <c:extLst>
            <c:ext xmlns:c16="http://schemas.microsoft.com/office/drawing/2014/chart" uri="{C3380CC4-5D6E-409C-BE32-E72D297353CC}">
              <c16:uniqueId val="{00000000-71B2-4BC0-83D4-D15CD929361D}"/>
            </c:ext>
          </c:extLst>
        </c:ser>
        <c:dLbls>
          <c:showLegendKey val="0"/>
          <c:showVal val="0"/>
          <c:showCatName val="0"/>
          <c:showSerName val="0"/>
          <c:showPercent val="0"/>
          <c:showBubbleSize val="0"/>
        </c:dLbls>
        <c:smooth val="0"/>
        <c:axId val="399830559"/>
        <c:axId val="399818911"/>
      </c:lineChart>
      <c:catAx>
        <c:axId val="399830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9818911"/>
        <c:crosses val="autoZero"/>
        <c:auto val="1"/>
        <c:lblAlgn val="ctr"/>
        <c:lblOffset val="100"/>
        <c:noMultiLvlLbl val="0"/>
      </c:catAx>
      <c:valAx>
        <c:axId val="399818911"/>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98305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42731643887991"/>
          <c:y val="0.22878340660418581"/>
          <c:w val="0.83334466834518817"/>
          <c:h val="0.63199400754407387"/>
        </c:manualLayout>
      </c:layout>
      <c:barChart>
        <c:barDir val="col"/>
        <c:grouping val="stacked"/>
        <c:varyColors val="0"/>
        <c:ser>
          <c:idx val="0"/>
          <c:order val="0"/>
          <c:tx>
            <c:strRef>
              <c:f>'Fig 80 Out-of-school '!$B$52</c:f>
              <c:strCache>
                <c:ptCount val="1"/>
                <c:pt idx="0">
                  <c:v>No schooling</c:v>
                </c:pt>
              </c:strCache>
            </c:strRef>
          </c:tx>
          <c:spPr>
            <a:solidFill>
              <a:schemeClr val="accent1"/>
            </a:solidFill>
            <a:ln>
              <a:noFill/>
            </a:ln>
            <a:effectLst/>
          </c:spPr>
          <c:invertIfNegative val="0"/>
          <c:cat>
            <c:strRef>
              <c:f>'Fig 80 Out-of-school '!$A$53:$A$64</c:f>
              <c:strCache>
                <c:ptCount val="12"/>
                <c:pt idx="0">
                  <c:v>15</c:v>
                </c:pt>
                <c:pt idx="1">
                  <c:v>16</c:v>
                </c:pt>
                <c:pt idx="2">
                  <c:v>17</c:v>
                </c:pt>
                <c:pt idx="3">
                  <c:v>18</c:v>
                </c:pt>
                <c:pt idx="4">
                  <c:v>19</c:v>
                </c:pt>
                <c:pt idx="5">
                  <c:v>20</c:v>
                </c:pt>
                <c:pt idx="6">
                  <c:v>21</c:v>
                </c:pt>
                <c:pt idx="7">
                  <c:v>22</c:v>
                </c:pt>
                <c:pt idx="8">
                  <c:v>23</c:v>
                </c:pt>
                <c:pt idx="9">
                  <c:v>24</c:v>
                </c:pt>
                <c:pt idx="11">
                  <c:v>Total</c:v>
                </c:pt>
              </c:strCache>
            </c:strRef>
          </c:cat>
          <c:val>
            <c:numRef>
              <c:f>'Fig 80 Out-of-school '!$B$53:$B$64</c:f>
              <c:numCache>
                <c:formatCode>General</c:formatCode>
                <c:ptCount val="12"/>
                <c:pt idx="0">
                  <c:v>0.23980000000000001</c:v>
                </c:pt>
                <c:pt idx="1">
                  <c:v>0.2263</c:v>
                </c:pt>
                <c:pt idx="2">
                  <c:v>0.2772</c:v>
                </c:pt>
                <c:pt idx="3">
                  <c:v>0.31430000000000002</c:v>
                </c:pt>
                <c:pt idx="4">
                  <c:v>0.36880000000000002</c:v>
                </c:pt>
                <c:pt idx="5">
                  <c:v>0.45340000000000003</c:v>
                </c:pt>
                <c:pt idx="6">
                  <c:v>0.40400000000000003</c:v>
                </c:pt>
                <c:pt idx="7">
                  <c:v>0.41470000000000001</c:v>
                </c:pt>
                <c:pt idx="8">
                  <c:v>0.39560000000000001</c:v>
                </c:pt>
                <c:pt idx="9">
                  <c:v>0.49709999999999999</c:v>
                </c:pt>
                <c:pt idx="10">
                  <c:v>0</c:v>
                </c:pt>
                <c:pt idx="11">
                  <c:v>0.33939999999999998</c:v>
                </c:pt>
              </c:numCache>
            </c:numRef>
          </c:val>
          <c:extLst>
            <c:ext xmlns:c16="http://schemas.microsoft.com/office/drawing/2014/chart" uri="{C3380CC4-5D6E-409C-BE32-E72D297353CC}">
              <c16:uniqueId val="{00000000-3DBB-4C07-A23B-8258BDC2BC48}"/>
            </c:ext>
          </c:extLst>
        </c:ser>
        <c:ser>
          <c:idx val="1"/>
          <c:order val="1"/>
          <c:tx>
            <c:strRef>
              <c:f>'Fig 80 Out-of-school '!$C$52</c:f>
              <c:strCache>
                <c:ptCount val="1"/>
                <c:pt idx="0">
                  <c:v>Left before completing primary</c:v>
                </c:pt>
              </c:strCache>
            </c:strRef>
          </c:tx>
          <c:spPr>
            <a:solidFill>
              <a:schemeClr val="accent2"/>
            </a:solidFill>
            <a:ln>
              <a:noFill/>
            </a:ln>
            <a:effectLst/>
          </c:spPr>
          <c:invertIfNegative val="0"/>
          <c:cat>
            <c:strRef>
              <c:f>'Fig 80 Out-of-school '!$A$53:$A$64</c:f>
              <c:strCache>
                <c:ptCount val="12"/>
                <c:pt idx="0">
                  <c:v>15</c:v>
                </c:pt>
                <c:pt idx="1">
                  <c:v>16</c:v>
                </c:pt>
                <c:pt idx="2">
                  <c:v>17</c:v>
                </c:pt>
                <c:pt idx="3">
                  <c:v>18</c:v>
                </c:pt>
                <c:pt idx="4">
                  <c:v>19</c:v>
                </c:pt>
                <c:pt idx="5">
                  <c:v>20</c:v>
                </c:pt>
                <c:pt idx="6">
                  <c:v>21</c:v>
                </c:pt>
                <c:pt idx="7">
                  <c:v>22</c:v>
                </c:pt>
                <c:pt idx="8">
                  <c:v>23</c:v>
                </c:pt>
                <c:pt idx="9">
                  <c:v>24</c:v>
                </c:pt>
                <c:pt idx="11">
                  <c:v>Total</c:v>
                </c:pt>
              </c:strCache>
            </c:strRef>
          </c:cat>
          <c:val>
            <c:numRef>
              <c:f>'Fig 80 Out-of-school '!$C$53:$C$64</c:f>
              <c:numCache>
                <c:formatCode>General</c:formatCode>
                <c:ptCount val="12"/>
                <c:pt idx="0">
                  <c:v>4.4600000000000001E-2</c:v>
                </c:pt>
                <c:pt idx="1">
                  <c:v>5.45E-2</c:v>
                </c:pt>
                <c:pt idx="2">
                  <c:v>5.6300000000000003E-2</c:v>
                </c:pt>
                <c:pt idx="3">
                  <c:v>6.8400000000000002E-2</c:v>
                </c:pt>
                <c:pt idx="4">
                  <c:v>7.7700000000000005E-2</c:v>
                </c:pt>
                <c:pt idx="5">
                  <c:v>7.7600000000000002E-2</c:v>
                </c:pt>
                <c:pt idx="6">
                  <c:v>8.6400000000000005E-2</c:v>
                </c:pt>
                <c:pt idx="7">
                  <c:v>9.4500000000000001E-2</c:v>
                </c:pt>
                <c:pt idx="8">
                  <c:v>9.2799999999999994E-2</c:v>
                </c:pt>
                <c:pt idx="9">
                  <c:v>0.1011</c:v>
                </c:pt>
                <c:pt idx="11">
                  <c:v>7.0599999999999996E-2</c:v>
                </c:pt>
              </c:numCache>
            </c:numRef>
          </c:val>
          <c:extLst>
            <c:ext xmlns:c16="http://schemas.microsoft.com/office/drawing/2014/chart" uri="{C3380CC4-5D6E-409C-BE32-E72D297353CC}">
              <c16:uniqueId val="{00000001-3DBB-4C07-A23B-8258BDC2BC48}"/>
            </c:ext>
          </c:extLst>
        </c:ser>
        <c:ser>
          <c:idx val="2"/>
          <c:order val="2"/>
          <c:tx>
            <c:strRef>
              <c:f>'Fig 80 Out-of-school '!$D$52</c:f>
              <c:strCache>
                <c:ptCount val="1"/>
                <c:pt idx="0">
                  <c:v>Still attending primary</c:v>
                </c:pt>
              </c:strCache>
            </c:strRef>
          </c:tx>
          <c:spPr>
            <a:solidFill>
              <a:schemeClr val="accent3"/>
            </a:solidFill>
            <a:ln>
              <a:noFill/>
            </a:ln>
            <a:effectLst/>
          </c:spPr>
          <c:invertIfNegative val="0"/>
          <c:cat>
            <c:strRef>
              <c:f>'Fig 80 Out-of-school '!$A$53:$A$64</c:f>
              <c:strCache>
                <c:ptCount val="12"/>
                <c:pt idx="0">
                  <c:v>15</c:v>
                </c:pt>
                <c:pt idx="1">
                  <c:v>16</c:v>
                </c:pt>
                <c:pt idx="2">
                  <c:v>17</c:v>
                </c:pt>
                <c:pt idx="3">
                  <c:v>18</c:v>
                </c:pt>
                <c:pt idx="4">
                  <c:v>19</c:v>
                </c:pt>
                <c:pt idx="5">
                  <c:v>20</c:v>
                </c:pt>
                <c:pt idx="6">
                  <c:v>21</c:v>
                </c:pt>
                <c:pt idx="7">
                  <c:v>22</c:v>
                </c:pt>
                <c:pt idx="8">
                  <c:v>23</c:v>
                </c:pt>
                <c:pt idx="9">
                  <c:v>24</c:v>
                </c:pt>
                <c:pt idx="11">
                  <c:v>Total</c:v>
                </c:pt>
              </c:strCache>
            </c:strRef>
          </c:cat>
          <c:val>
            <c:numRef>
              <c:f>'Fig 80 Out-of-school '!$D$53:$D$64</c:f>
              <c:numCache>
                <c:formatCode>General</c:formatCode>
                <c:ptCount val="12"/>
                <c:pt idx="0">
                  <c:v>0.187</c:v>
                </c:pt>
                <c:pt idx="1">
                  <c:v>0.11459999999999999</c:v>
                </c:pt>
                <c:pt idx="2">
                  <c:v>7.3599999999999999E-2</c:v>
                </c:pt>
                <c:pt idx="3">
                  <c:v>2.8199999999999999E-2</c:v>
                </c:pt>
                <c:pt idx="4">
                  <c:v>2.9600000000000001E-2</c:v>
                </c:pt>
                <c:pt idx="5">
                  <c:v>1.26E-2</c:v>
                </c:pt>
                <c:pt idx="6">
                  <c:v>6.6E-3</c:v>
                </c:pt>
                <c:pt idx="7">
                  <c:v>5.3E-3</c:v>
                </c:pt>
                <c:pt idx="8">
                  <c:v>2.8E-3</c:v>
                </c:pt>
                <c:pt idx="9" formatCode="0.00E+00">
                  <c:v>8.0999999999999996E-4</c:v>
                </c:pt>
                <c:pt idx="11">
                  <c:v>6.13E-2</c:v>
                </c:pt>
              </c:numCache>
            </c:numRef>
          </c:val>
          <c:extLst>
            <c:ext xmlns:c16="http://schemas.microsoft.com/office/drawing/2014/chart" uri="{C3380CC4-5D6E-409C-BE32-E72D297353CC}">
              <c16:uniqueId val="{00000002-3DBB-4C07-A23B-8258BDC2BC48}"/>
            </c:ext>
          </c:extLst>
        </c:ser>
        <c:ser>
          <c:idx val="3"/>
          <c:order val="3"/>
          <c:tx>
            <c:strRef>
              <c:f>'Fig 80 Out-of-school '!$E$52</c:f>
              <c:strCache>
                <c:ptCount val="1"/>
                <c:pt idx="0">
                  <c:v>Left before completing secondary</c:v>
                </c:pt>
              </c:strCache>
            </c:strRef>
          </c:tx>
          <c:spPr>
            <a:solidFill>
              <a:schemeClr val="accent4"/>
            </a:solidFill>
            <a:ln>
              <a:noFill/>
            </a:ln>
            <a:effectLst/>
          </c:spPr>
          <c:invertIfNegative val="0"/>
          <c:cat>
            <c:strRef>
              <c:f>'Fig 80 Out-of-school '!$A$53:$A$64</c:f>
              <c:strCache>
                <c:ptCount val="12"/>
                <c:pt idx="0">
                  <c:v>15</c:v>
                </c:pt>
                <c:pt idx="1">
                  <c:v>16</c:v>
                </c:pt>
                <c:pt idx="2">
                  <c:v>17</c:v>
                </c:pt>
                <c:pt idx="3">
                  <c:v>18</c:v>
                </c:pt>
                <c:pt idx="4">
                  <c:v>19</c:v>
                </c:pt>
                <c:pt idx="5">
                  <c:v>20</c:v>
                </c:pt>
                <c:pt idx="6">
                  <c:v>21</c:v>
                </c:pt>
                <c:pt idx="7">
                  <c:v>22</c:v>
                </c:pt>
                <c:pt idx="8">
                  <c:v>23</c:v>
                </c:pt>
                <c:pt idx="9">
                  <c:v>24</c:v>
                </c:pt>
                <c:pt idx="11">
                  <c:v>Total</c:v>
                </c:pt>
              </c:strCache>
            </c:strRef>
          </c:cat>
          <c:val>
            <c:numRef>
              <c:f>'Fig 80 Out-of-school '!$E$53:$E$64</c:f>
              <c:numCache>
                <c:formatCode>General</c:formatCode>
                <c:ptCount val="12"/>
                <c:pt idx="0">
                  <c:v>4.8800000000000003E-2</c:v>
                </c:pt>
                <c:pt idx="1">
                  <c:v>8.6599999999999996E-2</c:v>
                </c:pt>
                <c:pt idx="2">
                  <c:v>0.13550000000000001</c:v>
                </c:pt>
                <c:pt idx="3">
                  <c:v>0.23369999999999999</c:v>
                </c:pt>
                <c:pt idx="4">
                  <c:v>0.20250000000000001</c:v>
                </c:pt>
                <c:pt idx="5">
                  <c:v>0.29499999999999998</c:v>
                </c:pt>
                <c:pt idx="6">
                  <c:v>0.2873</c:v>
                </c:pt>
                <c:pt idx="7">
                  <c:v>0.34960000000000002</c:v>
                </c:pt>
                <c:pt idx="8">
                  <c:v>0.40570000000000001</c:v>
                </c:pt>
                <c:pt idx="9">
                  <c:v>0.35470000000000002</c:v>
                </c:pt>
                <c:pt idx="11">
                  <c:v>0.21260000000000001</c:v>
                </c:pt>
              </c:numCache>
            </c:numRef>
          </c:val>
          <c:extLst>
            <c:ext xmlns:c16="http://schemas.microsoft.com/office/drawing/2014/chart" uri="{C3380CC4-5D6E-409C-BE32-E72D297353CC}">
              <c16:uniqueId val="{00000003-3DBB-4C07-A23B-8258BDC2BC48}"/>
            </c:ext>
          </c:extLst>
        </c:ser>
        <c:ser>
          <c:idx val="4"/>
          <c:order val="4"/>
          <c:tx>
            <c:strRef>
              <c:f>'Fig 80 Out-of-school '!$F$52</c:f>
              <c:strCache>
                <c:ptCount val="1"/>
                <c:pt idx="0">
                  <c:v>Still in secondary</c:v>
                </c:pt>
              </c:strCache>
            </c:strRef>
          </c:tx>
          <c:spPr>
            <a:solidFill>
              <a:schemeClr val="accent5"/>
            </a:solidFill>
            <a:ln>
              <a:noFill/>
            </a:ln>
            <a:effectLst/>
          </c:spPr>
          <c:invertIfNegative val="0"/>
          <c:cat>
            <c:strRef>
              <c:f>'Fig 80 Out-of-school '!$A$53:$A$64</c:f>
              <c:strCache>
                <c:ptCount val="12"/>
                <c:pt idx="0">
                  <c:v>15</c:v>
                </c:pt>
                <c:pt idx="1">
                  <c:v>16</c:v>
                </c:pt>
                <c:pt idx="2">
                  <c:v>17</c:v>
                </c:pt>
                <c:pt idx="3">
                  <c:v>18</c:v>
                </c:pt>
                <c:pt idx="4">
                  <c:v>19</c:v>
                </c:pt>
                <c:pt idx="5">
                  <c:v>20</c:v>
                </c:pt>
                <c:pt idx="6">
                  <c:v>21</c:v>
                </c:pt>
                <c:pt idx="7">
                  <c:v>22</c:v>
                </c:pt>
                <c:pt idx="8">
                  <c:v>23</c:v>
                </c:pt>
                <c:pt idx="9">
                  <c:v>24</c:v>
                </c:pt>
                <c:pt idx="11">
                  <c:v>Total</c:v>
                </c:pt>
              </c:strCache>
            </c:strRef>
          </c:cat>
          <c:val>
            <c:numRef>
              <c:f>'Fig 80 Out-of-school '!$F$53:$F$64</c:f>
              <c:numCache>
                <c:formatCode>General</c:formatCode>
                <c:ptCount val="12"/>
                <c:pt idx="0">
                  <c:v>0.47949999999999998</c:v>
                </c:pt>
                <c:pt idx="1">
                  <c:v>0.51780000000000004</c:v>
                </c:pt>
                <c:pt idx="2">
                  <c:v>0.45679999999999998</c:v>
                </c:pt>
                <c:pt idx="3">
                  <c:v>0.34239999999999998</c:v>
                </c:pt>
                <c:pt idx="4">
                  <c:v>0.29459999999999997</c:v>
                </c:pt>
                <c:pt idx="5">
                  <c:v>0.13089999999999999</c:v>
                </c:pt>
                <c:pt idx="6">
                  <c:v>0.14369999999999999</c:v>
                </c:pt>
                <c:pt idx="7">
                  <c:v>6.6000000000000003E-2</c:v>
                </c:pt>
                <c:pt idx="8">
                  <c:v>4.58E-2</c:v>
                </c:pt>
                <c:pt idx="9">
                  <c:v>2.3099999999999999E-2</c:v>
                </c:pt>
                <c:pt idx="11">
                  <c:v>0.2918</c:v>
                </c:pt>
              </c:numCache>
            </c:numRef>
          </c:val>
          <c:extLst>
            <c:ext xmlns:c16="http://schemas.microsoft.com/office/drawing/2014/chart" uri="{C3380CC4-5D6E-409C-BE32-E72D297353CC}">
              <c16:uniqueId val="{00000004-3DBB-4C07-A23B-8258BDC2BC48}"/>
            </c:ext>
          </c:extLst>
        </c:ser>
        <c:ser>
          <c:idx val="5"/>
          <c:order val="5"/>
          <c:tx>
            <c:strRef>
              <c:f>'Fig 80 Out-of-school '!$G$52</c:f>
              <c:strCache>
                <c:ptCount val="1"/>
                <c:pt idx="0">
                  <c:v>Completed secondary</c:v>
                </c:pt>
              </c:strCache>
            </c:strRef>
          </c:tx>
          <c:spPr>
            <a:solidFill>
              <a:schemeClr val="accent6"/>
            </a:solidFill>
            <a:ln>
              <a:noFill/>
            </a:ln>
            <a:effectLst/>
          </c:spPr>
          <c:invertIfNegative val="0"/>
          <c:cat>
            <c:strRef>
              <c:f>'Fig 80 Out-of-school '!$A$53:$A$64</c:f>
              <c:strCache>
                <c:ptCount val="12"/>
                <c:pt idx="0">
                  <c:v>15</c:v>
                </c:pt>
                <c:pt idx="1">
                  <c:v>16</c:v>
                </c:pt>
                <c:pt idx="2">
                  <c:v>17</c:v>
                </c:pt>
                <c:pt idx="3">
                  <c:v>18</c:v>
                </c:pt>
                <c:pt idx="4">
                  <c:v>19</c:v>
                </c:pt>
                <c:pt idx="5">
                  <c:v>20</c:v>
                </c:pt>
                <c:pt idx="6">
                  <c:v>21</c:v>
                </c:pt>
                <c:pt idx="7">
                  <c:v>22</c:v>
                </c:pt>
                <c:pt idx="8">
                  <c:v>23</c:v>
                </c:pt>
                <c:pt idx="9">
                  <c:v>24</c:v>
                </c:pt>
                <c:pt idx="11">
                  <c:v>Total</c:v>
                </c:pt>
              </c:strCache>
            </c:strRef>
          </c:cat>
          <c:val>
            <c:numRef>
              <c:f>'Fig 80 Out-of-school '!$G$53:$G$64</c:f>
              <c:numCache>
                <c:formatCode>0.00E+00</c:formatCode>
                <c:ptCount val="12"/>
                <c:pt idx="0">
                  <c:v>2.7E-4</c:v>
                </c:pt>
                <c:pt idx="1">
                  <c:v>2.5999999999999998E-4</c:v>
                </c:pt>
                <c:pt idx="2">
                  <c:v>5.9999999999999995E-4</c:v>
                </c:pt>
                <c:pt idx="3" formatCode="General">
                  <c:v>1.29E-2</c:v>
                </c:pt>
                <c:pt idx="4" formatCode="General">
                  <c:v>2.69E-2</c:v>
                </c:pt>
                <c:pt idx="5" formatCode="General">
                  <c:v>3.0499999999999999E-2</c:v>
                </c:pt>
                <c:pt idx="6" formatCode="General">
                  <c:v>7.1900000000000006E-2</c:v>
                </c:pt>
                <c:pt idx="7" formatCode="General">
                  <c:v>6.9800000000000001E-2</c:v>
                </c:pt>
                <c:pt idx="8" formatCode="General">
                  <c:v>5.7200000000000001E-2</c:v>
                </c:pt>
                <c:pt idx="9" formatCode="General">
                  <c:v>2.3199999999999998E-2</c:v>
                </c:pt>
                <c:pt idx="11" formatCode="General">
                  <c:v>2.4400000000000002E-2</c:v>
                </c:pt>
              </c:numCache>
            </c:numRef>
          </c:val>
          <c:extLst>
            <c:ext xmlns:c16="http://schemas.microsoft.com/office/drawing/2014/chart" uri="{C3380CC4-5D6E-409C-BE32-E72D297353CC}">
              <c16:uniqueId val="{00000005-3DBB-4C07-A23B-8258BDC2BC48}"/>
            </c:ext>
          </c:extLst>
        </c:ser>
        <c:dLbls>
          <c:showLegendKey val="0"/>
          <c:showVal val="0"/>
          <c:showCatName val="0"/>
          <c:showSerName val="0"/>
          <c:showPercent val="0"/>
          <c:showBubbleSize val="0"/>
        </c:dLbls>
        <c:gapWidth val="150"/>
        <c:overlap val="100"/>
        <c:axId val="313703119"/>
        <c:axId val="313704367"/>
      </c:barChart>
      <c:catAx>
        <c:axId val="313703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704367"/>
        <c:crosses val="autoZero"/>
        <c:auto val="1"/>
        <c:lblAlgn val="ctr"/>
        <c:lblOffset val="100"/>
        <c:noMultiLvlLbl val="0"/>
      </c:catAx>
      <c:valAx>
        <c:axId val="313704367"/>
        <c:scaling>
          <c:orientation val="minMax"/>
          <c:max val="1"/>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703119"/>
        <c:crosses val="autoZero"/>
        <c:crossBetween val="between"/>
      </c:valAx>
      <c:spPr>
        <a:noFill/>
        <a:ln>
          <a:noFill/>
        </a:ln>
        <a:effectLst/>
      </c:spPr>
    </c:plotArea>
    <c:legend>
      <c:legendPos val="t"/>
      <c:layout>
        <c:manualLayout>
          <c:xMode val="edge"/>
          <c:yMode val="edge"/>
          <c:x val="1.4850296822944994E-2"/>
          <c:y val="2.7180067950169876E-2"/>
          <c:w val="0.97029940635411005"/>
          <c:h val="0.1393010584888666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94749752666457"/>
          <c:y val="1.8684904606973033E-2"/>
          <c:w val="0.85193936601298337"/>
          <c:h val="0.81564789727769726"/>
        </c:manualLayout>
      </c:layout>
      <c:scatterChart>
        <c:scatterStyle val="lineMarker"/>
        <c:varyColors val="0"/>
        <c:ser>
          <c:idx val="0"/>
          <c:order val="0"/>
          <c:tx>
            <c:strRef>
              <c:f>'Fig15'!$C$2</c:f>
              <c:strCache>
                <c:ptCount val="1"/>
                <c:pt idx="0">
                  <c:v>Average years of school, age 15-64</c:v>
                </c:pt>
              </c:strCache>
            </c:strRef>
          </c:tx>
          <c:spPr>
            <a:ln w="19050" cap="rnd">
              <a:noFill/>
              <a:round/>
            </a:ln>
            <a:effectLst/>
          </c:spPr>
          <c:marker>
            <c:symbol val="circle"/>
            <c:size val="5"/>
            <c:spPr>
              <a:solidFill>
                <a:schemeClr val="accent1"/>
              </a:solidFill>
              <a:ln w="9525">
                <a:solidFill>
                  <a:schemeClr val="accent1"/>
                </a:solidFill>
              </a:ln>
              <a:effectLst/>
            </c:spPr>
          </c:marker>
          <c:dPt>
            <c:idx val="9"/>
            <c:marker>
              <c:symbol val="triangle"/>
              <c:size val="12"/>
              <c:spPr>
                <a:solidFill>
                  <a:srgbClr val="FF0000"/>
                </a:solidFill>
                <a:ln w="9525">
                  <a:solidFill>
                    <a:schemeClr val="accent1"/>
                  </a:solidFill>
                </a:ln>
                <a:effectLst/>
              </c:spPr>
            </c:marker>
            <c:bubble3D val="0"/>
            <c:extLst>
              <c:ext xmlns:c16="http://schemas.microsoft.com/office/drawing/2014/chart" uri="{C3380CC4-5D6E-409C-BE32-E72D297353CC}">
                <c16:uniqueId val="{00000000-FCC0-4088-88D0-6EFD759AF47A}"/>
              </c:ext>
            </c:extLst>
          </c:dPt>
          <c:dPt>
            <c:idx val="32"/>
            <c:marker>
              <c:symbol val="diamond"/>
              <c:size val="12"/>
              <c:spPr>
                <a:solidFill>
                  <a:srgbClr val="FF0000"/>
                </a:solidFill>
                <a:ln w="9525">
                  <a:solidFill>
                    <a:srgbClr val="FF0000"/>
                  </a:solidFill>
                </a:ln>
                <a:effectLst/>
              </c:spPr>
            </c:marker>
            <c:bubble3D val="0"/>
            <c:extLst>
              <c:ext xmlns:c16="http://schemas.microsoft.com/office/drawing/2014/chart" uri="{C3380CC4-5D6E-409C-BE32-E72D297353CC}">
                <c16:uniqueId val="{00000001-FCC0-4088-88D0-6EFD759AF47A}"/>
              </c:ext>
            </c:extLst>
          </c:dPt>
          <c:dLbls>
            <c:dLbl>
              <c:idx val="0"/>
              <c:tx>
                <c:rich>
                  <a:bodyPr/>
                  <a:lstStyle/>
                  <a:p>
                    <a:fld id="{66CAEFE8-7B8D-4D27-B47A-E40BD035127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FCC0-4088-88D0-6EFD759AF47A}"/>
                </c:ext>
              </c:extLst>
            </c:dLbl>
            <c:dLbl>
              <c:idx val="1"/>
              <c:tx>
                <c:rich>
                  <a:bodyPr/>
                  <a:lstStyle/>
                  <a:p>
                    <a:fld id="{D539CC6F-B506-4177-B1EA-8461CF324BE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FCC0-4088-88D0-6EFD759AF47A}"/>
                </c:ext>
              </c:extLst>
            </c:dLbl>
            <c:dLbl>
              <c:idx val="2"/>
              <c:layout>
                <c:manualLayout>
                  <c:x val="-8.9753185806212901E-2"/>
                  <c:y val="5.0209205020920397E-2"/>
                </c:manualLayout>
              </c:layout>
              <c:tx>
                <c:rich>
                  <a:bodyPr/>
                  <a:lstStyle/>
                  <a:p>
                    <a:fld id="{6DC1BD94-F909-4782-B3E3-CAE3DA214D0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FCC0-4088-88D0-6EFD759AF47A}"/>
                </c:ext>
              </c:extLst>
            </c:dLbl>
            <c:dLbl>
              <c:idx val="3"/>
              <c:tx>
                <c:rich>
                  <a:bodyPr/>
                  <a:lstStyle/>
                  <a:p>
                    <a:fld id="{3599741C-7F0F-4D29-A8A8-17B53334B8E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FCC0-4088-88D0-6EFD759AF47A}"/>
                </c:ext>
              </c:extLst>
            </c:dLbl>
            <c:dLbl>
              <c:idx val="4"/>
              <c:tx>
                <c:rich>
                  <a:bodyPr/>
                  <a:lstStyle/>
                  <a:p>
                    <a:fld id="{59765780-3B28-44DB-937D-16C094CACD0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FCC0-4088-88D0-6EFD759AF47A}"/>
                </c:ext>
              </c:extLst>
            </c:dLbl>
            <c:dLbl>
              <c:idx val="5"/>
              <c:tx>
                <c:rich>
                  <a:bodyPr/>
                  <a:lstStyle/>
                  <a:p>
                    <a:fld id="{9983E435-4BEE-473F-B322-3B8D3D5615C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FCC0-4088-88D0-6EFD759AF47A}"/>
                </c:ext>
              </c:extLst>
            </c:dLbl>
            <c:dLbl>
              <c:idx val="6"/>
              <c:tx>
                <c:rich>
                  <a:bodyPr/>
                  <a:lstStyle/>
                  <a:p>
                    <a:fld id="{48C3717E-A244-44A9-ADBE-7F29CD61BB5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FCC0-4088-88D0-6EFD759AF47A}"/>
                </c:ext>
              </c:extLst>
            </c:dLbl>
            <c:dLbl>
              <c:idx val="7"/>
              <c:tx>
                <c:rich>
                  <a:bodyPr/>
                  <a:lstStyle/>
                  <a:p>
                    <a:fld id="{C19FF5A8-474D-43C3-ABBA-97E9F80F965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FCC0-4088-88D0-6EFD759AF47A}"/>
                </c:ext>
              </c:extLst>
            </c:dLbl>
            <c:dLbl>
              <c:idx val="8"/>
              <c:layout>
                <c:manualLayout>
                  <c:x val="-2.1939667641518709E-2"/>
                  <c:y val="5.8577405857740586E-2"/>
                </c:manualLayout>
              </c:layout>
              <c:tx>
                <c:rich>
                  <a:bodyPr/>
                  <a:lstStyle/>
                  <a:p>
                    <a:fld id="{D3DECFFD-FA5A-4F0E-8892-DEB15207A19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FCC0-4088-88D0-6EFD759AF47A}"/>
                </c:ext>
              </c:extLst>
            </c:dLbl>
            <c:dLbl>
              <c:idx val="9"/>
              <c:tx>
                <c:rich>
                  <a:bodyPr/>
                  <a:lstStyle/>
                  <a:p>
                    <a:fld id="{09AFF5A2-E009-447D-B2B6-2C1FADF8D0D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FCC0-4088-88D0-6EFD759AF47A}"/>
                </c:ext>
              </c:extLst>
            </c:dLbl>
            <c:dLbl>
              <c:idx val="10"/>
              <c:layout>
                <c:manualLayout>
                  <c:x val="-4.0877796901893443E-2"/>
                  <c:y val="-8.2916368834882057E-2"/>
                </c:manualLayout>
              </c:layout>
              <c:tx>
                <c:rich>
                  <a:bodyPr/>
                  <a:lstStyle/>
                  <a:p>
                    <a:fld id="{85CF8896-51E4-49F5-9A1F-AAB9690A84E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FCC0-4088-88D0-6EFD759AF47A}"/>
                </c:ext>
              </c:extLst>
            </c:dLbl>
            <c:dLbl>
              <c:idx val="11"/>
              <c:layout>
                <c:manualLayout>
                  <c:x val="-5.1857396243589676E-2"/>
                  <c:y val="3.6262203626220263E-2"/>
                </c:manualLayout>
              </c:layout>
              <c:tx>
                <c:rich>
                  <a:bodyPr/>
                  <a:lstStyle/>
                  <a:p>
                    <a:fld id="{AC22CE99-FE1D-4E4F-ACA5-859D5D579E8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FCC0-4088-88D0-6EFD759AF47A}"/>
                </c:ext>
              </c:extLst>
            </c:dLbl>
            <c:dLbl>
              <c:idx val="12"/>
              <c:tx>
                <c:rich>
                  <a:bodyPr/>
                  <a:lstStyle/>
                  <a:p>
                    <a:fld id="{A3F204FF-681E-4047-B83A-1C09AFFDD65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FCC0-4088-88D0-6EFD759AF47A}"/>
                </c:ext>
              </c:extLst>
            </c:dLbl>
            <c:dLbl>
              <c:idx val="13"/>
              <c:tx>
                <c:rich>
                  <a:bodyPr/>
                  <a:lstStyle/>
                  <a:p>
                    <a:fld id="{AC4BCB33-10FD-4D10-9823-8AAD9F20CEA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FCC0-4088-88D0-6EFD759AF47A}"/>
                </c:ext>
              </c:extLst>
            </c:dLbl>
            <c:dLbl>
              <c:idx val="14"/>
              <c:tx>
                <c:rich>
                  <a:bodyPr/>
                  <a:lstStyle/>
                  <a:p>
                    <a:fld id="{2F13D12E-37AA-45E7-94F4-C54A8031EAA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FCC0-4088-88D0-6EFD759AF47A}"/>
                </c:ext>
              </c:extLst>
            </c:dLbl>
            <c:dLbl>
              <c:idx val="15"/>
              <c:layout>
                <c:manualLayout>
                  <c:x val="-2.3934182881656774E-2"/>
                  <c:y val="-5.0209205020920501E-2"/>
                </c:manualLayout>
              </c:layout>
              <c:tx>
                <c:rich>
                  <a:bodyPr/>
                  <a:lstStyle/>
                  <a:p>
                    <a:fld id="{6296CFA2-FF81-4599-BA74-64B49D00D77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0-FCC0-4088-88D0-6EFD759AF47A}"/>
                </c:ext>
              </c:extLst>
            </c:dLbl>
            <c:dLbl>
              <c:idx val="16"/>
              <c:tx>
                <c:rich>
                  <a:bodyPr/>
                  <a:lstStyle/>
                  <a:p>
                    <a:fld id="{7BD52B7E-E79A-4EA1-A520-422EB53162F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FCC0-4088-88D0-6EFD759AF47A}"/>
                </c:ext>
              </c:extLst>
            </c:dLbl>
            <c:dLbl>
              <c:idx val="17"/>
              <c:tx>
                <c:rich>
                  <a:bodyPr/>
                  <a:lstStyle/>
                  <a:p>
                    <a:fld id="{131FE09C-0CB9-40CD-A861-1A497B89A1A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FCC0-4088-88D0-6EFD759AF47A}"/>
                </c:ext>
              </c:extLst>
            </c:dLbl>
            <c:dLbl>
              <c:idx val="18"/>
              <c:layout>
                <c:manualLayout>
                  <c:x val="-8.175559380378665E-2"/>
                  <c:y val="-4.0028591851322376E-2"/>
                </c:manualLayout>
              </c:layout>
              <c:tx>
                <c:rich>
                  <a:bodyPr/>
                  <a:lstStyle/>
                  <a:p>
                    <a:fld id="{4A2D4A33-39F9-43C1-908D-A0DD98E150E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3-FCC0-4088-88D0-6EFD759AF47A}"/>
                </c:ext>
              </c:extLst>
            </c:dLbl>
            <c:dLbl>
              <c:idx val="19"/>
              <c:layout>
                <c:manualLayout>
                  <c:x val="-0.15158315825049293"/>
                  <c:y val="-1.3947001394700139E-2"/>
                </c:manualLayout>
              </c:layout>
              <c:tx>
                <c:rich>
                  <a:bodyPr/>
                  <a:lstStyle/>
                  <a:p>
                    <a:fld id="{AC4D6DC8-281B-4E15-9881-26E382C0227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4-FCC0-4088-88D0-6EFD759AF47A}"/>
                </c:ext>
              </c:extLst>
            </c:dLbl>
            <c:dLbl>
              <c:idx val="20"/>
              <c:tx>
                <c:rich>
                  <a:bodyPr/>
                  <a:lstStyle/>
                  <a:p>
                    <a:fld id="{FCEF691F-E238-46D0-B4E1-0C07127578E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5-FCC0-4088-88D0-6EFD759AF47A}"/>
                </c:ext>
              </c:extLst>
            </c:dLbl>
            <c:dLbl>
              <c:idx val="21"/>
              <c:tx>
                <c:rich>
                  <a:bodyPr/>
                  <a:lstStyle/>
                  <a:p>
                    <a:fld id="{2CB53648-7D9D-4721-8CB0-0522EB24824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6-FCC0-4088-88D0-6EFD759AF47A}"/>
                </c:ext>
              </c:extLst>
            </c:dLbl>
            <c:dLbl>
              <c:idx val="22"/>
              <c:tx>
                <c:rich>
                  <a:bodyPr/>
                  <a:lstStyle/>
                  <a:p>
                    <a:fld id="{AB24AA7E-D982-469C-B7A6-AB975EB9093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7-FCC0-4088-88D0-6EFD759AF47A}"/>
                </c:ext>
              </c:extLst>
            </c:dLbl>
            <c:dLbl>
              <c:idx val="23"/>
              <c:tx>
                <c:rich>
                  <a:bodyPr/>
                  <a:lstStyle/>
                  <a:p>
                    <a:fld id="{007D72A9-9D3D-47E6-A5A8-60DCFEABA58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8-FCC0-4088-88D0-6EFD759AF47A}"/>
                </c:ext>
              </c:extLst>
            </c:dLbl>
            <c:dLbl>
              <c:idx val="24"/>
              <c:layout>
                <c:manualLayout>
                  <c:x val="7.9780609605522579E-3"/>
                  <c:y val="-3.6262203626220464E-2"/>
                </c:manualLayout>
              </c:layout>
              <c:tx>
                <c:rich>
                  <a:bodyPr/>
                  <a:lstStyle/>
                  <a:p>
                    <a:fld id="{243FC74E-82D4-4541-8B8D-0642EEC9B31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9-FCC0-4088-88D0-6EFD759AF47A}"/>
                </c:ext>
              </c:extLst>
            </c:dLbl>
            <c:dLbl>
              <c:idx val="25"/>
              <c:tx>
                <c:rich>
                  <a:bodyPr/>
                  <a:lstStyle/>
                  <a:p>
                    <a:fld id="{23F85167-F189-4F43-98BC-1881E33A3C2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A-FCC0-4088-88D0-6EFD759AF47A}"/>
                </c:ext>
              </c:extLst>
            </c:dLbl>
            <c:dLbl>
              <c:idx val="26"/>
              <c:layout>
                <c:manualLayout>
                  <c:x val="-3.4423407917383818E-2"/>
                  <c:y val="-0.10864903502501784"/>
                </c:manualLayout>
              </c:layout>
              <c:tx>
                <c:rich>
                  <a:bodyPr/>
                  <a:lstStyle/>
                  <a:p>
                    <a:fld id="{ADEB7BD6-3853-46F3-9A9C-752C3E57A99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B-FCC0-4088-88D0-6EFD759AF47A}"/>
                </c:ext>
              </c:extLst>
            </c:dLbl>
            <c:dLbl>
              <c:idx val="27"/>
              <c:tx>
                <c:rich>
                  <a:bodyPr/>
                  <a:lstStyle/>
                  <a:p>
                    <a:fld id="{4D538880-3B64-4C75-A837-844AA8E294D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C-FCC0-4088-88D0-6EFD759AF47A}"/>
                </c:ext>
              </c:extLst>
            </c:dLbl>
            <c:dLbl>
              <c:idx val="28"/>
              <c:tx>
                <c:rich>
                  <a:bodyPr/>
                  <a:lstStyle/>
                  <a:p>
                    <a:fld id="{B1CE8073-4518-424F-9413-F384AB4CC8C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D-FCC0-4088-88D0-6EFD759AF47A}"/>
                </c:ext>
              </c:extLst>
            </c:dLbl>
            <c:dLbl>
              <c:idx val="29"/>
              <c:tx>
                <c:rich>
                  <a:bodyPr/>
                  <a:lstStyle/>
                  <a:p>
                    <a:fld id="{3BA3FBFB-AF64-4926-A0B0-8F957182143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E-FCC0-4088-88D0-6EFD759AF47A}"/>
                </c:ext>
              </c:extLst>
            </c:dLbl>
            <c:dLbl>
              <c:idx val="30"/>
              <c:tx>
                <c:rich>
                  <a:bodyPr/>
                  <a:lstStyle/>
                  <a:p>
                    <a:fld id="{6AE59EA9-AD81-4411-9E17-8E3DBB066CD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F-FCC0-4088-88D0-6EFD759AF47A}"/>
                </c:ext>
              </c:extLst>
            </c:dLbl>
            <c:dLbl>
              <c:idx val="31"/>
              <c:tx>
                <c:rich>
                  <a:bodyPr/>
                  <a:lstStyle/>
                  <a:p>
                    <a:fld id="{373D482C-7CD7-47DF-8168-C9C4CC2AD90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20-FCC0-4088-88D0-6EFD759AF47A}"/>
                </c:ext>
              </c:extLst>
            </c:dLbl>
            <c:dLbl>
              <c:idx val="32"/>
              <c:tx>
                <c:rich>
                  <a:bodyPr/>
                  <a:lstStyle/>
                  <a:p>
                    <a:fld id="{B93984A3-09B6-4B27-B8D2-FBCB247ABDC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FCC0-4088-88D0-6EFD759AF47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numRef>
              <c:f>'Fig15'!$B$3:$B$35</c:f>
              <c:numCache>
                <c:formatCode>0</c:formatCode>
                <c:ptCount val="33"/>
                <c:pt idx="0">
                  <c:v>1791</c:v>
                </c:pt>
                <c:pt idx="1">
                  <c:v>1634</c:v>
                </c:pt>
                <c:pt idx="2">
                  <c:v>771</c:v>
                </c:pt>
                <c:pt idx="3">
                  <c:v>3012</c:v>
                </c:pt>
                <c:pt idx="4">
                  <c:v>2711</c:v>
                </c:pt>
                <c:pt idx="5">
                  <c:v>2081</c:v>
                </c:pt>
                <c:pt idx="6">
                  <c:v>1559</c:v>
                </c:pt>
                <c:pt idx="7">
                  <c:v>747</c:v>
                </c:pt>
                <c:pt idx="8">
                  <c:v>1354</c:v>
                </c:pt>
                <c:pt idx="9">
                  <c:v>1667</c:v>
                </c:pt>
                <c:pt idx="10">
                  <c:v>3975</c:v>
                </c:pt>
                <c:pt idx="11">
                  <c:v>1255</c:v>
                </c:pt>
                <c:pt idx="12">
                  <c:v>2265</c:v>
                </c:pt>
                <c:pt idx="13">
                  <c:v>2586</c:v>
                </c:pt>
                <c:pt idx="14">
                  <c:v>878</c:v>
                </c:pt>
                <c:pt idx="15">
                  <c:v>1395</c:v>
                </c:pt>
                <c:pt idx="16">
                  <c:v>780</c:v>
                </c:pt>
                <c:pt idx="17">
                  <c:v>1641</c:v>
                </c:pt>
                <c:pt idx="18">
                  <c:v>3043</c:v>
                </c:pt>
                <c:pt idx="19">
                  <c:v>1045</c:v>
                </c:pt>
                <c:pt idx="20">
                  <c:v>913</c:v>
                </c:pt>
                <c:pt idx="21">
                  <c:v>1452</c:v>
                </c:pt>
                <c:pt idx="22">
                  <c:v>2969</c:v>
                </c:pt>
                <c:pt idx="23">
                  <c:v>2269</c:v>
                </c:pt>
                <c:pt idx="24">
                  <c:v>1927</c:v>
                </c:pt>
                <c:pt idx="25">
                  <c:v>2330</c:v>
                </c:pt>
                <c:pt idx="26">
                  <c:v>3372</c:v>
                </c:pt>
                <c:pt idx="27">
                  <c:v>1723</c:v>
                </c:pt>
                <c:pt idx="28">
                  <c:v>1390</c:v>
                </c:pt>
                <c:pt idx="29">
                  <c:v>1410</c:v>
                </c:pt>
                <c:pt idx="30">
                  <c:v>3181</c:v>
                </c:pt>
                <c:pt idx="31">
                  <c:v>1700</c:v>
                </c:pt>
                <c:pt idx="32">
                  <c:v>3408.8519999999999</c:v>
                </c:pt>
              </c:numCache>
            </c:numRef>
          </c:xVal>
          <c:yVal>
            <c:numRef>
              <c:f>'Fig15'!$C$3:$C$35</c:f>
              <c:numCache>
                <c:formatCode>0.0</c:formatCode>
                <c:ptCount val="33"/>
                <c:pt idx="0">
                  <c:v>3.177378</c:v>
                </c:pt>
                <c:pt idx="1">
                  <c:v>1.9024540000000001</c:v>
                </c:pt>
                <c:pt idx="2">
                  <c:v>3.3394689999999998</c:v>
                </c:pt>
                <c:pt idx="3">
                  <c:v>3.8148759999999999</c:v>
                </c:pt>
                <c:pt idx="4">
                  <c:v>6.3806599999999998</c:v>
                </c:pt>
                <c:pt idx="5">
                  <c:v>2.2649029999999999</c:v>
                </c:pt>
                <c:pt idx="6">
                  <c:v>5.9673030000000002</c:v>
                </c:pt>
                <c:pt idx="7">
                  <c:v>6.9449579999999997</c:v>
                </c:pt>
                <c:pt idx="8">
                  <c:v>3.6253440000000001</c:v>
                </c:pt>
                <c:pt idx="9">
                  <c:v>3.7</c:v>
                </c:pt>
                <c:pt idx="10">
                  <c:v>7.3542439999999996</c:v>
                </c:pt>
                <c:pt idx="11">
                  <c:v>3.177454</c:v>
                </c:pt>
                <c:pt idx="12">
                  <c:v>8.3806969999999996</c:v>
                </c:pt>
                <c:pt idx="13">
                  <c:v>8.6087710000000008</c:v>
                </c:pt>
                <c:pt idx="14">
                  <c:v>5.6193679999999997</c:v>
                </c:pt>
                <c:pt idx="15">
                  <c:v>3.8929070000000001</c:v>
                </c:pt>
                <c:pt idx="16">
                  <c:v>5.967352</c:v>
                </c:pt>
                <c:pt idx="17">
                  <c:v>2.2242929999999999</c:v>
                </c:pt>
                <c:pt idx="18">
                  <c:v>7.304411</c:v>
                </c:pt>
                <c:pt idx="19">
                  <c:v>4.113899</c:v>
                </c:pt>
                <c:pt idx="20">
                  <c:v>1.711937</c:v>
                </c:pt>
                <c:pt idx="21">
                  <c:v>4.9483439999999996</c:v>
                </c:pt>
                <c:pt idx="22">
                  <c:v>5.8733380000000004</c:v>
                </c:pt>
                <c:pt idx="23">
                  <c:v>3.3663750000000001</c:v>
                </c:pt>
                <c:pt idx="24">
                  <c:v>3.9781629999999999</c:v>
                </c:pt>
                <c:pt idx="25">
                  <c:v>1.1162339999999999</c:v>
                </c:pt>
                <c:pt idx="26">
                  <c:v>7.3264680000000002</c:v>
                </c:pt>
                <c:pt idx="27">
                  <c:v>6.2992980000000003</c:v>
                </c:pt>
                <c:pt idx="28">
                  <c:v>5.7169759999999998</c:v>
                </c:pt>
                <c:pt idx="29">
                  <c:v>6.7631779999999999</c:v>
                </c:pt>
                <c:pt idx="30">
                  <c:v>6.7210260000000002</c:v>
                </c:pt>
                <c:pt idx="31">
                  <c:v>9.2123430000000006</c:v>
                </c:pt>
                <c:pt idx="32">
                  <c:v>5.8290920000000002</c:v>
                </c:pt>
              </c:numCache>
            </c:numRef>
          </c:yVal>
          <c:smooth val="0"/>
          <c:extLst>
            <c:ext xmlns:c15="http://schemas.microsoft.com/office/drawing/2012/chart" uri="{02D57815-91ED-43cb-92C2-25804820EDAC}">
              <c15:datalabelsRange>
                <c15:f>'Fig15'!$A$3:$A$35</c15:f>
                <c15:dlblRangeCache>
                  <c:ptCount val="33"/>
                  <c:pt idx="0">
                    <c:v>Benin</c:v>
                  </c:pt>
                  <c:pt idx="1">
                    <c:v>Burkina Faso</c:v>
                  </c:pt>
                  <c:pt idx="2">
                    <c:v>Burundi</c:v>
                  </c:pt>
                  <c:pt idx="3">
                    <c:v>CIV</c:v>
                  </c:pt>
                  <c:pt idx="4">
                    <c:v>Cameroon</c:v>
                  </c:pt>
                  <c:pt idx="5">
                    <c:v>Chad</c:v>
                  </c:pt>
                  <c:pt idx="6">
                    <c:v>Comoros</c:v>
                  </c:pt>
                  <c:pt idx="7">
                    <c:v>DRC</c:v>
                  </c:pt>
                  <c:pt idx="8">
                    <c:v>Ethiopia</c:v>
                  </c:pt>
                  <c:pt idx="9">
                    <c:v>Gambia</c:v>
                  </c:pt>
                  <c:pt idx="10">
                    <c:v>Ghana</c:v>
                  </c:pt>
                  <c:pt idx="11">
                    <c:v>Guinea</c:v>
                  </c:pt>
                  <c:pt idx="12">
                    <c:v>Kenya</c:v>
                  </c:pt>
                  <c:pt idx="13">
                    <c:v>Lesotho</c:v>
                  </c:pt>
                  <c:pt idx="14">
                    <c:v>Liberia</c:v>
                  </c:pt>
                  <c:pt idx="15">
                    <c:v>Madagascar</c:v>
                  </c:pt>
                  <c:pt idx="16">
                    <c:v>Malawi</c:v>
                  </c:pt>
                  <c:pt idx="17">
                    <c:v>Mali</c:v>
                  </c:pt>
                  <c:pt idx="18">
                    <c:v>Mauritania</c:v>
                  </c:pt>
                  <c:pt idx="19">
                    <c:v>Mozambique</c:v>
                  </c:pt>
                  <c:pt idx="20">
                    <c:v>Niger</c:v>
                  </c:pt>
                  <c:pt idx="21">
                    <c:v>Rwanda</c:v>
                  </c:pt>
                  <c:pt idx="22">
                    <c:v>Sao T&amp;P</c:v>
                  </c:pt>
                  <c:pt idx="23">
                    <c:v>Senegal</c:v>
                  </c:pt>
                  <c:pt idx="24">
                    <c:v>Sierra Leone</c:v>
                  </c:pt>
                  <c:pt idx="25">
                    <c:v>South Sudan</c:v>
                  </c:pt>
                  <c:pt idx="26">
                    <c:v>Sudan</c:v>
                  </c:pt>
                  <c:pt idx="27">
                    <c:v>Tanzania</c:v>
                  </c:pt>
                  <c:pt idx="28">
                    <c:v>Togo</c:v>
                  </c:pt>
                  <c:pt idx="29">
                    <c:v>Uganda</c:v>
                  </c:pt>
                  <c:pt idx="30">
                    <c:v>Zambia</c:v>
                  </c:pt>
                  <c:pt idx="31">
                    <c:v>Zimbabwe</c:v>
                  </c:pt>
                  <c:pt idx="32">
                    <c:v>SSA</c:v>
                  </c:pt>
                </c15:dlblRangeCache>
              </c15:datalabelsRange>
            </c:ext>
            <c:ext xmlns:c16="http://schemas.microsoft.com/office/drawing/2014/chart" uri="{C3380CC4-5D6E-409C-BE32-E72D297353CC}">
              <c16:uniqueId val="{00000021-FCC0-4088-88D0-6EFD759AF47A}"/>
            </c:ext>
          </c:extLst>
        </c:ser>
        <c:dLbls>
          <c:showLegendKey val="0"/>
          <c:showVal val="0"/>
          <c:showCatName val="0"/>
          <c:showSerName val="0"/>
          <c:showPercent val="0"/>
          <c:showBubbleSize val="0"/>
        </c:dLbls>
        <c:axId val="456355248"/>
        <c:axId val="456356080"/>
      </c:scatterChart>
      <c:valAx>
        <c:axId val="456355248"/>
        <c:scaling>
          <c:orientation val="minMax"/>
          <c:max val="4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GDP per Capita, PPP</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356080"/>
        <c:crosses val="autoZero"/>
        <c:crossBetween val="midCat"/>
      </c:valAx>
      <c:valAx>
        <c:axId val="4563560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 years of schooling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355248"/>
        <c:crosses val="autoZero"/>
        <c:crossBetween val="midCat"/>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'Labor market'!$C$399</c:f>
              <c:strCache>
                <c:ptCount val="1"/>
                <c:pt idx="0">
                  <c:v>Amoun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'Labor market'!$A$400:$B$405</c:f>
              <c:multiLvlStrCache>
                <c:ptCount val="6"/>
                <c:lvl>
                  <c:pt idx="0">
                    <c:v>No education</c:v>
                  </c:pt>
                  <c:pt idx="1">
                    <c:v>Some primary</c:v>
                  </c:pt>
                  <c:pt idx="2">
                    <c:v>Some lower secondary</c:v>
                  </c:pt>
                  <c:pt idx="3">
                    <c:v>Some upper secondary</c:v>
                  </c:pt>
                  <c:pt idx="4">
                    <c:v>Post-secondary</c:v>
                  </c:pt>
                  <c:pt idx="5">
                    <c:v>Average</c:v>
                  </c:pt>
                </c:lvl>
                <c:lvl>
                  <c:pt idx="0">
                    <c:v>Average earning</c:v>
                  </c:pt>
                </c:lvl>
              </c:multiLvlStrCache>
            </c:multiLvlStrRef>
          </c:cat>
          <c:val>
            <c:numRef>
              <c:f>'Labor market'!$C$400:$C$405</c:f>
              <c:numCache>
                <c:formatCode>_(* #,##0_);_(* \(#,##0\);_(* "-"??_);_(@_)</c:formatCode>
                <c:ptCount val="6"/>
                <c:pt idx="0">
                  <c:v>2298.9319999999998</c:v>
                </c:pt>
                <c:pt idx="1">
                  <c:v>2718.56</c:v>
                </c:pt>
                <c:pt idx="2">
                  <c:v>3083.6640000000002</c:v>
                </c:pt>
                <c:pt idx="3">
                  <c:v>3555.9409999999998</c:v>
                </c:pt>
                <c:pt idx="4">
                  <c:v>4581.1750000000002</c:v>
                </c:pt>
                <c:pt idx="5">
                  <c:v>3260.2779999999998</c:v>
                </c:pt>
              </c:numCache>
            </c:numRef>
          </c:val>
          <c:extLst>
            <c:ext xmlns:c16="http://schemas.microsoft.com/office/drawing/2014/chart" uri="{C3380CC4-5D6E-409C-BE32-E72D297353CC}">
              <c16:uniqueId val="{00000000-AF2F-4D1D-960F-F246BB0742EC}"/>
            </c:ext>
          </c:extLst>
        </c:ser>
        <c:dLbls>
          <c:showLegendKey val="0"/>
          <c:showVal val="0"/>
          <c:showCatName val="0"/>
          <c:showSerName val="0"/>
          <c:showPercent val="0"/>
          <c:showBubbleSize val="0"/>
        </c:dLbls>
        <c:gapWidth val="219"/>
        <c:overlap val="-27"/>
        <c:axId val="1443808303"/>
        <c:axId val="1443811215"/>
      </c:barChart>
      <c:catAx>
        <c:axId val="1443808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3811215"/>
        <c:crosses val="autoZero"/>
        <c:auto val="1"/>
        <c:lblAlgn val="ctr"/>
        <c:lblOffset val="100"/>
        <c:noMultiLvlLbl val="0"/>
      </c:catAx>
      <c:valAx>
        <c:axId val="1443811215"/>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380830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'Labor market'!$C$406</c:f>
              <c:strCache>
                <c:ptCount val="1"/>
                <c:pt idx="0">
                  <c:v>fdf</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'Labor market'!$A$407:$B$419</c:f>
              <c:multiLvlStrCache>
                <c:ptCount val="13"/>
                <c:lvl>
                  <c:pt idx="0">
                    <c:v>No education</c:v>
                  </c:pt>
                  <c:pt idx="1">
                    <c:v>Some primary</c:v>
                  </c:pt>
                  <c:pt idx="2">
                    <c:v>Some lower secondary</c:v>
                  </c:pt>
                  <c:pt idx="3">
                    <c:v>Some upper secondary</c:v>
                  </c:pt>
                  <c:pt idx="4">
                    <c:v>Post-secondary</c:v>
                  </c:pt>
                  <c:pt idx="5">
                    <c:v>Average</c:v>
                  </c:pt>
                  <c:pt idx="7">
                    <c:v>No education</c:v>
                  </c:pt>
                  <c:pt idx="8">
                    <c:v>Some primary</c:v>
                  </c:pt>
                  <c:pt idx="9">
                    <c:v>Some lower secondary</c:v>
                  </c:pt>
                  <c:pt idx="10">
                    <c:v>Some upper secondary</c:v>
                  </c:pt>
                  <c:pt idx="11">
                    <c:v>Post-secondary</c:v>
                  </c:pt>
                  <c:pt idx="12">
                    <c:v>Average</c:v>
                  </c:pt>
                </c:lvl>
                <c:lvl>
                  <c:pt idx="0">
                    <c:v>Services sector</c:v>
                  </c:pt>
                  <c:pt idx="7">
                    <c:v>Wage employment</c:v>
                  </c:pt>
                </c:lvl>
              </c:multiLvlStrCache>
            </c:multiLvlStrRef>
          </c:cat>
          <c:val>
            <c:numRef>
              <c:f>'Labor market'!$C$407:$C$419</c:f>
              <c:numCache>
                <c:formatCode>0%</c:formatCode>
                <c:ptCount val="13"/>
                <c:pt idx="0">
                  <c:v>0.34250000000000003</c:v>
                </c:pt>
                <c:pt idx="1">
                  <c:v>0.43719999999999998</c:v>
                </c:pt>
                <c:pt idx="2">
                  <c:v>0.45619999999999999</c:v>
                </c:pt>
                <c:pt idx="3">
                  <c:v>0.71860000000000002</c:v>
                </c:pt>
                <c:pt idx="4">
                  <c:v>0.91269999999999996</c:v>
                </c:pt>
                <c:pt idx="5">
                  <c:v>0.46260000000000001</c:v>
                </c:pt>
                <c:pt idx="7">
                  <c:v>0.1236</c:v>
                </c:pt>
                <c:pt idx="8">
                  <c:v>0.20180000000000001</c:v>
                </c:pt>
                <c:pt idx="9">
                  <c:v>0.28889999999999999</c:v>
                </c:pt>
                <c:pt idx="10">
                  <c:v>0.54610000000000003</c:v>
                </c:pt>
                <c:pt idx="11">
                  <c:v>0.81020000000000003</c:v>
                </c:pt>
                <c:pt idx="12">
                  <c:v>0.26269999999999999</c:v>
                </c:pt>
              </c:numCache>
            </c:numRef>
          </c:val>
          <c:extLst>
            <c:ext xmlns:c16="http://schemas.microsoft.com/office/drawing/2014/chart" uri="{C3380CC4-5D6E-409C-BE32-E72D297353CC}">
              <c16:uniqueId val="{00000000-2C75-41AB-B5DE-877FBEF1DBE7}"/>
            </c:ext>
          </c:extLst>
        </c:ser>
        <c:dLbls>
          <c:showLegendKey val="0"/>
          <c:showVal val="0"/>
          <c:showCatName val="0"/>
          <c:showSerName val="0"/>
          <c:showPercent val="0"/>
          <c:showBubbleSize val="0"/>
        </c:dLbls>
        <c:gapWidth val="219"/>
        <c:overlap val="-27"/>
        <c:axId val="1443834095"/>
        <c:axId val="1443830351"/>
      </c:barChart>
      <c:catAx>
        <c:axId val="1443834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3830351"/>
        <c:crosses val="autoZero"/>
        <c:auto val="1"/>
        <c:lblAlgn val="ctr"/>
        <c:lblOffset val="100"/>
        <c:noMultiLvlLbl val="0"/>
      </c:catAx>
      <c:valAx>
        <c:axId val="144383035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38340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657181252540739E-2"/>
          <c:y val="5.0925925925925923E-2"/>
          <c:w val="0.91922794425441967"/>
          <c:h val="0.80926727909011376"/>
        </c:manualLayout>
      </c:layout>
      <c:barChart>
        <c:barDir val="col"/>
        <c:grouping val="clustered"/>
        <c:varyColors val="0"/>
        <c:ser>
          <c:idx val="0"/>
          <c:order val="0"/>
          <c:tx>
            <c:strRef>
              <c:f>'Labor market'!$C$167</c:f>
              <c:strCache>
                <c:ptCount val="1"/>
                <c:pt idx="0">
                  <c:v>EducYears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 market'!$B$168:$B$175</c:f>
              <c:strCache>
                <c:ptCount val="6"/>
                <c:pt idx="0">
                  <c:v>National</c:v>
                </c:pt>
                <c:pt idx="1">
                  <c:v>Male</c:v>
                </c:pt>
                <c:pt idx="2">
                  <c:v>Female</c:v>
                </c:pt>
                <c:pt idx="3">
                  <c:v>Agriculture</c:v>
                </c:pt>
                <c:pt idx="4">
                  <c:v>Industry</c:v>
                </c:pt>
                <c:pt idx="5">
                  <c:v>Services</c:v>
                </c:pt>
              </c:strCache>
            </c:strRef>
          </c:cat>
          <c:val>
            <c:numRef>
              <c:f>'Labor market'!$C$168:$C$175</c:f>
              <c:numCache>
                <c:formatCode>0%</c:formatCode>
                <c:ptCount val="6"/>
                <c:pt idx="0">
                  <c:v>5.9128300000000002E-2</c:v>
                </c:pt>
                <c:pt idx="1">
                  <c:v>5.2995300000000002E-2</c:v>
                </c:pt>
                <c:pt idx="2">
                  <c:v>6.9830600000000007E-2</c:v>
                </c:pt>
                <c:pt idx="3">
                  <c:v>3.4733699999999999E-2</c:v>
                </c:pt>
                <c:pt idx="4">
                  <c:v>4.1975100000000001E-2</c:v>
                </c:pt>
                <c:pt idx="5">
                  <c:v>6.8342700000000006E-2</c:v>
                </c:pt>
              </c:numCache>
            </c:numRef>
          </c:val>
          <c:extLst>
            <c:ext xmlns:c16="http://schemas.microsoft.com/office/drawing/2014/chart" uri="{C3380CC4-5D6E-409C-BE32-E72D297353CC}">
              <c16:uniqueId val="{00000000-F9F0-4D36-88FC-CBB416702CC7}"/>
            </c:ext>
          </c:extLst>
        </c:ser>
        <c:dLbls>
          <c:showLegendKey val="0"/>
          <c:showVal val="0"/>
          <c:showCatName val="0"/>
          <c:showSerName val="0"/>
          <c:showPercent val="0"/>
          <c:showBubbleSize val="0"/>
        </c:dLbls>
        <c:gapWidth val="219"/>
        <c:overlap val="-27"/>
        <c:axId val="451971672"/>
        <c:axId val="451972064"/>
      </c:barChart>
      <c:catAx>
        <c:axId val="451971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972064"/>
        <c:crosses val="autoZero"/>
        <c:auto val="1"/>
        <c:lblAlgn val="ctr"/>
        <c:lblOffset val="100"/>
        <c:noMultiLvlLbl val="0"/>
      </c:catAx>
      <c:valAx>
        <c:axId val="45197206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971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709771855441143E-2"/>
          <c:y val="2.568398262819439E-2"/>
          <c:w val="0.90178595464028533"/>
          <c:h val="0.77052426548154485"/>
        </c:manualLayout>
      </c:layout>
      <c:barChart>
        <c:barDir val="col"/>
        <c:grouping val="clustered"/>
        <c:varyColors val="0"/>
        <c:ser>
          <c:idx val="0"/>
          <c:order val="0"/>
          <c:tx>
            <c:strRef>
              <c:f>'Labor market'!$C$157</c:f>
              <c:strCache>
                <c:ptCount val="1"/>
                <c:pt idx="0">
                  <c:v>Some primary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 market'!$B$158:$B$165</c:f>
              <c:strCache>
                <c:ptCount val="8"/>
                <c:pt idx="0">
                  <c:v>National</c:v>
                </c:pt>
                <c:pt idx="1">
                  <c:v>Male</c:v>
                </c:pt>
                <c:pt idx="2">
                  <c:v>Female</c:v>
                </c:pt>
                <c:pt idx="3">
                  <c:v>Private</c:v>
                </c:pt>
                <c:pt idx="4">
                  <c:v>Public</c:v>
                </c:pt>
                <c:pt idx="5">
                  <c:v>Agriculture</c:v>
                </c:pt>
                <c:pt idx="6">
                  <c:v>Industry</c:v>
                </c:pt>
                <c:pt idx="7">
                  <c:v>Services</c:v>
                </c:pt>
              </c:strCache>
            </c:strRef>
          </c:cat>
          <c:val>
            <c:numRef>
              <c:f>'Labor market'!$C$158:$C$165</c:f>
              <c:numCache>
                <c:formatCode>0%</c:formatCode>
                <c:ptCount val="8"/>
                <c:pt idx="0">
                  <c:v>0.15314069999999999</c:v>
                </c:pt>
                <c:pt idx="1">
                  <c:v>0.13195109999999999</c:v>
                </c:pt>
                <c:pt idx="2">
                  <c:v>4.1179300000000002E-2</c:v>
                </c:pt>
                <c:pt idx="3">
                  <c:v>0.13913010000000001</c:v>
                </c:pt>
                <c:pt idx="4">
                  <c:v>0.19629559999999999</c:v>
                </c:pt>
                <c:pt idx="5">
                  <c:v>0.38695550000000001</c:v>
                </c:pt>
                <c:pt idx="6">
                  <c:v>4.0600999999999996E-3</c:v>
                </c:pt>
                <c:pt idx="7">
                  <c:v>0.20171539999999999</c:v>
                </c:pt>
              </c:numCache>
            </c:numRef>
          </c:val>
          <c:extLst>
            <c:ext xmlns:c16="http://schemas.microsoft.com/office/drawing/2014/chart" uri="{C3380CC4-5D6E-409C-BE32-E72D297353CC}">
              <c16:uniqueId val="{00000000-5FFD-4F20-8A6A-B2F7C9F7D3AF}"/>
            </c:ext>
          </c:extLst>
        </c:ser>
        <c:ser>
          <c:idx val="1"/>
          <c:order val="1"/>
          <c:tx>
            <c:strRef>
              <c:f>'Labor market'!$D$157</c:f>
              <c:strCache>
                <c:ptCount val="1"/>
                <c:pt idx="0">
                  <c:v>Some lower secondary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 market'!$B$158:$B$165</c:f>
              <c:strCache>
                <c:ptCount val="8"/>
                <c:pt idx="0">
                  <c:v>National</c:v>
                </c:pt>
                <c:pt idx="1">
                  <c:v>Male</c:v>
                </c:pt>
                <c:pt idx="2">
                  <c:v>Female</c:v>
                </c:pt>
                <c:pt idx="3">
                  <c:v>Private</c:v>
                </c:pt>
                <c:pt idx="4">
                  <c:v>Public</c:v>
                </c:pt>
                <c:pt idx="5">
                  <c:v>Agriculture</c:v>
                </c:pt>
                <c:pt idx="6">
                  <c:v>Industry</c:v>
                </c:pt>
                <c:pt idx="7">
                  <c:v>Services</c:v>
                </c:pt>
              </c:strCache>
            </c:strRef>
          </c:cat>
          <c:val>
            <c:numRef>
              <c:f>'Labor market'!$D$158:$D$165</c:f>
              <c:numCache>
                <c:formatCode>0%</c:formatCode>
                <c:ptCount val="8"/>
                <c:pt idx="0">
                  <c:v>0.30814570000000002</c:v>
                </c:pt>
                <c:pt idx="1">
                  <c:v>0.33840870000000001</c:v>
                </c:pt>
                <c:pt idx="2">
                  <c:v>3.7712099999999998E-2</c:v>
                </c:pt>
                <c:pt idx="3">
                  <c:v>0.19793359999999999</c:v>
                </c:pt>
                <c:pt idx="4">
                  <c:v>0.73147580000000001</c:v>
                </c:pt>
                <c:pt idx="5">
                  <c:v>0.4911085</c:v>
                </c:pt>
                <c:pt idx="6">
                  <c:v>0.30190440000000002</c:v>
                </c:pt>
                <c:pt idx="7">
                  <c:v>0.30158059999999998</c:v>
                </c:pt>
              </c:numCache>
            </c:numRef>
          </c:val>
          <c:extLst>
            <c:ext xmlns:c16="http://schemas.microsoft.com/office/drawing/2014/chart" uri="{C3380CC4-5D6E-409C-BE32-E72D297353CC}">
              <c16:uniqueId val="{00000001-5FFD-4F20-8A6A-B2F7C9F7D3AF}"/>
            </c:ext>
          </c:extLst>
        </c:ser>
        <c:ser>
          <c:idx val="2"/>
          <c:order val="2"/>
          <c:tx>
            <c:strRef>
              <c:f>'Labor market'!$E$157</c:f>
              <c:strCache>
                <c:ptCount val="1"/>
                <c:pt idx="0">
                  <c:v>Some upper secondary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 market'!$B$158:$B$165</c:f>
              <c:strCache>
                <c:ptCount val="8"/>
                <c:pt idx="0">
                  <c:v>National</c:v>
                </c:pt>
                <c:pt idx="1">
                  <c:v>Male</c:v>
                </c:pt>
                <c:pt idx="2">
                  <c:v>Female</c:v>
                </c:pt>
                <c:pt idx="3">
                  <c:v>Private</c:v>
                </c:pt>
                <c:pt idx="4">
                  <c:v>Public</c:v>
                </c:pt>
                <c:pt idx="5">
                  <c:v>Agriculture</c:v>
                </c:pt>
                <c:pt idx="6">
                  <c:v>Industry</c:v>
                </c:pt>
                <c:pt idx="7">
                  <c:v>Services</c:v>
                </c:pt>
              </c:strCache>
            </c:strRef>
          </c:cat>
          <c:val>
            <c:numRef>
              <c:f>'Labor market'!$E$158:$E$165</c:f>
              <c:numCache>
                <c:formatCode>0%</c:formatCode>
                <c:ptCount val="8"/>
                <c:pt idx="0">
                  <c:v>0.39890680000000001</c:v>
                </c:pt>
                <c:pt idx="1">
                  <c:v>0.35252070000000002</c:v>
                </c:pt>
                <c:pt idx="2">
                  <c:v>0.34312130000000002</c:v>
                </c:pt>
                <c:pt idx="3">
                  <c:v>0.34913480000000002</c:v>
                </c:pt>
                <c:pt idx="4">
                  <c:v>0.5342576</c:v>
                </c:pt>
                <c:pt idx="5">
                  <c:v>0.1437457</c:v>
                </c:pt>
                <c:pt idx="6">
                  <c:v>0.44649240000000001</c:v>
                </c:pt>
                <c:pt idx="7">
                  <c:v>0.42063159999999999</c:v>
                </c:pt>
              </c:numCache>
            </c:numRef>
          </c:val>
          <c:extLst>
            <c:ext xmlns:c16="http://schemas.microsoft.com/office/drawing/2014/chart" uri="{C3380CC4-5D6E-409C-BE32-E72D297353CC}">
              <c16:uniqueId val="{00000002-5FFD-4F20-8A6A-B2F7C9F7D3AF}"/>
            </c:ext>
          </c:extLst>
        </c:ser>
        <c:ser>
          <c:idx val="3"/>
          <c:order val="3"/>
          <c:tx>
            <c:strRef>
              <c:f>'Labor market'!$F$157</c:f>
              <c:strCache>
                <c:ptCount val="1"/>
                <c:pt idx="0">
                  <c:v>TVET</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 market'!$B$158:$B$165</c:f>
              <c:strCache>
                <c:ptCount val="8"/>
                <c:pt idx="0">
                  <c:v>National</c:v>
                </c:pt>
                <c:pt idx="1">
                  <c:v>Male</c:v>
                </c:pt>
                <c:pt idx="2">
                  <c:v>Female</c:v>
                </c:pt>
                <c:pt idx="3">
                  <c:v>Private</c:v>
                </c:pt>
                <c:pt idx="4">
                  <c:v>Public</c:v>
                </c:pt>
                <c:pt idx="5">
                  <c:v>Agriculture</c:v>
                </c:pt>
                <c:pt idx="6">
                  <c:v>Industry</c:v>
                </c:pt>
                <c:pt idx="7">
                  <c:v>Services</c:v>
                </c:pt>
              </c:strCache>
            </c:strRef>
          </c:cat>
          <c:val>
            <c:numRef>
              <c:f>'Labor market'!$F$158:$F$165</c:f>
              <c:numCache>
                <c:formatCode>0%</c:formatCode>
                <c:ptCount val="8"/>
                <c:pt idx="0">
                  <c:v>0.6313375</c:v>
                </c:pt>
                <c:pt idx="1">
                  <c:v>0.47896159999999999</c:v>
                </c:pt>
                <c:pt idx="2">
                  <c:v>0.87970230000000005</c:v>
                </c:pt>
                <c:pt idx="3">
                  <c:v>0.70540420000000004</c:v>
                </c:pt>
                <c:pt idx="4">
                  <c:v>0.68271340000000003</c:v>
                </c:pt>
                <c:pt idx="5">
                  <c:v>0.44261289999999998</c:v>
                </c:pt>
                <c:pt idx="6">
                  <c:v>0.20874799999999999</c:v>
                </c:pt>
                <c:pt idx="7">
                  <c:v>0.76052070000000005</c:v>
                </c:pt>
              </c:numCache>
            </c:numRef>
          </c:val>
          <c:extLst>
            <c:ext xmlns:c16="http://schemas.microsoft.com/office/drawing/2014/chart" uri="{C3380CC4-5D6E-409C-BE32-E72D297353CC}">
              <c16:uniqueId val="{00000003-5FFD-4F20-8A6A-B2F7C9F7D3AF}"/>
            </c:ext>
          </c:extLst>
        </c:ser>
        <c:ser>
          <c:idx val="4"/>
          <c:order val="4"/>
          <c:tx>
            <c:strRef>
              <c:f>'Labor market'!$G$157</c:f>
              <c:strCache>
                <c:ptCount val="1"/>
                <c:pt idx="0">
                  <c:v>Some post secondary</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 market'!$B$158:$B$165</c:f>
              <c:strCache>
                <c:ptCount val="8"/>
                <c:pt idx="0">
                  <c:v>National</c:v>
                </c:pt>
                <c:pt idx="1">
                  <c:v>Male</c:v>
                </c:pt>
                <c:pt idx="2">
                  <c:v>Female</c:v>
                </c:pt>
                <c:pt idx="3">
                  <c:v>Private</c:v>
                </c:pt>
                <c:pt idx="4">
                  <c:v>Public</c:v>
                </c:pt>
                <c:pt idx="5">
                  <c:v>Agriculture</c:v>
                </c:pt>
                <c:pt idx="6">
                  <c:v>Industry</c:v>
                </c:pt>
                <c:pt idx="7">
                  <c:v>Services</c:v>
                </c:pt>
              </c:strCache>
            </c:strRef>
          </c:cat>
          <c:val>
            <c:numRef>
              <c:f>'Labor market'!$G$158:$G$165</c:f>
              <c:numCache>
                <c:formatCode>0%</c:formatCode>
                <c:ptCount val="8"/>
                <c:pt idx="0">
                  <c:v>0.87476940000000003</c:v>
                </c:pt>
                <c:pt idx="1">
                  <c:v>0.79499889999999995</c:v>
                </c:pt>
                <c:pt idx="2">
                  <c:v>0.96834509999999996</c:v>
                </c:pt>
                <c:pt idx="3">
                  <c:v>0.99903450000000005</c:v>
                </c:pt>
                <c:pt idx="4">
                  <c:v>0.94204209999999999</c:v>
                </c:pt>
                <c:pt idx="5">
                  <c:v>0.55769869999999999</c:v>
                </c:pt>
                <c:pt idx="6">
                  <c:v>0.61256920000000004</c:v>
                </c:pt>
                <c:pt idx="7">
                  <c:v>1.0072490000000001</c:v>
                </c:pt>
              </c:numCache>
            </c:numRef>
          </c:val>
          <c:extLst>
            <c:ext xmlns:c16="http://schemas.microsoft.com/office/drawing/2014/chart" uri="{C3380CC4-5D6E-409C-BE32-E72D297353CC}">
              <c16:uniqueId val="{00000004-5FFD-4F20-8A6A-B2F7C9F7D3AF}"/>
            </c:ext>
          </c:extLst>
        </c:ser>
        <c:dLbls>
          <c:showLegendKey val="0"/>
          <c:showVal val="0"/>
          <c:showCatName val="0"/>
          <c:showSerName val="0"/>
          <c:showPercent val="0"/>
          <c:showBubbleSize val="0"/>
        </c:dLbls>
        <c:gapWidth val="219"/>
        <c:overlap val="-27"/>
        <c:axId val="451970496"/>
        <c:axId val="451970888"/>
      </c:barChart>
      <c:catAx>
        <c:axId val="45197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970888"/>
        <c:crosses val="autoZero"/>
        <c:auto val="1"/>
        <c:lblAlgn val="ctr"/>
        <c:lblOffset val="100"/>
        <c:noMultiLvlLbl val="0"/>
      </c:catAx>
      <c:valAx>
        <c:axId val="45197088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970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456036745406818E-2"/>
          <c:y val="4.108850976961214E-2"/>
          <c:w val="0.88498840769903764"/>
          <c:h val="0.80065543890347035"/>
        </c:manualLayout>
      </c:layout>
      <c:barChart>
        <c:barDir val="col"/>
        <c:grouping val="clustered"/>
        <c:varyColors val="0"/>
        <c:ser>
          <c:idx val="0"/>
          <c:order val="0"/>
          <c:tx>
            <c:strRef>
              <c:f>'Labor market'!$C$200:$C$201</c:f>
              <c:strCache>
                <c:ptCount val="2"/>
                <c:pt idx="0">
                  <c:v>National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 market'!$B$202:$B$208</c:f>
              <c:strCache>
                <c:ptCount val="7"/>
                <c:pt idx="0">
                  <c:v>Industry     </c:v>
                </c:pt>
                <c:pt idx="1">
                  <c:v>services     </c:v>
                </c:pt>
                <c:pt idx="3">
                  <c:v>Wage</c:v>
                </c:pt>
                <c:pt idx="4">
                  <c:v>Non-wage non-agriculture</c:v>
                </c:pt>
                <c:pt idx="6">
                  <c:v>Public</c:v>
                </c:pt>
              </c:strCache>
            </c:strRef>
          </c:cat>
          <c:val>
            <c:numRef>
              <c:f>'Labor market'!$C$202:$C$208</c:f>
              <c:numCache>
                <c:formatCode>0%</c:formatCode>
                <c:ptCount val="7"/>
                <c:pt idx="0">
                  <c:v>0.20455860000000001</c:v>
                </c:pt>
                <c:pt idx="1">
                  <c:v>0.30811850000000002</c:v>
                </c:pt>
                <c:pt idx="3">
                  <c:v>0.36979580000000001</c:v>
                </c:pt>
                <c:pt idx="4">
                  <c:v>0.2149884</c:v>
                </c:pt>
                <c:pt idx="6">
                  <c:v>0.33736840000000001</c:v>
                </c:pt>
              </c:numCache>
            </c:numRef>
          </c:val>
          <c:extLst>
            <c:ext xmlns:c16="http://schemas.microsoft.com/office/drawing/2014/chart" uri="{C3380CC4-5D6E-409C-BE32-E72D297353CC}">
              <c16:uniqueId val="{00000000-6765-4D7C-BC4E-C0A565F5406C}"/>
            </c:ext>
          </c:extLst>
        </c:ser>
        <c:ser>
          <c:idx val="1"/>
          <c:order val="1"/>
          <c:tx>
            <c:strRef>
              <c:f>'Labor market'!$D$200:$D$201</c:f>
              <c:strCache>
                <c:ptCount val="2"/>
                <c:pt idx="0">
                  <c:v>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 market'!$B$202:$B$208</c:f>
              <c:strCache>
                <c:ptCount val="7"/>
                <c:pt idx="0">
                  <c:v>Industry     </c:v>
                </c:pt>
                <c:pt idx="1">
                  <c:v>services     </c:v>
                </c:pt>
                <c:pt idx="3">
                  <c:v>Wage</c:v>
                </c:pt>
                <c:pt idx="4">
                  <c:v>Non-wage non-agriculture</c:v>
                </c:pt>
                <c:pt idx="6">
                  <c:v>Public</c:v>
                </c:pt>
              </c:strCache>
            </c:strRef>
          </c:cat>
          <c:val>
            <c:numRef>
              <c:f>'Labor market'!$D$202:$D$208</c:f>
              <c:numCache>
                <c:formatCode>0%</c:formatCode>
                <c:ptCount val="7"/>
                <c:pt idx="0">
                  <c:v>0.24070059999999999</c:v>
                </c:pt>
                <c:pt idx="1">
                  <c:v>0.3433988</c:v>
                </c:pt>
                <c:pt idx="3">
                  <c:v>0.43187639999999999</c:v>
                </c:pt>
                <c:pt idx="4">
                  <c:v>0.2655748</c:v>
                </c:pt>
                <c:pt idx="6">
                  <c:v>0.39169700000000002</c:v>
                </c:pt>
              </c:numCache>
            </c:numRef>
          </c:val>
          <c:extLst>
            <c:ext xmlns:c16="http://schemas.microsoft.com/office/drawing/2014/chart" uri="{C3380CC4-5D6E-409C-BE32-E72D297353CC}">
              <c16:uniqueId val="{00000001-6765-4D7C-BC4E-C0A565F5406C}"/>
            </c:ext>
          </c:extLst>
        </c:ser>
        <c:ser>
          <c:idx val="2"/>
          <c:order val="2"/>
          <c:tx>
            <c:strRef>
              <c:f>'Labor market'!$E$200:$E$201</c:f>
              <c:strCache>
                <c:ptCount val="2"/>
                <c:pt idx="0">
                  <c:v>Female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 market'!$B$202:$B$208</c:f>
              <c:strCache>
                <c:ptCount val="7"/>
                <c:pt idx="0">
                  <c:v>Industry     </c:v>
                </c:pt>
                <c:pt idx="1">
                  <c:v>services     </c:v>
                </c:pt>
                <c:pt idx="3">
                  <c:v>Wage</c:v>
                </c:pt>
                <c:pt idx="4">
                  <c:v>Non-wage non-agriculture</c:v>
                </c:pt>
                <c:pt idx="6">
                  <c:v>Public</c:v>
                </c:pt>
              </c:strCache>
            </c:strRef>
          </c:cat>
          <c:val>
            <c:numRef>
              <c:f>'Labor market'!$E$202:$E$208</c:f>
              <c:numCache>
                <c:formatCode>0%</c:formatCode>
                <c:ptCount val="7"/>
                <c:pt idx="0">
                  <c:v>0.165074</c:v>
                </c:pt>
                <c:pt idx="1">
                  <c:v>0.29003420000000002</c:v>
                </c:pt>
                <c:pt idx="3">
                  <c:v>0.32490780000000002</c:v>
                </c:pt>
                <c:pt idx="4">
                  <c:v>0.18311920000000001</c:v>
                </c:pt>
                <c:pt idx="6">
                  <c:v>0.29341040000000002</c:v>
                </c:pt>
              </c:numCache>
            </c:numRef>
          </c:val>
          <c:extLst>
            <c:ext xmlns:c16="http://schemas.microsoft.com/office/drawing/2014/chart" uri="{C3380CC4-5D6E-409C-BE32-E72D297353CC}">
              <c16:uniqueId val="{00000002-6765-4D7C-BC4E-C0A565F5406C}"/>
            </c:ext>
          </c:extLst>
        </c:ser>
        <c:dLbls>
          <c:showLegendKey val="0"/>
          <c:showVal val="0"/>
          <c:showCatName val="0"/>
          <c:showSerName val="0"/>
          <c:showPercent val="0"/>
          <c:showBubbleSize val="0"/>
        </c:dLbls>
        <c:gapWidth val="64"/>
        <c:overlap val="-27"/>
        <c:axId val="451972848"/>
        <c:axId val="451973240"/>
      </c:barChart>
      <c:catAx>
        <c:axId val="45197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973240"/>
        <c:crosses val="autoZero"/>
        <c:auto val="1"/>
        <c:lblAlgn val="ctr"/>
        <c:lblOffset val="100"/>
        <c:noMultiLvlLbl val="0"/>
      </c:catAx>
      <c:valAx>
        <c:axId val="45197324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972848"/>
        <c:crosses val="autoZero"/>
        <c:crossBetween val="between"/>
      </c:valAx>
      <c:spPr>
        <a:noFill/>
        <a:ln>
          <a:noFill/>
        </a:ln>
        <a:effectLst/>
      </c:spPr>
    </c:plotArea>
    <c:legend>
      <c:legendPos val="t"/>
      <c:layout>
        <c:manualLayout>
          <c:xMode val="edge"/>
          <c:yMode val="edge"/>
          <c:x val="0.14091232049348987"/>
          <c:y val="1.2924068890375402E-2"/>
          <c:w val="0.27736793948219646"/>
          <c:h val="7.269839632997150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'GER and NER'!$N$1</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'GER and NER'!$K$2:$M$25</c:f>
              <c:multiLvlStrCache>
                <c:ptCount val="24"/>
                <c:lvl>
                  <c:pt idx="0">
                    <c:v>Male</c:v>
                  </c:pt>
                  <c:pt idx="1">
                    <c:v>Female</c:v>
                  </c:pt>
                  <c:pt idx="2">
                    <c:v>Male</c:v>
                  </c:pt>
                  <c:pt idx="3">
                    <c:v>Female</c:v>
                  </c:pt>
                  <c:pt idx="4">
                    <c:v>Male</c:v>
                  </c:pt>
                  <c:pt idx="5">
                    <c:v>Female</c:v>
                  </c:pt>
                  <c:pt idx="6">
                    <c:v>Male</c:v>
                  </c:pt>
                  <c:pt idx="7">
                    <c:v>Female</c:v>
                  </c:pt>
                  <c:pt idx="8">
                    <c:v>Male</c:v>
                  </c:pt>
                  <c:pt idx="9">
                    <c:v>Female</c:v>
                  </c:pt>
                  <c:pt idx="11">
                    <c:v>Male</c:v>
                  </c:pt>
                  <c:pt idx="12">
                    <c:v>Female</c:v>
                  </c:pt>
                  <c:pt idx="13">
                    <c:v>Male</c:v>
                  </c:pt>
                  <c:pt idx="14">
                    <c:v>Female</c:v>
                  </c:pt>
                  <c:pt idx="15">
                    <c:v>Male</c:v>
                  </c:pt>
                  <c:pt idx="16">
                    <c:v>Female</c:v>
                  </c:pt>
                  <c:pt idx="18">
                    <c:v>Male</c:v>
                  </c:pt>
                  <c:pt idx="19">
                    <c:v>Female</c:v>
                  </c:pt>
                  <c:pt idx="20">
                    <c:v>Male</c:v>
                  </c:pt>
                  <c:pt idx="21">
                    <c:v>Female</c:v>
                  </c:pt>
                  <c:pt idx="22">
                    <c:v>Male</c:v>
                  </c:pt>
                  <c:pt idx="23">
                    <c:v>Female</c:v>
                  </c:pt>
                </c:lvl>
                <c:lvl>
                  <c:pt idx="0">
                    <c:v>Preschool</c:v>
                  </c:pt>
                  <c:pt idx="2">
                    <c:v>LBS</c:v>
                  </c:pt>
                  <c:pt idx="4">
                    <c:v>UBS</c:v>
                  </c:pt>
                  <c:pt idx="6">
                    <c:v>SSS</c:v>
                  </c:pt>
                  <c:pt idx="8">
                    <c:v>Tertiary</c:v>
                  </c:pt>
                  <c:pt idx="11">
                    <c:v>LBS</c:v>
                  </c:pt>
                  <c:pt idx="13">
                    <c:v>UBS</c:v>
                  </c:pt>
                  <c:pt idx="15">
                    <c:v>SSS</c:v>
                  </c:pt>
                  <c:pt idx="18">
                    <c:v>LBS</c:v>
                  </c:pt>
                  <c:pt idx="20">
                    <c:v>UBS</c:v>
                  </c:pt>
                  <c:pt idx="22">
                    <c:v>SSS</c:v>
                  </c:pt>
                </c:lvl>
                <c:lvl>
                  <c:pt idx="0">
                    <c:v>GER</c:v>
                  </c:pt>
                  <c:pt idx="11">
                    <c:v>NER</c:v>
                  </c:pt>
                  <c:pt idx="18">
                    <c:v>Completion </c:v>
                  </c:pt>
                </c:lvl>
              </c:multiLvlStrCache>
            </c:multiLvlStrRef>
          </c:cat>
          <c:val>
            <c:numRef>
              <c:f>'GER and NER'!$N$2:$N$25</c:f>
              <c:numCache>
                <c:formatCode>0%</c:formatCode>
                <c:ptCount val="24"/>
                <c:pt idx="0">
                  <c:v>0.35754340000000001</c:v>
                </c:pt>
                <c:pt idx="1">
                  <c:v>0.37001000000000001</c:v>
                </c:pt>
                <c:pt idx="2">
                  <c:v>0.86053769999999996</c:v>
                </c:pt>
                <c:pt idx="3">
                  <c:v>0.88709550000000004</c:v>
                </c:pt>
                <c:pt idx="4">
                  <c:v>0.5700925</c:v>
                </c:pt>
                <c:pt idx="5">
                  <c:v>0.66440600000000005</c:v>
                </c:pt>
                <c:pt idx="6">
                  <c:v>0.45827810000000002</c:v>
                </c:pt>
                <c:pt idx="7">
                  <c:v>0.42691630000000003</c:v>
                </c:pt>
                <c:pt idx="8">
                  <c:v>7.8992099999999996E-2</c:v>
                </c:pt>
                <c:pt idx="9">
                  <c:v>5.4770800000000001E-2</c:v>
                </c:pt>
                <c:pt idx="11">
                  <c:v>0.62559140000000002</c:v>
                </c:pt>
                <c:pt idx="12">
                  <c:v>0.64522020000000002</c:v>
                </c:pt>
                <c:pt idx="13">
                  <c:v>0.28613820000000001</c:v>
                </c:pt>
                <c:pt idx="14">
                  <c:v>0.37885839999999998</c:v>
                </c:pt>
                <c:pt idx="15">
                  <c:v>0.21221809999999999</c:v>
                </c:pt>
                <c:pt idx="16">
                  <c:v>0.2414152</c:v>
                </c:pt>
                <c:pt idx="18">
                  <c:v>0.82145199999999996</c:v>
                </c:pt>
                <c:pt idx="19">
                  <c:v>0.66235089999999996</c:v>
                </c:pt>
                <c:pt idx="20">
                  <c:v>0.44131219999999999</c:v>
                </c:pt>
                <c:pt idx="21">
                  <c:v>0.5060346</c:v>
                </c:pt>
                <c:pt idx="22">
                  <c:v>0.4531384</c:v>
                </c:pt>
                <c:pt idx="23">
                  <c:v>0.32430229999999999</c:v>
                </c:pt>
              </c:numCache>
            </c:numRef>
          </c:val>
          <c:extLst>
            <c:ext xmlns:c16="http://schemas.microsoft.com/office/drawing/2014/chart" uri="{C3380CC4-5D6E-409C-BE32-E72D297353CC}">
              <c16:uniqueId val="{00000000-B94E-44B3-B384-CBA6C6A09ED0}"/>
            </c:ext>
          </c:extLst>
        </c:ser>
        <c:dLbls>
          <c:showLegendKey val="0"/>
          <c:showVal val="0"/>
          <c:showCatName val="0"/>
          <c:showSerName val="0"/>
          <c:showPercent val="0"/>
          <c:showBubbleSize val="0"/>
        </c:dLbls>
        <c:gapWidth val="219"/>
        <c:overlap val="-27"/>
        <c:axId val="232594296"/>
        <c:axId val="230215288"/>
      </c:barChart>
      <c:catAx>
        <c:axId val="232594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0215288"/>
        <c:crosses val="autoZero"/>
        <c:auto val="1"/>
        <c:lblAlgn val="ctr"/>
        <c:lblOffset val="100"/>
        <c:noMultiLvlLbl val="0"/>
      </c:catAx>
      <c:valAx>
        <c:axId val="230215288"/>
        <c:scaling>
          <c:orientation val="minMax"/>
        </c:scaling>
        <c:delete val="1"/>
        <c:axPos val="l"/>
        <c:numFmt formatCode="0%" sourceLinked="1"/>
        <c:majorTickMark val="none"/>
        <c:minorTickMark val="none"/>
        <c:tickLblPos val="nextTo"/>
        <c:crossAx val="232594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1746171291695333E-2"/>
          <c:y val="4.1198501872659173E-2"/>
          <c:w val="0.94882004433911793"/>
          <c:h val="0.56796172388790656"/>
        </c:manualLayout>
      </c:layout>
      <c:barChart>
        <c:barDir val="col"/>
        <c:grouping val="clustered"/>
        <c:varyColors val="0"/>
        <c:ser>
          <c:idx val="0"/>
          <c:order val="0"/>
          <c:tx>
            <c:strRef>
              <c:f>'completion-gender parity'!$J$2</c:f>
              <c:strCache>
                <c:ptCount val="1"/>
                <c:pt idx="0">
                  <c:v>Female</c:v>
                </c:pt>
              </c:strCache>
            </c:strRef>
          </c:tx>
          <c:spPr>
            <a:solidFill>
              <a:schemeClr val="accent1"/>
            </a:solidFill>
            <a:ln>
              <a:noFill/>
            </a:ln>
            <a:effectLst/>
          </c:spPr>
          <c:invertIfNegative val="0"/>
          <c:cat>
            <c:multiLvlStrRef>
              <c:f>'completion-gender parity'!$H$3:$I$26</c:f>
              <c:multiLvlStrCache>
                <c:ptCount val="18"/>
                <c:lvl>
                  <c:pt idx="0">
                    <c:v>Wollof</c:v>
                  </c:pt>
                  <c:pt idx="1">
                    <c:v>Serahulleh</c:v>
                  </c:pt>
                  <c:pt idx="2">
                    <c:v>Fula/tukulur/lorobo</c:v>
                  </c:pt>
                  <c:pt idx="3">
                    <c:v>Jola/karoninka</c:v>
                  </c:pt>
                  <c:pt idx="4">
                    <c:v>Mandinka/jahanka</c:v>
                  </c:pt>
                  <c:pt idx="5">
                    <c:v>Others</c:v>
                  </c:pt>
                  <c:pt idx="7">
                    <c:v>Sami</c:v>
                  </c:pt>
                  <c:pt idx="8">
                    <c:v>Nianija</c:v>
                  </c:pt>
                  <c:pt idx="9">
                    <c:v>Niani</c:v>
                  </c:pt>
                  <c:pt idx="10">
                    <c:v>Niamina West</c:v>
                  </c:pt>
                  <c:pt idx="11">
                    <c:v>Upper Saloum</c:v>
                  </c:pt>
                  <c:pt idx="12">
                    <c:v>Niamina Dankunku</c:v>
                  </c:pt>
                  <c:pt idx="13">
                    <c:v>Niamina East</c:v>
                  </c:pt>
                  <c:pt idx="14">
                    <c:v>Upper Fuladu West</c:v>
                  </c:pt>
                  <c:pt idx="15">
                    <c:v>Lower Fuladu West</c:v>
                  </c:pt>
                  <c:pt idx="16">
                    <c:v>Lower Saloum</c:v>
                  </c:pt>
                  <c:pt idx="17">
                    <c:v>Janjanbureh</c:v>
                  </c:pt>
                </c:lvl>
                <c:lvl>
                  <c:pt idx="0">
                    <c:v>Ethnic group</c:v>
                  </c:pt>
                  <c:pt idx="7">
                    <c:v>District in Region 5</c:v>
                  </c:pt>
                </c:lvl>
              </c:multiLvlStrCache>
              <c:extLst/>
            </c:multiLvlStrRef>
          </c:cat>
          <c:val>
            <c:numRef>
              <c:f>'completion-gender parity'!$J$3:$J$26</c:f>
              <c:numCache>
                <c:formatCode>0%</c:formatCode>
                <c:ptCount val="18"/>
                <c:pt idx="0">
                  <c:v>0.4185082</c:v>
                </c:pt>
                <c:pt idx="1">
                  <c:v>0.47455550000000002</c:v>
                </c:pt>
                <c:pt idx="2">
                  <c:v>0.56273240000000002</c:v>
                </c:pt>
                <c:pt idx="3">
                  <c:v>0.70276479999999997</c:v>
                </c:pt>
                <c:pt idx="4">
                  <c:v>0.81051550000000006</c:v>
                </c:pt>
                <c:pt idx="5">
                  <c:v>0.90387360000000005</c:v>
                </c:pt>
                <c:pt idx="7">
                  <c:v>3.0637299999999999E-2</c:v>
                </c:pt>
                <c:pt idx="8">
                  <c:v>4.3356899999999997E-2</c:v>
                </c:pt>
                <c:pt idx="9">
                  <c:v>6.6739499999999993E-2</c:v>
                </c:pt>
                <c:pt idx="10">
                  <c:v>7.1710599999999999E-2</c:v>
                </c:pt>
                <c:pt idx="11">
                  <c:v>7.6196100000000003E-2</c:v>
                </c:pt>
                <c:pt idx="12">
                  <c:v>9.0036199999999997E-2</c:v>
                </c:pt>
                <c:pt idx="13">
                  <c:v>0.1249975</c:v>
                </c:pt>
                <c:pt idx="14">
                  <c:v>0.23529520000000001</c:v>
                </c:pt>
                <c:pt idx="15">
                  <c:v>0.2516371</c:v>
                </c:pt>
                <c:pt idx="16">
                  <c:v>0.27662160000000002</c:v>
                </c:pt>
                <c:pt idx="17">
                  <c:v>0.45521470000000003</c:v>
                </c:pt>
              </c:numCache>
              <c:extLst/>
            </c:numRef>
          </c:val>
          <c:extLst>
            <c:ext xmlns:c16="http://schemas.microsoft.com/office/drawing/2014/chart" uri="{C3380CC4-5D6E-409C-BE32-E72D297353CC}">
              <c16:uniqueId val="{00000000-56D5-426B-B16D-3AF88B47146A}"/>
            </c:ext>
          </c:extLst>
        </c:ser>
        <c:dLbls>
          <c:showLegendKey val="0"/>
          <c:showVal val="0"/>
          <c:showCatName val="0"/>
          <c:showSerName val="0"/>
          <c:showPercent val="0"/>
          <c:showBubbleSize val="0"/>
        </c:dLbls>
        <c:gapWidth val="93"/>
        <c:axId val="456250672"/>
        <c:axId val="739447352"/>
      </c:barChart>
      <c:lineChart>
        <c:grouping val="standard"/>
        <c:varyColors val="0"/>
        <c:ser>
          <c:idx val="1"/>
          <c:order val="1"/>
          <c:tx>
            <c:strRef>
              <c:f>'completion-gender parity'!$K$2</c:f>
              <c:strCache>
                <c:ptCount val="1"/>
                <c:pt idx="0">
                  <c:v>Female</c:v>
                </c:pt>
              </c:strCache>
            </c:strRef>
          </c:tx>
          <c:spPr>
            <a:ln w="25400" cap="rnd">
              <a:noFill/>
              <a:round/>
            </a:ln>
            <a:effectLst/>
          </c:spPr>
          <c:marker>
            <c:symbol val="none"/>
          </c:marker>
          <c:cat>
            <c:strRef>
              <c:f>'completion-gender parity'!$I$3:$I$26</c:f>
              <c:strCache>
                <c:ptCount val="18"/>
                <c:pt idx="0">
                  <c:v>Wollof</c:v>
                </c:pt>
                <c:pt idx="1">
                  <c:v>Serahulleh</c:v>
                </c:pt>
                <c:pt idx="2">
                  <c:v>Fula/tukulur/lorobo</c:v>
                </c:pt>
                <c:pt idx="3">
                  <c:v>Jola/karoninka</c:v>
                </c:pt>
                <c:pt idx="4">
                  <c:v>Mandinka/jahanka</c:v>
                </c:pt>
                <c:pt idx="5">
                  <c:v>Others</c:v>
                </c:pt>
                <c:pt idx="7">
                  <c:v>Sami</c:v>
                </c:pt>
                <c:pt idx="8">
                  <c:v>Nianija</c:v>
                </c:pt>
                <c:pt idx="9">
                  <c:v>Niani</c:v>
                </c:pt>
                <c:pt idx="10">
                  <c:v>Niamina West</c:v>
                </c:pt>
                <c:pt idx="11">
                  <c:v>Upper Saloum</c:v>
                </c:pt>
                <c:pt idx="12">
                  <c:v>Niamina Dankunku</c:v>
                </c:pt>
                <c:pt idx="13">
                  <c:v>Niamina East</c:v>
                </c:pt>
                <c:pt idx="14">
                  <c:v>Upper Fuladu West</c:v>
                </c:pt>
                <c:pt idx="15">
                  <c:v>Lower Fuladu West</c:v>
                </c:pt>
                <c:pt idx="16">
                  <c:v>Lower Saloum</c:v>
                </c:pt>
                <c:pt idx="17">
                  <c:v>Janjanbureh</c:v>
                </c:pt>
              </c:strCache>
              <c:extLst/>
            </c:strRef>
          </c:cat>
          <c:val>
            <c:numRef>
              <c:f>'completion-gender parity'!$K$3:$K$26</c:f>
              <c:numCache>
                <c:formatCode>0%</c:formatCode>
                <c:ptCount val="18"/>
                <c:pt idx="0">
                  <c:v>0.4185082</c:v>
                </c:pt>
                <c:pt idx="1">
                  <c:v>0.47455550000000002</c:v>
                </c:pt>
                <c:pt idx="2">
                  <c:v>0.56273240000000002</c:v>
                </c:pt>
                <c:pt idx="3">
                  <c:v>0.70276479999999997</c:v>
                </c:pt>
                <c:pt idx="4">
                  <c:v>0.81051550000000006</c:v>
                </c:pt>
                <c:pt idx="5">
                  <c:v>0.90387360000000005</c:v>
                </c:pt>
                <c:pt idx="7">
                  <c:v>3.0637299999999999E-2</c:v>
                </c:pt>
                <c:pt idx="8">
                  <c:v>4.3356899999999997E-2</c:v>
                </c:pt>
                <c:pt idx="9">
                  <c:v>6.6739499999999993E-2</c:v>
                </c:pt>
                <c:pt idx="10">
                  <c:v>7.1710599999999999E-2</c:v>
                </c:pt>
                <c:pt idx="11">
                  <c:v>7.6196100000000003E-2</c:v>
                </c:pt>
                <c:pt idx="12">
                  <c:v>9.0036199999999997E-2</c:v>
                </c:pt>
                <c:pt idx="13">
                  <c:v>0.1249975</c:v>
                </c:pt>
                <c:pt idx="14">
                  <c:v>0.23529520000000001</c:v>
                </c:pt>
                <c:pt idx="15">
                  <c:v>0.2516371</c:v>
                </c:pt>
                <c:pt idx="16">
                  <c:v>0.27662160000000002</c:v>
                </c:pt>
                <c:pt idx="17">
                  <c:v>0.45521470000000003</c:v>
                </c:pt>
              </c:numCache>
              <c:extLst/>
            </c:numRef>
          </c:val>
          <c:smooth val="0"/>
          <c:extLst>
            <c:ext xmlns:c16="http://schemas.microsoft.com/office/drawing/2014/chart" uri="{C3380CC4-5D6E-409C-BE32-E72D297353CC}">
              <c16:uniqueId val="{00000001-56D5-426B-B16D-3AF88B47146A}"/>
            </c:ext>
          </c:extLst>
        </c:ser>
        <c:ser>
          <c:idx val="2"/>
          <c:order val="2"/>
          <c:tx>
            <c:strRef>
              <c:f>'completion-gender parity'!$L$2</c:f>
              <c:strCache>
                <c:ptCount val="1"/>
                <c:pt idx="0">
                  <c:v>Male</c:v>
                </c:pt>
              </c:strCache>
            </c:strRef>
          </c:tx>
          <c:spPr>
            <a:ln w="25400" cap="rnd">
              <a:noFill/>
              <a:round/>
            </a:ln>
            <a:effectLst/>
          </c:spPr>
          <c:marker>
            <c:symbol val="triangle"/>
            <c:size val="6"/>
            <c:spPr>
              <a:solidFill>
                <a:srgbClr val="00B050"/>
              </a:solidFill>
              <a:ln w="9525">
                <a:solidFill>
                  <a:srgbClr val="00B050"/>
                </a:solidFill>
              </a:ln>
              <a:effectLst/>
            </c:spPr>
          </c:marker>
          <c:cat>
            <c:strRef>
              <c:f>'completion-gender parity'!$I$3:$I$26</c:f>
              <c:strCache>
                <c:ptCount val="18"/>
                <c:pt idx="0">
                  <c:v>Wollof</c:v>
                </c:pt>
                <c:pt idx="1">
                  <c:v>Serahulleh</c:v>
                </c:pt>
                <c:pt idx="2">
                  <c:v>Fula/tukulur/lorobo</c:v>
                </c:pt>
                <c:pt idx="3">
                  <c:v>Jola/karoninka</c:v>
                </c:pt>
                <c:pt idx="4">
                  <c:v>Mandinka/jahanka</c:v>
                </c:pt>
                <c:pt idx="5">
                  <c:v>Others</c:v>
                </c:pt>
                <c:pt idx="7">
                  <c:v>Sami</c:v>
                </c:pt>
                <c:pt idx="8">
                  <c:v>Nianija</c:v>
                </c:pt>
                <c:pt idx="9">
                  <c:v>Niani</c:v>
                </c:pt>
                <c:pt idx="10">
                  <c:v>Niamina West</c:v>
                </c:pt>
                <c:pt idx="11">
                  <c:v>Upper Saloum</c:v>
                </c:pt>
                <c:pt idx="12">
                  <c:v>Niamina Dankunku</c:v>
                </c:pt>
                <c:pt idx="13">
                  <c:v>Niamina East</c:v>
                </c:pt>
                <c:pt idx="14">
                  <c:v>Upper Fuladu West</c:v>
                </c:pt>
                <c:pt idx="15">
                  <c:v>Lower Fuladu West</c:v>
                </c:pt>
                <c:pt idx="16">
                  <c:v>Lower Saloum</c:v>
                </c:pt>
                <c:pt idx="17">
                  <c:v>Janjanbureh</c:v>
                </c:pt>
              </c:strCache>
              <c:extLst/>
            </c:strRef>
          </c:cat>
          <c:val>
            <c:numRef>
              <c:f>'completion-gender parity'!$L$3:$L$26</c:f>
              <c:numCache>
                <c:formatCode>0%</c:formatCode>
                <c:ptCount val="18"/>
                <c:pt idx="0">
                  <c:v>0.57761779999999996</c:v>
                </c:pt>
                <c:pt idx="1">
                  <c:v>0.96058869999999996</c:v>
                </c:pt>
                <c:pt idx="2">
                  <c:v>0.59764059999999997</c:v>
                </c:pt>
                <c:pt idx="3">
                  <c:v>1.109812</c:v>
                </c:pt>
                <c:pt idx="4">
                  <c:v>0.98667640000000001</c:v>
                </c:pt>
                <c:pt idx="5">
                  <c:v>0.99352320000000005</c:v>
                </c:pt>
                <c:pt idx="7">
                  <c:v>0.36425400000000002</c:v>
                </c:pt>
                <c:pt idx="8">
                  <c:v>0.41645389999999999</c:v>
                </c:pt>
                <c:pt idx="9">
                  <c:v>0.43779400000000002</c:v>
                </c:pt>
                <c:pt idx="10">
                  <c:v>0.52795259999999999</c:v>
                </c:pt>
                <c:pt idx="11">
                  <c:v>0.1120044</c:v>
                </c:pt>
                <c:pt idx="12">
                  <c:v>0.4273419</c:v>
                </c:pt>
                <c:pt idx="13">
                  <c:v>0.26170579999999999</c:v>
                </c:pt>
                <c:pt idx="14">
                  <c:v>0.2173012</c:v>
                </c:pt>
                <c:pt idx="15">
                  <c:v>0.43113170000000001</c:v>
                </c:pt>
                <c:pt idx="16">
                  <c:v>0.28231699999999998</c:v>
                </c:pt>
                <c:pt idx="17">
                  <c:v>0.81941750000000002</c:v>
                </c:pt>
              </c:numCache>
              <c:extLst/>
            </c:numRef>
          </c:val>
          <c:smooth val="0"/>
          <c:extLst>
            <c:ext xmlns:c16="http://schemas.microsoft.com/office/drawing/2014/chart" uri="{C3380CC4-5D6E-409C-BE32-E72D297353CC}">
              <c16:uniqueId val="{00000002-56D5-426B-B16D-3AF88B47146A}"/>
            </c:ext>
          </c:extLst>
        </c:ser>
        <c:dLbls>
          <c:showLegendKey val="0"/>
          <c:showVal val="0"/>
          <c:showCatName val="0"/>
          <c:showSerName val="0"/>
          <c:showPercent val="0"/>
          <c:showBubbleSize val="0"/>
        </c:dLbls>
        <c:hiLowLines>
          <c:spPr>
            <a:ln w="9525" cap="flat" cmpd="sng" algn="ctr">
              <a:solidFill>
                <a:srgbClr val="FF0000"/>
              </a:solidFill>
              <a:round/>
              <a:headEnd type="none"/>
            </a:ln>
            <a:effectLst/>
          </c:spPr>
        </c:hiLowLines>
        <c:marker val="1"/>
        <c:smooth val="0"/>
        <c:axId val="456250672"/>
        <c:axId val="739447352"/>
      </c:lineChart>
      <c:catAx>
        <c:axId val="456250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9447352"/>
        <c:crosses val="autoZero"/>
        <c:auto val="1"/>
        <c:lblAlgn val="ctr"/>
        <c:lblOffset val="100"/>
        <c:noMultiLvlLbl val="0"/>
      </c:catAx>
      <c:valAx>
        <c:axId val="739447352"/>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6250672"/>
        <c:crosses val="autoZero"/>
        <c:crossBetween val="between"/>
      </c:valAx>
      <c:spPr>
        <a:noFill/>
        <a:ln>
          <a:noFill/>
        </a:ln>
        <a:effectLst/>
      </c:spPr>
    </c:plotArea>
    <c:legend>
      <c:legendPos val="r"/>
      <c:legendEntry>
        <c:idx val="1"/>
        <c:delete val="1"/>
      </c:legendEntry>
      <c:layout>
        <c:manualLayout>
          <c:xMode val="edge"/>
          <c:yMode val="edge"/>
          <c:x val="0.79493164712270947"/>
          <c:y val="2.5105830292299836E-2"/>
          <c:w val="0.11549571670058302"/>
          <c:h val="0.1400603863750841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900"/>
              <a:t>ECD</a:t>
            </a:r>
          </a:p>
        </c:rich>
      </c:tx>
      <c:layout>
        <c:manualLayout>
          <c:xMode val="edge"/>
          <c:yMode val="edge"/>
          <c:x val="0.11330779835982167"/>
          <c:y val="0"/>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516346676833521"/>
          <c:y val="2.5428331875182269E-2"/>
          <c:w val="0.81272145179112487"/>
          <c:h val="0.77702136191309423"/>
        </c:manualLayout>
      </c:layout>
      <c:lineChart>
        <c:grouping val="standard"/>
        <c:varyColors val="0"/>
        <c:ser>
          <c:idx val="0"/>
          <c:order val="0"/>
          <c:tx>
            <c:strRef>
              <c:f>Sheet1!$V$26</c:f>
              <c:strCache>
                <c:ptCount val="1"/>
                <c:pt idx="0">
                  <c:v>High</c:v>
                </c:pt>
              </c:strCache>
            </c:strRef>
          </c:tx>
          <c:spPr>
            <a:ln w="28575" cap="rnd">
              <a:solidFill>
                <a:schemeClr val="accent1"/>
              </a:solidFill>
              <a:round/>
            </a:ln>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594-44F0-A72B-F44DBD42F981}"/>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594-44F0-A72B-F44DBD42F981}"/>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Sheet1!$W$25:$Z$25</c:f>
              <c:numCache>
                <c:formatCode>General</c:formatCode>
                <c:ptCount val="4"/>
                <c:pt idx="0">
                  <c:v>2015</c:v>
                </c:pt>
                <c:pt idx="1">
                  <c:v>2020</c:v>
                </c:pt>
                <c:pt idx="2">
                  <c:v>2025</c:v>
                </c:pt>
                <c:pt idx="3">
                  <c:v>2030</c:v>
                </c:pt>
              </c:numCache>
            </c:numRef>
          </c:cat>
          <c:val>
            <c:numRef>
              <c:f>Sheet1!$W$26:$Z$26</c:f>
              <c:numCache>
                <c:formatCode>0</c:formatCode>
                <c:ptCount val="4"/>
                <c:pt idx="0">
                  <c:v>97.554000000000002</c:v>
                </c:pt>
                <c:pt idx="1">
                  <c:v>141.99734641410717</c:v>
                </c:pt>
                <c:pt idx="2">
                  <c:v>206.68805367947962</c:v>
                </c:pt>
                <c:pt idx="3">
                  <c:v>300.85035116943078</c:v>
                </c:pt>
              </c:numCache>
            </c:numRef>
          </c:val>
          <c:smooth val="0"/>
          <c:extLst>
            <c:ext xmlns:c16="http://schemas.microsoft.com/office/drawing/2014/chart" uri="{C3380CC4-5D6E-409C-BE32-E72D297353CC}">
              <c16:uniqueId val="{00000002-2594-44F0-A72B-F44DBD42F981}"/>
            </c:ext>
          </c:extLst>
        </c:ser>
        <c:ser>
          <c:idx val="1"/>
          <c:order val="1"/>
          <c:tx>
            <c:strRef>
              <c:f>Sheet1!$V$27</c:f>
              <c:strCache>
                <c:ptCount val="1"/>
                <c:pt idx="0">
                  <c:v>Medium</c:v>
                </c:pt>
              </c:strCache>
            </c:strRef>
          </c:tx>
          <c:spPr>
            <a:ln w="28575" cap="rnd">
              <a:solidFill>
                <a:schemeClr val="accent2"/>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594-44F0-A72B-F44DBD42F981}"/>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Sheet1!$W$25:$Z$25</c:f>
              <c:numCache>
                <c:formatCode>General</c:formatCode>
                <c:ptCount val="4"/>
                <c:pt idx="0">
                  <c:v>2015</c:v>
                </c:pt>
                <c:pt idx="1">
                  <c:v>2020</c:v>
                </c:pt>
                <c:pt idx="2">
                  <c:v>2025</c:v>
                </c:pt>
                <c:pt idx="3">
                  <c:v>2030</c:v>
                </c:pt>
              </c:numCache>
            </c:numRef>
          </c:cat>
          <c:val>
            <c:numRef>
              <c:f>Sheet1!$W$27:$Z$27</c:f>
              <c:numCache>
                <c:formatCode>0</c:formatCode>
                <c:ptCount val="4"/>
                <c:pt idx="0">
                  <c:v>97.554000000000002</c:v>
                </c:pt>
                <c:pt idx="1">
                  <c:v>118.11155573766827</c:v>
                </c:pt>
                <c:pt idx="2">
                  <c:v>143.00120547360763</c:v>
                </c:pt>
                <c:pt idx="3">
                  <c:v>173.13585143458764</c:v>
                </c:pt>
              </c:numCache>
            </c:numRef>
          </c:val>
          <c:smooth val="0"/>
          <c:extLst>
            <c:ext xmlns:c16="http://schemas.microsoft.com/office/drawing/2014/chart" uri="{C3380CC4-5D6E-409C-BE32-E72D297353CC}">
              <c16:uniqueId val="{00000004-2594-44F0-A72B-F44DBD42F981}"/>
            </c:ext>
          </c:extLst>
        </c:ser>
        <c:ser>
          <c:idx val="2"/>
          <c:order val="2"/>
          <c:tx>
            <c:strRef>
              <c:f>Sheet1!$V$28</c:f>
              <c:strCache>
                <c:ptCount val="1"/>
                <c:pt idx="0">
                  <c:v>Low</c:v>
                </c:pt>
              </c:strCache>
            </c:strRef>
          </c:tx>
          <c:spPr>
            <a:ln w="28575" cap="rnd">
              <a:solidFill>
                <a:schemeClr val="accent3"/>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594-44F0-A72B-F44DBD42F981}"/>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Sheet1!$W$25:$Z$25</c:f>
              <c:numCache>
                <c:formatCode>General</c:formatCode>
                <c:ptCount val="4"/>
                <c:pt idx="0">
                  <c:v>2015</c:v>
                </c:pt>
                <c:pt idx="1">
                  <c:v>2020</c:v>
                </c:pt>
                <c:pt idx="2">
                  <c:v>2025</c:v>
                </c:pt>
                <c:pt idx="3">
                  <c:v>2030</c:v>
                </c:pt>
              </c:numCache>
            </c:numRef>
          </c:cat>
          <c:val>
            <c:numRef>
              <c:f>Sheet1!$W$28:$Z$28</c:f>
              <c:numCache>
                <c:formatCode>0</c:formatCode>
                <c:ptCount val="4"/>
                <c:pt idx="0">
                  <c:v>97.554000000000002</c:v>
                </c:pt>
                <c:pt idx="1">
                  <c:v>110.90760887172762</c:v>
                </c:pt>
                <c:pt idx="2">
                  <c:v>126.08911685470727</c:v>
                </c:pt>
                <c:pt idx="3">
                  <c:v>143.34873459933402</c:v>
                </c:pt>
              </c:numCache>
            </c:numRef>
          </c:val>
          <c:smooth val="0"/>
          <c:extLst>
            <c:ext xmlns:c16="http://schemas.microsoft.com/office/drawing/2014/chart" uri="{C3380CC4-5D6E-409C-BE32-E72D297353CC}">
              <c16:uniqueId val="{00000006-2594-44F0-A72B-F44DBD42F981}"/>
            </c:ext>
          </c:extLst>
        </c:ser>
        <c:dLbls>
          <c:showLegendKey val="0"/>
          <c:showVal val="0"/>
          <c:showCatName val="0"/>
          <c:showSerName val="0"/>
          <c:showPercent val="0"/>
          <c:showBubbleSize val="0"/>
        </c:dLbls>
        <c:smooth val="0"/>
        <c:axId val="213568816"/>
        <c:axId val="17022480"/>
      </c:lineChart>
      <c:catAx>
        <c:axId val="21356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7022480"/>
        <c:crosses val="autoZero"/>
        <c:auto val="1"/>
        <c:lblAlgn val="ctr"/>
        <c:lblOffset val="100"/>
        <c:noMultiLvlLbl val="0"/>
      </c:catAx>
      <c:valAx>
        <c:axId val="17022480"/>
        <c:scaling>
          <c:orientation val="minMax"/>
          <c:min val="75"/>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13568816"/>
        <c:crosses val="autoZero"/>
        <c:crossBetween val="between"/>
        <c:majorUnit val="50"/>
      </c:valAx>
      <c:spPr>
        <a:noFill/>
        <a:ln>
          <a:noFill/>
        </a:ln>
        <a:effectLst/>
      </c:spPr>
    </c:plotArea>
    <c:legend>
      <c:legendPos val="b"/>
      <c:layout>
        <c:manualLayout>
          <c:xMode val="edge"/>
          <c:yMode val="edge"/>
          <c:x val="0.15637631837700899"/>
          <c:y val="0.13726071438302048"/>
          <c:w val="0.46628935360314644"/>
          <c:h val="0.226061084924938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741878054317558E-2"/>
          <c:y val="2.4643395163530989E-2"/>
          <c:w val="0.90700217859717458"/>
          <c:h val="0.69596442618228904"/>
        </c:manualLayout>
      </c:layout>
      <c:barChart>
        <c:barDir val="col"/>
        <c:grouping val="clustered"/>
        <c:varyColors val="0"/>
        <c:ser>
          <c:idx val="0"/>
          <c:order val="0"/>
          <c:tx>
            <c:strRef>
              <c:f>'GER and NER'!$AB$1</c:f>
              <c:strCache>
                <c:ptCount val="1"/>
                <c:pt idx="0">
                  <c:v>Area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'GER and NER'!$Y$2:$AA$25</c:f>
              <c:multiLvlStrCache>
                <c:ptCount val="24"/>
                <c:lvl>
                  <c:pt idx="0">
                    <c:v>Urban</c:v>
                  </c:pt>
                  <c:pt idx="1">
                    <c:v>Rural</c:v>
                  </c:pt>
                  <c:pt idx="2">
                    <c:v>Urban</c:v>
                  </c:pt>
                  <c:pt idx="3">
                    <c:v>Rural</c:v>
                  </c:pt>
                  <c:pt idx="4">
                    <c:v>Urban</c:v>
                  </c:pt>
                  <c:pt idx="5">
                    <c:v>Rural</c:v>
                  </c:pt>
                  <c:pt idx="6">
                    <c:v>Urban</c:v>
                  </c:pt>
                  <c:pt idx="7">
                    <c:v>Rural</c:v>
                  </c:pt>
                  <c:pt idx="8">
                    <c:v>Urban</c:v>
                  </c:pt>
                  <c:pt idx="9">
                    <c:v>Rural</c:v>
                  </c:pt>
                  <c:pt idx="11">
                    <c:v>Urban</c:v>
                  </c:pt>
                  <c:pt idx="12">
                    <c:v>Rural</c:v>
                  </c:pt>
                  <c:pt idx="13">
                    <c:v>Urban</c:v>
                  </c:pt>
                  <c:pt idx="14">
                    <c:v>Rural</c:v>
                  </c:pt>
                  <c:pt idx="15">
                    <c:v>Urban</c:v>
                  </c:pt>
                  <c:pt idx="16">
                    <c:v>Rural</c:v>
                  </c:pt>
                  <c:pt idx="18">
                    <c:v>Urban</c:v>
                  </c:pt>
                  <c:pt idx="19">
                    <c:v>Rural</c:v>
                  </c:pt>
                  <c:pt idx="20">
                    <c:v>Urban</c:v>
                  </c:pt>
                  <c:pt idx="21">
                    <c:v>Rural</c:v>
                  </c:pt>
                  <c:pt idx="22">
                    <c:v>Urban</c:v>
                  </c:pt>
                  <c:pt idx="23">
                    <c:v>Rural</c:v>
                  </c:pt>
                </c:lvl>
                <c:lvl>
                  <c:pt idx="0">
                    <c:v>Preschool</c:v>
                  </c:pt>
                  <c:pt idx="2">
                    <c:v>LBS</c:v>
                  </c:pt>
                  <c:pt idx="4">
                    <c:v>UBS</c:v>
                  </c:pt>
                  <c:pt idx="6">
                    <c:v>SSS</c:v>
                  </c:pt>
                  <c:pt idx="8">
                    <c:v>Tertiary</c:v>
                  </c:pt>
                  <c:pt idx="11">
                    <c:v>LBS</c:v>
                  </c:pt>
                  <c:pt idx="13">
                    <c:v>UBS</c:v>
                  </c:pt>
                  <c:pt idx="15">
                    <c:v>SSS</c:v>
                  </c:pt>
                  <c:pt idx="18">
                    <c:v>LBS</c:v>
                  </c:pt>
                  <c:pt idx="20">
                    <c:v>UBS</c:v>
                  </c:pt>
                  <c:pt idx="22">
                    <c:v>SSS</c:v>
                  </c:pt>
                </c:lvl>
                <c:lvl>
                  <c:pt idx="0">
                    <c:v>GER</c:v>
                  </c:pt>
                  <c:pt idx="11">
                    <c:v>NER</c:v>
                  </c:pt>
                  <c:pt idx="18">
                    <c:v>Completion</c:v>
                  </c:pt>
                </c:lvl>
              </c:multiLvlStrCache>
            </c:multiLvlStrRef>
          </c:cat>
          <c:val>
            <c:numRef>
              <c:f>'GER and NER'!$AB$2:$AB$25</c:f>
              <c:numCache>
                <c:formatCode>0%</c:formatCode>
                <c:ptCount val="24"/>
                <c:pt idx="0">
                  <c:v>0.43856329999999999</c:v>
                </c:pt>
                <c:pt idx="1">
                  <c:v>0.29268149999999998</c:v>
                </c:pt>
                <c:pt idx="2">
                  <c:v>0.96191300000000002</c:v>
                </c:pt>
                <c:pt idx="3">
                  <c:v>0.78737690000000005</c:v>
                </c:pt>
                <c:pt idx="4">
                  <c:v>0.72981450000000003</c:v>
                </c:pt>
                <c:pt idx="5">
                  <c:v>0.49691819999999998</c:v>
                </c:pt>
                <c:pt idx="6">
                  <c:v>0.5603437</c:v>
                </c:pt>
                <c:pt idx="7">
                  <c:v>0.27202179999999998</c:v>
                </c:pt>
                <c:pt idx="8">
                  <c:v>8.83602E-2</c:v>
                </c:pt>
                <c:pt idx="9">
                  <c:v>2.58234E-2</c:v>
                </c:pt>
                <c:pt idx="11">
                  <c:v>0.70933190000000002</c:v>
                </c:pt>
                <c:pt idx="12">
                  <c:v>0.56292900000000001</c:v>
                </c:pt>
                <c:pt idx="13">
                  <c:v>0.42069469999999998</c:v>
                </c:pt>
                <c:pt idx="14">
                  <c:v>0.23939089999999999</c:v>
                </c:pt>
                <c:pt idx="15">
                  <c:v>0.30790149999999999</c:v>
                </c:pt>
                <c:pt idx="16">
                  <c:v>0.11729059999999999</c:v>
                </c:pt>
                <c:pt idx="18">
                  <c:v>0.98690679999999997</c:v>
                </c:pt>
                <c:pt idx="19">
                  <c:v>0.52420650000000002</c:v>
                </c:pt>
                <c:pt idx="20">
                  <c:v>0.57063710000000001</c:v>
                </c:pt>
                <c:pt idx="21">
                  <c:v>0.36352050000000002</c:v>
                </c:pt>
                <c:pt idx="22">
                  <c:v>0.49607590000000001</c:v>
                </c:pt>
                <c:pt idx="23">
                  <c:v>0.21623249999999999</c:v>
                </c:pt>
              </c:numCache>
            </c:numRef>
          </c:val>
          <c:extLst>
            <c:ext xmlns:c16="http://schemas.microsoft.com/office/drawing/2014/chart" uri="{C3380CC4-5D6E-409C-BE32-E72D297353CC}">
              <c16:uniqueId val="{00000000-5B17-41DD-9941-56F1AEFE11AF}"/>
            </c:ext>
          </c:extLst>
        </c:ser>
        <c:dLbls>
          <c:showLegendKey val="0"/>
          <c:showVal val="0"/>
          <c:showCatName val="0"/>
          <c:showSerName val="0"/>
          <c:showPercent val="0"/>
          <c:showBubbleSize val="0"/>
        </c:dLbls>
        <c:gapWidth val="219"/>
        <c:overlap val="-27"/>
        <c:axId val="451962656"/>
        <c:axId val="451963048"/>
      </c:barChart>
      <c:catAx>
        <c:axId val="451962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963048"/>
        <c:crosses val="autoZero"/>
        <c:auto val="1"/>
        <c:lblAlgn val="ctr"/>
        <c:lblOffset val="100"/>
        <c:noMultiLvlLbl val="0"/>
      </c:catAx>
      <c:valAx>
        <c:axId val="4519630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962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'GER and NER'!$N$27</c:f>
              <c:strCache>
                <c:ptCount val="1"/>
                <c:pt idx="0">
                  <c:v>%</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'GER and NER'!$K$28:$M$84</c:f>
              <c:multiLvlStrCache>
                <c:ptCount val="57"/>
                <c:lvl>
                  <c:pt idx="0">
                    <c:v>Q1</c:v>
                  </c:pt>
                  <c:pt idx="1">
                    <c:v>Q2</c:v>
                  </c:pt>
                  <c:pt idx="2">
                    <c:v>Q3</c:v>
                  </c:pt>
                  <c:pt idx="3">
                    <c:v>Q4</c:v>
                  </c:pt>
                  <c:pt idx="4">
                    <c:v>Q5</c:v>
                  </c:pt>
                  <c:pt idx="5">
                    <c:v>Q1</c:v>
                  </c:pt>
                  <c:pt idx="6">
                    <c:v>Q2</c:v>
                  </c:pt>
                  <c:pt idx="7">
                    <c:v>Q3</c:v>
                  </c:pt>
                  <c:pt idx="8">
                    <c:v>Q4</c:v>
                  </c:pt>
                  <c:pt idx="9">
                    <c:v>Q5</c:v>
                  </c:pt>
                  <c:pt idx="10">
                    <c:v>Q1</c:v>
                  </c:pt>
                  <c:pt idx="11">
                    <c:v>Q2</c:v>
                  </c:pt>
                  <c:pt idx="12">
                    <c:v>Q3</c:v>
                  </c:pt>
                  <c:pt idx="13">
                    <c:v>Q4</c:v>
                  </c:pt>
                  <c:pt idx="14">
                    <c:v>Q5</c:v>
                  </c:pt>
                  <c:pt idx="15">
                    <c:v>Q1</c:v>
                  </c:pt>
                  <c:pt idx="16">
                    <c:v>Q2</c:v>
                  </c:pt>
                  <c:pt idx="17">
                    <c:v>Q3</c:v>
                  </c:pt>
                  <c:pt idx="18">
                    <c:v>Q4</c:v>
                  </c:pt>
                  <c:pt idx="19">
                    <c:v>Q5</c:v>
                  </c:pt>
                  <c:pt idx="20">
                    <c:v>Q1</c:v>
                  </c:pt>
                  <c:pt idx="21">
                    <c:v>Q2</c:v>
                  </c:pt>
                  <c:pt idx="22">
                    <c:v>Q3</c:v>
                  </c:pt>
                  <c:pt idx="23">
                    <c:v>Q4</c:v>
                  </c:pt>
                  <c:pt idx="24">
                    <c:v>Q5</c:v>
                  </c:pt>
                  <c:pt idx="26">
                    <c:v>Q1</c:v>
                  </c:pt>
                  <c:pt idx="27">
                    <c:v>Q2</c:v>
                  </c:pt>
                  <c:pt idx="28">
                    <c:v>Q3</c:v>
                  </c:pt>
                  <c:pt idx="29">
                    <c:v>Q4</c:v>
                  </c:pt>
                  <c:pt idx="30">
                    <c:v>Q5</c:v>
                  </c:pt>
                  <c:pt idx="31">
                    <c:v>Q1</c:v>
                  </c:pt>
                  <c:pt idx="32">
                    <c:v>Q2</c:v>
                  </c:pt>
                  <c:pt idx="33">
                    <c:v>Q3</c:v>
                  </c:pt>
                  <c:pt idx="34">
                    <c:v>Q4</c:v>
                  </c:pt>
                  <c:pt idx="35">
                    <c:v>Q5</c:v>
                  </c:pt>
                  <c:pt idx="36">
                    <c:v>Q1</c:v>
                  </c:pt>
                  <c:pt idx="37">
                    <c:v>Q2</c:v>
                  </c:pt>
                  <c:pt idx="38">
                    <c:v>Q3</c:v>
                  </c:pt>
                  <c:pt idx="39">
                    <c:v>Q4</c:v>
                  </c:pt>
                  <c:pt idx="40">
                    <c:v>Q5</c:v>
                  </c:pt>
                  <c:pt idx="42">
                    <c:v>Q1</c:v>
                  </c:pt>
                  <c:pt idx="43">
                    <c:v>Q2</c:v>
                  </c:pt>
                  <c:pt idx="44">
                    <c:v>Q3</c:v>
                  </c:pt>
                  <c:pt idx="45">
                    <c:v>Q4</c:v>
                  </c:pt>
                  <c:pt idx="46">
                    <c:v>Q5</c:v>
                  </c:pt>
                  <c:pt idx="47">
                    <c:v>Q1</c:v>
                  </c:pt>
                  <c:pt idx="48">
                    <c:v>Q2</c:v>
                  </c:pt>
                  <c:pt idx="49">
                    <c:v>Q3</c:v>
                  </c:pt>
                  <c:pt idx="50">
                    <c:v>Q4</c:v>
                  </c:pt>
                  <c:pt idx="51">
                    <c:v>Q5</c:v>
                  </c:pt>
                  <c:pt idx="52">
                    <c:v>Q1</c:v>
                  </c:pt>
                  <c:pt idx="53">
                    <c:v>Q2</c:v>
                  </c:pt>
                  <c:pt idx="54">
                    <c:v>Q3</c:v>
                  </c:pt>
                  <c:pt idx="55">
                    <c:v>Q4</c:v>
                  </c:pt>
                  <c:pt idx="56">
                    <c:v>Q5</c:v>
                  </c:pt>
                </c:lvl>
                <c:lvl>
                  <c:pt idx="0">
                    <c:v>Preschool</c:v>
                  </c:pt>
                  <c:pt idx="5">
                    <c:v>LBS</c:v>
                  </c:pt>
                  <c:pt idx="10">
                    <c:v>UBS</c:v>
                  </c:pt>
                  <c:pt idx="15">
                    <c:v>SSS</c:v>
                  </c:pt>
                  <c:pt idx="20">
                    <c:v>Tertiary</c:v>
                  </c:pt>
                  <c:pt idx="26">
                    <c:v>LBS</c:v>
                  </c:pt>
                  <c:pt idx="31">
                    <c:v>UBS</c:v>
                  </c:pt>
                  <c:pt idx="36">
                    <c:v>SSS</c:v>
                  </c:pt>
                  <c:pt idx="42">
                    <c:v>LBS</c:v>
                  </c:pt>
                  <c:pt idx="47">
                    <c:v>UBS</c:v>
                  </c:pt>
                  <c:pt idx="52">
                    <c:v>SSS</c:v>
                  </c:pt>
                </c:lvl>
                <c:lvl>
                  <c:pt idx="0">
                    <c:v>GER</c:v>
                  </c:pt>
                  <c:pt idx="26">
                    <c:v>NER</c:v>
                  </c:pt>
                  <c:pt idx="42">
                    <c:v>Completion</c:v>
                  </c:pt>
                </c:lvl>
              </c:multiLvlStrCache>
            </c:multiLvlStrRef>
          </c:cat>
          <c:val>
            <c:numRef>
              <c:f>'GER and NER'!$N$28:$N$84</c:f>
              <c:numCache>
                <c:formatCode>0%</c:formatCode>
                <c:ptCount val="57"/>
                <c:pt idx="0">
                  <c:v>0.26331529999999997</c:v>
                </c:pt>
                <c:pt idx="1">
                  <c:v>0.31152020000000002</c:v>
                </c:pt>
                <c:pt idx="2">
                  <c:v>0.31507289999999999</c:v>
                </c:pt>
                <c:pt idx="3">
                  <c:v>0.4017577</c:v>
                </c:pt>
                <c:pt idx="4">
                  <c:v>0.61599769999999998</c:v>
                </c:pt>
                <c:pt idx="5">
                  <c:v>0.73035779999999995</c:v>
                </c:pt>
                <c:pt idx="6">
                  <c:v>0.81981360000000003</c:v>
                </c:pt>
                <c:pt idx="7">
                  <c:v>0.91425460000000003</c:v>
                </c:pt>
                <c:pt idx="8">
                  <c:v>0.98557640000000002</c:v>
                </c:pt>
                <c:pt idx="9">
                  <c:v>0.98293710000000001</c:v>
                </c:pt>
                <c:pt idx="10">
                  <c:v>0.48459160000000001</c:v>
                </c:pt>
                <c:pt idx="11">
                  <c:v>0.53815630000000003</c:v>
                </c:pt>
                <c:pt idx="12">
                  <c:v>0.66788329999999996</c:v>
                </c:pt>
                <c:pt idx="13">
                  <c:v>0.63187859999999996</c:v>
                </c:pt>
                <c:pt idx="14">
                  <c:v>0.83410600000000001</c:v>
                </c:pt>
                <c:pt idx="15">
                  <c:v>0.2200694</c:v>
                </c:pt>
                <c:pt idx="16">
                  <c:v>0.317465</c:v>
                </c:pt>
                <c:pt idx="17">
                  <c:v>0.43983420000000001</c:v>
                </c:pt>
                <c:pt idx="18">
                  <c:v>0.52875589999999995</c:v>
                </c:pt>
                <c:pt idx="19">
                  <c:v>0.67834079999999997</c:v>
                </c:pt>
                <c:pt idx="20">
                  <c:v>2.8377200000000002E-2</c:v>
                </c:pt>
                <c:pt idx="21">
                  <c:v>2.3626500000000002E-2</c:v>
                </c:pt>
                <c:pt idx="22">
                  <c:v>2.30279E-2</c:v>
                </c:pt>
                <c:pt idx="23">
                  <c:v>8.6148299999999997E-2</c:v>
                </c:pt>
                <c:pt idx="24">
                  <c:v>0.1316638</c:v>
                </c:pt>
                <c:pt idx="26">
                  <c:v>0.51277139999999999</c:v>
                </c:pt>
                <c:pt idx="27">
                  <c:v>0.59392230000000001</c:v>
                </c:pt>
                <c:pt idx="28">
                  <c:v>0.66365169999999996</c:v>
                </c:pt>
                <c:pt idx="29">
                  <c:v>0.71322779999999997</c:v>
                </c:pt>
                <c:pt idx="30">
                  <c:v>0.75538930000000004</c:v>
                </c:pt>
                <c:pt idx="31">
                  <c:v>0.2318759</c:v>
                </c:pt>
                <c:pt idx="32">
                  <c:v>0.25605460000000002</c:v>
                </c:pt>
                <c:pt idx="33">
                  <c:v>0.33684920000000002</c:v>
                </c:pt>
                <c:pt idx="34">
                  <c:v>0.37360690000000002</c:v>
                </c:pt>
                <c:pt idx="35">
                  <c:v>0.52683040000000003</c:v>
                </c:pt>
                <c:pt idx="36">
                  <c:v>8.5494799999999996E-2</c:v>
                </c:pt>
                <c:pt idx="37">
                  <c:v>0.13611590000000001</c:v>
                </c:pt>
                <c:pt idx="38">
                  <c:v>0.24558269999999999</c:v>
                </c:pt>
                <c:pt idx="39">
                  <c:v>0.28682220000000003</c:v>
                </c:pt>
                <c:pt idx="40">
                  <c:v>0.3824922</c:v>
                </c:pt>
                <c:pt idx="42">
                  <c:v>0.51239259999999998</c:v>
                </c:pt>
                <c:pt idx="43">
                  <c:v>0.61874269999999998</c:v>
                </c:pt>
                <c:pt idx="44">
                  <c:v>0.84728099999999995</c:v>
                </c:pt>
                <c:pt idx="45">
                  <c:v>0.91368680000000002</c:v>
                </c:pt>
                <c:pt idx="46">
                  <c:v>0.93204379999999998</c:v>
                </c:pt>
                <c:pt idx="47">
                  <c:v>0.38807259999999999</c:v>
                </c:pt>
                <c:pt idx="48">
                  <c:v>0.3946847</c:v>
                </c:pt>
                <c:pt idx="49">
                  <c:v>0.46606330000000001</c:v>
                </c:pt>
                <c:pt idx="50">
                  <c:v>0.4777883</c:v>
                </c:pt>
                <c:pt idx="51">
                  <c:v>0.67408480000000004</c:v>
                </c:pt>
                <c:pt idx="52">
                  <c:v>0.14545820000000001</c:v>
                </c:pt>
                <c:pt idx="53">
                  <c:v>0.25370500000000001</c:v>
                </c:pt>
                <c:pt idx="54">
                  <c:v>0.33448820000000001</c:v>
                </c:pt>
                <c:pt idx="55">
                  <c:v>0.42882310000000001</c:v>
                </c:pt>
                <c:pt idx="56">
                  <c:v>0.66670339999999995</c:v>
                </c:pt>
              </c:numCache>
            </c:numRef>
          </c:val>
          <c:extLst>
            <c:ext xmlns:c16="http://schemas.microsoft.com/office/drawing/2014/chart" uri="{C3380CC4-5D6E-409C-BE32-E72D297353CC}">
              <c16:uniqueId val="{00000000-B02F-45DA-BD8F-DD0B05F20FFA}"/>
            </c:ext>
          </c:extLst>
        </c:ser>
        <c:dLbls>
          <c:showLegendKey val="0"/>
          <c:showVal val="0"/>
          <c:showCatName val="0"/>
          <c:showSerName val="0"/>
          <c:showPercent val="0"/>
          <c:showBubbleSize val="0"/>
        </c:dLbls>
        <c:gapWidth val="59"/>
        <c:overlap val="-27"/>
        <c:axId val="451961088"/>
        <c:axId val="451961480"/>
      </c:barChart>
      <c:catAx>
        <c:axId val="451961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961480"/>
        <c:crosses val="autoZero"/>
        <c:auto val="1"/>
        <c:lblAlgn val="ctr"/>
        <c:lblOffset val="100"/>
        <c:noMultiLvlLbl val="0"/>
      </c:catAx>
      <c:valAx>
        <c:axId val="4519614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961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'GER and NER'!$C$93</c:f>
              <c:strCache>
                <c:ptCount val="1"/>
                <c:pt idx="0">
                  <c:v>Ehnicity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'GER and NER'!$A$94:$B$127</c:f>
              <c:multiLvlStrCache>
                <c:ptCount val="34"/>
                <c:lvl>
                  <c:pt idx="0">
                    <c:v>Mandinka/jahanka</c:v>
                  </c:pt>
                  <c:pt idx="1">
                    <c:v>Fula/tukulur/lorobo</c:v>
                  </c:pt>
                  <c:pt idx="2">
                    <c:v>Wollof</c:v>
                  </c:pt>
                  <c:pt idx="3">
                    <c:v>Jola/karoninka</c:v>
                  </c:pt>
                  <c:pt idx="4">
                    <c:v>Serahulleh</c:v>
                  </c:pt>
                  <c:pt idx="5">
                    <c:v>Others</c:v>
                  </c:pt>
                  <c:pt idx="7">
                    <c:v>Mandinka/jahanka</c:v>
                  </c:pt>
                  <c:pt idx="8">
                    <c:v>Fula/tukulur/lorobo</c:v>
                  </c:pt>
                  <c:pt idx="9">
                    <c:v>Wollof</c:v>
                  </c:pt>
                  <c:pt idx="10">
                    <c:v>Jola/karoninka</c:v>
                  </c:pt>
                  <c:pt idx="11">
                    <c:v>Serahulleh</c:v>
                  </c:pt>
                  <c:pt idx="12">
                    <c:v>Others</c:v>
                  </c:pt>
                  <c:pt idx="14">
                    <c:v>Mandinka/jahanka</c:v>
                  </c:pt>
                  <c:pt idx="15">
                    <c:v>Fula/tukulur/lorobo</c:v>
                  </c:pt>
                  <c:pt idx="16">
                    <c:v>Wollof</c:v>
                  </c:pt>
                  <c:pt idx="17">
                    <c:v>Jola/karoninka</c:v>
                  </c:pt>
                  <c:pt idx="18">
                    <c:v>Serahulleh</c:v>
                  </c:pt>
                  <c:pt idx="19">
                    <c:v>Others</c:v>
                  </c:pt>
                  <c:pt idx="21">
                    <c:v>Mandinka/jahanka</c:v>
                  </c:pt>
                  <c:pt idx="22">
                    <c:v>Fula/tukulur/lorobo</c:v>
                  </c:pt>
                  <c:pt idx="23">
                    <c:v>Wollof</c:v>
                  </c:pt>
                  <c:pt idx="24">
                    <c:v>Jola/karoninka</c:v>
                  </c:pt>
                  <c:pt idx="25">
                    <c:v>Serahulleh</c:v>
                  </c:pt>
                  <c:pt idx="26">
                    <c:v>Others</c:v>
                  </c:pt>
                  <c:pt idx="28">
                    <c:v>Mandinka/jahanka</c:v>
                  </c:pt>
                  <c:pt idx="29">
                    <c:v>Fula/tukulur/lorobo</c:v>
                  </c:pt>
                  <c:pt idx="30">
                    <c:v>Wollof</c:v>
                  </c:pt>
                  <c:pt idx="31">
                    <c:v>Jola/karoninka</c:v>
                  </c:pt>
                  <c:pt idx="32">
                    <c:v>Serahulleh</c:v>
                  </c:pt>
                  <c:pt idx="33">
                    <c:v>Others</c:v>
                  </c:pt>
                </c:lvl>
                <c:lvl>
                  <c:pt idx="0">
                    <c:v>Preschool</c:v>
                  </c:pt>
                  <c:pt idx="7">
                    <c:v>LBS</c:v>
                  </c:pt>
                  <c:pt idx="14">
                    <c:v>UBS</c:v>
                  </c:pt>
                  <c:pt idx="21">
                    <c:v>SSS</c:v>
                  </c:pt>
                  <c:pt idx="28">
                    <c:v>Tertiary</c:v>
                  </c:pt>
                </c:lvl>
              </c:multiLvlStrCache>
            </c:multiLvlStrRef>
          </c:cat>
          <c:val>
            <c:numRef>
              <c:f>'GER and NER'!$C$94:$C$127</c:f>
              <c:numCache>
                <c:formatCode>0%</c:formatCode>
                <c:ptCount val="34"/>
                <c:pt idx="0">
                  <c:v>0.38580880000000001</c:v>
                </c:pt>
                <c:pt idx="1">
                  <c:v>0.29368349999999999</c:v>
                </c:pt>
                <c:pt idx="2">
                  <c:v>0.22376860000000001</c:v>
                </c:pt>
                <c:pt idx="3">
                  <c:v>0.59484179999999998</c:v>
                </c:pt>
                <c:pt idx="4">
                  <c:v>0.23077800000000001</c:v>
                </c:pt>
                <c:pt idx="5">
                  <c:v>0.62982450000000001</c:v>
                </c:pt>
                <c:pt idx="7">
                  <c:v>0.98653590000000002</c:v>
                </c:pt>
                <c:pt idx="8">
                  <c:v>0.79574920000000005</c:v>
                </c:pt>
                <c:pt idx="9">
                  <c:v>0.60374099999999997</c:v>
                </c:pt>
                <c:pt idx="10">
                  <c:v>1.0853010000000001</c:v>
                </c:pt>
                <c:pt idx="11">
                  <c:v>0.82413130000000001</c:v>
                </c:pt>
                <c:pt idx="12">
                  <c:v>0.99241349999999995</c:v>
                </c:pt>
                <c:pt idx="14">
                  <c:v>0.70313049999999999</c:v>
                </c:pt>
                <c:pt idx="15">
                  <c:v>0.53472750000000002</c:v>
                </c:pt>
                <c:pt idx="16">
                  <c:v>0.44631480000000001</c:v>
                </c:pt>
                <c:pt idx="17">
                  <c:v>0.79056249999999995</c:v>
                </c:pt>
                <c:pt idx="18">
                  <c:v>0.35859930000000001</c:v>
                </c:pt>
                <c:pt idx="19">
                  <c:v>0.82192330000000002</c:v>
                </c:pt>
                <c:pt idx="21">
                  <c:v>0.43885540000000001</c:v>
                </c:pt>
                <c:pt idx="22">
                  <c:v>0.37552590000000002</c:v>
                </c:pt>
                <c:pt idx="23">
                  <c:v>0.43918269999999998</c:v>
                </c:pt>
                <c:pt idx="24">
                  <c:v>0.60536760000000001</c:v>
                </c:pt>
                <c:pt idx="25">
                  <c:v>0.2005625</c:v>
                </c:pt>
                <c:pt idx="26">
                  <c:v>0.66390130000000003</c:v>
                </c:pt>
                <c:pt idx="28">
                  <c:v>6.2125300000000001E-2</c:v>
                </c:pt>
                <c:pt idx="29">
                  <c:v>5.2780800000000003E-2</c:v>
                </c:pt>
                <c:pt idx="30">
                  <c:v>7.8797500000000006E-2</c:v>
                </c:pt>
                <c:pt idx="31">
                  <c:v>0.1099975</c:v>
                </c:pt>
                <c:pt idx="32">
                  <c:v>2.14237E-2</c:v>
                </c:pt>
                <c:pt idx="33">
                  <c:v>9.5735299999999995E-2</c:v>
                </c:pt>
              </c:numCache>
            </c:numRef>
          </c:val>
          <c:extLst>
            <c:ext xmlns:c16="http://schemas.microsoft.com/office/drawing/2014/chart" uri="{C3380CC4-5D6E-409C-BE32-E72D297353CC}">
              <c16:uniqueId val="{00000000-E545-4FE4-9139-7BD4EFAD5FD0}"/>
            </c:ext>
          </c:extLst>
        </c:ser>
        <c:dLbls>
          <c:showLegendKey val="0"/>
          <c:showVal val="0"/>
          <c:showCatName val="0"/>
          <c:showSerName val="0"/>
          <c:showPercent val="0"/>
          <c:showBubbleSize val="0"/>
        </c:dLbls>
        <c:gapWidth val="219"/>
        <c:overlap val="-27"/>
        <c:axId val="230218032"/>
        <c:axId val="230218424"/>
      </c:barChart>
      <c:catAx>
        <c:axId val="23021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30218424"/>
        <c:crosses val="autoZero"/>
        <c:auto val="1"/>
        <c:lblAlgn val="ctr"/>
        <c:lblOffset val="100"/>
        <c:noMultiLvlLbl val="0"/>
      </c:catAx>
      <c:valAx>
        <c:axId val="230218424"/>
        <c:scaling>
          <c:orientation val="minMax"/>
        </c:scaling>
        <c:delete val="1"/>
        <c:axPos val="l"/>
        <c:numFmt formatCode="0%" sourceLinked="1"/>
        <c:majorTickMark val="none"/>
        <c:minorTickMark val="none"/>
        <c:tickLblPos val="nextTo"/>
        <c:crossAx val="230218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'GER and NER'!$A$58:$B$84</c:f>
              <c:multiLvlStrCache>
                <c:ptCount val="27"/>
                <c:lvl>
                  <c:pt idx="0">
                    <c:v>Region1</c:v>
                  </c:pt>
                  <c:pt idx="1">
                    <c:v>Region2</c:v>
                  </c:pt>
                  <c:pt idx="2">
                    <c:v>Region3</c:v>
                  </c:pt>
                  <c:pt idx="3">
                    <c:v>Region4</c:v>
                  </c:pt>
                  <c:pt idx="4">
                    <c:v>Region5</c:v>
                  </c:pt>
                  <c:pt idx="5">
                    <c:v>Region6</c:v>
                  </c:pt>
                  <c:pt idx="7">
                    <c:v>Region1</c:v>
                  </c:pt>
                  <c:pt idx="8">
                    <c:v>Region2</c:v>
                  </c:pt>
                  <c:pt idx="9">
                    <c:v>Region3</c:v>
                  </c:pt>
                  <c:pt idx="10">
                    <c:v>Region4</c:v>
                  </c:pt>
                  <c:pt idx="11">
                    <c:v>Region5</c:v>
                  </c:pt>
                  <c:pt idx="12">
                    <c:v>Region6</c:v>
                  </c:pt>
                  <c:pt idx="14">
                    <c:v>Region1</c:v>
                  </c:pt>
                  <c:pt idx="15">
                    <c:v>Region2</c:v>
                  </c:pt>
                  <c:pt idx="16">
                    <c:v>Region3</c:v>
                  </c:pt>
                  <c:pt idx="17">
                    <c:v>Region4</c:v>
                  </c:pt>
                  <c:pt idx="18">
                    <c:v>Region5</c:v>
                  </c:pt>
                  <c:pt idx="19">
                    <c:v>Region6</c:v>
                  </c:pt>
                  <c:pt idx="21">
                    <c:v>Region1</c:v>
                  </c:pt>
                  <c:pt idx="22">
                    <c:v>Region2</c:v>
                  </c:pt>
                  <c:pt idx="23">
                    <c:v>Region3</c:v>
                  </c:pt>
                  <c:pt idx="24">
                    <c:v>Region4</c:v>
                  </c:pt>
                  <c:pt idx="25">
                    <c:v>Region5</c:v>
                  </c:pt>
                  <c:pt idx="26">
                    <c:v>Region6</c:v>
                  </c:pt>
                </c:lvl>
                <c:lvl>
                  <c:pt idx="0">
                    <c:v>Preschool</c:v>
                  </c:pt>
                  <c:pt idx="7">
                    <c:v>LBS</c:v>
                  </c:pt>
                  <c:pt idx="14">
                    <c:v>UBS</c:v>
                  </c:pt>
                  <c:pt idx="21">
                    <c:v>SSS</c:v>
                  </c:pt>
                </c:lvl>
              </c:multiLvlStrCache>
            </c:multiLvlStrRef>
          </c:cat>
          <c:val>
            <c:numRef>
              <c:f>'GER and NER'!$C$58:$C$84</c:f>
              <c:numCache>
                <c:formatCode>0%</c:formatCode>
                <c:ptCount val="27"/>
                <c:pt idx="0">
                  <c:v>0.46489999999999998</c:v>
                </c:pt>
                <c:pt idx="1">
                  <c:v>0.47732069999999999</c:v>
                </c:pt>
                <c:pt idx="2">
                  <c:v>0.36099589999999998</c:v>
                </c:pt>
                <c:pt idx="3">
                  <c:v>0.26861679999999999</c:v>
                </c:pt>
                <c:pt idx="4">
                  <c:v>0.15058060000000001</c:v>
                </c:pt>
                <c:pt idx="5">
                  <c:v>0.22877910000000001</c:v>
                </c:pt>
                <c:pt idx="7">
                  <c:v>1.0124</c:v>
                </c:pt>
                <c:pt idx="8">
                  <c:v>0.95466689999999998</c:v>
                </c:pt>
                <c:pt idx="9">
                  <c:v>0.99528320000000003</c:v>
                </c:pt>
                <c:pt idx="10">
                  <c:v>0.79918100000000003</c:v>
                </c:pt>
                <c:pt idx="11">
                  <c:v>0.53284129999999996</c:v>
                </c:pt>
                <c:pt idx="12">
                  <c:v>0.80827190000000004</c:v>
                </c:pt>
                <c:pt idx="14">
                  <c:v>0.7468998</c:v>
                </c:pt>
                <c:pt idx="15">
                  <c:v>0.78937290000000004</c:v>
                </c:pt>
                <c:pt idx="16">
                  <c:v>0.61454540000000002</c:v>
                </c:pt>
                <c:pt idx="17">
                  <c:v>0.51562200000000002</c:v>
                </c:pt>
                <c:pt idx="18">
                  <c:v>0.31521490000000002</c:v>
                </c:pt>
                <c:pt idx="19">
                  <c:v>0.30562220000000001</c:v>
                </c:pt>
                <c:pt idx="21">
                  <c:v>0.58086459999999995</c:v>
                </c:pt>
                <c:pt idx="22">
                  <c:v>0.51892859999999996</c:v>
                </c:pt>
                <c:pt idx="23">
                  <c:v>0.31519000000000003</c:v>
                </c:pt>
                <c:pt idx="24">
                  <c:v>0.39297310000000002</c:v>
                </c:pt>
                <c:pt idx="25">
                  <c:v>0.24773590000000001</c:v>
                </c:pt>
                <c:pt idx="26">
                  <c:v>0.1438509</c:v>
                </c:pt>
              </c:numCache>
            </c:numRef>
          </c:val>
          <c:extLst>
            <c:ext xmlns:c16="http://schemas.microsoft.com/office/drawing/2014/chart" uri="{C3380CC4-5D6E-409C-BE32-E72D297353CC}">
              <c16:uniqueId val="{00000000-CD5F-4984-B213-17FF9AB125E7}"/>
            </c:ext>
          </c:extLst>
        </c:ser>
        <c:dLbls>
          <c:dLblPos val="outEnd"/>
          <c:showLegendKey val="0"/>
          <c:showVal val="1"/>
          <c:showCatName val="0"/>
          <c:showSerName val="0"/>
          <c:showPercent val="0"/>
          <c:showBubbleSize val="0"/>
        </c:dLbls>
        <c:gapWidth val="219"/>
        <c:overlap val="-27"/>
        <c:axId val="232816672"/>
        <c:axId val="232817064"/>
      </c:barChart>
      <c:catAx>
        <c:axId val="23281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2817064"/>
        <c:crosses val="autoZero"/>
        <c:auto val="1"/>
        <c:lblAlgn val="ctr"/>
        <c:lblOffset val="100"/>
        <c:noMultiLvlLbl val="0"/>
      </c:catAx>
      <c:valAx>
        <c:axId val="232817064"/>
        <c:scaling>
          <c:orientation val="minMax"/>
          <c:max val="1"/>
        </c:scaling>
        <c:delete val="1"/>
        <c:axPos val="l"/>
        <c:numFmt formatCode="0%" sourceLinked="1"/>
        <c:majorTickMark val="none"/>
        <c:minorTickMark val="none"/>
        <c:tickLblPos val="nextTo"/>
        <c:crossAx val="232816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48642834516274"/>
          <c:y val="4.0688646473605053E-2"/>
          <c:w val="0.82456717602152307"/>
          <c:h val="0.93717988041681166"/>
        </c:manualLayout>
      </c:layout>
      <c:barChart>
        <c:barDir val="bar"/>
        <c:grouping val="clustered"/>
        <c:varyColors val="0"/>
        <c:ser>
          <c:idx val="0"/>
          <c:order val="0"/>
          <c:tx>
            <c:strRef>
              <c:f>'District GER'!$C$137</c:f>
              <c:strCache>
                <c:ptCount val="1"/>
                <c:pt idx="0">
                  <c:v>Preschool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'District GER'!$A$138:$B$190</c:f>
              <c:multiLvlStrCache>
                <c:ptCount val="53"/>
                <c:lvl>
                  <c:pt idx="0">
                    <c:v>Bakau</c:v>
                  </c:pt>
                  <c:pt idx="1">
                    <c:v>Sere Kunda West</c:v>
                  </c:pt>
                  <c:pt idx="2">
                    <c:v>New Jeshwang</c:v>
                  </c:pt>
                  <c:pt idx="3">
                    <c:v>Sere Kunda Central</c:v>
                  </c:pt>
                  <c:pt idx="4">
                    <c:v>Banjul city council</c:v>
                  </c:pt>
                  <c:pt idx="5">
                    <c:v>Sere Kunda East</c:v>
                  </c:pt>
                  <c:pt idx="6">
                    <c:v>Banjul city council</c:v>
                  </c:pt>
                  <c:pt idx="7">
                    <c:v>Banjul city council</c:v>
                  </c:pt>
                  <c:pt idx="9">
                    <c:v>Kombo South</c:v>
                  </c:pt>
                  <c:pt idx="10">
                    <c:v>Kombo East</c:v>
                  </c:pt>
                  <c:pt idx="11">
                    <c:v>Foni Bondali</c:v>
                  </c:pt>
                  <c:pt idx="12">
                    <c:v>Kombo North</c:v>
                  </c:pt>
                  <c:pt idx="13">
                    <c:v>Kombo Central</c:v>
                  </c:pt>
                  <c:pt idx="14">
                    <c:v>Foni Jarrol</c:v>
                  </c:pt>
                  <c:pt idx="15">
                    <c:v>Foni Kansala</c:v>
                  </c:pt>
                  <c:pt idx="16">
                    <c:v>Foni Brefet</c:v>
                  </c:pt>
                  <c:pt idx="17">
                    <c:v>Foni Bintang Karanai</c:v>
                  </c:pt>
                  <c:pt idx="19">
                    <c:v>Sabach Sanjar</c:v>
                  </c:pt>
                  <c:pt idx="20">
                    <c:v>Illiasa</c:v>
                  </c:pt>
                  <c:pt idx="21">
                    <c:v>Upper Niumi</c:v>
                  </c:pt>
                  <c:pt idx="22">
                    <c:v>Central Badibu</c:v>
                  </c:pt>
                  <c:pt idx="23">
                    <c:v>Jokadu</c:v>
                  </c:pt>
                  <c:pt idx="24">
                    <c:v>Lower Badibu</c:v>
                  </c:pt>
                  <c:pt idx="25">
                    <c:v>Lower Niumi</c:v>
                  </c:pt>
                  <c:pt idx="27">
                    <c:v>Jarra East</c:v>
                  </c:pt>
                  <c:pt idx="28">
                    <c:v>Jarra Central</c:v>
                  </c:pt>
                  <c:pt idx="29">
                    <c:v>Jarra West</c:v>
                  </c:pt>
                  <c:pt idx="30">
                    <c:v>Kiang East</c:v>
                  </c:pt>
                  <c:pt idx="31">
                    <c:v>Kiang Central</c:v>
                  </c:pt>
                  <c:pt idx="32">
                    <c:v>Kiang West</c:v>
                  </c:pt>
                  <c:pt idx="34">
                    <c:v>Upper Saloum</c:v>
                  </c:pt>
                  <c:pt idx="35">
                    <c:v>Nianija</c:v>
                  </c:pt>
                  <c:pt idx="36">
                    <c:v>Lower Saloum</c:v>
                  </c:pt>
                  <c:pt idx="37">
                    <c:v>Niamina East</c:v>
                  </c:pt>
                  <c:pt idx="38">
                    <c:v>Niani</c:v>
                  </c:pt>
                  <c:pt idx="39">
                    <c:v>Sami</c:v>
                  </c:pt>
                  <c:pt idx="40">
                    <c:v>Niamina Dankunku</c:v>
                  </c:pt>
                  <c:pt idx="41">
                    <c:v>Upper Fuladu West</c:v>
                  </c:pt>
                  <c:pt idx="42">
                    <c:v>Lower Fuladu West</c:v>
                  </c:pt>
                  <c:pt idx="43">
                    <c:v>Niamina West</c:v>
                  </c:pt>
                  <c:pt idx="44">
                    <c:v>Janjanbureh</c:v>
                  </c:pt>
                  <c:pt idx="46">
                    <c:v>Sandu</c:v>
                  </c:pt>
                  <c:pt idx="47">
                    <c:v>Wuli West</c:v>
                  </c:pt>
                  <c:pt idx="48">
                    <c:v>Kantora</c:v>
                  </c:pt>
                  <c:pt idx="49">
                    <c:v>Wuli East</c:v>
                  </c:pt>
                  <c:pt idx="50">
                    <c:v>Tumana</c:v>
                  </c:pt>
                  <c:pt idx="51">
                    <c:v>Basse</c:v>
                  </c:pt>
                  <c:pt idx="52">
                    <c:v>Jimara</c:v>
                  </c:pt>
                </c:lvl>
                <c:lvl>
                  <c:pt idx="0">
                    <c:v>Region1</c:v>
                  </c:pt>
                  <c:pt idx="9">
                    <c:v>Region2</c:v>
                  </c:pt>
                  <c:pt idx="19">
                    <c:v>Region3</c:v>
                  </c:pt>
                  <c:pt idx="27">
                    <c:v>Region4</c:v>
                  </c:pt>
                  <c:pt idx="34">
                    <c:v>Region5</c:v>
                  </c:pt>
                  <c:pt idx="46">
                    <c:v>Region6</c:v>
                  </c:pt>
                </c:lvl>
              </c:multiLvlStrCache>
            </c:multiLvlStrRef>
          </c:cat>
          <c:val>
            <c:numRef>
              <c:f>'District GER'!$C$138:$C$190</c:f>
              <c:numCache>
                <c:formatCode>_*\ #,##0.0;_*\ #,##0.0;_(* "-"??_);_(@_)</c:formatCode>
                <c:ptCount val="53"/>
                <c:pt idx="0">
                  <c:v>-66.680840000000003</c:v>
                </c:pt>
                <c:pt idx="1">
                  <c:v>-59.948729999999998</c:v>
                </c:pt>
                <c:pt idx="2">
                  <c:v>-39.98847</c:v>
                </c:pt>
                <c:pt idx="3">
                  <c:v>-49.986930000000001</c:v>
                </c:pt>
                <c:pt idx="4">
                  <c:v>-46.982059999999997</c:v>
                </c:pt>
                <c:pt idx="5">
                  <c:v>-33.87406</c:v>
                </c:pt>
                <c:pt idx="6">
                  <c:v>-44.467259999999996</c:v>
                </c:pt>
                <c:pt idx="7">
                  <c:v>-87.111410000000006</c:v>
                </c:pt>
                <c:pt idx="9">
                  <c:v>-47.142119999999998</c:v>
                </c:pt>
                <c:pt idx="10">
                  <c:v>-41.638109999999998</c:v>
                </c:pt>
                <c:pt idx="11">
                  <c:v>-54.158589999999997</c:v>
                </c:pt>
                <c:pt idx="12">
                  <c:v>-47.70402</c:v>
                </c:pt>
                <c:pt idx="13">
                  <c:v>-38.729430000000001</c:v>
                </c:pt>
                <c:pt idx="14">
                  <c:v>-101.2375</c:v>
                </c:pt>
                <c:pt idx="15">
                  <c:v>-61.02073</c:v>
                </c:pt>
                <c:pt idx="16">
                  <c:v>-59.526109999999996</c:v>
                </c:pt>
                <c:pt idx="17">
                  <c:v>-85.069140000000004</c:v>
                </c:pt>
                <c:pt idx="19">
                  <c:v>-8.5876199999999994</c:v>
                </c:pt>
                <c:pt idx="20">
                  <c:v>-17.51078</c:v>
                </c:pt>
                <c:pt idx="21">
                  <c:v>-24.801680000000001</c:v>
                </c:pt>
                <c:pt idx="22">
                  <c:v>-22.269480000000001</c:v>
                </c:pt>
                <c:pt idx="23">
                  <c:v>-32.246130000000001</c:v>
                </c:pt>
                <c:pt idx="24">
                  <c:v>-25.125360000000001</c:v>
                </c:pt>
                <c:pt idx="25">
                  <c:v>-48.796129999999998</c:v>
                </c:pt>
                <c:pt idx="27">
                  <c:v>-13.685059999999998</c:v>
                </c:pt>
                <c:pt idx="28">
                  <c:v>-22.163530000000002</c:v>
                </c:pt>
                <c:pt idx="29">
                  <c:v>-33.2119</c:v>
                </c:pt>
                <c:pt idx="30">
                  <c:v>-40.749560000000002</c:v>
                </c:pt>
                <c:pt idx="31">
                  <c:v>-54.606670000000001</c:v>
                </c:pt>
                <c:pt idx="32">
                  <c:v>-55.600570000000005</c:v>
                </c:pt>
                <c:pt idx="34">
                  <c:v>-3.5290900000000001</c:v>
                </c:pt>
                <c:pt idx="35">
                  <c:v>-7.5191400000000002</c:v>
                </c:pt>
                <c:pt idx="36">
                  <c:v>-3.8407900000000001</c:v>
                </c:pt>
                <c:pt idx="37">
                  <c:v>-9.8413299999999992</c:v>
                </c:pt>
                <c:pt idx="38">
                  <c:v>-12.26887</c:v>
                </c:pt>
                <c:pt idx="39">
                  <c:v>-12.821809999999999</c:v>
                </c:pt>
                <c:pt idx="40">
                  <c:v>-16.6828</c:v>
                </c:pt>
                <c:pt idx="41">
                  <c:v>-32.35192</c:v>
                </c:pt>
                <c:pt idx="42">
                  <c:v>-17.724450000000001</c:v>
                </c:pt>
                <c:pt idx="43">
                  <c:v>-15.345809999999998</c:v>
                </c:pt>
                <c:pt idx="44">
                  <c:v>-42.676679999999998</c:v>
                </c:pt>
                <c:pt idx="46">
                  <c:v>-11.660080000000001</c:v>
                </c:pt>
                <c:pt idx="47">
                  <c:v>-15.020240000000001</c:v>
                </c:pt>
                <c:pt idx="48">
                  <c:v>-13.948440000000002</c:v>
                </c:pt>
                <c:pt idx="49">
                  <c:v>-17.689319999999999</c:v>
                </c:pt>
                <c:pt idx="50">
                  <c:v>-27.191949999999999</c:v>
                </c:pt>
                <c:pt idx="51">
                  <c:v>-34.532879999999999</c:v>
                </c:pt>
                <c:pt idx="52">
                  <c:v>-31.49344</c:v>
                </c:pt>
              </c:numCache>
            </c:numRef>
          </c:val>
          <c:extLst>
            <c:ext xmlns:c16="http://schemas.microsoft.com/office/drawing/2014/chart" uri="{C3380CC4-5D6E-409C-BE32-E72D297353CC}">
              <c16:uniqueId val="{00000000-C4DC-4572-A478-95165BCCF1E5}"/>
            </c:ext>
          </c:extLst>
        </c:ser>
        <c:ser>
          <c:idx val="1"/>
          <c:order val="1"/>
          <c:tx>
            <c:strRef>
              <c:f>'District GER'!$D$137</c:f>
              <c:strCache>
                <c:ptCount val="1"/>
                <c:pt idx="0">
                  <c:v>LBS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'District GER'!$A$138:$B$190</c:f>
              <c:multiLvlStrCache>
                <c:ptCount val="53"/>
                <c:lvl>
                  <c:pt idx="0">
                    <c:v>Bakau</c:v>
                  </c:pt>
                  <c:pt idx="1">
                    <c:v>Sere Kunda West</c:v>
                  </c:pt>
                  <c:pt idx="2">
                    <c:v>New Jeshwang</c:v>
                  </c:pt>
                  <c:pt idx="3">
                    <c:v>Sere Kunda Central</c:v>
                  </c:pt>
                  <c:pt idx="4">
                    <c:v>Banjul city council</c:v>
                  </c:pt>
                  <c:pt idx="5">
                    <c:v>Sere Kunda East</c:v>
                  </c:pt>
                  <c:pt idx="6">
                    <c:v>Banjul city council</c:v>
                  </c:pt>
                  <c:pt idx="7">
                    <c:v>Banjul city council</c:v>
                  </c:pt>
                  <c:pt idx="9">
                    <c:v>Kombo South</c:v>
                  </c:pt>
                  <c:pt idx="10">
                    <c:v>Kombo East</c:v>
                  </c:pt>
                  <c:pt idx="11">
                    <c:v>Foni Bondali</c:v>
                  </c:pt>
                  <c:pt idx="12">
                    <c:v>Kombo North</c:v>
                  </c:pt>
                  <c:pt idx="13">
                    <c:v>Kombo Central</c:v>
                  </c:pt>
                  <c:pt idx="14">
                    <c:v>Foni Jarrol</c:v>
                  </c:pt>
                  <c:pt idx="15">
                    <c:v>Foni Kansala</c:v>
                  </c:pt>
                  <c:pt idx="16">
                    <c:v>Foni Brefet</c:v>
                  </c:pt>
                  <c:pt idx="17">
                    <c:v>Foni Bintang Karanai</c:v>
                  </c:pt>
                  <c:pt idx="19">
                    <c:v>Sabach Sanjar</c:v>
                  </c:pt>
                  <c:pt idx="20">
                    <c:v>Illiasa</c:v>
                  </c:pt>
                  <c:pt idx="21">
                    <c:v>Upper Niumi</c:v>
                  </c:pt>
                  <c:pt idx="22">
                    <c:v>Central Badibu</c:v>
                  </c:pt>
                  <c:pt idx="23">
                    <c:v>Jokadu</c:v>
                  </c:pt>
                  <c:pt idx="24">
                    <c:v>Lower Badibu</c:v>
                  </c:pt>
                  <c:pt idx="25">
                    <c:v>Lower Niumi</c:v>
                  </c:pt>
                  <c:pt idx="27">
                    <c:v>Jarra East</c:v>
                  </c:pt>
                  <c:pt idx="28">
                    <c:v>Jarra Central</c:v>
                  </c:pt>
                  <c:pt idx="29">
                    <c:v>Jarra West</c:v>
                  </c:pt>
                  <c:pt idx="30">
                    <c:v>Kiang East</c:v>
                  </c:pt>
                  <c:pt idx="31">
                    <c:v>Kiang Central</c:v>
                  </c:pt>
                  <c:pt idx="32">
                    <c:v>Kiang West</c:v>
                  </c:pt>
                  <c:pt idx="34">
                    <c:v>Upper Saloum</c:v>
                  </c:pt>
                  <c:pt idx="35">
                    <c:v>Nianija</c:v>
                  </c:pt>
                  <c:pt idx="36">
                    <c:v>Lower Saloum</c:v>
                  </c:pt>
                  <c:pt idx="37">
                    <c:v>Niamina East</c:v>
                  </c:pt>
                  <c:pt idx="38">
                    <c:v>Niani</c:v>
                  </c:pt>
                  <c:pt idx="39">
                    <c:v>Sami</c:v>
                  </c:pt>
                  <c:pt idx="40">
                    <c:v>Niamina Dankunku</c:v>
                  </c:pt>
                  <c:pt idx="41">
                    <c:v>Upper Fuladu West</c:v>
                  </c:pt>
                  <c:pt idx="42">
                    <c:v>Lower Fuladu West</c:v>
                  </c:pt>
                  <c:pt idx="43">
                    <c:v>Niamina West</c:v>
                  </c:pt>
                  <c:pt idx="44">
                    <c:v>Janjanbureh</c:v>
                  </c:pt>
                  <c:pt idx="46">
                    <c:v>Sandu</c:v>
                  </c:pt>
                  <c:pt idx="47">
                    <c:v>Wuli West</c:v>
                  </c:pt>
                  <c:pt idx="48">
                    <c:v>Kantora</c:v>
                  </c:pt>
                  <c:pt idx="49">
                    <c:v>Wuli East</c:v>
                  </c:pt>
                  <c:pt idx="50">
                    <c:v>Tumana</c:v>
                  </c:pt>
                  <c:pt idx="51">
                    <c:v>Basse</c:v>
                  </c:pt>
                  <c:pt idx="52">
                    <c:v>Jimara</c:v>
                  </c:pt>
                </c:lvl>
                <c:lvl>
                  <c:pt idx="0">
                    <c:v>Region1</c:v>
                  </c:pt>
                  <c:pt idx="9">
                    <c:v>Region2</c:v>
                  </c:pt>
                  <c:pt idx="19">
                    <c:v>Region3</c:v>
                  </c:pt>
                  <c:pt idx="27">
                    <c:v>Region4</c:v>
                  </c:pt>
                  <c:pt idx="34">
                    <c:v>Region5</c:v>
                  </c:pt>
                  <c:pt idx="46">
                    <c:v>Region6</c:v>
                  </c:pt>
                </c:lvl>
              </c:multiLvlStrCache>
            </c:multiLvlStrRef>
          </c:cat>
          <c:val>
            <c:numRef>
              <c:f>'District GER'!$D$138:$D$190</c:f>
              <c:numCache>
                <c:formatCode>0.0</c:formatCode>
                <c:ptCount val="53"/>
                <c:pt idx="0">
                  <c:v>81.489170000000001</c:v>
                </c:pt>
                <c:pt idx="1">
                  <c:v>94.804580000000001</c:v>
                </c:pt>
                <c:pt idx="2">
                  <c:v>96.653009999999995</c:v>
                </c:pt>
                <c:pt idx="3">
                  <c:v>102.5158</c:v>
                </c:pt>
                <c:pt idx="4">
                  <c:v>110.0262</c:v>
                </c:pt>
                <c:pt idx="5">
                  <c:v>111.9474</c:v>
                </c:pt>
                <c:pt idx="6">
                  <c:v>112.4515</c:v>
                </c:pt>
                <c:pt idx="7">
                  <c:v>113.49549999999999</c:v>
                </c:pt>
                <c:pt idx="9">
                  <c:v>82.223210000000009</c:v>
                </c:pt>
                <c:pt idx="10">
                  <c:v>88.253240000000005</c:v>
                </c:pt>
                <c:pt idx="11">
                  <c:v>90.969470000000001</c:v>
                </c:pt>
                <c:pt idx="12">
                  <c:v>95.841120000000004</c:v>
                </c:pt>
                <c:pt idx="13">
                  <c:v>100.20100000000001</c:v>
                </c:pt>
                <c:pt idx="14">
                  <c:v>105.6225</c:v>
                </c:pt>
                <c:pt idx="15">
                  <c:v>112.62559999999999</c:v>
                </c:pt>
                <c:pt idx="16">
                  <c:v>113.16219999999998</c:v>
                </c:pt>
                <c:pt idx="17">
                  <c:v>120.62759999999999</c:v>
                </c:pt>
                <c:pt idx="19">
                  <c:v>41.941589999999998</c:v>
                </c:pt>
                <c:pt idx="20">
                  <c:v>67.112009999999998</c:v>
                </c:pt>
                <c:pt idx="21">
                  <c:v>79.648480000000006</c:v>
                </c:pt>
                <c:pt idx="22">
                  <c:v>86.269869999999997</c:v>
                </c:pt>
                <c:pt idx="23">
                  <c:v>90.93</c:v>
                </c:pt>
                <c:pt idx="24">
                  <c:v>92.227609999999999</c:v>
                </c:pt>
                <c:pt idx="25">
                  <c:v>99.325589999999991</c:v>
                </c:pt>
                <c:pt idx="27">
                  <c:v>73.466319999999996</c:v>
                </c:pt>
                <c:pt idx="28">
                  <c:v>97.869450000000001</c:v>
                </c:pt>
                <c:pt idx="29">
                  <c:v>100.24409999999999</c:v>
                </c:pt>
                <c:pt idx="30">
                  <c:v>100.36179999999999</c:v>
                </c:pt>
                <c:pt idx="31">
                  <c:v>112.34869999999999</c:v>
                </c:pt>
                <c:pt idx="32">
                  <c:v>117.94210000000001</c:v>
                </c:pt>
                <c:pt idx="34">
                  <c:v>24.370159999999998</c:v>
                </c:pt>
                <c:pt idx="35">
                  <c:v>34.090499999999999</c:v>
                </c:pt>
                <c:pt idx="36">
                  <c:v>37.221330000000002</c:v>
                </c:pt>
                <c:pt idx="37">
                  <c:v>47.809899999999999</c:v>
                </c:pt>
                <c:pt idx="38">
                  <c:v>51.414389999999997</c:v>
                </c:pt>
                <c:pt idx="39">
                  <c:v>55.876660000000001</c:v>
                </c:pt>
                <c:pt idx="40">
                  <c:v>59.171779999999998</c:v>
                </c:pt>
                <c:pt idx="41">
                  <c:v>63.512230000000002</c:v>
                </c:pt>
                <c:pt idx="42">
                  <c:v>64.856939999999994</c:v>
                </c:pt>
                <c:pt idx="43">
                  <c:v>71.571470000000005</c:v>
                </c:pt>
                <c:pt idx="44">
                  <c:v>86.847390000000004</c:v>
                </c:pt>
                <c:pt idx="46">
                  <c:v>61.992429999999999</c:v>
                </c:pt>
                <c:pt idx="47">
                  <c:v>63.350249999999996</c:v>
                </c:pt>
                <c:pt idx="48">
                  <c:v>71.288690000000003</c:v>
                </c:pt>
                <c:pt idx="49">
                  <c:v>76.161379999999994</c:v>
                </c:pt>
                <c:pt idx="50">
                  <c:v>87.785240000000002</c:v>
                </c:pt>
                <c:pt idx="51">
                  <c:v>93.584630000000004</c:v>
                </c:pt>
                <c:pt idx="52">
                  <c:v>94.316980000000001</c:v>
                </c:pt>
              </c:numCache>
            </c:numRef>
          </c:val>
          <c:extLst>
            <c:ext xmlns:c16="http://schemas.microsoft.com/office/drawing/2014/chart" uri="{C3380CC4-5D6E-409C-BE32-E72D297353CC}">
              <c16:uniqueId val="{00000001-C4DC-4572-A478-95165BCCF1E5}"/>
            </c:ext>
          </c:extLst>
        </c:ser>
        <c:dLbls>
          <c:showLegendKey val="0"/>
          <c:showVal val="0"/>
          <c:showCatName val="0"/>
          <c:showSerName val="0"/>
          <c:showPercent val="0"/>
          <c:showBubbleSize val="0"/>
        </c:dLbls>
        <c:gapWidth val="10"/>
        <c:overlap val="100"/>
        <c:axId val="453060728"/>
        <c:axId val="453060336"/>
      </c:barChart>
      <c:catAx>
        <c:axId val="453060728"/>
        <c:scaling>
          <c:orientation val="maxMin"/>
        </c:scaling>
        <c:delete val="0"/>
        <c:axPos val="l"/>
        <c:majorGridlines>
          <c:spPr>
            <a:ln w="9525" cap="flat" cmpd="sng" algn="ctr">
              <a:noFill/>
              <a:round/>
            </a:ln>
            <a:effectLst/>
          </c:spPr>
        </c:majorGridlines>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53060336"/>
        <c:crosses val="autoZero"/>
        <c:auto val="1"/>
        <c:lblAlgn val="ctr"/>
        <c:lblOffset val="100"/>
        <c:noMultiLvlLbl val="0"/>
      </c:catAx>
      <c:valAx>
        <c:axId val="453060336"/>
        <c:scaling>
          <c:orientation val="minMax"/>
        </c:scaling>
        <c:delete val="0"/>
        <c:axPos val="b"/>
        <c:majorGridlines>
          <c:spPr>
            <a:ln w="9525" cap="flat" cmpd="sng" algn="ctr">
              <a:solidFill>
                <a:schemeClr val="tx1">
                  <a:lumMod val="15000"/>
                  <a:lumOff val="85000"/>
                </a:schemeClr>
              </a:solidFill>
              <a:round/>
            </a:ln>
            <a:effectLst/>
          </c:spPr>
        </c:majorGridlines>
        <c:numFmt formatCode="#,##0.00_);[Black]#,##0.00" sourceLinked="0"/>
        <c:majorTickMark val="out"/>
        <c:minorTickMark val="none"/>
        <c:tickLblPos val="high"/>
        <c:spPr>
          <a:noFill/>
          <a:ln>
            <a:solidFill>
              <a:schemeClr val="tx1"/>
            </a:solidFill>
          </a:ln>
          <a:effectLst/>
        </c:spPr>
        <c:txPr>
          <a:bodyPr rot="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53060728"/>
        <c:crosses val="max"/>
        <c:crossBetween val="midCat"/>
      </c:valAx>
      <c:spPr>
        <a:noFill/>
        <a:ln>
          <a:noFill/>
        </a:ln>
        <a:effectLst/>
      </c:spPr>
    </c:plotArea>
    <c:legend>
      <c:legendPos val="b"/>
      <c:layout>
        <c:manualLayout>
          <c:xMode val="edge"/>
          <c:yMode val="edge"/>
          <c:x val="0.35153854017583314"/>
          <c:y val="6.2768237924400198E-3"/>
          <c:w val="0.42565276732228091"/>
          <c:h val="2.558137859782665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600"/>
      </a:pPr>
      <a:endParaRPr lang="en-US"/>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495181118811547E-2"/>
          <c:y val="1.9877598424862957E-2"/>
          <c:w val="0.90858155376158978"/>
          <c:h val="0.80641399057251384"/>
        </c:manualLayout>
      </c:layout>
      <c:barChart>
        <c:barDir val="col"/>
        <c:grouping val="stacked"/>
        <c:varyColors val="0"/>
        <c:ser>
          <c:idx val="0"/>
          <c:order val="0"/>
          <c:tx>
            <c:strRef>
              <c:f>'Out-of-school'!$Q$3</c:f>
              <c:strCache>
                <c:ptCount val="1"/>
                <c:pt idx="0">
                  <c:v>Never attended</c:v>
                </c:pt>
              </c:strCache>
            </c:strRef>
          </c:tx>
          <c:spPr>
            <a:solidFill>
              <a:schemeClr val="accent1"/>
            </a:solidFill>
            <a:ln>
              <a:noFill/>
            </a:ln>
            <a:effectLst/>
          </c:spPr>
          <c:invertIfNegative val="0"/>
          <c:cat>
            <c:multiLvlStrRef>
              <c:f>'Out-of-school'!$N$4:$P$23</c:f>
              <c:multiLvlStrCache>
                <c:ptCount val="20"/>
                <c:lvl>
                  <c:pt idx="0">
                    <c:v>Total</c:v>
                  </c:pt>
                  <c:pt idx="1">
                    <c:v>Male</c:v>
                  </c:pt>
                  <c:pt idx="2">
                    <c:v>Female</c:v>
                  </c:pt>
                  <c:pt idx="4">
                    <c:v>Urban</c:v>
                  </c:pt>
                  <c:pt idx="5">
                    <c:v>Rural</c:v>
                  </c:pt>
                  <c:pt idx="7">
                    <c:v>Total</c:v>
                  </c:pt>
                  <c:pt idx="8">
                    <c:v>Male</c:v>
                  </c:pt>
                  <c:pt idx="9">
                    <c:v>Female</c:v>
                  </c:pt>
                  <c:pt idx="11">
                    <c:v>Urban</c:v>
                  </c:pt>
                  <c:pt idx="12">
                    <c:v>Rural</c:v>
                  </c:pt>
                  <c:pt idx="14">
                    <c:v>Total</c:v>
                  </c:pt>
                  <c:pt idx="15">
                    <c:v>Male</c:v>
                  </c:pt>
                  <c:pt idx="16">
                    <c:v>Female</c:v>
                  </c:pt>
                  <c:pt idx="18">
                    <c:v>Urban</c:v>
                  </c:pt>
                  <c:pt idx="19">
                    <c:v>Rural</c:v>
                  </c:pt>
                </c:lvl>
                <c:lvl>
                  <c:pt idx="0">
                    <c:v>sex</c:v>
                  </c:pt>
                  <c:pt idx="4">
                    <c:v>Area</c:v>
                  </c:pt>
                  <c:pt idx="7">
                    <c:v>sex</c:v>
                  </c:pt>
                  <c:pt idx="11">
                    <c:v>Area</c:v>
                  </c:pt>
                  <c:pt idx="14">
                    <c:v>sex</c:v>
                  </c:pt>
                  <c:pt idx="18">
                    <c:v>Area</c:v>
                  </c:pt>
                </c:lvl>
                <c:lvl>
                  <c:pt idx="0">
                    <c:v>LBS</c:v>
                  </c:pt>
                  <c:pt idx="7">
                    <c:v>UBS</c:v>
                  </c:pt>
                  <c:pt idx="14">
                    <c:v>SSS</c:v>
                  </c:pt>
                </c:lvl>
              </c:multiLvlStrCache>
            </c:multiLvlStrRef>
          </c:cat>
          <c:val>
            <c:numRef>
              <c:f>'Out-of-school'!$Q$4:$Q$23</c:f>
              <c:numCache>
                <c:formatCode>_(* #,##0.0_);_(* \(#,##0.0\);_(* "-"??_);_(@_)</c:formatCode>
                <c:ptCount val="20"/>
                <c:pt idx="0">
                  <c:v>28.83</c:v>
                </c:pt>
                <c:pt idx="1">
                  <c:v>30.1</c:v>
                </c:pt>
                <c:pt idx="2">
                  <c:v>27.5</c:v>
                </c:pt>
                <c:pt idx="4">
                  <c:v>19.82</c:v>
                </c:pt>
                <c:pt idx="5">
                  <c:v>37.549999999999997</c:v>
                </c:pt>
                <c:pt idx="7">
                  <c:v>23.97</c:v>
                </c:pt>
                <c:pt idx="8">
                  <c:v>25.85</c:v>
                </c:pt>
                <c:pt idx="9">
                  <c:v>22.3</c:v>
                </c:pt>
                <c:pt idx="11">
                  <c:v>13.2</c:v>
                </c:pt>
                <c:pt idx="12">
                  <c:v>35.86</c:v>
                </c:pt>
                <c:pt idx="14">
                  <c:v>26.58</c:v>
                </c:pt>
                <c:pt idx="15">
                  <c:v>29.3</c:v>
                </c:pt>
                <c:pt idx="16">
                  <c:v>24.44</c:v>
                </c:pt>
                <c:pt idx="18">
                  <c:v>15.43</c:v>
                </c:pt>
                <c:pt idx="19">
                  <c:v>41.39</c:v>
                </c:pt>
              </c:numCache>
            </c:numRef>
          </c:val>
          <c:extLst>
            <c:ext xmlns:c16="http://schemas.microsoft.com/office/drawing/2014/chart" uri="{C3380CC4-5D6E-409C-BE32-E72D297353CC}">
              <c16:uniqueId val="{00000000-70E2-4BAF-A62F-9A763D04D5B2}"/>
            </c:ext>
          </c:extLst>
        </c:ser>
        <c:ser>
          <c:idx val="1"/>
          <c:order val="1"/>
          <c:tx>
            <c:strRef>
              <c:f>'Out-of-school'!$R$3</c:f>
              <c:strCache>
                <c:ptCount val="1"/>
                <c:pt idx="0">
                  <c:v>Dropout</c:v>
                </c:pt>
              </c:strCache>
            </c:strRef>
          </c:tx>
          <c:spPr>
            <a:solidFill>
              <a:schemeClr val="accent2"/>
            </a:solidFill>
            <a:ln>
              <a:noFill/>
            </a:ln>
            <a:effectLst/>
          </c:spPr>
          <c:invertIfNegative val="0"/>
          <c:cat>
            <c:multiLvlStrRef>
              <c:f>'Out-of-school'!$N$4:$P$23</c:f>
              <c:multiLvlStrCache>
                <c:ptCount val="20"/>
                <c:lvl>
                  <c:pt idx="0">
                    <c:v>Total</c:v>
                  </c:pt>
                  <c:pt idx="1">
                    <c:v>Male</c:v>
                  </c:pt>
                  <c:pt idx="2">
                    <c:v>Female</c:v>
                  </c:pt>
                  <c:pt idx="4">
                    <c:v>Urban</c:v>
                  </c:pt>
                  <c:pt idx="5">
                    <c:v>Rural</c:v>
                  </c:pt>
                  <c:pt idx="7">
                    <c:v>Total</c:v>
                  </c:pt>
                  <c:pt idx="8">
                    <c:v>Male</c:v>
                  </c:pt>
                  <c:pt idx="9">
                    <c:v>Female</c:v>
                  </c:pt>
                  <c:pt idx="11">
                    <c:v>Urban</c:v>
                  </c:pt>
                  <c:pt idx="12">
                    <c:v>Rural</c:v>
                  </c:pt>
                  <c:pt idx="14">
                    <c:v>Total</c:v>
                  </c:pt>
                  <c:pt idx="15">
                    <c:v>Male</c:v>
                  </c:pt>
                  <c:pt idx="16">
                    <c:v>Female</c:v>
                  </c:pt>
                  <c:pt idx="18">
                    <c:v>Urban</c:v>
                  </c:pt>
                  <c:pt idx="19">
                    <c:v>Rural</c:v>
                  </c:pt>
                </c:lvl>
                <c:lvl>
                  <c:pt idx="0">
                    <c:v>sex</c:v>
                  </c:pt>
                  <c:pt idx="4">
                    <c:v>Area</c:v>
                  </c:pt>
                  <c:pt idx="7">
                    <c:v>sex</c:v>
                  </c:pt>
                  <c:pt idx="11">
                    <c:v>Area</c:v>
                  </c:pt>
                  <c:pt idx="14">
                    <c:v>sex</c:v>
                  </c:pt>
                  <c:pt idx="18">
                    <c:v>Area</c:v>
                  </c:pt>
                </c:lvl>
                <c:lvl>
                  <c:pt idx="0">
                    <c:v>LBS</c:v>
                  </c:pt>
                  <c:pt idx="7">
                    <c:v>UBS</c:v>
                  </c:pt>
                  <c:pt idx="14">
                    <c:v>SSS</c:v>
                  </c:pt>
                </c:lvl>
              </c:multiLvlStrCache>
            </c:multiLvlStrRef>
          </c:cat>
          <c:val>
            <c:numRef>
              <c:f>'Out-of-school'!$R$4:$R$23</c:f>
              <c:numCache>
                <c:formatCode>_(* #,##0.0_);_(* \(#,##0.0\);_(* "-"??_);_(@_)</c:formatCode>
                <c:ptCount val="20"/>
                <c:pt idx="0">
                  <c:v>1.49</c:v>
                </c:pt>
                <c:pt idx="1">
                  <c:v>1.28</c:v>
                </c:pt>
                <c:pt idx="2">
                  <c:v>1.72</c:v>
                </c:pt>
                <c:pt idx="4">
                  <c:v>1.85</c:v>
                </c:pt>
                <c:pt idx="5">
                  <c:v>1.1499999999999999</c:v>
                </c:pt>
                <c:pt idx="7">
                  <c:v>5.75</c:v>
                </c:pt>
                <c:pt idx="8">
                  <c:v>6.19</c:v>
                </c:pt>
                <c:pt idx="9">
                  <c:v>5.36</c:v>
                </c:pt>
                <c:pt idx="11">
                  <c:v>6.08</c:v>
                </c:pt>
                <c:pt idx="12">
                  <c:v>5.38</c:v>
                </c:pt>
                <c:pt idx="14">
                  <c:v>16.18</c:v>
                </c:pt>
                <c:pt idx="15">
                  <c:v>13.56</c:v>
                </c:pt>
                <c:pt idx="16">
                  <c:v>18.23</c:v>
                </c:pt>
                <c:pt idx="18">
                  <c:v>17.75</c:v>
                </c:pt>
                <c:pt idx="19">
                  <c:v>14.09</c:v>
                </c:pt>
              </c:numCache>
            </c:numRef>
          </c:val>
          <c:extLst>
            <c:ext xmlns:c16="http://schemas.microsoft.com/office/drawing/2014/chart" uri="{C3380CC4-5D6E-409C-BE32-E72D297353CC}">
              <c16:uniqueId val="{00000001-70E2-4BAF-A62F-9A763D04D5B2}"/>
            </c:ext>
          </c:extLst>
        </c:ser>
        <c:dLbls>
          <c:showLegendKey val="0"/>
          <c:showVal val="0"/>
          <c:showCatName val="0"/>
          <c:showSerName val="0"/>
          <c:showPercent val="0"/>
          <c:showBubbleSize val="0"/>
        </c:dLbls>
        <c:gapWidth val="150"/>
        <c:overlap val="100"/>
        <c:axId val="453067392"/>
        <c:axId val="453067784"/>
      </c:barChart>
      <c:catAx>
        <c:axId val="453067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067784"/>
        <c:crosses val="autoZero"/>
        <c:auto val="1"/>
        <c:lblAlgn val="ctr"/>
        <c:lblOffset val="100"/>
        <c:noMultiLvlLbl val="0"/>
      </c:catAx>
      <c:valAx>
        <c:axId val="453067784"/>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067392"/>
        <c:crosses val="autoZero"/>
        <c:crossBetween val="between"/>
      </c:valAx>
      <c:spPr>
        <a:noFill/>
        <a:ln>
          <a:noFill/>
        </a:ln>
        <a:effectLst/>
      </c:spPr>
    </c:plotArea>
    <c:legend>
      <c:legendPos val="b"/>
      <c:layout>
        <c:manualLayout>
          <c:xMode val="edge"/>
          <c:yMode val="edge"/>
          <c:x val="0.35962534913231264"/>
          <c:y val="8.6446600462729326E-2"/>
          <c:w val="0.17312584330813124"/>
          <c:h val="0.143255291395709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495181118811547E-2"/>
          <c:y val="1.9877598424862957E-2"/>
          <c:w val="0.90858155376158978"/>
          <c:h val="0.85537359260419588"/>
        </c:manualLayout>
      </c:layout>
      <c:barChart>
        <c:barDir val="col"/>
        <c:grouping val="stacked"/>
        <c:varyColors val="0"/>
        <c:ser>
          <c:idx val="0"/>
          <c:order val="0"/>
          <c:tx>
            <c:strRef>
              <c:f>'Out-of-school'!$Q$29</c:f>
              <c:strCache>
                <c:ptCount val="1"/>
                <c:pt idx="0">
                  <c:v>Never attended</c:v>
                </c:pt>
              </c:strCache>
            </c:strRef>
          </c:tx>
          <c:spPr>
            <a:solidFill>
              <a:schemeClr val="accent1"/>
            </a:solidFill>
            <a:ln>
              <a:noFill/>
            </a:ln>
            <a:effectLst/>
          </c:spPr>
          <c:invertIfNegative val="0"/>
          <c:cat>
            <c:multiLvlStrRef>
              <c:f>'Out-of-school'!$O$30:$P$46</c:f>
              <c:multiLvlStrCache>
                <c:ptCount val="17"/>
                <c:lvl>
                  <c:pt idx="0">
                    <c:v>Q1</c:v>
                  </c:pt>
                  <c:pt idx="1">
                    <c:v>Q2</c:v>
                  </c:pt>
                  <c:pt idx="2">
                    <c:v>Q3</c:v>
                  </c:pt>
                  <c:pt idx="3">
                    <c:v>Q4</c:v>
                  </c:pt>
                  <c:pt idx="4">
                    <c:v>Q5</c:v>
                  </c:pt>
                  <c:pt idx="6">
                    <c:v>Q1</c:v>
                  </c:pt>
                  <c:pt idx="7">
                    <c:v>Q2</c:v>
                  </c:pt>
                  <c:pt idx="8">
                    <c:v>Q3</c:v>
                  </c:pt>
                  <c:pt idx="9">
                    <c:v>Q4</c:v>
                  </c:pt>
                  <c:pt idx="10">
                    <c:v>Q5</c:v>
                  </c:pt>
                  <c:pt idx="12">
                    <c:v>Q1</c:v>
                  </c:pt>
                  <c:pt idx="13">
                    <c:v>Q2</c:v>
                  </c:pt>
                  <c:pt idx="14">
                    <c:v>Q3</c:v>
                  </c:pt>
                  <c:pt idx="15">
                    <c:v>Q4</c:v>
                  </c:pt>
                  <c:pt idx="16">
                    <c:v>Q5</c:v>
                  </c:pt>
                </c:lvl>
                <c:lvl>
                  <c:pt idx="0">
                    <c:v>LBS</c:v>
                  </c:pt>
                  <c:pt idx="6">
                    <c:v>UBS</c:v>
                  </c:pt>
                  <c:pt idx="12">
                    <c:v>SSS</c:v>
                  </c:pt>
                </c:lvl>
              </c:multiLvlStrCache>
            </c:multiLvlStrRef>
          </c:cat>
          <c:val>
            <c:numRef>
              <c:f>'Out-of-school'!$Q$30:$Q$46</c:f>
              <c:numCache>
                <c:formatCode>_(* #,##0.0_);_(* \(#,##0.0\);_(* "-"??_);_(@_)</c:formatCode>
                <c:ptCount val="17"/>
                <c:pt idx="0">
                  <c:v>42.51</c:v>
                </c:pt>
                <c:pt idx="1">
                  <c:v>32.53</c:v>
                </c:pt>
                <c:pt idx="2">
                  <c:v>27.19</c:v>
                </c:pt>
                <c:pt idx="3">
                  <c:v>20.68</c:v>
                </c:pt>
                <c:pt idx="4">
                  <c:v>13.77</c:v>
                </c:pt>
                <c:pt idx="6">
                  <c:v>38.1</c:v>
                </c:pt>
                <c:pt idx="7">
                  <c:v>28.62</c:v>
                </c:pt>
                <c:pt idx="8">
                  <c:v>22.46</c:v>
                </c:pt>
                <c:pt idx="9">
                  <c:v>13.31</c:v>
                </c:pt>
                <c:pt idx="10">
                  <c:v>13.25</c:v>
                </c:pt>
                <c:pt idx="12">
                  <c:v>44.81</c:v>
                </c:pt>
                <c:pt idx="13">
                  <c:v>32.950000000000003</c:v>
                </c:pt>
                <c:pt idx="14">
                  <c:v>22.86</c:v>
                </c:pt>
                <c:pt idx="15">
                  <c:v>20.14</c:v>
                </c:pt>
                <c:pt idx="16">
                  <c:v>12.45</c:v>
                </c:pt>
              </c:numCache>
            </c:numRef>
          </c:val>
          <c:extLst>
            <c:ext xmlns:c16="http://schemas.microsoft.com/office/drawing/2014/chart" uri="{C3380CC4-5D6E-409C-BE32-E72D297353CC}">
              <c16:uniqueId val="{00000000-15EE-4FAA-90ED-C37D9EED86E7}"/>
            </c:ext>
          </c:extLst>
        </c:ser>
        <c:ser>
          <c:idx val="1"/>
          <c:order val="1"/>
          <c:tx>
            <c:strRef>
              <c:f>'Out-of-school'!$R$29</c:f>
              <c:strCache>
                <c:ptCount val="1"/>
                <c:pt idx="0">
                  <c:v>Dropout</c:v>
                </c:pt>
              </c:strCache>
            </c:strRef>
          </c:tx>
          <c:spPr>
            <a:solidFill>
              <a:schemeClr val="accent2"/>
            </a:solidFill>
            <a:ln>
              <a:noFill/>
            </a:ln>
            <a:effectLst/>
          </c:spPr>
          <c:invertIfNegative val="0"/>
          <c:cat>
            <c:multiLvlStrRef>
              <c:f>'Out-of-school'!$O$30:$P$46</c:f>
              <c:multiLvlStrCache>
                <c:ptCount val="17"/>
                <c:lvl>
                  <c:pt idx="0">
                    <c:v>Q1</c:v>
                  </c:pt>
                  <c:pt idx="1">
                    <c:v>Q2</c:v>
                  </c:pt>
                  <c:pt idx="2">
                    <c:v>Q3</c:v>
                  </c:pt>
                  <c:pt idx="3">
                    <c:v>Q4</c:v>
                  </c:pt>
                  <c:pt idx="4">
                    <c:v>Q5</c:v>
                  </c:pt>
                  <c:pt idx="6">
                    <c:v>Q1</c:v>
                  </c:pt>
                  <c:pt idx="7">
                    <c:v>Q2</c:v>
                  </c:pt>
                  <c:pt idx="8">
                    <c:v>Q3</c:v>
                  </c:pt>
                  <c:pt idx="9">
                    <c:v>Q4</c:v>
                  </c:pt>
                  <c:pt idx="10">
                    <c:v>Q5</c:v>
                  </c:pt>
                  <c:pt idx="12">
                    <c:v>Q1</c:v>
                  </c:pt>
                  <c:pt idx="13">
                    <c:v>Q2</c:v>
                  </c:pt>
                  <c:pt idx="14">
                    <c:v>Q3</c:v>
                  </c:pt>
                  <c:pt idx="15">
                    <c:v>Q4</c:v>
                  </c:pt>
                  <c:pt idx="16">
                    <c:v>Q5</c:v>
                  </c:pt>
                </c:lvl>
                <c:lvl>
                  <c:pt idx="0">
                    <c:v>LBS</c:v>
                  </c:pt>
                  <c:pt idx="6">
                    <c:v>UBS</c:v>
                  </c:pt>
                  <c:pt idx="12">
                    <c:v>SSS</c:v>
                  </c:pt>
                </c:lvl>
              </c:multiLvlStrCache>
            </c:multiLvlStrRef>
          </c:cat>
          <c:val>
            <c:numRef>
              <c:f>'Out-of-school'!$R$30:$R$46</c:f>
              <c:numCache>
                <c:formatCode>_(* #,##0.0_);_(* \(#,##0.0\);_(* "-"??_);_(@_)</c:formatCode>
                <c:ptCount val="17"/>
                <c:pt idx="0">
                  <c:v>1.1000000000000001</c:v>
                </c:pt>
                <c:pt idx="1">
                  <c:v>1.85</c:v>
                </c:pt>
                <c:pt idx="2">
                  <c:v>0.99</c:v>
                </c:pt>
                <c:pt idx="3">
                  <c:v>1.6</c:v>
                </c:pt>
                <c:pt idx="4">
                  <c:v>2.1800000000000002</c:v>
                </c:pt>
                <c:pt idx="6">
                  <c:v>4.91</c:v>
                </c:pt>
                <c:pt idx="7">
                  <c:v>6.27</c:v>
                </c:pt>
                <c:pt idx="8">
                  <c:v>4.8</c:v>
                </c:pt>
                <c:pt idx="9">
                  <c:v>7.37</c:v>
                </c:pt>
                <c:pt idx="10">
                  <c:v>5.56</c:v>
                </c:pt>
                <c:pt idx="12">
                  <c:v>11.39</c:v>
                </c:pt>
                <c:pt idx="13">
                  <c:v>16.809999999999999</c:v>
                </c:pt>
                <c:pt idx="14">
                  <c:v>15</c:v>
                </c:pt>
                <c:pt idx="15">
                  <c:v>17.64</c:v>
                </c:pt>
                <c:pt idx="16">
                  <c:v>20.260000000000002</c:v>
                </c:pt>
              </c:numCache>
            </c:numRef>
          </c:val>
          <c:extLst>
            <c:ext xmlns:c16="http://schemas.microsoft.com/office/drawing/2014/chart" uri="{C3380CC4-5D6E-409C-BE32-E72D297353CC}">
              <c16:uniqueId val="{00000001-15EE-4FAA-90ED-C37D9EED86E7}"/>
            </c:ext>
          </c:extLst>
        </c:ser>
        <c:dLbls>
          <c:showLegendKey val="0"/>
          <c:showVal val="0"/>
          <c:showCatName val="0"/>
          <c:showSerName val="0"/>
          <c:showPercent val="0"/>
          <c:showBubbleSize val="0"/>
        </c:dLbls>
        <c:gapWidth val="150"/>
        <c:overlap val="100"/>
        <c:axId val="453068568"/>
        <c:axId val="453068960"/>
      </c:barChart>
      <c:catAx>
        <c:axId val="453068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068960"/>
        <c:crosses val="autoZero"/>
        <c:auto val="1"/>
        <c:lblAlgn val="ctr"/>
        <c:lblOffset val="100"/>
        <c:noMultiLvlLbl val="0"/>
      </c:catAx>
      <c:valAx>
        <c:axId val="453068960"/>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068568"/>
        <c:crosses val="autoZero"/>
        <c:crossBetween val="between"/>
      </c:valAx>
      <c:spPr>
        <a:noFill/>
        <a:ln>
          <a:noFill/>
        </a:ln>
        <a:effectLst/>
      </c:spPr>
    </c:plotArea>
    <c:legend>
      <c:legendPos val="b"/>
      <c:layout>
        <c:manualLayout>
          <c:xMode val="edge"/>
          <c:yMode val="edge"/>
          <c:x val="0.35962534913231264"/>
          <c:y val="4.5678755931802352E-2"/>
          <c:w val="0.17312584330813124"/>
          <c:h val="0.184023240834461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495181118811547E-2"/>
          <c:y val="1.9877598424862957E-2"/>
          <c:w val="0.90858155376158978"/>
          <c:h val="0.64321531713357338"/>
        </c:manualLayout>
      </c:layout>
      <c:barChart>
        <c:barDir val="col"/>
        <c:grouping val="stacked"/>
        <c:varyColors val="0"/>
        <c:ser>
          <c:idx val="0"/>
          <c:order val="0"/>
          <c:tx>
            <c:strRef>
              <c:f>'Out-of-school'!$Q$55</c:f>
              <c:strCache>
                <c:ptCount val="1"/>
                <c:pt idx="0">
                  <c:v>Never attended</c:v>
                </c:pt>
              </c:strCache>
            </c:strRef>
          </c:tx>
          <c:spPr>
            <a:solidFill>
              <a:schemeClr val="accent1"/>
            </a:solidFill>
            <a:ln>
              <a:noFill/>
            </a:ln>
            <a:effectLst/>
          </c:spPr>
          <c:invertIfNegative val="0"/>
          <c:cat>
            <c:multiLvlStrRef>
              <c:f>'Out-of-school'!$O$56:$P$75</c:f>
              <c:multiLvlStrCache>
                <c:ptCount val="20"/>
                <c:lvl>
                  <c:pt idx="0">
                    <c:v>Mandinka/jahanka</c:v>
                  </c:pt>
                  <c:pt idx="1">
                    <c:v>Fula/tukulur/lorobo</c:v>
                  </c:pt>
                  <c:pt idx="2">
                    <c:v>Wollof</c:v>
                  </c:pt>
                  <c:pt idx="3">
                    <c:v>Jola/karoninka</c:v>
                  </c:pt>
                  <c:pt idx="4">
                    <c:v>Serahulleh</c:v>
                  </c:pt>
                  <c:pt idx="5">
                    <c:v>Others</c:v>
                  </c:pt>
                  <c:pt idx="7">
                    <c:v>Mandinka/jahanka</c:v>
                  </c:pt>
                  <c:pt idx="8">
                    <c:v>Fula/tukulur/lorobo</c:v>
                  </c:pt>
                  <c:pt idx="9">
                    <c:v>Wollof</c:v>
                  </c:pt>
                  <c:pt idx="10">
                    <c:v>Jola/karoninka</c:v>
                  </c:pt>
                  <c:pt idx="11">
                    <c:v>Serahulleh</c:v>
                  </c:pt>
                  <c:pt idx="12">
                    <c:v>Others</c:v>
                  </c:pt>
                  <c:pt idx="14">
                    <c:v>Mandinka/jahanka</c:v>
                  </c:pt>
                  <c:pt idx="15">
                    <c:v>Fula/tukulur/lorobo</c:v>
                  </c:pt>
                  <c:pt idx="16">
                    <c:v>Wollof</c:v>
                  </c:pt>
                  <c:pt idx="17">
                    <c:v>Jola/karoninka</c:v>
                  </c:pt>
                  <c:pt idx="18">
                    <c:v>Serahulleh</c:v>
                  </c:pt>
                  <c:pt idx="19">
                    <c:v>Others</c:v>
                  </c:pt>
                </c:lvl>
                <c:lvl>
                  <c:pt idx="0">
                    <c:v>LBS</c:v>
                  </c:pt>
                  <c:pt idx="7">
                    <c:v>UBS</c:v>
                  </c:pt>
                  <c:pt idx="14">
                    <c:v>SS</c:v>
                  </c:pt>
                </c:lvl>
              </c:multiLvlStrCache>
            </c:multiLvlStrRef>
          </c:cat>
          <c:val>
            <c:numRef>
              <c:f>'Out-of-school'!$Q$56:$Q$75</c:f>
              <c:numCache>
                <c:formatCode>_(* #,##0.0_);_(* \(#,##0.0\);_(* "-"??_);_(@_)</c:formatCode>
                <c:ptCount val="20"/>
                <c:pt idx="0">
                  <c:v>23.52</c:v>
                </c:pt>
                <c:pt idx="1">
                  <c:v>33.36</c:v>
                </c:pt>
                <c:pt idx="2">
                  <c:v>45.27</c:v>
                </c:pt>
                <c:pt idx="3">
                  <c:v>10.63</c:v>
                </c:pt>
                <c:pt idx="4">
                  <c:v>37.659999999999997</c:v>
                </c:pt>
                <c:pt idx="5">
                  <c:v>14.44</c:v>
                </c:pt>
                <c:pt idx="7">
                  <c:v>16.920000000000002</c:v>
                </c:pt>
                <c:pt idx="8">
                  <c:v>30.86</c:v>
                </c:pt>
                <c:pt idx="9">
                  <c:v>43.57</c:v>
                </c:pt>
                <c:pt idx="10">
                  <c:v>5.07</c:v>
                </c:pt>
                <c:pt idx="11">
                  <c:v>36.44</c:v>
                </c:pt>
                <c:pt idx="12">
                  <c:v>13.32</c:v>
                </c:pt>
                <c:pt idx="14">
                  <c:v>19.43</c:v>
                </c:pt>
                <c:pt idx="15">
                  <c:v>37.119999999999997</c:v>
                </c:pt>
                <c:pt idx="16">
                  <c:v>41.54</c:v>
                </c:pt>
                <c:pt idx="17">
                  <c:v>2.5099999999999998</c:v>
                </c:pt>
                <c:pt idx="18">
                  <c:v>47.95</c:v>
                </c:pt>
                <c:pt idx="19">
                  <c:v>11.44</c:v>
                </c:pt>
              </c:numCache>
            </c:numRef>
          </c:val>
          <c:extLst>
            <c:ext xmlns:c16="http://schemas.microsoft.com/office/drawing/2014/chart" uri="{C3380CC4-5D6E-409C-BE32-E72D297353CC}">
              <c16:uniqueId val="{00000000-DEE6-4B91-8B86-D4F9E627BF98}"/>
            </c:ext>
          </c:extLst>
        </c:ser>
        <c:ser>
          <c:idx val="1"/>
          <c:order val="1"/>
          <c:tx>
            <c:strRef>
              <c:f>'Out-of-school'!$R$55</c:f>
              <c:strCache>
                <c:ptCount val="1"/>
                <c:pt idx="0">
                  <c:v>Dropout</c:v>
                </c:pt>
              </c:strCache>
            </c:strRef>
          </c:tx>
          <c:spPr>
            <a:solidFill>
              <a:schemeClr val="accent2"/>
            </a:solidFill>
            <a:ln>
              <a:noFill/>
            </a:ln>
            <a:effectLst/>
          </c:spPr>
          <c:invertIfNegative val="0"/>
          <c:cat>
            <c:multiLvlStrRef>
              <c:f>'Out-of-school'!$O$56:$P$75</c:f>
              <c:multiLvlStrCache>
                <c:ptCount val="20"/>
                <c:lvl>
                  <c:pt idx="0">
                    <c:v>Mandinka/jahanka</c:v>
                  </c:pt>
                  <c:pt idx="1">
                    <c:v>Fula/tukulur/lorobo</c:v>
                  </c:pt>
                  <c:pt idx="2">
                    <c:v>Wollof</c:v>
                  </c:pt>
                  <c:pt idx="3">
                    <c:v>Jola/karoninka</c:v>
                  </c:pt>
                  <c:pt idx="4">
                    <c:v>Serahulleh</c:v>
                  </c:pt>
                  <c:pt idx="5">
                    <c:v>Others</c:v>
                  </c:pt>
                  <c:pt idx="7">
                    <c:v>Mandinka/jahanka</c:v>
                  </c:pt>
                  <c:pt idx="8">
                    <c:v>Fula/tukulur/lorobo</c:v>
                  </c:pt>
                  <c:pt idx="9">
                    <c:v>Wollof</c:v>
                  </c:pt>
                  <c:pt idx="10">
                    <c:v>Jola/karoninka</c:v>
                  </c:pt>
                  <c:pt idx="11">
                    <c:v>Serahulleh</c:v>
                  </c:pt>
                  <c:pt idx="12">
                    <c:v>Others</c:v>
                  </c:pt>
                  <c:pt idx="14">
                    <c:v>Mandinka/jahanka</c:v>
                  </c:pt>
                  <c:pt idx="15">
                    <c:v>Fula/tukulur/lorobo</c:v>
                  </c:pt>
                  <c:pt idx="16">
                    <c:v>Wollof</c:v>
                  </c:pt>
                  <c:pt idx="17">
                    <c:v>Jola/karoninka</c:v>
                  </c:pt>
                  <c:pt idx="18">
                    <c:v>Serahulleh</c:v>
                  </c:pt>
                  <c:pt idx="19">
                    <c:v>Others</c:v>
                  </c:pt>
                </c:lvl>
                <c:lvl>
                  <c:pt idx="0">
                    <c:v>LBS</c:v>
                  </c:pt>
                  <c:pt idx="7">
                    <c:v>UBS</c:v>
                  </c:pt>
                  <c:pt idx="14">
                    <c:v>SS</c:v>
                  </c:pt>
                </c:lvl>
              </c:multiLvlStrCache>
            </c:multiLvlStrRef>
          </c:cat>
          <c:val>
            <c:numRef>
              <c:f>'Out-of-school'!$R$56:$R$75</c:f>
              <c:numCache>
                <c:formatCode>_(* #,##0.0_);_(* \(#,##0.0\);_(* "-"??_);_(@_)</c:formatCode>
                <c:ptCount val="20"/>
                <c:pt idx="0">
                  <c:v>0.93</c:v>
                </c:pt>
                <c:pt idx="1">
                  <c:v>1.55</c:v>
                </c:pt>
                <c:pt idx="2">
                  <c:v>3.74</c:v>
                </c:pt>
                <c:pt idx="3">
                  <c:v>0.19</c:v>
                </c:pt>
                <c:pt idx="4">
                  <c:v>1.83</c:v>
                </c:pt>
                <c:pt idx="5">
                  <c:v>0.41</c:v>
                </c:pt>
                <c:pt idx="7">
                  <c:v>4.97</c:v>
                </c:pt>
                <c:pt idx="8">
                  <c:v>7.2</c:v>
                </c:pt>
                <c:pt idx="9">
                  <c:v>4.0599999999999996</c:v>
                </c:pt>
                <c:pt idx="10">
                  <c:v>4.3099999999999996</c:v>
                </c:pt>
                <c:pt idx="11">
                  <c:v>5.85</c:v>
                </c:pt>
                <c:pt idx="12">
                  <c:v>9.94</c:v>
                </c:pt>
                <c:pt idx="14">
                  <c:v>17.420000000000002</c:v>
                </c:pt>
                <c:pt idx="15">
                  <c:v>14.65</c:v>
                </c:pt>
                <c:pt idx="16">
                  <c:v>12.41</c:v>
                </c:pt>
                <c:pt idx="17">
                  <c:v>18.18</c:v>
                </c:pt>
                <c:pt idx="18">
                  <c:v>15.54</c:v>
                </c:pt>
                <c:pt idx="19">
                  <c:v>14.22</c:v>
                </c:pt>
              </c:numCache>
            </c:numRef>
          </c:val>
          <c:extLst>
            <c:ext xmlns:c16="http://schemas.microsoft.com/office/drawing/2014/chart" uri="{C3380CC4-5D6E-409C-BE32-E72D297353CC}">
              <c16:uniqueId val="{00000001-DEE6-4B91-8B86-D4F9E627BF98}"/>
            </c:ext>
          </c:extLst>
        </c:ser>
        <c:dLbls>
          <c:showLegendKey val="0"/>
          <c:showVal val="0"/>
          <c:showCatName val="0"/>
          <c:showSerName val="0"/>
          <c:showPercent val="0"/>
          <c:showBubbleSize val="0"/>
        </c:dLbls>
        <c:gapWidth val="150"/>
        <c:overlap val="100"/>
        <c:axId val="453069744"/>
        <c:axId val="453070136"/>
      </c:barChart>
      <c:catAx>
        <c:axId val="453069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070136"/>
        <c:crosses val="autoZero"/>
        <c:auto val="1"/>
        <c:lblAlgn val="ctr"/>
        <c:lblOffset val="100"/>
        <c:noMultiLvlLbl val="0"/>
      </c:catAx>
      <c:valAx>
        <c:axId val="453070136"/>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069744"/>
        <c:crosses val="autoZero"/>
        <c:crossBetween val="between"/>
      </c:valAx>
      <c:spPr>
        <a:noFill/>
        <a:ln>
          <a:noFill/>
        </a:ln>
        <a:effectLst/>
      </c:spPr>
    </c:plotArea>
    <c:legend>
      <c:legendPos val="b"/>
      <c:layout>
        <c:manualLayout>
          <c:xMode val="edge"/>
          <c:yMode val="edge"/>
          <c:x val="0.2518026895884356"/>
          <c:y val="3.2788186550890053E-2"/>
          <c:w val="0.17312584330813124"/>
          <c:h val="0.1743153107993696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427398996680665E-2"/>
          <c:y val="1.4814665534267078E-2"/>
          <c:w val="0.91656350596011793"/>
          <c:h val="0.7088126598434793"/>
        </c:manualLayout>
      </c:layout>
      <c:barChart>
        <c:barDir val="col"/>
        <c:grouping val="clustered"/>
        <c:varyColors val="0"/>
        <c:ser>
          <c:idx val="0"/>
          <c:order val="0"/>
          <c:tx>
            <c:strRef>
              <c:f>'Out-of-school'!$C$125</c:f>
              <c:strCache>
                <c:ptCount val="1"/>
                <c:pt idx="0">
                  <c:v>LBS</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'Out-of-school'!$A$126:$B$178</c:f>
              <c:multiLvlStrCache>
                <c:ptCount val="53"/>
                <c:lvl>
                  <c:pt idx="0">
                    <c:v>Banjul city council</c:v>
                  </c:pt>
                  <c:pt idx="1">
                    <c:v>Banjul city council</c:v>
                  </c:pt>
                  <c:pt idx="2">
                    <c:v>Banjul city council</c:v>
                  </c:pt>
                  <c:pt idx="3">
                    <c:v>Bakau</c:v>
                  </c:pt>
                  <c:pt idx="4">
                    <c:v>Sere Kunda East</c:v>
                  </c:pt>
                  <c:pt idx="5">
                    <c:v>Sere Kunda West</c:v>
                  </c:pt>
                  <c:pt idx="6">
                    <c:v>New Jeshwang</c:v>
                  </c:pt>
                  <c:pt idx="7">
                    <c:v>Sere Kunda Central</c:v>
                  </c:pt>
                  <c:pt idx="9">
                    <c:v>Foni Jarrol</c:v>
                  </c:pt>
                  <c:pt idx="10">
                    <c:v>Foni Brefet</c:v>
                  </c:pt>
                  <c:pt idx="11">
                    <c:v>Foni Kansala</c:v>
                  </c:pt>
                  <c:pt idx="12">
                    <c:v>Foni Bintang Karanai</c:v>
                  </c:pt>
                  <c:pt idx="13">
                    <c:v>Kombo Central</c:v>
                  </c:pt>
                  <c:pt idx="14">
                    <c:v>Kombo South</c:v>
                  </c:pt>
                  <c:pt idx="15">
                    <c:v>Kombo North</c:v>
                  </c:pt>
                  <c:pt idx="16">
                    <c:v>Foni Bondali</c:v>
                  </c:pt>
                  <c:pt idx="17">
                    <c:v>Kombo East</c:v>
                  </c:pt>
                  <c:pt idx="19">
                    <c:v>Lower Niumi</c:v>
                  </c:pt>
                  <c:pt idx="20">
                    <c:v>Jokadu</c:v>
                  </c:pt>
                  <c:pt idx="21">
                    <c:v>Lower Badibu</c:v>
                  </c:pt>
                  <c:pt idx="22">
                    <c:v>Central Badibu</c:v>
                  </c:pt>
                  <c:pt idx="23">
                    <c:v>Upper Niumi</c:v>
                  </c:pt>
                  <c:pt idx="24">
                    <c:v>Illiasa</c:v>
                  </c:pt>
                  <c:pt idx="25">
                    <c:v>Sabach Sanjar</c:v>
                  </c:pt>
                  <c:pt idx="27">
                    <c:v>Kiang West</c:v>
                  </c:pt>
                  <c:pt idx="28">
                    <c:v>Kiang Central</c:v>
                  </c:pt>
                  <c:pt idx="29">
                    <c:v>Kiang East</c:v>
                  </c:pt>
                  <c:pt idx="30">
                    <c:v>Jarra West</c:v>
                  </c:pt>
                  <c:pt idx="31">
                    <c:v>Jarra Central</c:v>
                  </c:pt>
                  <c:pt idx="32">
                    <c:v>Jarra East</c:v>
                  </c:pt>
                  <c:pt idx="34">
                    <c:v>Janjanbureh</c:v>
                  </c:pt>
                  <c:pt idx="35">
                    <c:v>Niamina West</c:v>
                  </c:pt>
                  <c:pt idx="36">
                    <c:v>Upper Fuladu West</c:v>
                  </c:pt>
                  <c:pt idx="37">
                    <c:v>Lower Fuladu West</c:v>
                  </c:pt>
                  <c:pt idx="38">
                    <c:v>Niamina Dankunku</c:v>
                  </c:pt>
                  <c:pt idx="39">
                    <c:v>Sami</c:v>
                  </c:pt>
                  <c:pt idx="40">
                    <c:v>Niani</c:v>
                  </c:pt>
                  <c:pt idx="41">
                    <c:v>Niamina East</c:v>
                  </c:pt>
                  <c:pt idx="42">
                    <c:v>Lower Saloum</c:v>
                  </c:pt>
                  <c:pt idx="43">
                    <c:v>Nianija</c:v>
                  </c:pt>
                  <c:pt idx="44">
                    <c:v>Upper Saloum</c:v>
                  </c:pt>
                  <c:pt idx="46">
                    <c:v>Basse</c:v>
                  </c:pt>
                  <c:pt idx="47">
                    <c:v>Jimara</c:v>
                  </c:pt>
                  <c:pt idx="48">
                    <c:v>Tumana</c:v>
                  </c:pt>
                  <c:pt idx="49">
                    <c:v>Wuli East</c:v>
                  </c:pt>
                  <c:pt idx="50">
                    <c:v>Kantora</c:v>
                  </c:pt>
                  <c:pt idx="51">
                    <c:v>Wuli West</c:v>
                  </c:pt>
                  <c:pt idx="52">
                    <c:v>Sandu</c:v>
                  </c:pt>
                </c:lvl>
                <c:lvl>
                  <c:pt idx="0">
                    <c:v>Region1</c:v>
                  </c:pt>
                  <c:pt idx="9">
                    <c:v>Region2</c:v>
                  </c:pt>
                  <c:pt idx="19">
                    <c:v>Region3</c:v>
                  </c:pt>
                  <c:pt idx="27">
                    <c:v>Region4</c:v>
                  </c:pt>
                  <c:pt idx="34">
                    <c:v>Region5</c:v>
                  </c:pt>
                  <c:pt idx="46">
                    <c:v>Region6</c:v>
                  </c:pt>
                </c:lvl>
              </c:multiLvlStrCache>
            </c:multiLvlStrRef>
          </c:cat>
          <c:val>
            <c:numRef>
              <c:f>'Out-of-school'!$C$126:$C$178</c:f>
              <c:numCache>
                <c:formatCode>_*\ #,##0.0;_*\ #,##0.0;_(* "-"??_);_(@_)</c:formatCode>
                <c:ptCount val="53"/>
                <c:pt idx="0">
                  <c:v>5.75</c:v>
                </c:pt>
                <c:pt idx="1">
                  <c:v>7.67</c:v>
                </c:pt>
                <c:pt idx="2">
                  <c:v>8.2799999999999994</c:v>
                </c:pt>
                <c:pt idx="3">
                  <c:v>18.47</c:v>
                </c:pt>
                <c:pt idx="4">
                  <c:v>19.48</c:v>
                </c:pt>
                <c:pt idx="5">
                  <c:v>20.65</c:v>
                </c:pt>
                <c:pt idx="6">
                  <c:v>22.93</c:v>
                </c:pt>
                <c:pt idx="7">
                  <c:v>27.59</c:v>
                </c:pt>
                <c:pt idx="9">
                  <c:v>5.9700000000000006</c:v>
                </c:pt>
                <c:pt idx="10">
                  <c:v>8.7200000000000006</c:v>
                </c:pt>
                <c:pt idx="11">
                  <c:v>9.73</c:v>
                </c:pt>
                <c:pt idx="12">
                  <c:v>12.32</c:v>
                </c:pt>
                <c:pt idx="13">
                  <c:v>17.54</c:v>
                </c:pt>
                <c:pt idx="14">
                  <c:v>21.24</c:v>
                </c:pt>
                <c:pt idx="15">
                  <c:v>26.57</c:v>
                </c:pt>
                <c:pt idx="16">
                  <c:v>31.07</c:v>
                </c:pt>
                <c:pt idx="17">
                  <c:v>32.75</c:v>
                </c:pt>
                <c:pt idx="19">
                  <c:v>16.8</c:v>
                </c:pt>
                <c:pt idx="20">
                  <c:v>26.11</c:v>
                </c:pt>
                <c:pt idx="21">
                  <c:v>31.529999999999998</c:v>
                </c:pt>
                <c:pt idx="22">
                  <c:v>36.130000000000003</c:v>
                </c:pt>
                <c:pt idx="23">
                  <c:v>37.230000000000004</c:v>
                </c:pt>
                <c:pt idx="24">
                  <c:v>47.79</c:v>
                </c:pt>
                <c:pt idx="25">
                  <c:v>67.739999999999995</c:v>
                </c:pt>
                <c:pt idx="27">
                  <c:v>9.91</c:v>
                </c:pt>
                <c:pt idx="28">
                  <c:v>10.130000000000001</c:v>
                </c:pt>
                <c:pt idx="29">
                  <c:v>23.35</c:v>
                </c:pt>
                <c:pt idx="30">
                  <c:v>23.78</c:v>
                </c:pt>
                <c:pt idx="31">
                  <c:v>32.26</c:v>
                </c:pt>
                <c:pt idx="32">
                  <c:v>43.9</c:v>
                </c:pt>
                <c:pt idx="34">
                  <c:v>18.39</c:v>
                </c:pt>
                <c:pt idx="35">
                  <c:v>42.940000000000005</c:v>
                </c:pt>
                <c:pt idx="36">
                  <c:v>43.34</c:v>
                </c:pt>
                <c:pt idx="37">
                  <c:v>51.099999999999994</c:v>
                </c:pt>
                <c:pt idx="38">
                  <c:v>54.57</c:v>
                </c:pt>
                <c:pt idx="39">
                  <c:v>56.18</c:v>
                </c:pt>
                <c:pt idx="40">
                  <c:v>60.97</c:v>
                </c:pt>
                <c:pt idx="41">
                  <c:v>63.79</c:v>
                </c:pt>
                <c:pt idx="42">
                  <c:v>71.45</c:v>
                </c:pt>
                <c:pt idx="43">
                  <c:v>74.38</c:v>
                </c:pt>
                <c:pt idx="44">
                  <c:v>79.69</c:v>
                </c:pt>
                <c:pt idx="46">
                  <c:v>21.15</c:v>
                </c:pt>
                <c:pt idx="47">
                  <c:v>28.63</c:v>
                </c:pt>
                <c:pt idx="48">
                  <c:v>35.08</c:v>
                </c:pt>
                <c:pt idx="49">
                  <c:v>50.35</c:v>
                </c:pt>
                <c:pt idx="50">
                  <c:v>50.66</c:v>
                </c:pt>
                <c:pt idx="51">
                  <c:v>55.910000000000004</c:v>
                </c:pt>
                <c:pt idx="52">
                  <c:v>57.17</c:v>
                </c:pt>
              </c:numCache>
            </c:numRef>
          </c:val>
          <c:extLst>
            <c:ext xmlns:c16="http://schemas.microsoft.com/office/drawing/2014/chart" uri="{C3380CC4-5D6E-409C-BE32-E72D297353CC}">
              <c16:uniqueId val="{00000000-65B9-4987-BC82-11C4910897D7}"/>
            </c:ext>
          </c:extLst>
        </c:ser>
        <c:dLbls>
          <c:showLegendKey val="0"/>
          <c:showVal val="0"/>
          <c:showCatName val="0"/>
          <c:showSerName val="0"/>
          <c:showPercent val="0"/>
          <c:showBubbleSize val="0"/>
        </c:dLbls>
        <c:gapWidth val="219"/>
        <c:overlap val="-27"/>
        <c:axId val="233149776"/>
        <c:axId val="233150168"/>
      </c:barChart>
      <c:catAx>
        <c:axId val="23314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33150168"/>
        <c:crosses val="autoZero"/>
        <c:auto val="1"/>
        <c:lblAlgn val="ctr"/>
        <c:lblOffset val="100"/>
        <c:noMultiLvlLbl val="0"/>
      </c:catAx>
      <c:valAx>
        <c:axId val="233150168"/>
        <c:scaling>
          <c:orientation val="minMax"/>
        </c:scaling>
        <c:delete val="0"/>
        <c:axPos val="l"/>
        <c:numFmt formatCode="_*\ #,##0.0;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3149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644969424017839E-2"/>
          <c:y val="3.4029389017788091E-2"/>
          <c:w val="0.90609720075074329"/>
          <c:h val="0.72603199542052599"/>
        </c:manualLayout>
      </c:layout>
      <c:barChart>
        <c:barDir val="col"/>
        <c:grouping val="clustered"/>
        <c:varyColors val="0"/>
        <c:ser>
          <c:idx val="0"/>
          <c:order val="0"/>
          <c:tx>
            <c:strRef>
              <c:f>'Reg out-school'!$B$44</c:f>
              <c:strCache>
                <c:ptCount val="1"/>
                <c:pt idx="0">
                  <c:v>LBS</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 out-school'!$A$45:$A$58</c:f>
              <c:strCache>
                <c:ptCount val="14"/>
                <c:pt idx="0">
                  <c:v>Female</c:v>
                </c:pt>
                <c:pt idx="1">
                  <c:v>Rural</c:v>
                </c:pt>
                <c:pt idx="2">
                  <c:v>HH size</c:v>
                </c:pt>
                <c:pt idx="3">
                  <c:v>Rich</c:v>
                </c:pt>
                <c:pt idx="4">
                  <c:v>Middle</c:v>
                </c:pt>
                <c:pt idx="5">
                  <c:v>Poor</c:v>
                </c:pt>
                <c:pt idx="6">
                  <c:v>Poorest</c:v>
                </c:pt>
                <c:pt idx="7">
                  <c:v>Some lower secondary</c:v>
                </c:pt>
                <c:pt idx="8">
                  <c:v>Some priomary</c:v>
                </c:pt>
                <c:pt idx="9">
                  <c:v>No education</c:v>
                </c:pt>
                <c:pt idx="10">
                  <c:v>Industry</c:v>
                </c:pt>
                <c:pt idx="11">
                  <c:v>Agriclutire</c:v>
                </c:pt>
                <c:pt idx="12">
                  <c:v>Fmale Head</c:v>
                </c:pt>
                <c:pt idx="13">
                  <c:v>Head age</c:v>
                </c:pt>
              </c:strCache>
            </c:strRef>
          </c:cat>
          <c:val>
            <c:numRef>
              <c:f>'Reg out-school'!$B$45:$B$58</c:f>
              <c:numCache>
                <c:formatCode>0.0%</c:formatCode>
                <c:ptCount val="14"/>
                <c:pt idx="0">
                  <c:v>-7.9299999999999995E-3</c:v>
                </c:pt>
                <c:pt idx="1">
                  <c:v>-3.4699999999999998E-4</c:v>
                </c:pt>
                <c:pt idx="2">
                  <c:v>6.43E-3</c:v>
                </c:pt>
                <c:pt idx="3">
                  <c:v>-2.16E-3</c:v>
                </c:pt>
                <c:pt idx="4">
                  <c:v>-9.2899999999999996E-3</c:v>
                </c:pt>
                <c:pt idx="5">
                  <c:v>2.3300000000000001E-2</c:v>
                </c:pt>
                <c:pt idx="6">
                  <c:v>5.6800000000000003E-2</c:v>
                </c:pt>
                <c:pt idx="7">
                  <c:v>5.8999999999999997E-2</c:v>
                </c:pt>
                <c:pt idx="8">
                  <c:v>6.6900000000000001E-2</c:v>
                </c:pt>
                <c:pt idx="9">
                  <c:v>0.20799999999999999</c:v>
                </c:pt>
                <c:pt idx="10">
                  <c:v>-3.7699999999999997E-2</c:v>
                </c:pt>
                <c:pt idx="11">
                  <c:v>7.85E-2</c:v>
                </c:pt>
                <c:pt idx="12">
                  <c:v>-9.7500000000000003E-2</c:v>
                </c:pt>
                <c:pt idx="13">
                  <c:v>-2.3500000000000001E-3</c:v>
                </c:pt>
              </c:numCache>
            </c:numRef>
          </c:val>
          <c:extLst>
            <c:ext xmlns:c16="http://schemas.microsoft.com/office/drawing/2014/chart" uri="{C3380CC4-5D6E-409C-BE32-E72D297353CC}">
              <c16:uniqueId val="{00000000-0AD8-4CD9-9EBD-1A0C6E380EFE}"/>
            </c:ext>
          </c:extLst>
        </c:ser>
        <c:ser>
          <c:idx val="1"/>
          <c:order val="1"/>
          <c:tx>
            <c:strRef>
              <c:f>'Reg out-school'!$C$44</c:f>
              <c:strCache>
                <c:ptCount val="1"/>
                <c:pt idx="0">
                  <c:v>UBS</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 out-school'!$A$45:$A$58</c:f>
              <c:strCache>
                <c:ptCount val="14"/>
                <c:pt idx="0">
                  <c:v>Female</c:v>
                </c:pt>
                <c:pt idx="1">
                  <c:v>Rural</c:v>
                </c:pt>
                <c:pt idx="2">
                  <c:v>HH size</c:v>
                </c:pt>
                <c:pt idx="3">
                  <c:v>Rich</c:v>
                </c:pt>
                <c:pt idx="4">
                  <c:v>Middle</c:v>
                </c:pt>
                <c:pt idx="5">
                  <c:v>Poor</c:v>
                </c:pt>
                <c:pt idx="6">
                  <c:v>Poorest</c:v>
                </c:pt>
                <c:pt idx="7">
                  <c:v>Some lower secondary</c:v>
                </c:pt>
                <c:pt idx="8">
                  <c:v>Some priomary</c:v>
                </c:pt>
                <c:pt idx="9">
                  <c:v>No education</c:v>
                </c:pt>
                <c:pt idx="10">
                  <c:v>Industry</c:v>
                </c:pt>
                <c:pt idx="11">
                  <c:v>Agriclutire</c:v>
                </c:pt>
                <c:pt idx="12">
                  <c:v>Fmale Head</c:v>
                </c:pt>
                <c:pt idx="13">
                  <c:v>Head age</c:v>
                </c:pt>
              </c:strCache>
            </c:strRef>
          </c:cat>
          <c:val>
            <c:numRef>
              <c:f>'Reg out-school'!$C$45:$C$58</c:f>
              <c:numCache>
                <c:formatCode>0.0%</c:formatCode>
                <c:ptCount val="14"/>
                <c:pt idx="0">
                  <c:v>-2.6800000000000001E-2</c:v>
                </c:pt>
                <c:pt idx="1">
                  <c:v>4.24E-2</c:v>
                </c:pt>
                <c:pt idx="2">
                  <c:v>2.7499999999999998E-3</c:v>
                </c:pt>
                <c:pt idx="3">
                  <c:v>8.2799999999999992E-3</c:v>
                </c:pt>
                <c:pt idx="4">
                  <c:v>3.5400000000000002E-3</c:v>
                </c:pt>
                <c:pt idx="5">
                  <c:v>4.6600000000000003E-2</c:v>
                </c:pt>
                <c:pt idx="6">
                  <c:v>7.1900000000000006E-2</c:v>
                </c:pt>
                <c:pt idx="7">
                  <c:v>8.4599999999999995E-2</c:v>
                </c:pt>
                <c:pt idx="8">
                  <c:v>0.17100000000000001</c:v>
                </c:pt>
                <c:pt idx="9">
                  <c:v>0.246</c:v>
                </c:pt>
                <c:pt idx="10">
                  <c:v>4.3299999999999998E-2</c:v>
                </c:pt>
                <c:pt idx="11">
                  <c:v>9.5899999999999999E-2</c:v>
                </c:pt>
                <c:pt idx="12">
                  <c:v>-9.2999999999999999E-2</c:v>
                </c:pt>
                <c:pt idx="13">
                  <c:v>-2.7899999999999999E-3</c:v>
                </c:pt>
              </c:numCache>
            </c:numRef>
          </c:val>
          <c:extLst>
            <c:ext xmlns:c16="http://schemas.microsoft.com/office/drawing/2014/chart" uri="{C3380CC4-5D6E-409C-BE32-E72D297353CC}">
              <c16:uniqueId val="{00000001-0AD8-4CD9-9EBD-1A0C6E380EFE}"/>
            </c:ext>
          </c:extLst>
        </c:ser>
        <c:ser>
          <c:idx val="2"/>
          <c:order val="2"/>
          <c:tx>
            <c:strRef>
              <c:f>'Reg out-school'!$D$44</c:f>
              <c:strCache>
                <c:ptCount val="1"/>
                <c:pt idx="0">
                  <c:v>SSS</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 out-school'!$A$45:$A$58</c:f>
              <c:strCache>
                <c:ptCount val="14"/>
                <c:pt idx="0">
                  <c:v>Female</c:v>
                </c:pt>
                <c:pt idx="1">
                  <c:v>Rural</c:v>
                </c:pt>
                <c:pt idx="2">
                  <c:v>HH size</c:v>
                </c:pt>
                <c:pt idx="3">
                  <c:v>Rich</c:v>
                </c:pt>
                <c:pt idx="4">
                  <c:v>Middle</c:v>
                </c:pt>
                <c:pt idx="5">
                  <c:v>Poor</c:v>
                </c:pt>
                <c:pt idx="6">
                  <c:v>Poorest</c:v>
                </c:pt>
                <c:pt idx="7">
                  <c:v>Some lower secondary</c:v>
                </c:pt>
                <c:pt idx="8">
                  <c:v>Some priomary</c:v>
                </c:pt>
                <c:pt idx="9">
                  <c:v>No education</c:v>
                </c:pt>
                <c:pt idx="10">
                  <c:v>Industry</c:v>
                </c:pt>
                <c:pt idx="11">
                  <c:v>Agriclutire</c:v>
                </c:pt>
                <c:pt idx="12">
                  <c:v>Fmale Head</c:v>
                </c:pt>
                <c:pt idx="13">
                  <c:v>Head age</c:v>
                </c:pt>
              </c:strCache>
            </c:strRef>
          </c:cat>
          <c:val>
            <c:numRef>
              <c:f>'Reg out-school'!$D$45:$D$58</c:f>
              <c:numCache>
                <c:formatCode>0.0%</c:formatCode>
                <c:ptCount val="14"/>
                <c:pt idx="0">
                  <c:v>2.7400000000000001E-2</c:v>
                </c:pt>
                <c:pt idx="1">
                  <c:v>5.1299999999999998E-2</c:v>
                </c:pt>
                <c:pt idx="2">
                  <c:v>2.3800000000000002E-3</c:v>
                </c:pt>
                <c:pt idx="3">
                  <c:v>2.8899999999999999E-2</c:v>
                </c:pt>
                <c:pt idx="4">
                  <c:v>-6.6500000000000004E-2</c:v>
                </c:pt>
                <c:pt idx="5">
                  <c:v>-1.26E-2</c:v>
                </c:pt>
                <c:pt idx="6">
                  <c:v>4.53E-2</c:v>
                </c:pt>
                <c:pt idx="7">
                  <c:v>1.26E-2</c:v>
                </c:pt>
                <c:pt idx="8">
                  <c:v>0.121</c:v>
                </c:pt>
                <c:pt idx="9">
                  <c:v>0.22900000000000001</c:v>
                </c:pt>
                <c:pt idx="10">
                  <c:v>1.9599999999999999E-3</c:v>
                </c:pt>
                <c:pt idx="11">
                  <c:v>4.0399999999999998E-2</c:v>
                </c:pt>
                <c:pt idx="12">
                  <c:v>-0.108</c:v>
                </c:pt>
                <c:pt idx="13">
                  <c:v>-6.4200000000000004E-3</c:v>
                </c:pt>
              </c:numCache>
            </c:numRef>
          </c:val>
          <c:extLst>
            <c:ext xmlns:c16="http://schemas.microsoft.com/office/drawing/2014/chart" uri="{C3380CC4-5D6E-409C-BE32-E72D297353CC}">
              <c16:uniqueId val="{00000002-0AD8-4CD9-9EBD-1A0C6E380EFE}"/>
            </c:ext>
          </c:extLst>
        </c:ser>
        <c:dLbls>
          <c:showLegendKey val="0"/>
          <c:showVal val="0"/>
          <c:showCatName val="0"/>
          <c:showSerName val="0"/>
          <c:showPercent val="0"/>
          <c:showBubbleSize val="0"/>
        </c:dLbls>
        <c:gapWidth val="219"/>
        <c:overlap val="-27"/>
        <c:axId val="1888607247"/>
        <c:axId val="1888605167"/>
      </c:barChart>
      <c:catAx>
        <c:axId val="1888607247"/>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888605167"/>
        <c:crosses val="autoZero"/>
        <c:auto val="1"/>
        <c:lblAlgn val="ctr"/>
        <c:lblOffset val="100"/>
        <c:noMultiLvlLbl val="0"/>
      </c:catAx>
      <c:valAx>
        <c:axId val="1888605167"/>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888607247"/>
        <c:crosses val="autoZero"/>
        <c:crossBetween val="between"/>
      </c:valAx>
      <c:spPr>
        <a:noFill/>
        <a:ln>
          <a:noFill/>
        </a:ln>
        <a:effectLst/>
      </c:spPr>
    </c:plotArea>
    <c:legend>
      <c:legendPos val="b"/>
      <c:layout>
        <c:manualLayout>
          <c:xMode val="edge"/>
          <c:yMode val="edge"/>
          <c:x val="0.19095578529252555"/>
          <c:y val="0.14655802595441236"/>
          <c:w val="0.14945824801390442"/>
          <c:h val="5.220454171766812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900"/>
              <a:t>Primary</a:t>
            </a:r>
          </a:p>
        </c:rich>
      </c:tx>
      <c:layout>
        <c:manualLayout>
          <c:xMode val="edge"/>
          <c:yMode val="edge"/>
          <c:x val="9.8688319800124907E-2"/>
          <c:y val="2.7748872702046481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2535500983792"/>
          <c:y val="2.4788936007195561E-2"/>
          <c:w val="0.80982549343014931"/>
          <c:h val="0.77811494631936451"/>
        </c:manualLayout>
      </c:layout>
      <c:lineChart>
        <c:grouping val="standard"/>
        <c:varyColors val="0"/>
        <c:ser>
          <c:idx val="0"/>
          <c:order val="0"/>
          <c:tx>
            <c:strRef>
              <c:f>Sheet1!$V$31</c:f>
              <c:strCache>
                <c:ptCount val="1"/>
                <c:pt idx="0">
                  <c:v>High</c:v>
                </c:pt>
              </c:strCache>
            </c:strRef>
          </c:tx>
          <c:spPr>
            <a:ln w="28575" cap="rnd">
              <a:solidFill>
                <a:schemeClr val="accent1"/>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BBF-45F1-ABD0-38944D1555E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Sheet1!$W$30:$Z$30</c:f>
              <c:numCache>
                <c:formatCode>General</c:formatCode>
                <c:ptCount val="4"/>
                <c:pt idx="0">
                  <c:v>2015</c:v>
                </c:pt>
                <c:pt idx="1">
                  <c:v>2020</c:v>
                </c:pt>
                <c:pt idx="2">
                  <c:v>2025</c:v>
                </c:pt>
                <c:pt idx="3">
                  <c:v>2030</c:v>
                </c:pt>
              </c:numCache>
            </c:numRef>
          </c:cat>
          <c:val>
            <c:numRef>
              <c:f>Sheet1!$W$31:$Z$31</c:f>
              <c:numCache>
                <c:formatCode>0</c:formatCode>
                <c:ptCount val="4"/>
                <c:pt idx="0">
                  <c:v>308.72899999999998</c:v>
                </c:pt>
                <c:pt idx="1">
                  <c:v>430.2702716095402</c:v>
                </c:pt>
                <c:pt idx="2">
                  <c:v>515.09307110584962</c:v>
                </c:pt>
                <c:pt idx="3">
                  <c:v>568.71487714099624</c:v>
                </c:pt>
              </c:numCache>
            </c:numRef>
          </c:val>
          <c:smooth val="0"/>
          <c:extLst>
            <c:ext xmlns:c16="http://schemas.microsoft.com/office/drawing/2014/chart" uri="{C3380CC4-5D6E-409C-BE32-E72D297353CC}">
              <c16:uniqueId val="{00000001-4BBF-45F1-ABD0-38944D1555E5}"/>
            </c:ext>
          </c:extLst>
        </c:ser>
        <c:ser>
          <c:idx val="1"/>
          <c:order val="1"/>
          <c:tx>
            <c:strRef>
              <c:f>Sheet1!$V$32</c:f>
              <c:strCache>
                <c:ptCount val="1"/>
                <c:pt idx="0">
                  <c:v>Medium</c:v>
                </c:pt>
              </c:strCache>
            </c:strRef>
          </c:tx>
          <c:spPr>
            <a:ln w="28575" cap="rnd">
              <a:solidFill>
                <a:schemeClr val="accent2"/>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BBF-45F1-ABD0-38944D1555E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Sheet1!$W$30:$Z$30</c:f>
              <c:numCache>
                <c:formatCode>General</c:formatCode>
                <c:ptCount val="4"/>
                <c:pt idx="0">
                  <c:v>2015</c:v>
                </c:pt>
                <c:pt idx="1">
                  <c:v>2020</c:v>
                </c:pt>
                <c:pt idx="2">
                  <c:v>2025</c:v>
                </c:pt>
                <c:pt idx="3">
                  <c:v>2030</c:v>
                </c:pt>
              </c:numCache>
            </c:numRef>
          </c:cat>
          <c:val>
            <c:numRef>
              <c:f>Sheet1!$W$32:$Z$32</c:f>
              <c:numCache>
                <c:formatCode>0</c:formatCode>
                <c:ptCount val="4"/>
                <c:pt idx="0">
                  <c:v>308.72899999999998</c:v>
                </c:pt>
                <c:pt idx="1">
                  <c:v>410.91900150698268</c:v>
                </c:pt>
                <c:pt idx="2">
                  <c:v>484.80303119239255</c:v>
                </c:pt>
                <c:pt idx="3">
                  <c:v>536.05171070019367</c:v>
                </c:pt>
              </c:numCache>
            </c:numRef>
          </c:val>
          <c:smooth val="0"/>
          <c:extLst>
            <c:ext xmlns:c16="http://schemas.microsoft.com/office/drawing/2014/chart" uri="{C3380CC4-5D6E-409C-BE32-E72D297353CC}">
              <c16:uniqueId val="{00000003-4BBF-45F1-ABD0-38944D1555E5}"/>
            </c:ext>
          </c:extLst>
        </c:ser>
        <c:ser>
          <c:idx val="2"/>
          <c:order val="2"/>
          <c:tx>
            <c:strRef>
              <c:f>Sheet1!$V$33</c:f>
              <c:strCache>
                <c:ptCount val="1"/>
                <c:pt idx="0">
                  <c:v>Low</c:v>
                </c:pt>
              </c:strCache>
            </c:strRef>
          </c:tx>
          <c:spPr>
            <a:ln w="28575" cap="rnd">
              <a:solidFill>
                <a:schemeClr val="accent3"/>
              </a:solidFill>
              <a:round/>
            </a:ln>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BBF-45F1-ABD0-38944D1555E5}"/>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BBF-45F1-ABD0-38944D1555E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Sheet1!$W$30:$Z$30</c:f>
              <c:numCache>
                <c:formatCode>General</c:formatCode>
                <c:ptCount val="4"/>
                <c:pt idx="0">
                  <c:v>2015</c:v>
                </c:pt>
                <c:pt idx="1">
                  <c:v>2020</c:v>
                </c:pt>
                <c:pt idx="2">
                  <c:v>2025</c:v>
                </c:pt>
                <c:pt idx="3">
                  <c:v>2030</c:v>
                </c:pt>
              </c:numCache>
            </c:numRef>
          </c:cat>
          <c:val>
            <c:numRef>
              <c:f>Sheet1!$W$33:$Z$33</c:f>
              <c:numCache>
                <c:formatCode>0</c:formatCode>
                <c:ptCount val="4"/>
                <c:pt idx="0">
                  <c:v>308.72899999999998</c:v>
                </c:pt>
                <c:pt idx="1">
                  <c:v>401.73776896949471</c:v>
                </c:pt>
                <c:pt idx="2">
                  <c:v>471.16499756604446</c:v>
                </c:pt>
                <c:pt idx="3">
                  <c:v>522.11724462587097</c:v>
                </c:pt>
              </c:numCache>
            </c:numRef>
          </c:val>
          <c:smooth val="0"/>
          <c:extLst>
            <c:ext xmlns:c16="http://schemas.microsoft.com/office/drawing/2014/chart" uri="{C3380CC4-5D6E-409C-BE32-E72D297353CC}">
              <c16:uniqueId val="{00000006-4BBF-45F1-ABD0-38944D1555E5}"/>
            </c:ext>
          </c:extLst>
        </c:ser>
        <c:dLbls>
          <c:showLegendKey val="0"/>
          <c:showVal val="0"/>
          <c:showCatName val="0"/>
          <c:showSerName val="0"/>
          <c:showPercent val="0"/>
          <c:showBubbleSize val="0"/>
        </c:dLbls>
        <c:smooth val="0"/>
        <c:axId val="77978352"/>
        <c:axId val="215293584"/>
      </c:lineChart>
      <c:catAx>
        <c:axId val="7797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5293584"/>
        <c:crosses val="autoZero"/>
        <c:auto val="1"/>
        <c:lblAlgn val="ctr"/>
        <c:lblOffset val="100"/>
        <c:noMultiLvlLbl val="0"/>
      </c:catAx>
      <c:valAx>
        <c:axId val="215293584"/>
        <c:scaling>
          <c:orientation val="minMax"/>
          <c:min val="30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978352"/>
        <c:crosses val="autoZero"/>
        <c:crossBetween val="between"/>
        <c:majorUnit val="50"/>
      </c:valAx>
      <c:spPr>
        <a:noFill/>
        <a:ln>
          <a:noFill/>
        </a:ln>
        <a:effectLst/>
      </c:spPr>
    </c:plotArea>
    <c:legend>
      <c:legendPos val="b"/>
      <c:layout>
        <c:manualLayout>
          <c:xMode val="edge"/>
          <c:yMode val="edge"/>
          <c:x val="0.11736267195207718"/>
          <c:y val="0.1796723120327961"/>
          <c:w val="0.36862295710850013"/>
          <c:h val="0.2584130157507626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5054778266451508E-2"/>
          <c:y val="0.21553071617595082"/>
          <c:w val="0.95179967988362912"/>
          <c:h val="0.61857624570843783"/>
        </c:manualLayout>
      </c:layout>
      <c:barChart>
        <c:barDir val="col"/>
        <c:grouping val="clustered"/>
        <c:varyColors val="0"/>
        <c:ser>
          <c:idx val="0"/>
          <c:order val="0"/>
          <c:tx>
            <c:strRef>
              <c:f>'Fig62'!$C$23</c:f>
              <c:strCache>
                <c:ptCount val="1"/>
                <c:pt idx="0">
                  <c:v>2010-education share of per capita spending</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6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'Fig62'!$A$24:$B$30</c:f>
              <c:multiLvlStrCache>
                <c:ptCount val="7"/>
                <c:lvl>
                  <c:pt idx="0">
                    <c:v>The Gambia</c:v>
                  </c:pt>
                  <c:pt idx="1">
                    <c:v>Poorest</c:v>
                  </c:pt>
                  <c:pt idx="2">
                    <c:v>Poor</c:v>
                  </c:pt>
                  <c:pt idx="3">
                    <c:v>Middle</c:v>
                  </c:pt>
                  <c:pt idx="4">
                    <c:v>Rich</c:v>
                  </c:pt>
                  <c:pt idx="5">
                    <c:v>Richest</c:v>
                  </c:pt>
                </c:lvl>
                <c:lvl>
                  <c:pt idx="0">
                    <c:v>HH</c:v>
                  </c:pt>
                  <c:pt idx="6">
                    <c:v>Public spending</c:v>
                  </c:pt>
                </c:lvl>
              </c:multiLvlStrCache>
            </c:multiLvlStrRef>
          </c:cat>
          <c:val>
            <c:numRef>
              <c:f>'Fig62'!$C$24:$C$30</c:f>
              <c:numCache>
                <c:formatCode>0.0%</c:formatCode>
                <c:ptCount val="7"/>
                <c:pt idx="0">
                  <c:v>0.1865531</c:v>
                </c:pt>
                <c:pt idx="1">
                  <c:v>0.3876288</c:v>
                </c:pt>
                <c:pt idx="2">
                  <c:v>0.25248090000000001</c:v>
                </c:pt>
                <c:pt idx="3">
                  <c:v>5.9121699999999999E-2</c:v>
                </c:pt>
                <c:pt idx="4">
                  <c:v>0.12692400000000001</c:v>
                </c:pt>
                <c:pt idx="5">
                  <c:v>0.14737980000000001</c:v>
                </c:pt>
                <c:pt idx="6">
                  <c:v>0.21240574274939641</c:v>
                </c:pt>
              </c:numCache>
            </c:numRef>
          </c:val>
          <c:extLst>
            <c:ext xmlns:c16="http://schemas.microsoft.com/office/drawing/2014/chart" uri="{C3380CC4-5D6E-409C-BE32-E72D297353CC}">
              <c16:uniqueId val="{00000000-04E7-4BA0-9065-C572ABB29776}"/>
            </c:ext>
          </c:extLst>
        </c:ser>
        <c:ser>
          <c:idx val="1"/>
          <c:order val="1"/>
          <c:tx>
            <c:strRef>
              <c:f>'Fig62'!$D$23</c:f>
              <c:strCache>
                <c:ptCount val="1"/>
                <c:pt idx="0">
                  <c:v>2015-education share of per capita spending</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6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'Fig62'!$A$24:$B$30</c:f>
              <c:multiLvlStrCache>
                <c:ptCount val="7"/>
                <c:lvl>
                  <c:pt idx="0">
                    <c:v>The Gambia</c:v>
                  </c:pt>
                  <c:pt idx="1">
                    <c:v>Poorest</c:v>
                  </c:pt>
                  <c:pt idx="2">
                    <c:v>Poor</c:v>
                  </c:pt>
                  <c:pt idx="3">
                    <c:v>Middle</c:v>
                  </c:pt>
                  <c:pt idx="4">
                    <c:v>Rich</c:v>
                  </c:pt>
                  <c:pt idx="5">
                    <c:v>Richest</c:v>
                  </c:pt>
                </c:lvl>
                <c:lvl>
                  <c:pt idx="0">
                    <c:v>HH</c:v>
                  </c:pt>
                  <c:pt idx="6">
                    <c:v>Public spending</c:v>
                  </c:pt>
                </c:lvl>
              </c:multiLvlStrCache>
            </c:multiLvlStrRef>
          </c:cat>
          <c:val>
            <c:numRef>
              <c:f>'Fig62'!$D$24:$D$30</c:f>
              <c:numCache>
                <c:formatCode>0.0%</c:formatCode>
                <c:ptCount val="7"/>
                <c:pt idx="0">
                  <c:v>0.61807970000000001</c:v>
                </c:pt>
                <c:pt idx="1">
                  <c:v>0.97915960000000002</c:v>
                </c:pt>
                <c:pt idx="2">
                  <c:v>0.61376790000000003</c:v>
                </c:pt>
                <c:pt idx="3">
                  <c:v>0.52776690000000004</c:v>
                </c:pt>
                <c:pt idx="4">
                  <c:v>0.54969480000000004</c:v>
                </c:pt>
                <c:pt idx="5">
                  <c:v>0.4592427</c:v>
                </c:pt>
                <c:pt idx="6">
                  <c:v>0.32952182496960458</c:v>
                </c:pt>
              </c:numCache>
            </c:numRef>
          </c:val>
          <c:extLst>
            <c:ext xmlns:c16="http://schemas.microsoft.com/office/drawing/2014/chart" uri="{C3380CC4-5D6E-409C-BE32-E72D297353CC}">
              <c16:uniqueId val="{00000001-04E7-4BA0-9065-C572ABB29776}"/>
            </c:ext>
          </c:extLst>
        </c:ser>
        <c:dLbls>
          <c:dLblPos val="outEnd"/>
          <c:showLegendKey val="0"/>
          <c:showVal val="1"/>
          <c:showCatName val="0"/>
          <c:showSerName val="0"/>
          <c:showPercent val="0"/>
          <c:showBubbleSize val="0"/>
        </c:dLbls>
        <c:gapWidth val="444"/>
        <c:overlap val="-90"/>
        <c:axId val="739456368"/>
        <c:axId val="739456760"/>
      </c:barChart>
      <c:catAx>
        <c:axId val="73945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cap="all" spc="120" normalizeH="0" baseline="0">
                <a:solidFill>
                  <a:schemeClr val="tx1">
                    <a:lumMod val="65000"/>
                    <a:lumOff val="35000"/>
                  </a:schemeClr>
                </a:solidFill>
                <a:latin typeface="+mn-lt"/>
                <a:ea typeface="+mn-ea"/>
                <a:cs typeface="+mn-cs"/>
              </a:defRPr>
            </a:pPr>
            <a:endParaRPr lang="en-US"/>
          </a:p>
        </c:txPr>
        <c:crossAx val="739456760"/>
        <c:crosses val="autoZero"/>
        <c:auto val="1"/>
        <c:lblAlgn val="ctr"/>
        <c:lblOffset val="100"/>
        <c:noMultiLvlLbl val="0"/>
      </c:catAx>
      <c:valAx>
        <c:axId val="739456760"/>
        <c:scaling>
          <c:orientation val="minMax"/>
        </c:scaling>
        <c:delete val="1"/>
        <c:axPos val="l"/>
        <c:numFmt formatCode="0.0%" sourceLinked="1"/>
        <c:majorTickMark val="none"/>
        <c:minorTickMark val="none"/>
        <c:tickLblPos val="nextTo"/>
        <c:crossAx val="739456368"/>
        <c:crosses val="autoZero"/>
        <c:crossBetween val="between"/>
      </c:valAx>
      <c:spPr>
        <a:noFill/>
        <a:ln>
          <a:noFill/>
        </a:ln>
        <a:effectLst/>
      </c:spPr>
    </c:plotArea>
    <c:legend>
      <c:legendPos val="t"/>
      <c:layout>
        <c:manualLayout>
          <c:xMode val="edge"/>
          <c:yMode val="edge"/>
          <c:x val="7.7142695292584829E-2"/>
          <c:y val="2.1024964247903642E-2"/>
          <c:w val="0.74587711720387473"/>
          <c:h val="0.1313311187184106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465354788578015E-2"/>
          <c:y val="0.2284205410817037"/>
          <c:w val="0.95506929042284394"/>
          <c:h val="0.55105755223220043"/>
        </c:manualLayout>
      </c:layout>
      <c:barChart>
        <c:barDir val="col"/>
        <c:grouping val="clustered"/>
        <c:varyColors val="0"/>
        <c:ser>
          <c:idx val="0"/>
          <c:order val="0"/>
          <c:tx>
            <c:strRef>
              <c:f>'Fig62'!$L$22</c:f>
              <c:strCache>
                <c:ptCount val="1"/>
                <c:pt idx="0">
                  <c:v>2010-education share of total consumption</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6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'Fig62'!$J$23:$K$29</c:f>
              <c:multiLvlStrCache>
                <c:ptCount val="7"/>
                <c:lvl>
                  <c:pt idx="0">
                    <c:v>The Gambia</c:v>
                  </c:pt>
                  <c:pt idx="1">
                    <c:v>Poorest</c:v>
                  </c:pt>
                  <c:pt idx="2">
                    <c:v>Poor</c:v>
                  </c:pt>
                  <c:pt idx="3">
                    <c:v>Middle</c:v>
                  </c:pt>
                  <c:pt idx="4">
                    <c:v>Rich</c:v>
                  </c:pt>
                  <c:pt idx="5">
                    <c:v>Richest</c:v>
                  </c:pt>
                </c:lvl>
                <c:lvl>
                  <c:pt idx="0">
                    <c:v>HH</c:v>
                  </c:pt>
                  <c:pt idx="6">
                    <c:v>Public spending</c:v>
                  </c:pt>
                </c:lvl>
              </c:multiLvlStrCache>
            </c:multiLvlStrRef>
          </c:cat>
          <c:val>
            <c:numRef>
              <c:f>'Fig62'!$L$23:$L$29</c:f>
              <c:numCache>
                <c:formatCode>0.0%</c:formatCode>
                <c:ptCount val="7"/>
                <c:pt idx="0">
                  <c:v>1.4504400000000001E-2</c:v>
                </c:pt>
                <c:pt idx="1">
                  <c:v>2.59542E-2</c:v>
                </c:pt>
                <c:pt idx="2">
                  <c:v>1.50942E-2</c:v>
                </c:pt>
                <c:pt idx="3">
                  <c:v>4.7425000000000002E-3</c:v>
                </c:pt>
                <c:pt idx="4">
                  <c:v>1.29097E-2</c:v>
                </c:pt>
                <c:pt idx="5">
                  <c:v>1.5679700000000001E-2</c:v>
                </c:pt>
                <c:pt idx="6">
                  <c:v>2.5669692826784007E-2</c:v>
                </c:pt>
              </c:numCache>
            </c:numRef>
          </c:val>
          <c:extLst>
            <c:ext xmlns:c16="http://schemas.microsoft.com/office/drawing/2014/chart" uri="{C3380CC4-5D6E-409C-BE32-E72D297353CC}">
              <c16:uniqueId val="{00000000-97C1-44F5-B1DF-66787C96D794}"/>
            </c:ext>
          </c:extLst>
        </c:ser>
        <c:ser>
          <c:idx val="1"/>
          <c:order val="1"/>
          <c:tx>
            <c:strRef>
              <c:f>'Fig62'!$M$22</c:f>
              <c:strCache>
                <c:ptCount val="1"/>
                <c:pt idx="0">
                  <c:v>2015-education share of total consumption</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6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'Fig62'!$J$23:$K$29</c:f>
              <c:multiLvlStrCache>
                <c:ptCount val="7"/>
                <c:lvl>
                  <c:pt idx="0">
                    <c:v>The Gambia</c:v>
                  </c:pt>
                  <c:pt idx="1">
                    <c:v>Poorest</c:v>
                  </c:pt>
                  <c:pt idx="2">
                    <c:v>Poor</c:v>
                  </c:pt>
                  <c:pt idx="3">
                    <c:v>Middle</c:v>
                  </c:pt>
                  <c:pt idx="4">
                    <c:v>Rich</c:v>
                  </c:pt>
                  <c:pt idx="5">
                    <c:v>Richest</c:v>
                  </c:pt>
                </c:lvl>
                <c:lvl>
                  <c:pt idx="0">
                    <c:v>HH</c:v>
                  </c:pt>
                  <c:pt idx="6">
                    <c:v>Public spending</c:v>
                  </c:pt>
                </c:lvl>
              </c:multiLvlStrCache>
            </c:multiLvlStrRef>
          </c:cat>
          <c:val>
            <c:numRef>
              <c:f>'Fig62'!$M$23:$M$29</c:f>
              <c:numCache>
                <c:formatCode>0.0%</c:formatCode>
                <c:ptCount val="7"/>
                <c:pt idx="0">
                  <c:v>5.9114399999999998E-2</c:v>
                </c:pt>
                <c:pt idx="1">
                  <c:v>6.5316399999999997E-2</c:v>
                </c:pt>
                <c:pt idx="2">
                  <c:v>5.49399E-2</c:v>
                </c:pt>
                <c:pt idx="3">
                  <c:v>5.0021700000000002E-2</c:v>
                </c:pt>
                <c:pt idx="4">
                  <c:v>6.11868E-2</c:v>
                </c:pt>
                <c:pt idx="5">
                  <c:v>6.4411399999999994E-2</c:v>
                </c:pt>
                <c:pt idx="6">
                  <c:v>3.1902017848766055E-2</c:v>
                </c:pt>
              </c:numCache>
            </c:numRef>
          </c:val>
          <c:extLst>
            <c:ext xmlns:c16="http://schemas.microsoft.com/office/drawing/2014/chart" uri="{C3380CC4-5D6E-409C-BE32-E72D297353CC}">
              <c16:uniqueId val="{00000001-97C1-44F5-B1DF-66787C96D794}"/>
            </c:ext>
          </c:extLst>
        </c:ser>
        <c:dLbls>
          <c:dLblPos val="outEnd"/>
          <c:showLegendKey val="0"/>
          <c:showVal val="1"/>
          <c:showCatName val="0"/>
          <c:showSerName val="0"/>
          <c:showPercent val="0"/>
          <c:showBubbleSize val="0"/>
        </c:dLbls>
        <c:gapWidth val="444"/>
        <c:overlap val="-90"/>
        <c:axId val="739457544"/>
        <c:axId val="739457936"/>
      </c:barChart>
      <c:catAx>
        <c:axId val="739457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cap="all" spc="120" normalizeH="0" baseline="0">
                <a:solidFill>
                  <a:schemeClr val="tx1">
                    <a:lumMod val="65000"/>
                    <a:lumOff val="35000"/>
                  </a:schemeClr>
                </a:solidFill>
                <a:latin typeface="+mn-lt"/>
                <a:ea typeface="+mn-ea"/>
                <a:cs typeface="+mn-cs"/>
              </a:defRPr>
            </a:pPr>
            <a:endParaRPr lang="en-US"/>
          </a:p>
        </c:txPr>
        <c:crossAx val="739457936"/>
        <c:crosses val="autoZero"/>
        <c:auto val="1"/>
        <c:lblAlgn val="ctr"/>
        <c:lblOffset val="100"/>
        <c:noMultiLvlLbl val="0"/>
      </c:catAx>
      <c:valAx>
        <c:axId val="739457936"/>
        <c:scaling>
          <c:orientation val="minMax"/>
        </c:scaling>
        <c:delete val="1"/>
        <c:axPos val="l"/>
        <c:numFmt formatCode="0.0%" sourceLinked="1"/>
        <c:majorTickMark val="none"/>
        <c:minorTickMark val="none"/>
        <c:tickLblPos val="nextTo"/>
        <c:crossAx val="739457544"/>
        <c:crosses val="autoZero"/>
        <c:crossBetween val="between"/>
      </c:valAx>
      <c:spPr>
        <a:noFill/>
        <a:ln>
          <a:noFill/>
        </a:ln>
        <a:effectLst/>
      </c:spPr>
    </c:plotArea>
    <c:legend>
      <c:legendPos val="t"/>
      <c:layout>
        <c:manualLayout>
          <c:xMode val="edge"/>
          <c:yMode val="edge"/>
          <c:x val="1.9530285986978885E-2"/>
          <c:y val="2.0607176111036442E-2"/>
          <c:w val="0.80993012237106721"/>
          <c:h val="0.1189769311622932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5982989859339225E-2"/>
          <c:y val="2.2569991251093605E-2"/>
          <c:w val="0.92803402028132154"/>
          <c:h val="0.74082494896471285"/>
        </c:manualLayout>
      </c:layout>
      <c:barChart>
        <c:barDir val="col"/>
        <c:grouping val="clustered"/>
        <c:varyColors val="0"/>
        <c:ser>
          <c:idx val="0"/>
          <c:order val="0"/>
          <c:tx>
            <c:strRef>
              <c:f>'Fig63.73'!$N$36</c:f>
              <c:strCache>
                <c:ptCount val="1"/>
                <c:pt idx="0">
                  <c:v>Q1</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'Fig63.73'!$L$37:$M$41</c:f>
              <c:strCache>
                <c:ptCount val="4"/>
                <c:pt idx="0">
                  <c:v>Primary</c:v>
                </c:pt>
                <c:pt idx="1">
                  <c:v>Lower Secondary</c:v>
                </c:pt>
                <c:pt idx="2">
                  <c:v>Upper Secondary</c:v>
                </c:pt>
                <c:pt idx="3">
                  <c:v>Tertiary </c:v>
                </c:pt>
              </c:strCache>
            </c:strRef>
          </c:cat>
          <c:val>
            <c:numRef>
              <c:f>'Fig63.73'!$N$37:$N$41</c:f>
              <c:numCache>
                <c:formatCode>0%</c:formatCode>
                <c:ptCount val="4"/>
                <c:pt idx="0">
                  <c:v>0.66960359014614979</c:v>
                </c:pt>
                <c:pt idx="1">
                  <c:v>0.2042015342637471</c:v>
                </c:pt>
                <c:pt idx="2">
                  <c:v>7.3633470243899463E-2</c:v>
                </c:pt>
                <c:pt idx="3">
                  <c:v>5.2561405346203564E-2</c:v>
                </c:pt>
              </c:numCache>
            </c:numRef>
          </c:val>
          <c:extLst>
            <c:ext xmlns:c16="http://schemas.microsoft.com/office/drawing/2014/chart" uri="{C3380CC4-5D6E-409C-BE32-E72D297353CC}">
              <c16:uniqueId val="{00000000-A1EB-4B06-A68D-C97D591994A2}"/>
            </c:ext>
          </c:extLst>
        </c:ser>
        <c:ser>
          <c:idx val="1"/>
          <c:order val="1"/>
          <c:tx>
            <c:strRef>
              <c:f>'Fig63.73'!$O$36</c:f>
              <c:strCache>
                <c:ptCount val="1"/>
                <c:pt idx="0">
                  <c:v>Q2</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'Fig63.73'!$L$37:$M$41</c:f>
              <c:strCache>
                <c:ptCount val="4"/>
                <c:pt idx="0">
                  <c:v>Primary</c:v>
                </c:pt>
                <c:pt idx="1">
                  <c:v>Lower Secondary</c:v>
                </c:pt>
                <c:pt idx="2">
                  <c:v>Upper Secondary</c:v>
                </c:pt>
                <c:pt idx="3">
                  <c:v>Tertiary </c:v>
                </c:pt>
              </c:strCache>
            </c:strRef>
          </c:cat>
          <c:val>
            <c:numRef>
              <c:f>'Fig63.73'!$O$37:$O$41</c:f>
              <c:numCache>
                <c:formatCode>0%</c:formatCode>
                <c:ptCount val="4"/>
                <c:pt idx="0">
                  <c:v>0.65594158560875215</c:v>
                </c:pt>
                <c:pt idx="1">
                  <c:v>0.19316980149521135</c:v>
                </c:pt>
                <c:pt idx="2">
                  <c:v>0.10371344811239094</c:v>
                </c:pt>
                <c:pt idx="3">
                  <c:v>4.7175164783645508E-2</c:v>
                </c:pt>
              </c:numCache>
            </c:numRef>
          </c:val>
          <c:extLst>
            <c:ext xmlns:c16="http://schemas.microsoft.com/office/drawing/2014/chart" uri="{C3380CC4-5D6E-409C-BE32-E72D297353CC}">
              <c16:uniqueId val="{00000001-A1EB-4B06-A68D-C97D591994A2}"/>
            </c:ext>
          </c:extLst>
        </c:ser>
        <c:ser>
          <c:idx val="2"/>
          <c:order val="2"/>
          <c:tx>
            <c:strRef>
              <c:f>'Fig63.73'!$P$36</c:f>
              <c:strCache>
                <c:ptCount val="1"/>
                <c:pt idx="0">
                  <c:v>Q3</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'Fig63.73'!$L$37:$M$41</c:f>
              <c:strCache>
                <c:ptCount val="4"/>
                <c:pt idx="0">
                  <c:v>Primary</c:v>
                </c:pt>
                <c:pt idx="1">
                  <c:v>Lower Secondary</c:v>
                </c:pt>
                <c:pt idx="2">
                  <c:v>Upper Secondary</c:v>
                </c:pt>
                <c:pt idx="3">
                  <c:v>Tertiary </c:v>
                </c:pt>
              </c:strCache>
            </c:strRef>
          </c:cat>
          <c:val>
            <c:numRef>
              <c:f>'Fig63.73'!$P$37:$P$41</c:f>
              <c:numCache>
                <c:formatCode>0%</c:formatCode>
                <c:ptCount val="4"/>
                <c:pt idx="0">
                  <c:v>0.6037719019676463</c:v>
                </c:pt>
                <c:pt idx="1">
                  <c:v>0.20832937037704949</c:v>
                </c:pt>
                <c:pt idx="2">
                  <c:v>0.14145156127538724</c:v>
                </c:pt>
                <c:pt idx="3">
                  <c:v>4.644716637991711E-2</c:v>
                </c:pt>
              </c:numCache>
            </c:numRef>
          </c:val>
          <c:extLst>
            <c:ext xmlns:c16="http://schemas.microsoft.com/office/drawing/2014/chart" uri="{C3380CC4-5D6E-409C-BE32-E72D297353CC}">
              <c16:uniqueId val="{00000002-A1EB-4B06-A68D-C97D591994A2}"/>
            </c:ext>
          </c:extLst>
        </c:ser>
        <c:ser>
          <c:idx val="3"/>
          <c:order val="3"/>
          <c:tx>
            <c:strRef>
              <c:f>'Fig63.73'!$Q$36</c:f>
              <c:strCache>
                <c:ptCount val="1"/>
                <c:pt idx="0">
                  <c:v>Q4</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'Fig63.73'!$L$37:$M$41</c:f>
              <c:strCache>
                <c:ptCount val="4"/>
                <c:pt idx="0">
                  <c:v>Primary</c:v>
                </c:pt>
                <c:pt idx="1">
                  <c:v>Lower Secondary</c:v>
                </c:pt>
                <c:pt idx="2">
                  <c:v>Upper Secondary</c:v>
                </c:pt>
                <c:pt idx="3">
                  <c:v>Tertiary </c:v>
                </c:pt>
              </c:strCache>
            </c:strRef>
          </c:cat>
          <c:val>
            <c:numRef>
              <c:f>'Fig63.73'!$Q$37:$Q$41</c:f>
              <c:numCache>
                <c:formatCode>0%</c:formatCode>
                <c:ptCount val="4"/>
                <c:pt idx="0">
                  <c:v>0.53074802767270379</c:v>
                </c:pt>
                <c:pt idx="1">
                  <c:v>0.16974312700095343</c:v>
                </c:pt>
                <c:pt idx="2">
                  <c:v>0.13552274761080738</c:v>
                </c:pt>
                <c:pt idx="3">
                  <c:v>0.16398609771553541</c:v>
                </c:pt>
              </c:numCache>
            </c:numRef>
          </c:val>
          <c:extLst>
            <c:ext xmlns:c16="http://schemas.microsoft.com/office/drawing/2014/chart" uri="{C3380CC4-5D6E-409C-BE32-E72D297353CC}">
              <c16:uniqueId val="{00000003-A1EB-4B06-A68D-C97D591994A2}"/>
            </c:ext>
          </c:extLst>
        </c:ser>
        <c:ser>
          <c:idx val="4"/>
          <c:order val="4"/>
          <c:tx>
            <c:strRef>
              <c:f>'Fig63.73'!$R$36</c:f>
              <c:strCache>
                <c:ptCount val="1"/>
                <c:pt idx="0">
                  <c:v>Q5</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'Fig63.73'!$L$37:$M$41</c:f>
              <c:strCache>
                <c:ptCount val="4"/>
                <c:pt idx="0">
                  <c:v>Primary</c:v>
                </c:pt>
                <c:pt idx="1">
                  <c:v>Lower Secondary</c:v>
                </c:pt>
                <c:pt idx="2">
                  <c:v>Upper Secondary</c:v>
                </c:pt>
                <c:pt idx="3">
                  <c:v>Tertiary </c:v>
                </c:pt>
              </c:strCache>
            </c:strRef>
          </c:cat>
          <c:val>
            <c:numRef>
              <c:f>'Fig63.73'!$R$37:$R$41</c:f>
              <c:numCache>
                <c:formatCode>0%</c:formatCode>
                <c:ptCount val="4"/>
                <c:pt idx="0">
                  <c:v>0.38515072177527765</c:v>
                </c:pt>
                <c:pt idx="1">
                  <c:v>0.18280872794942749</c:v>
                </c:pt>
                <c:pt idx="2">
                  <c:v>0.16591128110293021</c:v>
                </c:pt>
                <c:pt idx="3">
                  <c:v>0.26612926917236462</c:v>
                </c:pt>
              </c:numCache>
            </c:numRef>
          </c:val>
          <c:extLst>
            <c:ext xmlns:c16="http://schemas.microsoft.com/office/drawing/2014/chart" uri="{C3380CC4-5D6E-409C-BE32-E72D297353CC}">
              <c16:uniqueId val="{00000004-A1EB-4B06-A68D-C97D591994A2}"/>
            </c:ext>
          </c:extLst>
        </c:ser>
        <c:dLbls>
          <c:dLblPos val="outEnd"/>
          <c:showLegendKey val="0"/>
          <c:showVal val="1"/>
          <c:showCatName val="0"/>
          <c:showSerName val="0"/>
          <c:showPercent val="0"/>
          <c:showBubbleSize val="0"/>
        </c:dLbls>
        <c:gapWidth val="444"/>
        <c:overlap val="-90"/>
        <c:axId val="739449312"/>
        <c:axId val="739449704"/>
      </c:barChart>
      <c:catAx>
        <c:axId val="739449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none" spc="120" normalizeH="0" baseline="0">
                <a:solidFill>
                  <a:schemeClr val="tx1">
                    <a:lumMod val="65000"/>
                    <a:lumOff val="35000"/>
                  </a:schemeClr>
                </a:solidFill>
                <a:latin typeface="+mn-lt"/>
                <a:ea typeface="+mn-ea"/>
                <a:cs typeface="+mn-cs"/>
              </a:defRPr>
            </a:pPr>
            <a:endParaRPr lang="en-US"/>
          </a:p>
        </c:txPr>
        <c:crossAx val="739449704"/>
        <c:crosses val="autoZero"/>
        <c:auto val="1"/>
        <c:lblAlgn val="ctr"/>
        <c:lblOffset val="100"/>
        <c:noMultiLvlLbl val="0"/>
      </c:catAx>
      <c:valAx>
        <c:axId val="739449704"/>
        <c:scaling>
          <c:orientation val="minMax"/>
        </c:scaling>
        <c:delete val="1"/>
        <c:axPos val="l"/>
        <c:numFmt formatCode="0%" sourceLinked="1"/>
        <c:majorTickMark val="none"/>
        <c:minorTickMark val="none"/>
        <c:tickLblPos val="nextTo"/>
        <c:crossAx val="7394493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5045045045045043E-2"/>
          <c:y val="0.13686165273909007"/>
          <c:w val="0.94609588113525123"/>
          <c:h val="0.73236681069462417"/>
        </c:manualLayout>
      </c:layout>
      <c:barChart>
        <c:barDir val="col"/>
        <c:grouping val="clustered"/>
        <c:varyColors val="0"/>
        <c:ser>
          <c:idx val="0"/>
          <c:order val="0"/>
          <c:tx>
            <c:strRef>
              <c:f>'Fig62'!$U$7</c:f>
              <c:strCache>
                <c:ptCount val="1"/>
                <c:pt idx="0">
                  <c:v>%</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6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'Fig62'!$S$8:$T$37</c:f>
              <c:multiLvlStrCache>
                <c:ptCount val="30"/>
                <c:lvl>
                  <c:pt idx="0">
                    <c:v>Poorest</c:v>
                  </c:pt>
                  <c:pt idx="1">
                    <c:v>Poor</c:v>
                  </c:pt>
                  <c:pt idx="2">
                    <c:v>Middle</c:v>
                  </c:pt>
                  <c:pt idx="3">
                    <c:v>Rich</c:v>
                  </c:pt>
                  <c:pt idx="4">
                    <c:v>Richest</c:v>
                  </c:pt>
                  <c:pt idx="5">
                    <c:v>Ave.</c:v>
                  </c:pt>
                  <c:pt idx="6">
                    <c:v>Poorest</c:v>
                  </c:pt>
                  <c:pt idx="7">
                    <c:v>Poor</c:v>
                  </c:pt>
                  <c:pt idx="8">
                    <c:v>Middle</c:v>
                  </c:pt>
                  <c:pt idx="9">
                    <c:v>Rich</c:v>
                  </c:pt>
                  <c:pt idx="10">
                    <c:v>Richest</c:v>
                  </c:pt>
                  <c:pt idx="11">
                    <c:v>Ave.</c:v>
                  </c:pt>
                  <c:pt idx="12">
                    <c:v>Poorest</c:v>
                  </c:pt>
                  <c:pt idx="13">
                    <c:v>Poor</c:v>
                  </c:pt>
                  <c:pt idx="14">
                    <c:v>Middle</c:v>
                  </c:pt>
                  <c:pt idx="15">
                    <c:v>Rich</c:v>
                  </c:pt>
                  <c:pt idx="16">
                    <c:v>Richest</c:v>
                  </c:pt>
                  <c:pt idx="17">
                    <c:v>Ave.</c:v>
                  </c:pt>
                  <c:pt idx="18">
                    <c:v>Poorest</c:v>
                  </c:pt>
                  <c:pt idx="19">
                    <c:v>Poor</c:v>
                  </c:pt>
                  <c:pt idx="20">
                    <c:v>Middle</c:v>
                  </c:pt>
                  <c:pt idx="21">
                    <c:v>Rich</c:v>
                  </c:pt>
                  <c:pt idx="22">
                    <c:v>Richest</c:v>
                  </c:pt>
                  <c:pt idx="23">
                    <c:v>Ave.</c:v>
                  </c:pt>
                  <c:pt idx="24">
                    <c:v>Poorest</c:v>
                  </c:pt>
                  <c:pt idx="25">
                    <c:v>Poor</c:v>
                  </c:pt>
                  <c:pt idx="26">
                    <c:v>Middle</c:v>
                  </c:pt>
                  <c:pt idx="27">
                    <c:v>Rich</c:v>
                  </c:pt>
                  <c:pt idx="28">
                    <c:v>Richest</c:v>
                  </c:pt>
                  <c:pt idx="29">
                    <c:v>Ave.</c:v>
                  </c:pt>
                </c:lvl>
                <c:lvl>
                  <c:pt idx="0">
                    <c:v>Preschool</c:v>
                  </c:pt>
                  <c:pt idx="6">
                    <c:v>LBS</c:v>
                  </c:pt>
                  <c:pt idx="12">
                    <c:v>UBS</c:v>
                  </c:pt>
                  <c:pt idx="18">
                    <c:v>SSS</c:v>
                  </c:pt>
                  <c:pt idx="24">
                    <c:v>Post_secondary</c:v>
                  </c:pt>
                </c:lvl>
              </c:multiLvlStrCache>
            </c:multiLvlStrRef>
          </c:cat>
          <c:val>
            <c:numRef>
              <c:f>'Fig62'!$U$8:$U$37</c:f>
              <c:numCache>
                <c:formatCode>0%</c:formatCode>
                <c:ptCount val="30"/>
                <c:pt idx="0">
                  <c:v>0.99895769999999995</c:v>
                </c:pt>
                <c:pt idx="1">
                  <c:v>0.57680350000000002</c:v>
                </c:pt>
                <c:pt idx="2">
                  <c:v>0.46659519999999999</c:v>
                </c:pt>
                <c:pt idx="3">
                  <c:v>0.53014349999999999</c:v>
                </c:pt>
                <c:pt idx="4">
                  <c:v>0.318052</c:v>
                </c:pt>
                <c:pt idx="5">
                  <c:v>0.55918590000000001</c:v>
                </c:pt>
                <c:pt idx="6">
                  <c:v>0.86811419999999995</c:v>
                </c:pt>
                <c:pt idx="7">
                  <c:v>0.5268062</c:v>
                </c:pt>
                <c:pt idx="8">
                  <c:v>0.46008559999999998</c:v>
                </c:pt>
                <c:pt idx="9">
                  <c:v>0.41551909999999997</c:v>
                </c:pt>
                <c:pt idx="10">
                  <c:v>0.40788449999999998</c:v>
                </c:pt>
                <c:pt idx="11">
                  <c:v>0.54008129999999999</c:v>
                </c:pt>
                <c:pt idx="12">
                  <c:v>1.219538</c:v>
                </c:pt>
                <c:pt idx="13">
                  <c:v>0.71668379999999998</c:v>
                </c:pt>
                <c:pt idx="14">
                  <c:v>0.58330059999999995</c:v>
                </c:pt>
                <c:pt idx="15">
                  <c:v>0.59634889999999996</c:v>
                </c:pt>
                <c:pt idx="16">
                  <c:v>0.42782900000000001</c:v>
                </c:pt>
                <c:pt idx="17">
                  <c:v>0.6920984</c:v>
                </c:pt>
                <c:pt idx="18">
                  <c:v>1.31928</c:v>
                </c:pt>
                <c:pt idx="19">
                  <c:v>0.96705079999999999</c:v>
                </c:pt>
                <c:pt idx="20">
                  <c:v>0.79310060000000004</c:v>
                </c:pt>
                <c:pt idx="21">
                  <c:v>0.86835269999999998</c:v>
                </c:pt>
                <c:pt idx="22">
                  <c:v>0.68993119999999997</c:v>
                </c:pt>
                <c:pt idx="23">
                  <c:v>0.85789289999999996</c:v>
                </c:pt>
                <c:pt idx="24">
                  <c:v>1.6865969999999999</c:v>
                </c:pt>
                <c:pt idx="25">
                  <c:v>2.2212429999999999</c:v>
                </c:pt>
                <c:pt idx="26">
                  <c:v>1.2812889999999999</c:v>
                </c:pt>
                <c:pt idx="27">
                  <c:v>1.520451</c:v>
                </c:pt>
                <c:pt idx="28">
                  <c:v>0.74434690000000003</c:v>
                </c:pt>
                <c:pt idx="29">
                  <c:v>1.19278</c:v>
                </c:pt>
              </c:numCache>
            </c:numRef>
          </c:val>
          <c:extLst>
            <c:ext xmlns:c16="http://schemas.microsoft.com/office/drawing/2014/chart" uri="{C3380CC4-5D6E-409C-BE32-E72D297353CC}">
              <c16:uniqueId val="{00000000-1D82-4334-8AF5-2E68D658133E}"/>
            </c:ext>
          </c:extLst>
        </c:ser>
        <c:dLbls>
          <c:showLegendKey val="0"/>
          <c:showVal val="0"/>
          <c:showCatName val="0"/>
          <c:showSerName val="0"/>
          <c:showPercent val="0"/>
          <c:showBubbleSize val="0"/>
        </c:dLbls>
        <c:gapWidth val="219"/>
        <c:overlap val="-27"/>
        <c:axId val="1132128576"/>
        <c:axId val="1132129408"/>
      </c:barChart>
      <c:catAx>
        <c:axId val="113212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132129408"/>
        <c:crosses val="autoZero"/>
        <c:auto val="1"/>
        <c:lblAlgn val="ctr"/>
        <c:lblOffset val="100"/>
        <c:noMultiLvlLbl val="0"/>
      </c:catAx>
      <c:valAx>
        <c:axId val="1132129408"/>
        <c:scaling>
          <c:orientation val="minMax"/>
          <c:max val="2.2999999999999998"/>
        </c:scaling>
        <c:delete val="1"/>
        <c:axPos val="l"/>
        <c:numFmt formatCode="0%" sourceLinked="1"/>
        <c:majorTickMark val="none"/>
        <c:minorTickMark val="none"/>
        <c:tickLblPos val="nextTo"/>
        <c:crossAx val="1132128576"/>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Sylfaen" panose="010A0502050306030303" pitchFamily="18" charset="0"/>
        </a:defRPr>
      </a:pPr>
      <a:endParaRPr lang="en-US"/>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858803434858907E-2"/>
          <c:y val="4.0878559534896851E-2"/>
          <c:w val="0.91059226443613039"/>
          <c:h val="0.8550302688673983"/>
        </c:manualLayout>
      </c:layout>
      <c:barChart>
        <c:barDir val="col"/>
        <c:grouping val="clustered"/>
        <c:varyColors val="0"/>
        <c:ser>
          <c:idx val="0"/>
          <c:order val="0"/>
          <c:tx>
            <c:strRef>
              <c:f>'Fig64'!$C$1</c:f>
              <c:strCache>
                <c:ptCount val="1"/>
                <c:pt idx="0">
                  <c:v>Public</c:v>
                </c:pt>
              </c:strCache>
            </c:strRef>
          </c:tx>
          <c:spPr>
            <a:solidFill>
              <a:schemeClr val="accent1">
                <a:alpha val="70000"/>
              </a:schemeClr>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'Fig64'!$A$2:$B$35</c:f>
              <c:multiLvlStrCache>
                <c:ptCount val="29"/>
                <c:lvl>
                  <c:pt idx="0">
                    <c:v>Q1</c:v>
                  </c:pt>
                  <c:pt idx="1">
                    <c:v>Q2</c:v>
                  </c:pt>
                  <c:pt idx="2">
                    <c:v>Q3</c:v>
                  </c:pt>
                  <c:pt idx="3">
                    <c:v>Q4</c:v>
                  </c:pt>
                  <c:pt idx="4">
                    <c:v>Q5</c:v>
                  </c:pt>
                  <c:pt idx="6">
                    <c:v>Q1</c:v>
                  </c:pt>
                  <c:pt idx="7">
                    <c:v>Q2</c:v>
                  </c:pt>
                  <c:pt idx="8">
                    <c:v>Q3</c:v>
                  </c:pt>
                  <c:pt idx="9">
                    <c:v>Q4</c:v>
                  </c:pt>
                  <c:pt idx="10">
                    <c:v>Q5</c:v>
                  </c:pt>
                  <c:pt idx="12">
                    <c:v>Q1</c:v>
                  </c:pt>
                  <c:pt idx="13">
                    <c:v>Q2</c:v>
                  </c:pt>
                  <c:pt idx="14">
                    <c:v>Q3</c:v>
                  </c:pt>
                  <c:pt idx="15">
                    <c:v>Q4</c:v>
                  </c:pt>
                  <c:pt idx="16">
                    <c:v>Q5</c:v>
                  </c:pt>
                  <c:pt idx="18">
                    <c:v>Q1</c:v>
                  </c:pt>
                  <c:pt idx="19">
                    <c:v>Q2</c:v>
                  </c:pt>
                  <c:pt idx="20">
                    <c:v>Q3</c:v>
                  </c:pt>
                  <c:pt idx="21">
                    <c:v>Q4</c:v>
                  </c:pt>
                  <c:pt idx="22">
                    <c:v>Q5</c:v>
                  </c:pt>
                  <c:pt idx="24">
                    <c:v>Q1</c:v>
                  </c:pt>
                  <c:pt idx="25">
                    <c:v>Q2</c:v>
                  </c:pt>
                  <c:pt idx="26">
                    <c:v>Q3</c:v>
                  </c:pt>
                  <c:pt idx="27">
                    <c:v>Q4</c:v>
                  </c:pt>
                  <c:pt idx="28">
                    <c:v>Q5</c:v>
                  </c:pt>
                </c:lvl>
                <c:lvl/>
              </c:multiLvlStrCache>
            </c:multiLvlStrRef>
          </c:cat>
          <c:val>
            <c:numRef>
              <c:f>'Fig64'!$C$2:$C$35</c:f>
              <c:numCache>
                <c:formatCode>_(* #,##0_);_(* \(#,##0\);_(* "-"??_);_(@_)</c:formatCode>
                <c:ptCount val="29"/>
                <c:pt idx="0">
                  <c:v>961.30989999999997</c:v>
                </c:pt>
                <c:pt idx="1">
                  <c:v>1193.2739999999999</c:v>
                </c:pt>
                <c:pt idx="2">
                  <c:v>2209.431</c:v>
                </c:pt>
                <c:pt idx="3">
                  <c:v>2418.4479999999999</c:v>
                </c:pt>
                <c:pt idx="4">
                  <c:v>2934.2620000000002</c:v>
                </c:pt>
                <c:pt idx="6">
                  <c:v>1240.0619999999999</c:v>
                </c:pt>
                <c:pt idx="7">
                  <c:v>1632.5630000000001</c:v>
                </c:pt>
                <c:pt idx="8">
                  <c:v>1961.2260000000001</c:v>
                </c:pt>
                <c:pt idx="9">
                  <c:v>2564.7689999999998</c:v>
                </c:pt>
                <c:pt idx="10">
                  <c:v>3606.3119999999999</c:v>
                </c:pt>
                <c:pt idx="12">
                  <c:v>2278.9</c:v>
                </c:pt>
                <c:pt idx="13">
                  <c:v>2604.9879999999998</c:v>
                </c:pt>
                <c:pt idx="14">
                  <c:v>3027.8409999999999</c:v>
                </c:pt>
                <c:pt idx="15">
                  <c:v>4266.3530000000001</c:v>
                </c:pt>
                <c:pt idx="16">
                  <c:v>5581.7619999999997</c:v>
                </c:pt>
                <c:pt idx="18">
                  <c:v>3300.8339999999998</c:v>
                </c:pt>
                <c:pt idx="19">
                  <c:v>4619.2960000000003</c:v>
                </c:pt>
                <c:pt idx="20">
                  <c:v>5110.5469999999996</c:v>
                </c:pt>
                <c:pt idx="21">
                  <c:v>7565.4880000000003</c:v>
                </c:pt>
                <c:pt idx="22">
                  <c:v>8851.7579999999998</c:v>
                </c:pt>
                <c:pt idx="24">
                  <c:v>2838.9470000000001</c:v>
                </c:pt>
                <c:pt idx="25">
                  <c:v>20483.96</c:v>
                </c:pt>
                <c:pt idx="26">
                  <c:v>5640.1210000000001</c:v>
                </c:pt>
                <c:pt idx="27">
                  <c:v>16007.95</c:v>
                </c:pt>
                <c:pt idx="28">
                  <c:v>17914.099999999999</c:v>
                </c:pt>
              </c:numCache>
            </c:numRef>
          </c:val>
          <c:extLst>
            <c:ext xmlns:c16="http://schemas.microsoft.com/office/drawing/2014/chart" uri="{C3380CC4-5D6E-409C-BE32-E72D297353CC}">
              <c16:uniqueId val="{00000000-FB9F-4750-96BF-06048DEB3F2E}"/>
            </c:ext>
          </c:extLst>
        </c:ser>
        <c:ser>
          <c:idx val="1"/>
          <c:order val="1"/>
          <c:tx>
            <c:strRef>
              <c:f>'Fig64'!$D$1</c:f>
              <c:strCache>
                <c:ptCount val="1"/>
                <c:pt idx="0">
                  <c:v>Private</c:v>
                </c:pt>
              </c:strCache>
            </c:strRef>
          </c:tx>
          <c:spPr>
            <a:solidFill>
              <a:schemeClr val="accent2">
                <a:alpha val="70000"/>
              </a:schemeClr>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'Fig64'!$A$2:$B$35</c:f>
              <c:multiLvlStrCache>
                <c:ptCount val="29"/>
                <c:lvl>
                  <c:pt idx="0">
                    <c:v>Q1</c:v>
                  </c:pt>
                  <c:pt idx="1">
                    <c:v>Q2</c:v>
                  </c:pt>
                  <c:pt idx="2">
                    <c:v>Q3</c:v>
                  </c:pt>
                  <c:pt idx="3">
                    <c:v>Q4</c:v>
                  </c:pt>
                  <c:pt idx="4">
                    <c:v>Q5</c:v>
                  </c:pt>
                  <c:pt idx="6">
                    <c:v>Q1</c:v>
                  </c:pt>
                  <c:pt idx="7">
                    <c:v>Q2</c:v>
                  </c:pt>
                  <c:pt idx="8">
                    <c:v>Q3</c:v>
                  </c:pt>
                  <c:pt idx="9">
                    <c:v>Q4</c:v>
                  </c:pt>
                  <c:pt idx="10">
                    <c:v>Q5</c:v>
                  </c:pt>
                  <c:pt idx="12">
                    <c:v>Q1</c:v>
                  </c:pt>
                  <c:pt idx="13">
                    <c:v>Q2</c:v>
                  </c:pt>
                  <c:pt idx="14">
                    <c:v>Q3</c:v>
                  </c:pt>
                  <c:pt idx="15">
                    <c:v>Q4</c:v>
                  </c:pt>
                  <c:pt idx="16">
                    <c:v>Q5</c:v>
                  </c:pt>
                  <c:pt idx="18">
                    <c:v>Q1</c:v>
                  </c:pt>
                  <c:pt idx="19">
                    <c:v>Q2</c:v>
                  </c:pt>
                  <c:pt idx="20">
                    <c:v>Q3</c:v>
                  </c:pt>
                  <c:pt idx="21">
                    <c:v>Q4</c:v>
                  </c:pt>
                  <c:pt idx="22">
                    <c:v>Q5</c:v>
                  </c:pt>
                  <c:pt idx="24">
                    <c:v>Q1</c:v>
                  </c:pt>
                  <c:pt idx="25">
                    <c:v>Q2</c:v>
                  </c:pt>
                  <c:pt idx="26">
                    <c:v>Q3</c:v>
                  </c:pt>
                  <c:pt idx="27">
                    <c:v>Q4</c:v>
                  </c:pt>
                  <c:pt idx="28">
                    <c:v>Q5</c:v>
                  </c:pt>
                </c:lvl>
                <c:lvl/>
              </c:multiLvlStrCache>
            </c:multiLvlStrRef>
          </c:cat>
          <c:val>
            <c:numRef>
              <c:f>'Fig64'!$D$2:$D$35</c:f>
              <c:numCache>
                <c:formatCode>_(* #,##0_);_(* \(#,##0\);_(* "-"??_);_(@_)</c:formatCode>
                <c:ptCount val="29"/>
                <c:pt idx="0">
                  <c:v>1904.2470000000001</c:v>
                </c:pt>
                <c:pt idx="1">
                  <c:v>2659.692</c:v>
                </c:pt>
                <c:pt idx="2">
                  <c:v>2190.152</c:v>
                </c:pt>
                <c:pt idx="3">
                  <c:v>4458.7740000000003</c:v>
                </c:pt>
                <c:pt idx="4">
                  <c:v>6732.9160000000002</c:v>
                </c:pt>
                <c:pt idx="6">
                  <c:v>2039.654</c:v>
                </c:pt>
                <c:pt idx="7">
                  <c:v>2566.5700000000002</c:v>
                </c:pt>
                <c:pt idx="8">
                  <c:v>3556.1990000000001</c:v>
                </c:pt>
                <c:pt idx="9">
                  <c:v>5331.1869999999999</c:v>
                </c:pt>
                <c:pt idx="10">
                  <c:v>10647.61</c:v>
                </c:pt>
                <c:pt idx="12">
                  <c:v>3077.9070000000002</c:v>
                </c:pt>
                <c:pt idx="13">
                  <c:v>3401.9949999999999</c:v>
                </c:pt>
                <c:pt idx="14">
                  <c:v>3858.9859999999999</c:v>
                </c:pt>
                <c:pt idx="15">
                  <c:v>7211.241</c:v>
                </c:pt>
                <c:pt idx="16">
                  <c:v>16017.14</c:v>
                </c:pt>
                <c:pt idx="18">
                  <c:v>4958.1589999999997</c:v>
                </c:pt>
                <c:pt idx="19">
                  <c:v>8105.89</c:v>
                </c:pt>
                <c:pt idx="20">
                  <c:v>6486.402</c:v>
                </c:pt>
                <c:pt idx="21">
                  <c:v>9375.9509999999991</c:v>
                </c:pt>
                <c:pt idx="22">
                  <c:v>23294.94</c:v>
                </c:pt>
                <c:pt idx="24">
                  <c:v>14386.8</c:v>
                </c:pt>
                <c:pt idx="25">
                  <c:v>22822.69</c:v>
                </c:pt>
                <c:pt idx="26">
                  <c:v>16046.4</c:v>
                </c:pt>
                <c:pt idx="27">
                  <c:v>12246.24</c:v>
                </c:pt>
                <c:pt idx="28">
                  <c:v>27573.88</c:v>
                </c:pt>
              </c:numCache>
            </c:numRef>
          </c:val>
          <c:extLst>
            <c:ext xmlns:c16="http://schemas.microsoft.com/office/drawing/2014/chart" uri="{C3380CC4-5D6E-409C-BE32-E72D297353CC}">
              <c16:uniqueId val="{00000001-FB9F-4750-96BF-06048DEB3F2E}"/>
            </c:ext>
          </c:extLst>
        </c:ser>
        <c:ser>
          <c:idx val="2"/>
          <c:order val="2"/>
          <c:tx>
            <c:strRef>
              <c:f>'Fig64'!$E$1</c:f>
              <c:strCache>
                <c:ptCount val="1"/>
                <c:pt idx="0">
                  <c:v>Madarasa</c:v>
                </c:pt>
              </c:strCache>
            </c:strRef>
          </c:tx>
          <c:spPr>
            <a:solidFill>
              <a:schemeClr val="accent3">
                <a:alpha val="70000"/>
              </a:schemeClr>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'Fig64'!$A$2:$B$35</c:f>
              <c:multiLvlStrCache>
                <c:ptCount val="29"/>
                <c:lvl>
                  <c:pt idx="0">
                    <c:v>Q1</c:v>
                  </c:pt>
                  <c:pt idx="1">
                    <c:v>Q2</c:v>
                  </c:pt>
                  <c:pt idx="2">
                    <c:v>Q3</c:v>
                  </c:pt>
                  <c:pt idx="3">
                    <c:v>Q4</c:v>
                  </c:pt>
                  <c:pt idx="4">
                    <c:v>Q5</c:v>
                  </c:pt>
                  <c:pt idx="6">
                    <c:v>Q1</c:v>
                  </c:pt>
                  <c:pt idx="7">
                    <c:v>Q2</c:v>
                  </c:pt>
                  <c:pt idx="8">
                    <c:v>Q3</c:v>
                  </c:pt>
                  <c:pt idx="9">
                    <c:v>Q4</c:v>
                  </c:pt>
                  <c:pt idx="10">
                    <c:v>Q5</c:v>
                  </c:pt>
                  <c:pt idx="12">
                    <c:v>Q1</c:v>
                  </c:pt>
                  <c:pt idx="13">
                    <c:v>Q2</c:v>
                  </c:pt>
                  <c:pt idx="14">
                    <c:v>Q3</c:v>
                  </c:pt>
                  <c:pt idx="15">
                    <c:v>Q4</c:v>
                  </c:pt>
                  <c:pt idx="16">
                    <c:v>Q5</c:v>
                  </c:pt>
                  <c:pt idx="18">
                    <c:v>Q1</c:v>
                  </c:pt>
                  <c:pt idx="19">
                    <c:v>Q2</c:v>
                  </c:pt>
                  <c:pt idx="20">
                    <c:v>Q3</c:v>
                  </c:pt>
                  <c:pt idx="21">
                    <c:v>Q4</c:v>
                  </c:pt>
                  <c:pt idx="22">
                    <c:v>Q5</c:v>
                  </c:pt>
                  <c:pt idx="24">
                    <c:v>Q1</c:v>
                  </c:pt>
                  <c:pt idx="25">
                    <c:v>Q2</c:v>
                  </c:pt>
                  <c:pt idx="26">
                    <c:v>Q3</c:v>
                  </c:pt>
                  <c:pt idx="27">
                    <c:v>Q4</c:v>
                  </c:pt>
                  <c:pt idx="28">
                    <c:v>Q5</c:v>
                  </c:pt>
                </c:lvl>
                <c:lvl/>
              </c:multiLvlStrCache>
            </c:multiLvlStrRef>
          </c:cat>
          <c:val>
            <c:numRef>
              <c:f>'Fig64'!$E$2:$E$35</c:f>
              <c:numCache>
                <c:formatCode>_(* #,##0_);_(* \(#,##0\);_(* "-"??_);_(@_)</c:formatCode>
                <c:ptCount val="29"/>
                <c:pt idx="0">
                  <c:v>715.47389999999996</c:v>
                </c:pt>
                <c:pt idx="1">
                  <c:v>1880.3689999999999</c:v>
                </c:pt>
                <c:pt idx="2">
                  <c:v>1778.0440000000001</c:v>
                </c:pt>
                <c:pt idx="3">
                  <c:v>2192.9140000000002</c:v>
                </c:pt>
                <c:pt idx="4">
                  <c:v>7660.5839999999998</c:v>
                </c:pt>
                <c:pt idx="6">
                  <c:v>1363.45</c:v>
                </c:pt>
                <c:pt idx="7">
                  <c:v>1720.5509999999999</c:v>
                </c:pt>
                <c:pt idx="8">
                  <c:v>1842.922</c:v>
                </c:pt>
                <c:pt idx="9">
                  <c:v>2231.1999999999998</c:v>
                </c:pt>
                <c:pt idx="10">
                  <c:v>2757.683</c:v>
                </c:pt>
                <c:pt idx="12">
                  <c:v>2550.8629999999998</c:v>
                </c:pt>
                <c:pt idx="13">
                  <c:v>3467.5340000000001</c:v>
                </c:pt>
                <c:pt idx="14">
                  <c:v>3161.3249999999998</c:v>
                </c:pt>
                <c:pt idx="15">
                  <c:v>3595.5970000000002</c:v>
                </c:pt>
                <c:pt idx="16">
                  <c:v>4143.5510000000004</c:v>
                </c:pt>
                <c:pt idx="18">
                  <c:v>4788.8029999999999</c:v>
                </c:pt>
                <c:pt idx="19">
                  <c:v>3791.049</c:v>
                </c:pt>
                <c:pt idx="20">
                  <c:v>4005.9070000000002</c:v>
                </c:pt>
                <c:pt idx="21">
                  <c:v>6444.8280000000004</c:v>
                </c:pt>
                <c:pt idx="22">
                  <c:v>6933.8360000000002</c:v>
                </c:pt>
              </c:numCache>
            </c:numRef>
          </c:val>
          <c:extLst>
            <c:ext xmlns:c16="http://schemas.microsoft.com/office/drawing/2014/chart" uri="{C3380CC4-5D6E-409C-BE32-E72D297353CC}">
              <c16:uniqueId val="{00000002-FB9F-4750-96BF-06048DEB3F2E}"/>
            </c:ext>
          </c:extLst>
        </c:ser>
        <c:dLbls>
          <c:dLblPos val="outEnd"/>
          <c:showLegendKey val="0"/>
          <c:showVal val="1"/>
          <c:showCatName val="0"/>
          <c:showSerName val="0"/>
          <c:showPercent val="0"/>
          <c:showBubbleSize val="0"/>
        </c:dLbls>
        <c:gapWidth val="0"/>
        <c:overlap val="-23"/>
        <c:axId val="456245576"/>
        <c:axId val="456245968"/>
        <c:extLst/>
      </c:barChart>
      <c:catAx>
        <c:axId val="45624557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cap="none" spc="20" normalizeH="0" baseline="0">
                <a:solidFill>
                  <a:schemeClr val="tx1">
                    <a:lumMod val="65000"/>
                    <a:lumOff val="35000"/>
                  </a:schemeClr>
                </a:solidFill>
                <a:latin typeface="Sylfaen" panose="010A0502050306030303" pitchFamily="18" charset="0"/>
                <a:ea typeface="+mn-ea"/>
                <a:cs typeface="+mn-cs"/>
              </a:defRPr>
            </a:pPr>
            <a:endParaRPr lang="en-US"/>
          </a:p>
        </c:txPr>
        <c:crossAx val="456245968"/>
        <c:crosses val="autoZero"/>
        <c:auto val="1"/>
        <c:lblAlgn val="ctr"/>
        <c:lblOffset val="100"/>
        <c:noMultiLvlLbl val="0"/>
      </c:catAx>
      <c:valAx>
        <c:axId val="456245968"/>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spc="20" baseline="0">
                <a:solidFill>
                  <a:schemeClr val="tx1">
                    <a:lumMod val="65000"/>
                    <a:lumOff val="35000"/>
                  </a:schemeClr>
                </a:solidFill>
                <a:latin typeface="Sylfaen" panose="010A0502050306030303" pitchFamily="18" charset="0"/>
                <a:ea typeface="+mn-ea"/>
                <a:cs typeface="+mn-cs"/>
              </a:defRPr>
            </a:pPr>
            <a:endParaRPr lang="en-US"/>
          </a:p>
        </c:txPr>
        <c:crossAx val="456245576"/>
        <c:crosses val="autoZero"/>
        <c:crossBetween val="between"/>
      </c:valAx>
      <c:spPr>
        <a:noFill/>
        <a:ln>
          <a:noFill/>
        </a:ln>
        <a:effectLst/>
      </c:spPr>
    </c:plotArea>
    <c:legend>
      <c:legendPos val="b"/>
      <c:layout>
        <c:manualLayout>
          <c:xMode val="edge"/>
          <c:yMode val="edge"/>
          <c:x val="0.18943345613298784"/>
          <c:y val="0.24272895418274062"/>
          <c:w val="0.27895210961516115"/>
          <c:h val="5.033592277475382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latin typeface="Sylfaen" panose="010A0502050306030303" pitchFamily="18" charset="0"/>
        </a:defRPr>
      </a:pPr>
      <a:endParaRPr lang="en-US"/>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959687731341278E-2"/>
          <c:y val="0.11291141220258322"/>
          <c:w val="0.91553603876438527"/>
          <c:h val="0.5806726334663358"/>
        </c:manualLayout>
      </c:layout>
      <c:barChart>
        <c:barDir val="col"/>
        <c:grouping val="stacked"/>
        <c:varyColors val="0"/>
        <c:ser>
          <c:idx val="0"/>
          <c:order val="0"/>
          <c:tx>
            <c:strRef>
              <c:f>'Fig58'!$L$3</c:f>
              <c:strCache>
                <c:ptCount val="1"/>
                <c:pt idx="0">
                  <c:v>Fees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'Fig58'!$J$4:$K$19</c:f>
              <c:multiLvlStrCache>
                <c:ptCount val="16"/>
                <c:lvl>
                  <c:pt idx="0">
                    <c:v>Preschool</c:v>
                  </c:pt>
                  <c:pt idx="1">
                    <c:v>LBS</c:v>
                  </c:pt>
                  <c:pt idx="2">
                    <c:v>UBS</c:v>
                  </c:pt>
                  <c:pt idx="3">
                    <c:v>SSS</c:v>
                  </c:pt>
                  <c:pt idx="4">
                    <c:v>Higher</c:v>
                  </c:pt>
                  <c:pt idx="6">
                    <c:v>Preschool</c:v>
                  </c:pt>
                  <c:pt idx="7">
                    <c:v>LBS</c:v>
                  </c:pt>
                  <c:pt idx="8">
                    <c:v>UBS</c:v>
                  </c:pt>
                  <c:pt idx="9">
                    <c:v>SSS</c:v>
                  </c:pt>
                  <c:pt idx="10">
                    <c:v>Higher</c:v>
                  </c:pt>
                  <c:pt idx="12">
                    <c:v>Preschool</c:v>
                  </c:pt>
                  <c:pt idx="13">
                    <c:v>LBS</c:v>
                  </c:pt>
                  <c:pt idx="14">
                    <c:v>UBS</c:v>
                  </c:pt>
                  <c:pt idx="15">
                    <c:v>SSS</c:v>
                  </c:pt>
                </c:lvl>
                <c:lvl>
                  <c:pt idx="0">
                    <c:v>Public</c:v>
                  </c:pt>
                  <c:pt idx="6">
                    <c:v>Private</c:v>
                  </c:pt>
                  <c:pt idx="12">
                    <c:v>Madassah</c:v>
                  </c:pt>
                </c:lvl>
              </c:multiLvlStrCache>
            </c:multiLvlStrRef>
          </c:cat>
          <c:val>
            <c:numRef>
              <c:f>'Fig58'!$L$4:$L$19</c:f>
              <c:numCache>
                <c:formatCode>0</c:formatCode>
                <c:ptCount val="16"/>
                <c:pt idx="0">
                  <c:v>12.170669816325619</c:v>
                </c:pt>
                <c:pt idx="1">
                  <c:v>3.1260431761522356</c:v>
                </c:pt>
                <c:pt idx="2">
                  <c:v>7.9035735447435265</c:v>
                </c:pt>
                <c:pt idx="3">
                  <c:v>13.519557054734443</c:v>
                </c:pt>
                <c:pt idx="4">
                  <c:v>34.246312276426401</c:v>
                </c:pt>
                <c:pt idx="6">
                  <c:v>29.721665678149538</c:v>
                </c:pt>
                <c:pt idx="7">
                  <c:v>26.314138280006716</c:v>
                </c:pt>
                <c:pt idx="8">
                  <c:v>36.973141465933992</c:v>
                </c:pt>
                <c:pt idx="9">
                  <c:v>36.126091572689525</c:v>
                </c:pt>
                <c:pt idx="10">
                  <c:v>65.613108949236661</c:v>
                </c:pt>
                <c:pt idx="12">
                  <c:v>64.478682082349707</c:v>
                </c:pt>
                <c:pt idx="13">
                  <c:v>22.183331738846952</c:v>
                </c:pt>
                <c:pt idx="14">
                  <c:v>23.312841243864955</c:v>
                </c:pt>
                <c:pt idx="15">
                  <c:v>27.23092015745819</c:v>
                </c:pt>
              </c:numCache>
            </c:numRef>
          </c:val>
          <c:extLst>
            <c:ext xmlns:c16="http://schemas.microsoft.com/office/drawing/2014/chart" uri="{C3380CC4-5D6E-409C-BE32-E72D297353CC}">
              <c16:uniqueId val="{00000000-E4CE-49D2-BA7D-FEF6F235659E}"/>
            </c:ext>
          </c:extLst>
        </c:ser>
        <c:ser>
          <c:idx val="1"/>
          <c:order val="1"/>
          <c:tx>
            <c:strRef>
              <c:f>'Fig58'!$M$3</c:f>
              <c:strCache>
                <c:ptCount val="1"/>
                <c:pt idx="0">
                  <c:v>Uniform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'Fig58'!$J$4:$K$19</c:f>
              <c:multiLvlStrCache>
                <c:ptCount val="16"/>
                <c:lvl>
                  <c:pt idx="0">
                    <c:v>Preschool</c:v>
                  </c:pt>
                  <c:pt idx="1">
                    <c:v>LBS</c:v>
                  </c:pt>
                  <c:pt idx="2">
                    <c:v>UBS</c:v>
                  </c:pt>
                  <c:pt idx="3">
                    <c:v>SSS</c:v>
                  </c:pt>
                  <c:pt idx="4">
                    <c:v>Higher</c:v>
                  </c:pt>
                  <c:pt idx="6">
                    <c:v>Preschool</c:v>
                  </c:pt>
                  <c:pt idx="7">
                    <c:v>LBS</c:v>
                  </c:pt>
                  <c:pt idx="8">
                    <c:v>UBS</c:v>
                  </c:pt>
                  <c:pt idx="9">
                    <c:v>SSS</c:v>
                  </c:pt>
                  <c:pt idx="10">
                    <c:v>Higher</c:v>
                  </c:pt>
                  <c:pt idx="12">
                    <c:v>Preschool</c:v>
                  </c:pt>
                  <c:pt idx="13">
                    <c:v>LBS</c:v>
                  </c:pt>
                  <c:pt idx="14">
                    <c:v>UBS</c:v>
                  </c:pt>
                  <c:pt idx="15">
                    <c:v>SSS</c:v>
                  </c:pt>
                </c:lvl>
                <c:lvl>
                  <c:pt idx="0">
                    <c:v>Public</c:v>
                  </c:pt>
                  <c:pt idx="6">
                    <c:v>Private</c:v>
                  </c:pt>
                  <c:pt idx="12">
                    <c:v>Madassah</c:v>
                  </c:pt>
                </c:lvl>
              </c:multiLvlStrCache>
            </c:multiLvlStrRef>
          </c:cat>
          <c:val>
            <c:numRef>
              <c:f>'Fig58'!$M$4:$M$19</c:f>
              <c:numCache>
                <c:formatCode>0</c:formatCode>
                <c:ptCount val="16"/>
                <c:pt idx="0">
                  <c:v>12.190604162000366</c:v>
                </c:pt>
                <c:pt idx="1">
                  <c:v>11.300535831340172</c:v>
                </c:pt>
                <c:pt idx="2">
                  <c:v>10.230043190917666</c:v>
                </c:pt>
                <c:pt idx="3">
                  <c:v>6.4306410403944021</c:v>
                </c:pt>
                <c:pt idx="4">
                  <c:v>2.5633484117243106</c:v>
                </c:pt>
                <c:pt idx="6">
                  <c:v>5.1453749255318559</c:v>
                </c:pt>
                <c:pt idx="7">
                  <c:v>4.2576878432287621</c:v>
                </c:pt>
                <c:pt idx="8">
                  <c:v>4.9870585414274293</c:v>
                </c:pt>
                <c:pt idx="9">
                  <c:v>3.4725125109622961</c:v>
                </c:pt>
                <c:pt idx="10">
                  <c:v>0.53378851108563685</c:v>
                </c:pt>
                <c:pt idx="12">
                  <c:v>4.5689045922472502</c:v>
                </c:pt>
                <c:pt idx="13">
                  <c:v>12.33342555201501</c:v>
                </c:pt>
                <c:pt idx="14">
                  <c:v>7.814613734815322</c:v>
                </c:pt>
                <c:pt idx="15">
                  <c:v>6.9713224490998007</c:v>
                </c:pt>
              </c:numCache>
            </c:numRef>
          </c:val>
          <c:extLst>
            <c:ext xmlns:c16="http://schemas.microsoft.com/office/drawing/2014/chart" uri="{C3380CC4-5D6E-409C-BE32-E72D297353CC}">
              <c16:uniqueId val="{00000001-E4CE-49D2-BA7D-FEF6F235659E}"/>
            </c:ext>
          </c:extLst>
        </c:ser>
        <c:ser>
          <c:idx val="2"/>
          <c:order val="2"/>
          <c:tx>
            <c:strRef>
              <c:f>'Fig58'!$N$3</c:f>
              <c:strCache>
                <c:ptCount val="1"/>
                <c:pt idx="0">
                  <c:v>Boarding and Food</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'Fig58'!$J$4:$K$19</c:f>
              <c:multiLvlStrCache>
                <c:ptCount val="16"/>
                <c:lvl>
                  <c:pt idx="0">
                    <c:v>Preschool</c:v>
                  </c:pt>
                  <c:pt idx="1">
                    <c:v>LBS</c:v>
                  </c:pt>
                  <c:pt idx="2">
                    <c:v>UBS</c:v>
                  </c:pt>
                  <c:pt idx="3">
                    <c:v>SSS</c:v>
                  </c:pt>
                  <c:pt idx="4">
                    <c:v>Higher</c:v>
                  </c:pt>
                  <c:pt idx="6">
                    <c:v>Preschool</c:v>
                  </c:pt>
                  <c:pt idx="7">
                    <c:v>LBS</c:v>
                  </c:pt>
                  <c:pt idx="8">
                    <c:v>UBS</c:v>
                  </c:pt>
                  <c:pt idx="9">
                    <c:v>SSS</c:v>
                  </c:pt>
                  <c:pt idx="10">
                    <c:v>Higher</c:v>
                  </c:pt>
                  <c:pt idx="12">
                    <c:v>Preschool</c:v>
                  </c:pt>
                  <c:pt idx="13">
                    <c:v>LBS</c:v>
                  </c:pt>
                  <c:pt idx="14">
                    <c:v>UBS</c:v>
                  </c:pt>
                  <c:pt idx="15">
                    <c:v>SSS</c:v>
                  </c:pt>
                </c:lvl>
                <c:lvl>
                  <c:pt idx="0">
                    <c:v>Public</c:v>
                  </c:pt>
                  <c:pt idx="6">
                    <c:v>Private</c:v>
                  </c:pt>
                  <c:pt idx="12">
                    <c:v>Madassah</c:v>
                  </c:pt>
                </c:lvl>
              </c:multiLvlStrCache>
            </c:multiLvlStrRef>
          </c:cat>
          <c:val>
            <c:numRef>
              <c:f>'Fig58'!$N$4:$N$19</c:f>
              <c:numCache>
                <c:formatCode>0</c:formatCode>
                <c:ptCount val="16"/>
                <c:pt idx="0">
                  <c:v>63.060095698439824</c:v>
                </c:pt>
                <c:pt idx="1">
                  <c:v>52.18060251747729</c:v>
                </c:pt>
                <c:pt idx="2">
                  <c:v>50.417009116682152</c:v>
                </c:pt>
                <c:pt idx="3">
                  <c:v>33.050499406777973</c:v>
                </c:pt>
                <c:pt idx="4">
                  <c:v>14.394700183210949</c:v>
                </c:pt>
                <c:pt idx="6">
                  <c:v>31.392571418935315</c:v>
                </c:pt>
                <c:pt idx="7">
                  <c:v>22.300525495728426</c:v>
                </c:pt>
                <c:pt idx="8">
                  <c:v>26.724055217422361</c:v>
                </c:pt>
                <c:pt idx="9">
                  <c:v>21.986704117859539</c:v>
                </c:pt>
                <c:pt idx="10">
                  <c:v>14.75300002390043</c:v>
                </c:pt>
                <c:pt idx="12">
                  <c:v>30.340570764642511</c:v>
                </c:pt>
                <c:pt idx="13">
                  <c:v>48.530899516022671</c:v>
                </c:pt>
                <c:pt idx="14">
                  <c:v>33.436748265626463</c:v>
                </c:pt>
                <c:pt idx="15">
                  <c:v>52.46726813606292</c:v>
                </c:pt>
              </c:numCache>
            </c:numRef>
          </c:val>
          <c:extLst>
            <c:ext xmlns:c16="http://schemas.microsoft.com/office/drawing/2014/chart" uri="{C3380CC4-5D6E-409C-BE32-E72D297353CC}">
              <c16:uniqueId val="{00000002-E4CE-49D2-BA7D-FEF6F235659E}"/>
            </c:ext>
          </c:extLst>
        </c:ser>
        <c:ser>
          <c:idx val="3"/>
          <c:order val="3"/>
          <c:tx>
            <c:strRef>
              <c:f>'Fig58'!$O$3</c:f>
              <c:strCache>
                <c:ptCount val="1"/>
                <c:pt idx="0">
                  <c:v>Books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'Fig58'!$J$4:$K$19</c:f>
              <c:multiLvlStrCache>
                <c:ptCount val="16"/>
                <c:lvl>
                  <c:pt idx="0">
                    <c:v>Preschool</c:v>
                  </c:pt>
                  <c:pt idx="1">
                    <c:v>LBS</c:v>
                  </c:pt>
                  <c:pt idx="2">
                    <c:v>UBS</c:v>
                  </c:pt>
                  <c:pt idx="3">
                    <c:v>SSS</c:v>
                  </c:pt>
                  <c:pt idx="4">
                    <c:v>Higher</c:v>
                  </c:pt>
                  <c:pt idx="6">
                    <c:v>Preschool</c:v>
                  </c:pt>
                  <c:pt idx="7">
                    <c:v>LBS</c:v>
                  </c:pt>
                  <c:pt idx="8">
                    <c:v>UBS</c:v>
                  </c:pt>
                  <c:pt idx="9">
                    <c:v>SSS</c:v>
                  </c:pt>
                  <c:pt idx="10">
                    <c:v>Higher</c:v>
                  </c:pt>
                  <c:pt idx="12">
                    <c:v>Preschool</c:v>
                  </c:pt>
                  <c:pt idx="13">
                    <c:v>LBS</c:v>
                  </c:pt>
                  <c:pt idx="14">
                    <c:v>UBS</c:v>
                  </c:pt>
                  <c:pt idx="15">
                    <c:v>SSS</c:v>
                  </c:pt>
                </c:lvl>
                <c:lvl>
                  <c:pt idx="0">
                    <c:v>Public</c:v>
                  </c:pt>
                  <c:pt idx="6">
                    <c:v>Private</c:v>
                  </c:pt>
                  <c:pt idx="12">
                    <c:v>Madassah</c:v>
                  </c:pt>
                </c:lvl>
              </c:multiLvlStrCache>
            </c:multiLvlStrRef>
          </c:cat>
          <c:val>
            <c:numRef>
              <c:f>'Fig58'!$O$4:$O$19</c:f>
              <c:numCache>
                <c:formatCode>0</c:formatCode>
                <c:ptCount val="16"/>
                <c:pt idx="0">
                  <c:v>2.0125768745487491</c:v>
                </c:pt>
                <c:pt idx="1">
                  <c:v>4.8934489607088443</c:v>
                </c:pt>
                <c:pt idx="2">
                  <c:v>7.5796127104769822</c:v>
                </c:pt>
                <c:pt idx="3">
                  <c:v>7.660238383521925</c:v>
                </c:pt>
                <c:pt idx="4">
                  <c:v>5.7942869607629515</c:v>
                </c:pt>
                <c:pt idx="6">
                  <c:v>1.0292709539062936</c:v>
                </c:pt>
                <c:pt idx="7">
                  <c:v>3.1413692469167156</c:v>
                </c:pt>
                <c:pt idx="8">
                  <c:v>6.3468104411493558</c:v>
                </c:pt>
                <c:pt idx="9">
                  <c:v>7.8112958911756829</c:v>
                </c:pt>
                <c:pt idx="10">
                  <c:v>3.2660338062416652</c:v>
                </c:pt>
                <c:pt idx="12">
                  <c:v>0.61184256076052734</c:v>
                </c:pt>
                <c:pt idx="13">
                  <c:v>4.2200920782752895</c:v>
                </c:pt>
                <c:pt idx="14">
                  <c:v>4.7238848578771906</c:v>
                </c:pt>
                <c:pt idx="15">
                  <c:v>3.9527689917041329</c:v>
                </c:pt>
              </c:numCache>
            </c:numRef>
          </c:val>
          <c:extLst>
            <c:ext xmlns:c16="http://schemas.microsoft.com/office/drawing/2014/chart" uri="{C3380CC4-5D6E-409C-BE32-E72D297353CC}">
              <c16:uniqueId val="{00000003-E4CE-49D2-BA7D-FEF6F235659E}"/>
            </c:ext>
          </c:extLst>
        </c:ser>
        <c:ser>
          <c:idx val="4"/>
          <c:order val="4"/>
          <c:tx>
            <c:strRef>
              <c:f>'Fig58'!$P$3</c:f>
              <c:strCache>
                <c:ptCount val="1"/>
                <c:pt idx="0">
                  <c:v>Transportation</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'Fig58'!$J$4:$K$19</c:f>
              <c:multiLvlStrCache>
                <c:ptCount val="16"/>
                <c:lvl>
                  <c:pt idx="0">
                    <c:v>Preschool</c:v>
                  </c:pt>
                  <c:pt idx="1">
                    <c:v>LBS</c:v>
                  </c:pt>
                  <c:pt idx="2">
                    <c:v>UBS</c:v>
                  </c:pt>
                  <c:pt idx="3">
                    <c:v>SSS</c:v>
                  </c:pt>
                  <c:pt idx="4">
                    <c:v>Higher</c:v>
                  </c:pt>
                  <c:pt idx="6">
                    <c:v>Preschool</c:v>
                  </c:pt>
                  <c:pt idx="7">
                    <c:v>LBS</c:v>
                  </c:pt>
                  <c:pt idx="8">
                    <c:v>UBS</c:v>
                  </c:pt>
                  <c:pt idx="9">
                    <c:v>SSS</c:v>
                  </c:pt>
                  <c:pt idx="10">
                    <c:v>Higher</c:v>
                  </c:pt>
                  <c:pt idx="12">
                    <c:v>Preschool</c:v>
                  </c:pt>
                  <c:pt idx="13">
                    <c:v>LBS</c:v>
                  </c:pt>
                  <c:pt idx="14">
                    <c:v>UBS</c:v>
                  </c:pt>
                  <c:pt idx="15">
                    <c:v>SSS</c:v>
                  </c:pt>
                </c:lvl>
                <c:lvl>
                  <c:pt idx="0">
                    <c:v>Public</c:v>
                  </c:pt>
                  <c:pt idx="6">
                    <c:v>Private</c:v>
                  </c:pt>
                  <c:pt idx="12">
                    <c:v>Madassah</c:v>
                  </c:pt>
                </c:lvl>
              </c:multiLvlStrCache>
            </c:multiLvlStrRef>
          </c:cat>
          <c:val>
            <c:numRef>
              <c:f>'Fig58'!$P$4:$P$19</c:f>
              <c:numCache>
                <c:formatCode>0</c:formatCode>
                <c:ptCount val="16"/>
                <c:pt idx="0">
                  <c:v>3.5424074345505963</c:v>
                </c:pt>
                <c:pt idx="1">
                  <c:v>5.2336278983581259</c:v>
                </c:pt>
                <c:pt idx="2">
                  <c:v>10.914072424606438</c:v>
                </c:pt>
                <c:pt idx="3">
                  <c:v>16.297397451863066</c:v>
                </c:pt>
                <c:pt idx="4">
                  <c:v>12.969556078457337</c:v>
                </c:pt>
                <c:pt idx="6">
                  <c:v>3.0484890047999511</c:v>
                </c:pt>
                <c:pt idx="7">
                  <c:v>7.0969230072631149</c:v>
                </c:pt>
                <c:pt idx="8">
                  <c:v>13.567880470656688</c:v>
                </c:pt>
                <c:pt idx="9">
                  <c:v>12.773314029189118</c:v>
                </c:pt>
                <c:pt idx="10">
                  <c:v>15.834068709535604</c:v>
                </c:pt>
                <c:pt idx="12">
                  <c:v>0</c:v>
                </c:pt>
                <c:pt idx="13">
                  <c:v>1.7319638751074951</c:v>
                </c:pt>
                <c:pt idx="14">
                  <c:v>5.351197159651119</c:v>
                </c:pt>
                <c:pt idx="15">
                  <c:v>9.3777202656749576</c:v>
                </c:pt>
              </c:numCache>
            </c:numRef>
          </c:val>
          <c:extLst>
            <c:ext xmlns:c16="http://schemas.microsoft.com/office/drawing/2014/chart" uri="{C3380CC4-5D6E-409C-BE32-E72D297353CC}">
              <c16:uniqueId val="{00000004-E4CE-49D2-BA7D-FEF6F235659E}"/>
            </c:ext>
          </c:extLst>
        </c:ser>
        <c:ser>
          <c:idx val="5"/>
          <c:order val="5"/>
          <c:tx>
            <c:strRef>
              <c:f>'Fig58'!$Q$3</c:f>
              <c:strCache>
                <c:ptCount val="1"/>
                <c:pt idx="0">
                  <c:v>Others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'Fig58'!$J$4:$K$19</c:f>
              <c:multiLvlStrCache>
                <c:ptCount val="16"/>
                <c:lvl>
                  <c:pt idx="0">
                    <c:v>Preschool</c:v>
                  </c:pt>
                  <c:pt idx="1">
                    <c:v>LBS</c:v>
                  </c:pt>
                  <c:pt idx="2">
                    <c:v>UBS</c:v>
                  </c:pt>
                  <c:pt idx="3">
                    <c:v>SSS</c:v>
                  </c:pt>
                  <c:pt idx="4">
                    <c:v>Higher</c:v>
                  </c:pt>
                  <c:pt idx="6">
                    <c:v>Preschool</c:v>
                  </c:pt>
                  <c:pt idx="7">
                    <c:v>LBS</c:v>
                  </c:pt>
                  <c:pt idx="8">
                    <c:v>UBS</c:v>
                  </c:pt>
                  <c:pt idx="9">
                    <c:v>SSS</c:v>
                  </c:pt>
                  <c:pt idx="10">
                    <c:v>Higher</c:v>
                  </c:pt>
                  <c:pt idx="12">
                    <c:v>Preschool</c:v>
                  </c:pt>
                  <c:pt idx="13">
                    <c:v>LBS</c:v>
                  </c:pt>
                  <c:pt idx="14">
                    <c:v>UBS</c:v>
                  </c:pt>
                  <c:pt idx="15">
                    <c:v>SSS</c:v>
                  </c:pt>
                </c:lvl>
                <c:lvl>
                  <c:pt idx="0">
                    <c:v>Public</c:v>
                  </c:pt>
                  <c:pt idx="6">
                    <c:v>Private</c:v>
                  </c:pt>
                  <c:pt idx="12">
                    <c:v>Madassah</c:v>
                  </c:pt>
                </c:lvl>
              </c:multiLvlStrCache>
            </c:multiLvlStrRef>
          </c:cat>
          <c:val>
            <c:numRef>
              <c:f>'Fig58'!$Q$4:$Q$19</c:f>
              <c:numCache>
                <c:formatCode>0</c:formatCode>
                <c:ptCount val="16"/>
                <c:pt idx="0">
                  <c:v>7.0236460141348571</c:v>
                </c:pt>
                <c:pt idx="1">
                  <c:v>23.265741615963336</c:v>
                </c:pt>
                <c:pt idx="2">
                  <c:v>12.955689012573227</c:v>
                </c:pt>
                <c:pt idx="3">
                  <c:v>23.041666662708188</c:v>
                </c:pt>
                <c:pt idx="4">
                  <c:v>30.031796089418052</c:v>
                </c:pt>
                <c:pt idx="6">
                  <c:v>29.662628018677044</c:v>
                </c:pt>
                <c:pt idx="7">
                  <c:v>36.889356126856264</c:v>
                </c:pt>
                <c:pt idx="8">
                  <c:v>11.401053863410183</c:v>
                </c:pt>
                <c:pt idx="9">
                  <c:v>17.830081878123845</c:v>
                </c:pt>
                <c:pt idx="12">
                  <c:v>0</c:v>
                </c:pt>
                <c:pt idx="13">
                  <c:v>11.000287239732588</c:v>
                </c:pt>
                <c:pt idx="14">
                  <c:v>25.36071473816494</c:v>
                </c:pt>
              </c:numCache>
            </c:numRef>
          </c:val>
          <c:extLst>
            <c:ext xmlns:c16="http://schemas.microsoft.com/office/drawing/2014/chart" uri="{C3380CC4-5D6E-409C-BE32-E72D297353CC}">
              <c16:uniqueId val="{00000005-E4CE-49D2-BA7D-FEF6F235659E}"/>
            </c:ext>
          </c:extLst>
        </c:ser>
        <c:dLbls>
          <c:dLblPos val="ctr"/>
          <c:showLegendKey val="0"/>
          <c:showVal val="1"/>
          <c:showCatName val="0"/>
          <c:showSerName val="0"/>
          <c:showPercent val="0"/>
          <c:showBubbleSize val="0"/>
        </c:dLbls>
        <c:gapWidth val="150"/>
        <c:overlap val="100"/>
        <c:axId val="1847691424"/>
        <c:axId val="1847688512"/>
      </c:barChart>
      <c:catAx>
        <c:axId val="184769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7688512"/>
        <c:crosses val="autoZero"/>
        <c:auto val="1"/>
        <c:lblAlgn val="ctr"/>
        <c:lblOffset val="100"/>
        <c:noMultiLvlLbl val="0"/>
      </c:catAx>
      <c:valAx>
        <c:axId val="1847688512"/>
        <c:scaling>
          <c:orientation val="minMax"/>
          <c:max val="10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76914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557607974319535E-2"/>
          <c:y val="6.4102564102564097E-2"/>
          <c:w val="0.89185242848289681"/>
          <c:h val="0.53951140722794266"/>
        </c:manualLayout>
      </c:layout>
      <c:barChart>
        <c:barDir val="col"/>
        <c:grouping val="stacked"/>
        <c:varyColors val="0"/>
        <c:ser>
          <c:idx val="0"/>
          <c:order val="0"/>
          <c:tx>
            <c:strRef>
              <c:f>'Reason for out-ofschoo'!$D$1</c:f>
              <c:strCache>
                <c:ptCount val="1"/>
                <c:pt idx="0">
                  <c:v>Religion</c:v>
                </c:pt>
              </c:strCache>
            </c:strRef>
          </c:tx>
          <c:spPr>
            <a:solidFill>
              <a:schemeClr val="accent1"/>
            </a:solidFill>
            <a:ln>
              <a:noFill/>
            </a:ln>
            <a:effectLst/>
          </c:spPr>
          <c:invertIfNegative val="0"/>
          <c:cat>
            <c:multiLvlStrRef>
              <c:f>'Reason for out-ofschoo'!$A$2:$C$24</c:f>
              <c:multiLvlStrCache>
                <c:ptCount val="23"/>
                <c:lvl>
                  <c:pt idx="0">
                    <c:v>Male</c:v>
                  </c:pt>
                  <c:pt idx="1">
                    <c:v>Female</c:v>
                  </c:pt>
                  <c:pt idx="2">
                    <c:v>Total</c:v>
                  </c:pt>
                  <c:pt idx="4">
                    <c:v>Male</c:v>
                  </c:pt>
                  <c:pt idx="5">
                    <c:v>Female</c:v>
                  </c:pt>
                  <c:pt idx="6">
                    <c:v>Total</c:v>
                  </c:pt>
                  <c:pt idx="8">
                    <c:v>Male</c:v>
                  </c:pt>
                  <c:pt idx="9">
                    <c:v>Female</c:v>
                  </c:pt>
                  <c:pt idx="10">
                    <c:v>Total</c:v>
                  </c:pt>
                  <c:pt idx="12">
                    <c:v>Urban</c:v>
                  </c:pt>
                  <c:pt idx="13">
                    <c:v>Rural</c:v>
                  </c:pt>
                  <c:pt idx="14">
                    <c:v>Total</c:v>
                  </c:pt>
                  <c:pt idx="16">
                    <c:v>Urban</c:v>
                  </c:pt>
                  <c:pt idx="17">
                    <c:v>Rural</c:v>
                  </c:pt>
                  <c:pt idx="18">
                    <c:v>Total</c:v>
                  </c:pt>
                  <c:pt idx="20">
                    <c:v>Urban</c:v>
                  </c:pt>
                  <c:pt idx="21">
                    <c:v>Rural</c:v>
                  </c:pt>
                  <c:pt idx="22">
                    <c:v>Total</c:v>
                  </c:pt>
                </c:lvl>
                <c:lvl>
                  <c:pt idx="0">
                    <c:v>LBS</c:v>
                  </c:pt>
                  <c:pt idx="4">
                    <c:v>UBS</c:v>
                  </c:pt>
                  <c:pt idx="8">
                    <c:v>SSS</c:v>
                  </c:pt>
                  <c:pt idx="12">
                    <c:v>LBS</c:v>
                  </c:pt>
                  <c:pt idx="16">
                    <c:v>UBS</c:v>
                  </c:pt>
                  <c:pt idx="20">
                    <c:v>SSS</c:v>
                  </c:pt>
                </c:lvl>
                <c:lvl>
                  <c:pt idx="0">
                    <c:v>Sex</c:v>
                  </c:pt>
                  <c:pt idx="12">
                    <c:v>Area</c:v>
                  </c:pt>
                </c:lvl>
              </c:multiLvlStrCache>
            </c:multiLvlStrRef>
          </c:cat>
          <c:val>
            <c:numRef>
              <c:f>'Reason for out-ofschoo'!$D$2:$D$24</c:f>
              <c:numCache>
                <c:formatCode>_(* #,##0.0_);_(* \(#,##0.0\);_(* "-"??_);_(@_)</c:formatCode>
                <c:ptCount val="23"/>
                <c:pt idx="0">
                  <c:v>66.680000000000007</c:v>
                </c:pt>
                <c:pt idx="1">
                  <c:v>59.58</c:v>
                </c:pt>
                <c:pt idx="2">
                  <c:v>63.36</c:v>
                </c:pt>
                <c:pt idx="4">
                  <c:v>70.97</c:v>
                </c:pt>
                <c:pt idx="5">
                  <c:v>69.48</c:v>
                </c:pt>
                <c:pt idx="6">
                  <c:v>70.239999999999995</c:v>
                </c:pt>
                <c:pt idx="8">
                  <c:v>69.27</c:v>
                </c:pt>
                <c:pt idx="9">
                  <c:v>60.33</c:v>
                </c:pt>
                <c:pt idx="10">
                  <c:v>64.66</c:v>
                </c:pt>
                <c:pt idx="12">
                  <c:v>66.489999999999995</c:v>
                </c:pt>
                <c:pt idx="13">
                  <c:v>61.76</c:v>
                </c:pt>
                <c:pt idx="14">
                  <c:v>63.36</c:v>
                </c:pt>
                <c:pt idx="16">
                  <c:v>77.63</c:v>
                </c:pt>
                <c:pt idx="17">
                  <c:v>67.19</c:v>
                </c:pt>
                <c:pt idx="18">
                  <c:v>70.239999999999995</c:v>
                </c:pt>
                <c:pt idx="20">
                  <c:v>71.41</c:v>
                </c:pt>
                <c:pt idx="21">
                  <c:v>61.32</c:v>
                </c:pt>
                <c:pt idx="22">
                  <c:v>64.66</c:v>
                </c:pt>
              </c:numCache>
            </c:numRef>
          </c:val>
          <c:extLst>
            <c:ext xmlns:c16="http://schemas.microsoft.com/office/drawing/2014/chart" uri="{C3380CC4-5D6E-409C-BE32-E72D297353CC}">
              <c16:uniqueId val="{00000000-4A92-473A-9963-2D7821621902}"/>
            </c:ext>
          </c:extLst>
        </c:ser>
        <c:ser>
          <c:idx val="1"/>
          <c:order val="1"/>
          <c:tx>
            <c:strRef>
              <c:f>'Reason for out-ofschoo'!$E$1</c:f>
              <c:strCache>
                <c:ptCount val="1"/>
                <c:pt idx="0">
                  <c:v>Too Young</c:v>
                </c:pt>
              </c:strCache>
            </c:strRef>
          </c:tx>
          <c:spPr>
            <a:solidFill>
              <a:schemeClr val="accent2"/>
            </a:solidFill>
            <a:ln>
              <a:noFill/>
            </a:ln>
            <a:effectLst/>
          </c:spPr>
          <c:invertIfNegative val="0"/>
          <c:cat>
            <c:multiLvlStrRef>
              <c:f>'Reason for out-ofschoo'!$A$2:$C$24</c:f>
              <c:multiLvlStrCache>
                <c:ptCount val="23"/>
                <c:lvl>
                  <c:pt idx="0">
                    <c:v>Male</c:v>
                  </c:pt>
                  <c:pt idx="1">
                    <c:v>Female</c:v>
                  </c:pt>
                  <c:pt idx="2">
                    <c:v>Total</c:v>
                  </c:pt>
                  <c:pt idx="4">
                    <c:v>Male</c:v>
                  </c:pt>
                  <c:pt idx="5">
                    <c:v>Female</c:v>
                  </c:pt>
                  <c:pt idx="6">
                    <c:v>Total</c:v>
                  </c:pt>
                  <c:pt idx="8">
                    <c:v>Male</c:v>
                  </c:pt>
                  <c:pt idx="9">
                    <c:v>Female</c:v>
                  </c:pt>
                  <c:pt idx="10">
                    <c:v>Total</c:v>
                  </c:pt>
                  <c:pt idx="12">
                    <c:v>Urban</c:v>
                  </c:pt>
                  <c:pt idx="13">
                    <c:v>Rural</c:v>
                  </c:pt>
                  <c:pt idx="14">
                    <c:v>Total</c:v>
                  </c:pt>
                  <c:pt idx="16">
                    <c:v>Urban</c:v>
                  </c:pt>
                  <c:pt idx="17">
                    <c:v>Rural</c:v>
                  </c:pt>
                  <c:pt idx="18">
                    <c:v>Total</c:v>
                  </c:pt>
                  <c:pt idx="20">
                    <c:v>Urban</c:v>
                  </c:pt>
                  <c:pt idx="21">
                    <c:v>Rural</c:v>
                  </c:pt>
                  <c:pt idx="22">
                    <c:v>Total</c:v>
                  </c:pt>
                </c:lvl>
                <c:lvl>
                  <c:pt idx="0">
                    <c:v>LBS</c:v>
                  </c:pt>
                  <c:pt idx="4">
                    <c:v>UBS</c:v>
                  </c:pt>
                  <c:pt idx="8">
                    <c:v>SSS</c:v>
                  </c:pt>
                  <c:pt idx="12">
                    <c:v>LBS</c:v>
                  </c:pt>
                  <c:pt idx="16">
                    <c:v>UBS</c:v>
                  </c:pt>
                  <c:pt idx="20">
                    <c:v>SSS</c:v>
                  </c:pt>
                </c:lvl>
                <c:lvl>
                  <c:pt idx="0">
                    <c:v>Sex</c:v>
                  </c:pt>
                  <c:pt idx="12">
                    <c:v>Area</c:v>
                  </c:pt>
                </c:lvl>
              </c:multiLvlStrCache>
            </c:multiLvlStrRef>
          </c:cat>
          <c:val>
            <c:numRef>
              <c:f>'Reason for out-ofschoo'!$E$2:$E$24</c:f>
              <c:numCache>
                <c:formatCode>_(* #,##0.0_);_(* \(#,##0.0\);_(* "-"??_);_(@_)</c:formatCode>
                <c:ptCount val="23"/>
                <c:pt idx="0">
                  <c:v>14.55</c:v>
                </c:pt>
                <c:pt idx="1">
                  <c:v>16.12</c:v>
                </c:pt>
                <c:pt idx="2">
                  <c:v>15.28</c:v>
                </c:pt>
                <c:pt idx="4">
                  <c:v>0.31</c:v>
                </c:pt>
                <c:pt idx="5">
                  <c:v>0.68</c:v>
                </c:pt>
                <c:pt idx="6">
                  <c:v>0.49</c:v>
                </c:pt>
                <c:pt idx="8">
                  <c:v>0.43</c:v>
                </c:pt>
                <c:pt idx="9">
                  <c:v>0.31</c:v>
                </c:pt>
                <c:pt idx="10">
                  <c:v>0.37</c:v>
                </c:pt>
                <c:pt idx="12">
                  <c:v>16.68</c:v>
                </c:pt>
                <c:pt idx="13">
                  <c:v>14.57</c:v>
                </c:pt>
                <c:pt idx="14">
                  <c:v>15.28</c:v>
                </c:pt>
                <c:pt idx="16">
                  <c:v>0.3</c:v>
                </c:pt>
                <c:pt idx="17">
                  <c:v>0.56999999999999995</c:v>
                </c:pt>
                <c:pt idx="18">
                  <c:v>0.49</c:v>
                </c:pt>
                <c:pt idx="20">
                  <c:v>0.1</c:v>
                </c:pt>
                <c:pt idx="21">
                  <c:v>0.5</c:v>
                </c:pt>
                <c:pt idx="22">
                  <c:v>0.37</c:v>
                </c:pt>
              </c:numCache>
            </c:numRef>
          </c:val>
          <c:extLst>
            <c:ext xmlns:c16="http://schemas.microsoft.com/office/drawing/2014/chart" uri="{C3380CC4-5D6E-409C-BE32-E72D297353CC}">
              <c16:uniqueId val="{00000001-4A92-473A-9963-2D7821621902}"/>
            </c:ext>
          </c:extLst>
        </c:ser>
        <c:ser>
          <c:idx val="2"/>
          <c:order val="2"/>
          <c:tx>
            <c:strRef>
              <c:f>'Reason for out-ofschoo'!$F$1</c:f>
              <c:strCache>
                <c:ptCount val="1"/>
                <c:pt idx="0">
                  <c:v>Costs</c:v>
                </c:pt>
              </c:strCache>
            </c:strRef>
          </c:tx>
          <c:spPr>
            <a:solidFill>
              <a:schemeClr val="accent3"/>
            </a:solidFill>
            <a:ln>
              <a:noFill/>
            </a:ln>
            <a:effectLst/>
          </c:spPr>
          <c:invertIfNegative val="0"/>
          <c:cat>
            <c:multiLvlStrRef>
              <c:f>'Reason for out-ofschoo'!$A$2:$C$24</c:f>
              <c:multiLvlStrCache>
                <c:ptCount val="23"/>
                <c:lvl>
                  <c:pt idx="0">
                    <c:v>Male</c:v>
                  </c:pt>
                  <c:pt idx="1">
                    <c:v>Female</c:v>
                  </c:pt>
                  <c:pt idx="2">
                    <c:v>Total</c:v>
                  </c:pt>
                  <c:pt idx="4">
                    <c:v>Male</c:v>
                  </c:pt>
                  <c:pt idx="5">
                    <c:v>Female</c:v>
                  </c:pt>
                  <c:pt idx="6">
                    <c:v>Total</c:v>
                  </c:pt>
                  <c:pt idx="8">
                    <c:v>Male</c:v>
                  </c:pt>
                  <c:pt idx="9">
                    <c:v>Female</c:v>
                  </c:pt>
                  <c:pt idx="10">
                    <c:v>Total</c:v>
                  </c:pt>
                  <c:pt idx="12">
                    <c:v>Urban</c:v>
                  </c:pt>
                  <c:pt idx="13">
                    <c:v>Rural</c:v>
                  </c:pt>
                  <c:pt idx="14">
                    <c:v>Total</c:v>
                  </c:pt>
                  <c:pt idx="16">
                    <c:v>Urban</c:v>
                  </c:pt>
                  <c:pt idx="17">
                    <c:v>Rural</c:v>
                  </c:pt>
                  <c:pt idx="18">
                    <c:v>Total</c:v>
                  </c:pt>
                  <c:pt idx="20">
                    <c:v>Urban</c:v>
                  </c:pt>
                  <c:pt idx="21">
                    <c:v>Rural</c:v>
                  </c:pt>
                  <c:pt idx="22">
                    <c:v>Total</c:v>
                  </c:pt>
                </c:lvl>
                <c:lvl>
                  <c:pt idx="0">
                    <c:v>LBS</c:v>
                  </c:pt>
                  <c:pt idx="4">
                    <c:v>UBS</c:v>
                  </c:pt>
                  <c:pt idx="8">
                    <c:v>SSS</c:v>
                  </c:pt>
                  <c:pt idx="12">
                    <c:v>LBS</c:v>
                  </c:pt>
                  <c:pt idx="16">
                    <c:v>UBS</c:v>
                  </c:pt>
                  <c:pt idx="20">
                    <c:v>SSS</c:v>
                  </c:pt>
                </c:lvl>
                <c:lvl>
                  <c:pt idx="0">
                    <c:v>Sex</c:v>
                  </c:pt>
                  <c:pt idx="12">
                    <c:v>Area</c:v>
                  </c:pt>
                </c:lvl>
              </c:multiLvlStrCache>
            </c:multiLvlStrRef>
          </c:cat>
          <c:val>
            <c:numRef>
              <c:f>'Reason for out-ofschoo'!$F$2:$F$24</c:f>
              <c:numCache>
                <c:formatCode>_(* #,##0.0_);_(* \(#,##0.0\);_(* "-"??_);_(@_)</c:formatCode>
                <c:ptCount val="23"/>
                <c:pt idx="0">
                  <c:v>8.16</c:v>
                </c:pt>
                <c:pt idx="1">
                  <c:v>9.11</c:v>
                </c:pt>
                <c:pt idx="2">
                  <c:v>8.61</c:v>
                </c:pt>
                <c:pt idx="4">
                  <c:v>10.83</c:v>
                </c:pt>
                <c:pt idx="5">
                  <c:v>10.99</c:v>
                </c:pt>
                <c:pt idx="6">
                  <c:v>10.91</c:v>
                </c:pt>
                <c:pt idx="8">
                  <c:v>9.68</c:v>
                </c:pt>
                <c:pt idx="9">
                  <c:v>8.75</c:v>
                </c:pt>
                <c:pt idx="10">
                  <c:v>9.1999999999999993</c:v>
                </c:pt>
                <c:pt idx="12">
                  <c:v>8</c:v>
                </c:pt>
                <c:pt idx="13">
                  <c:v>8.91</c:v>
                </c:pt>
                <c:pt idx="14">
                  <c:v>8.61</c:v>
                </c:pt>
                <c:pt idx="16">
                  <c:v>10.64</c:v>
                </c:pt>
                <c:pt idx="17">
                  <c:v>11.02</c:v>
                </c:pt>
                <c:pt idx="18">
                  <c:v>10.91</c:v>
                </c:pt>
                <c:pt idx="20">
                  <c:v>8.57</c:v>
                </c:pt>
                <c:pt idx="21">
                  <c:v>9.51</c:v>
                </c:pt>
                <c:pt idx="22">
                  <c:v>9.1999999999999993</c:v>
                </c:pt>
              </c:numCache>
            </c:numRef>
          </c:val>
          <c:extLst>
            <c:ext xmlns:c16="http://schemas.microsoft.com/office/drawing/2014/chart" uri="{C3380CC4-5D6E-409C-BE32-E72D297353CC}">
              <c16:uniqueId val="{00000002-4A92-473A-9963-2D7821621902}"/>
            </c:ext>
          </c:extLst>
        </c:ser>
        <c:ser>
          <c:idx val="3"/>
          <c:order val="3"/>
          <c:tx>
            <c:strRef>
              <c:f>'Reason for out-ofschoo'!$G$1</c:f>
              <c:strCache>
                <c:ptCount val="1"/>
                <c:pt idx="0">
                  <c:v>Quality</c:v>
                </c:pt>
              </c:strCache>
            </c:strRef>
          </c:tx>
          <c:spPr>
            <a:solidFill>
              <a:schemeClr val="accent4"/>
            </a:solidFill>
            <a:ln>
              <a:noFill/>
            </a:ln>
            <a:effectLst/>
          </c:spPr>
          <c:invertIfNegative val="0"/>
          <c:cat>
            <c:multiLvlStrRef>
              <c:f>'Reason for out-ofschoo'!$A$2:$C$24</c:f>
              <c:multiLvlStrCache>
                <c:ptCount val="23"/>
                <c:lvl>
                  <c:pt idx="0">
                    <c:v>Male</c:v>
                  </c:pt>
                  <c:pt idx="1">
                    <c:v>Female</c:v>
                  </c:pt>
                  <c:pt idx="2">
                    <c:v>Total</c:v>
                  </c:pt>
                  <c:pt idx="4">
                    <c:v>Male</c:v>
                  </c:pt>
                  <c:pt idx="5">
                    <c:v>Female</c:v>
                  </c:pt>
                  <c:pt idx="6">
                    <c:v>Total</c:v>
                  </c:pt>
                  <c:pt idx="8">
                    <c:v>Male</c:v>
                  </c:pt>
                  <c:pt idx="9">
                    <c:v>Female</c:v>
                  </c:pt>
                  <c:pt idx="10">
                    <c:v>Total</c:v>
                  </c:pt>
                  <c:pt idx="12">
                    <c:v>Urban</c:v>
                  </c:pt>
                  <c:pt idx="13">
                    <c:v>Rural</c:v>
                  </c:pt>
                  <c:pt idx="14">
                    <c:v>Total</c:v>
                  </c:pt>
                  <c:pt idx="16">
                    <c:v>Urban</c:v>
                  </c:pt>
                  <c:pt idx="17">
                    <c:v>Rural</c:v>
                  </c:pt>
                  <c:pt idx="18">
                    <c:v>Total</c:v>
                  </c:pt>
                  <c:pt idx="20">
                    <c:v>Urban</c:v>
                  </c:pt>
                  <c:pt idx="21">
                    <c:v>Rural</c:v>
                  </c:pt>
                  <c:pt idx="22">
                    <c:v>Total</c:v>
                  </c:pt>
                </c:lvl>
                <c:lvl>
                  <c:pt idx="0">
                    <c:v>LBS</c:v>
                  </c:pt>
                  <c:pt idx="4">
                    <c:v>UBS</c:v>
                  </c:pt>
                  <c:pt idx="8">
                    <c:v>SSS</c:v>
                  </c:pt>
                  <c:pt idx="12">
                    <c:v>LBS</c:v>
                  </c:pt>
                  <c:pt idx="16">
                    <c:v>UBS</c:v>
                  </c:pt>
                  <c:pt idx="20">
                    <c:v>SSS</c:v>
                  </c:pt>
                </c:lvl>
                <c:lvl>
                  <c:pt idx="0">
                    <c:v>Sex</c:v>
                  </c:pt>
                  <c:pt idx="12">
                    <c:v>Area</c:v>
                  </c:pt>
                </c:lvl>
              </c:multiLvlStrCache>
            </c:multiLvlStrRef>
          </c:cat>
          <c:val>
            <c:numRef>
              <c:f>'Reason for out-ofschoo'!$G$2:$G$24</c:f>
              <c:numCache>
                <c:formatCode>_(* #,##0.0_);_(* \(#,##0.0\);_(* "-"??_);_(@_)</c:formatCode>
                <c:ptCount val="23"/>
                <c:pt idx="0">
                  <c:v>3.61</c:v>
                </c:pt>
                <c:pt idx="1">
                  <c:v>4.3</c:v>
                </c:pt>
                <c:pt idx="2">
                  <c:v>3.93</c:v>
                </c:pt>
                <c:pt idx="4">
                  <c:v>5.32</c:v>
                </c:pt>
                <c:pt idx="5">
                  <c:v>6.56</c:v>
                </c:pt>
                <c:pt idx="6">
                  <c:v>5.93</c:v>
                </c:pt>
                <c:pt idx="8">
                  <c:v>6.13</c:v>
                </c:pt>
                <c:pt idx="9">
                  <c:v>8.66</c:v>
                </c:pt>
                <c:pt idx="10">
                  <c:v>7.43</c:v>
                </c:pt>
                <c:pt idx="12">
                  <c:v>0.46</c:v>
                </c:pt>
                <c:pt idx="13">
                  <c:v>5.7</c:v>
                </c:pt>
                <c:pt idx="14">
                  <c:v>3.93</c:v>
                </c:pt>
                <c:pt idx="16">
                  <c:v>2.2999999999999998</c:v>
                </c:pt>
                <c:pt idx="17">
                  <c:v>7.42</c:v>
                </c:pt>
                <c:pt idx="18">
                  <c:v>5.93</c:v>
                </c:pt>
                <c:pt idx="20">
                  <c:v>5.07</c:v>
                </c:pt>
                <c:pt idx="21">
                  <c:v>8.61</c:v>
                </c:pt>
                <c:pt idx="22">
                  <c:v>7.43</c:v>
                </c:pt>
              </c:numCache>
            </c:numRef>
          </c:val>
          <c:extLst>
            <c:ext xmlns:c16="http://schemas.microsoft.com/office/drawing/2014/chart" uri="{C3380CC4-5D6E-409C-BE32-E72D297353CC}">
              <c16:uniqueId val="{00000003-4A92-473A-9963-2D7821621902}"/>
            </c:ext>
          </c:extLst>
        </c:ser>
        <c:ser>
          <c:idx val="4"/>
          <c:order val="4"/>
          <c:tx>
            <c:strRef>
              <c:f>'Reason for out-ofschoo'!$H$1</c:f>
              <c:strCache>
                <c:ptCount val="1"/>
                <c:pt idx="0">
                  <c:v>Work</c:v>
                </c:pt>
              </c:strCache>
            </c:strRef>
          </c:tx>
          <c:spPr>
            <a:solidFill>
              <a:schemeClr val="accent5"/>
            </a:solidFill>
            <a:ln>
              <a:noFill/>
            </a:ln>
            <a:effectLst/>
          </c:spPr>
          <c:invertIfNegative val="0"/>
          <c:cat>
            <c:multiLvlStrRef>
              <c:f>'Reason for out-ofschoo'!$A$2:$C$24</c:f>
              <c:multiLvlStrCache>
                <c:ptCount val="23"/>
                <c:lvl>
                  <c:pt idx="0">
                    <c:v>Male</c:v>
                  </c:pt>
                  <c:pt idx="1">
                    <c:v>Female</c:v>
                  </c:pt>
                  <c:pt idx="2">
                    <c:v>Total</c:v>
                  </c:pt>
                  <c:pt idx="4">
                    <c:v>Male</c:v>
                  </c:pt>
                  <c:pt idx="5">
                    <c:v>Female</c:v>
                  </c:pt>
                  <c:pt idx="6">
                    <c:v>Total</c:v>
                  </c:pt>
                  <c:pt idx="8">
                    <c:v>Male</c:v>
                  </c:pt>
                  <c:pt idx="9">
                    <c:v>Female</c:v>
                  </c:pt>
                  <c:pt idx="10">
                    <c:v>Total</c:v>
                  </c:pt>
                  <c:pt idx="12">
                    <c:v>Urban</c:v>
                  </c:pt>
                  <c:pt idx="13">
                    <c:v>Rural</c:v>
                  </c:pt>
                  <c:pt idx="14">
                    <c:v>Total</c:v>
                  </c:pt>
                  <c:pt idx="16">
                    <c:v>Urban</c:v>
                  </c:pt>
                  <c:pt idx="17">
                    <c:v>Rural</c:v>
                  </c:pt>
                  <c:pt idx="18">
                    <c:v>Total</c:v>
                  </c:pt>
                  <c:pt idx="20">
                    <c:v>Urban</c:v>
                  </c:pt>
                  <c:pt idx="21">
                    <c:v>Rural</c:v>
                  </c:pt>
                  <c:pt idx="22">
                    <c:v>Total</c:v>
                  </c:pt>
                </c:lvl>
                <c:lvl>
                  <c:pt idx="0">
                    <c:v>LBS</c:v>
                  </c:pt>
                  <c:pt idx="4">
                    <c:v>UBS</c:v>
                  </c:pt>
                  <c:pt idx="8">
                    <c:v>SSS</c:v>
                  </c:pt>
                  <c:pt idx="12">
                    <c:v>LBS</c:v>
                  </c:pt>
                  <c:pt idx="16">
                    <c:v>UBS</c:v>
                  </c:pt>
                  <c:pt idx="20">
                    <c:v>SSS</c:v>
                  </c:pt>
                </c:lvl>
                <c:lvl>
                  <c:pt idx="0">
                    <c:v>Sex</c:v>
                  </c:pt>
                  <c:pt idx="12">
                    <c:v>Area</c:v>
                  </c:pt>
                </c:lvl>
              </c:multiLvlStrCache>
            </c:multiLvlStrRef>
          </c:cat>
          <c:val>
            <c:numRef>
              <c:f>'Reason for out-ofschoo'!$H$2:$H$24</c:f>
              <c:numCache>
                <c:formatCode>_(* #,##0.0_);_(* \(#,##0.0\);_(* "-"??_);_(@_)</c:formatCode>
                <c:ptCount val="23"/>
                <c:pt idx="0">
                  <c:v>3.33</c:v>
                </c:pt>
                <c:pt idx="1">
                  <c:v>4.0199999999999996</c:v>
                </c:pt>
                <c:pt idx="2">
                  <c:v>3.65</c:v>
                </c:pt>
                <c:pt idx="4">
                  <c:v>10.32</c:v>
                </c:pt>
                <c:pt idx="5">
                  <c:v>7.15</c:v>
                </c:pt>
                <c:pt idx="6">
                  <c:v>8.77</c:v>
                </c:pt>
                <c:pt idx="8">
                  <c:v>11.19</c:v>
                </c:pt>
                <c:pt idx="9">
                  <c:v>9.68</c:v>
                </c:pt>
                <c:pt idx="10">
                  <c:v>10.41</c:v>
                </c:pt>
                <c:pt idx="12">
                  <c:v>0.52</c:v>
                </c:pt>
                <c:pt idx="13">
                  <c:v>5.25</c:v>
                </c:pt>
                <c:pt idx="14">
                  <c:v>3.65</c:v>
                </c:pt>
                <c:pt idx="16">
                  <c:v>5.14</c:v>
                </c:pt>
                <c:pt idx="17">
                  <c:v>10.27</c:v>
                </c:pt>
                <c:pt idx="18">
                  <c:v>8.77</c:v>
                </c:pt>
                <c:pt idx="20">
                  <c:v>7.17</c:v>
                </c:pt>
                <c:pt idx="21">
                  <c:v>12.02</c:v>
                </c:pt>
                <c:pt idx="22">
                  <c:v>10.41</c:v>
                </c:pt>
              </c:numCache>
            </c:numRef>
          </c:val>
          <c:extLst>
            <c:ext xmlns:c16="http://schemas.microsoft.com/office/drawing/2014/chart" uri="{C3380CC4-5D6E-409C-BE32-E72D297353CC}">
              <c16:uniqueId val="{00000004-4A92-473A-9963-2D7821621902}"/>
            </c:ext>
          </c:extLst>
        </c:ser>
        <c:ser>
          <c:idx val="5"/>
          <c:order val="5"/>
          <c:tx>
            <c:strRef>
              <c:f>'Reason for out-ofschoo'!$I$1</c:f>
              <c:strCache>
                <c:ptCount val="1"/>
                <c:pt idx="0">
                  <c:v>Others</c:v>
                </c:pt>
              </c:strCache>
            </c:strRef>
          </c:tx>
          <c:spPr>
            <a:solidFill>
              <a:schemeClr val="accent6"/>
            </a:solidFill>
            <a:ln>
              <a:noFill/>
            </a:ln>
            <a:effectLst/>
          </c:spPr>
          <c:invertIfNegative val="0"/>
          <c:cat>
            <c:multiLvlStrRef>
              <c:f>'Reason for out-ofschoo'!$A$2:$C$24</c:f>
              <c:multiLvlStrCache>
                <c:ptCount val="23"/>
                <c:lvl>
                  <c:pt idx="0">
                    <c:v>Male</c:v>
                  </c:pt>
                  <c:pt idx="1">
                    <c:v>Female</c:v>
                  </c:pt>
                  <c:pt idx="2">
                    <c:v>Total</c:v>
                  </c:pt>
                  <c:pt idx="4">
                    <c:v>Male</c:v>
                  </c:pt>
                  <c:pt idx="5">
                    <c:v>Female</c:v>
                  </c:pt>
                  <c:pt idx="6">
                    <c:v>Total</c:v>
                  </c:pt>
                  <c:pt idx="8">
                    <c:v>Male</c:v>
                  </c:pt>
                  <c:pt idx="9">
                    <c:v>Female</c:v>
                  </c:pt>
                  <c:pt idx="10">
                    <c:v>Total</c:v>
                  </c:pt>
                  <c:pt idx="12">
                    <c:v>Urban</c:v>
                  </c:pt>
                  <c:pt idx="13">
                    <c:v>Rural</c:v>
                  </c:pt>
                  <c:pt idx="14">
                    <c:v>Total</c:v>
                  </c:pt>
                  <c:pt idx="16">
                    <c:v>Urban</c:v>
                  </c:pt>
                  <c:pt idx="17">
                    <c:v>Rural</c:v>
                  </c:pt>
                  <c:pt idx="18">
                    <c:v>Total</c:v>
                  </c:pt>
                  <c:pt idx="20">
                    <c:v>Urban</c:v>
                  </c:pt>
                  <c:pt idx="21">
                    <c:v>Rural</c:v>
                  </c:pt>
                  <c:pt idx="22">
                    <c:v>Total</c:v>
                  </c:pt>
                </c:lvl>
                <c:lvl>
                  <c:pt idx="0">
                    <c:v>LBS</c:v>
                  </c:pt>
                  <c:pt idx="4">
                    <c:v>UBS</c:v>
                  </c:pt>
                  <c:pt idx="8">
                    <c:v>SSS</c:v>
                  </c:pt>
                  <c:pt idx="12">
                    <c:v>LBS</c:v>
                  </c:pt>
                  <c:pt idx="16">
                    <c:v>UBS</c:v>
                  </c:pt>
                  <c:pt idx="20">
                    <c:v>SSS</c:v>
                  </c:pt>
                </c:lvl>
                <c:lvl>
                  <c:pt idx="0">
                    <c:v>Sex</c:v>
                  </c:pt>
                  <c:pt idx="12">
                    <c:v>Area</c:v>
                  </c:pt>
                </c:lvl>
              </c:multiLvlStrCache>
            </c:multiLvlStrRef>
          </c:cat>
          <c:val>
            <c:numRef>
              <c:f>'Reason for out-ofschoo'!$I$2:$I$24</c:f>
              <c:numCache>
                <c:formatCode>_(* #,##0.0_);_(* \(#,##0.0\);_(* "-"??_);_(@_)</c:formatCode>
                <c:ptCount val="23"/>
                <c:pt idx="0">
                  <c:v>3.68</c:v>
                </c:pt>
                <c:pt idx="1">
                  <c:v>6.86</c:v>
                </c:pt>
                <c:pt idx="2">
                  <c:v>5.17</c:v>
                </c:pt>
                <c:pt idx="4">
                  <c:v>2.2400000000000002</c:v>
                </c:pt>
                <c:pt idx="5">
                  <c:v>5.14</c:v>
                </c:pt>
                <c:pt idx="6">
                  <c:v>3.66</c:v>
                </c:pt>
                <c:pt idx="8">
                  <c:v>3.3</c:v>
                </c:pt>
                <c:pt idx="9">
                  <c:v>12.28</c:v>
                </c:pt>
                <c:pt idx="10">
                  <c:v>7.93</c:v>
                </c:pt>
                <c:pt idx="12">
                  <c:v>7.84</c:v>
                </c:pt>
                <c:pt idx="13">
                  <c:v>3.8</c:v>
                </c:pt>
                <c:pt idx="14">
                  <c:v>5.17</c:v>
                </c:pt>
                <c:pt idx="16">
                  <c:v>3.98</c:v>
                </c:pt>
                <c:pt idx="17">
                  <c:v>3.53</c:v>
                </c:pt>
                <c:pt idx="18">
                  <c:v>3.66</c:v>
                </c:pt>
                <c:pt idx="20">
                  <c:v>7.68</c:v>
                </c:pt>
                <c:pt idx="21">
                  <c:v>8.0500000000000007</c:v>
                </c:pt>
                <c:pt idx="22">
                  <c:v>7.93</c:v>
                </c:pt>
              </c:numCache>
            </c:numRef>
          </c:val>
          <c:extLst>
            <c:ext xmlns:c16="http://schemas.microsoft.com/office/drawing/2014/chart" uri="{C3380CC4-5D6E-409C-BE32-E72D297353CC}">
              <c16:uniqueId val="{00000005-4A92-473A-9963-2D7821621902}"/>
            </c:ext>
          </c:extLst>
        </c:ser>
        <c:dLbls>
          <c:showLegendKey val="0"/>
          <c:showVal val="0"/>
          <c:showCatName val="0"/>
          <c:showSerName val="0"/>
          <c:showPercent val="0"/>
          <c:showBubbleSize val="0"/>
        </c:dLbls>
        <c:gapWidth val="150"/>
        <c:overlap val="100"/>
        <c:axId val="453073272"/>
        <c:axId val="453073664"/>
      </c:barChart>
      <c:catAx>
        <c:axId val="453073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073664"/>
        <c:crosses val="autoZero"/>
        <c:auto val="1"/>
        <c:lblAlgn val="ctr"/>
        <c:lblOffset val="100"/>
        <c:noMultiLvlLbl val="0"/>
      </c:catAx>
      <c:valAx>
        <c:axId val="453073664"/>
        <c:scaling>
          <c:orientation val="minMax"/>
        </c:scaling>
        <c:delete val="0"/>
        <c:axPos val="l"/>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073272"/>
        <c:crosses val="autoZero"/>
        <c:crossBetween val="between"/>
      </c:valAx>
      <c:spPr>
        <a:noFill/>
        <a:ln>
          <a:noFill/>
        </a:ln>
        <a:effectLst/>
      </c:spPr>
    </c:plotArea>
    <c:legend>
      <c:legendPos val="b"/>
      <c:layout>
        <c:manualLayout>
          <c:xMode val="edge"/>
          <c:yMode val="edge"/>
          <c:x val="0.16819585251524072"/>
          <c:y val="5.7180432233204966E-2"/>
          <c:w val="0.55711202233906065"/>
          <c:h val="5.984084436253978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013328453501728E-2"/>
          <c:y val="9.1112937397742608E-2"/>
          <c:w val="0.9495576030664068"/>
          <c:h val="0.51004817878173281"/>
        </c:manualLayout>
      </c:layout>
      <c:barChart>
        <c:barDir val="col"/>
        <c:grouping val="stacked"/>
        <c:varyColors val="0"/>
        <c:ser>
          <c:idx val="0"/>
          <c:order val="0"/>
          <c:tx>
            <c:strRef>
              <c:f>'Reason for out-ofschoo'!$P$26</c:f>
              <c:strCache>
                <c:ptCount val="1"/>
                <c:pt idx="0">
                  <c:v> Religion </c:v>
                </c:pt>
              </c:strCache>
            </c:strRef>
          </c:tx>
          <c:spPr>
            <a:solidFill>
              <a:schemeClr val="accent1"/>
            </a:solidFill>
            <a:ln>
              <a:noFill/>
            </a:ln>
            <a:effectLst/>
          </c:spPr>
          <c:invertIfNegative val="0"/>
          <c:cat>
            <c:multiLvlStrRef>
              <c:f>'Reason for out-ofschoo'!$N$27:$O$50</c:f>
              <c:multiLvlStrCache>
                <c:ptCount val="24"/>
                <c:lvl>
                  <c:pt idx="0">
                    <c:v>Q1</c:v>
                  </c:pt>
                  <c:pt idx="1">
                    <c:v>Q2</c:v>
                  </c:pt>
                  <c:pt idx="2">
                    <c:v>Q3</c:v>
                  </c:pt>
                  <c:pt idx="3">
                    <c:v>Q4</c:v>
                  </c:pt>
                  <c:pt idx="4">
                    <c:v>Q5</c:v>
                  </c:pt>
                  <c:pt idx="6">
                    <c:v>Region1</c:v>
                  </c:pt>
                  <c:pt idx="7">
                    <c:v>Region2</c:v>
                  </c:pt>
                  <c:pt idx="8">
                    <c:v>Region3</c:v>
                  </c:pt>
                  <c:pt idx="9">
                    <c:v>Region4</c:v>
                  </c:pt>
                  <c:pt idx="10">
                    <c:v>Region5</c:v>
                  </c:pt>
                  <c:pt idx="11">
                    <c:v>Region6</c:v>
                  </c:pt>
                  <c:pt idx="13">
                    <c:v>Mandinka/jahanka</c:v>
                  </c:pt>
                  <c:pt idx="14">
                    <c:v>Fula/tukulur/lorobo</c:v>
                  </c:pt>
                  <c:pt idx="15">
                    <c:v>Wollof</c:v>
                  </c:pt>
                  <c:pt idx="16">
                    <c:v>Jola/karoninka</c:v>
                  </c:pt>
                  <c:pt idx="17">
                    <c:v>Serahulleh</c:v>
                  </c:pt>
                  <c:pt idx="18">
                    <c:v>Others</c:v>
                  </c:pt>
                  <c:pt idx="20">
                    <c:v>No education</c:v>
                  </c:pt>
                  <c:pt idx="21">
                    <c:v>Some primary</c:v>
                  </c:pt>
                  <c:pt idx="22">
                    <c:v>Some lower secondary</c:v>
                  </c:pt>
                  <c:pt idx="23">
                    <c:v>Some upper secondary plus</c:v>
                  </c:pt>
                </c:lvl>
                <c:lvl>
                  <c:pt idx="0">
                    <c:v>Wealth Quintile</c:v>
                  </c:pt>
                  <c:pt idx="6">
                    <c:v>Region</c:v>
                  </c:pt>
                  <c:pt idx="13">
                    <c:v>Ethnicity</c:v>
                  </c:pt>
                  <c:pt idx="20">
                    <c:v>Head educ</c:v>
                  </c:pt>
                </c:lvl>
              </c:multiLvlStrCache>
            </c:multiLvlStrRef>
          </c:cat>
          <c:val>
            <c:numRef>
              <c:f>'Reason for out-ofschoo'!$P$27:$P$50</c:f>
              <c:numCache>
                <c:formatCode>_(* #,##0.0_);_(* \(#,##0.0\);_(* "-"??_);_(@_)</c:formatCode>
                <c:ptCount val="24"/>
                <c:pt idx="0">
                  <c:v>60.44</c:v>
                </c:pt>
                <c:pt idx="1">
                  <c:v>63.15</c:v>
                </c:pt>
                <c:pt idx="2">
                  <c:v>66.819999999999993</c:v>
                </c:pt>
                <c:pt idx="3">
                  <c:v>63.29</c:v>
                </c:pt>
                <c:pt idx="4">
                  <c:v>69.98</c:v>
                </c:pt>
                <c:pt idx="6">
                  <c:v>70.63</c:v>
                </c:pt>
                <c:pt idx="7">
                  <c:v>71.27</c:v>
                </c:pt>
                <c:pt idx="8">
                  <c:v>72.02</c:v>
                </c:pt>
                <c:pt idx="9">
                  <c:v>62.53</c:v>
                </c:pt>
                <c:pt idx="10">
                  <c:v>76.67</c:v>
                </c:pt>
                <c:pt idx="11">
                  <c:v>21.68</c:v>
                </c:pt>
                <c:pt idx="13">
                  <c:v>59.89</c:v>
                </c:pt>
                <c:pt idx="14">
                  <c:v>59.15</c:v>
                </c:pt>
                <c:pt idx="15">
                  <c:v>80.47</c:v>
                </c:pt>
                <c:pt idx="16">
                  <c:v>56.39</c:v>
                </c:pt>
                <c:pt idx="17">
                  <c:v>41.87</c:v>
                </c:pt>
                <c:pt idx="18">
                  <c:v>67.41</c:v>
                </c:pt>
                <c:pt idx="20">
                  <c:v>63.77</c:v>
                </c:pt>
                <c:pt idx="21">
                  <c:v>60.73</c:v>
                </c:pt>
                <c:pt idx="22">
                  <c:v>51.18</c:v>
                </c:pt>
                <c:pt idx="23">
                  <c:v>61.01</c:v>
                </c:pt>
              </c:numCache>
            </c:numRef>
          </c:val>
          <c:extLst>
            <c:ext xmlns:c16="http://schemas.microsoft.com/office/drawing/2014/chart" uri="{C3380CC4-5D6E-409C-BE32-E72D297353CC}">
              <c16:uniqueId val="{00000000-BD5D-4F55-9489-23CB73351075}"/>
            </c:ext>
          </c:extLst>
        </c:ser>
        <c:ser>
          <c:idx val="1"/>
          <c:order val="1"/>
          <c:tx>
            <c:strRef>
              <c:f>'Reason for out-ofschoo'!$Q$26</c:f>
              <c:strCache>
                <c:ptCount val="1"/>
                <c:pt idx="0">
                  <c:v>Too Young</c:v>
                </c:pt>
              </c:strCache>
            </c:strRef>
          </c:tx>
          <c:spPr>
            <a:solidFill>
              <a:schemeClr val="accent2"/>
            </a:solidFill>
            <a:ln>
              <a:noFill/>
            </a:ln>
            <a:effectLst/>
          </c:spPr>
          <c:invertIfNegative val="0"/>
          <c:cat>
            <c:multiLvlStrRef>
              <c:f>'Reason for out-ofschoo'!$N$27:$O$50</c:f>
              <c:multiLvlStrCache>
                <c:ptCount val="24"/>
                <c:lvl>
                  <c:pt idx="0">
                    <c:v>Q1</c:v>
                  </c:pt>
                  <c:pt idx="1">
                    <c:v>Q2</c:v>
                  </c:pt>
                  <c:pt idx="2">
                    <c:v>Q3</c:v>
                  </c:pt>
                  <c:pt idx="3">
                    <c:v>Q4</c:v>
                  </c:pt>
                  <c:pt idx="4">
                    <c:v>Q5</c:v>
                  </c:pt>
                  <c:pt idx="6">
                    <c:v>Region1</c:v>
                  </c:pt>
                  <c:pt idx="7">
                    <c:v>Region2</c:v>
                  </c:pt>
                  <c:pt idx="8">
                    <c:v>Region3</c:v>
                  </c:pt>
                  <c:pt idx="9">
                    <c:v>Region4</c:v>
                  </c:pt>
                  <c:pt idx="10">
                    <c:v>Region5</c:v>
                  </c:pt>
                  <c:pt idx="11">
                    <c:v>Region6</c:v>
                  </c:pt>
                  <c:pt idx="13">
                    <c:v>Mandinka/jahanka</c:v>
                  </c:pt>
                  <c:pt idx="14">
                    <c:v>Fula/tukulur/lorobo</c:v>
                  </c:pt>
                  <c:pt idx="15">
                    <c:v>Wollof</c:v>
                  </c:pt>
                  <c:pt idx="16">
                    <c:v>Jola/karoninka</c:v>
                  </c:pt>
                  <c:pt idx="17">
                    <c:v>Serahulleh</c:v>
                  </c:pt>
                  <c:pt idx="18">
                    <c:v>Others</c:v>
                  </c:pt>
                  <c:pt idx="20">
                    <c:v>No education</c:v>
                  </c:pt>
                  <c:pt idx="21">
                    <c:v>Some primary</c:v>
                  </c:pt>
                  <c:pt idx="22">
                    <c:v>Some lower secondary</c:v>
                  </c:pt>
                  <c:pt idx="23">
                    <c:v>Some upper secondary plus</c:v>
                  </c:pt>
                </c:lvl>
                <c:lvl>
                  <c:pt idx="0">
                    <c:v>Wealth Quintile</c:v>
                  </c:pt>
                  <c:pt idx="6">
                    <c:v>Region</c:v>
                  </c:pt>
                  <c:pt idx="13">
                    <c:v>Ethnicity</c:v>
                  </c:pt>
                  <c:pt idx="20">
                    <c:v>Head educ</c:v>
                  </c:pt>
                </c:lvl>
              </c:multiLvlStrCache>
            </c:multiLvlStrRef>
          </c:cat>
          <c:val>
            <c:numRef>
              <c:f>'Reason for out-ofschoo'!$Q$27:$Q$50</c:f>
              <c:numCache>
                <c:formatCode>_(* #,##0.0_);_(* \(#,##0.0\);_(* "-"??_);_(@_)</c:formatCode>
                <c:ptCount val="24"/>
                <c:pt idx="0">
                  <c:v>13.75</c:v>
                </c:pt>
                <c:pt idx="1">
                  <c:v>18.12</c:v>
                </c:pt>
                <c:pt idx="2">
                  <c:v>15.04</c:v>
                </c:pt>
                <c:pt idx="3">
                  <c:v>13.87</c:v>
                </c:pt>
                <c:pt idx="4">
                  <c:v>17.13</c:v>
                </c:pt>
                <c:pt idx="6">
                  <c:v>11.79</c:v>
                </c:pt>
                <c:pt idx="7">
                  <c:v>16.7</c:v>
                </c:pt>
                <c:pt idx="8">
                  <c:v>16.93</c:v>
                </c:pt>
                <c:pt idx="9">
                  <c:v>18.170000000000002</c:v>
                </c:pt>
                <c:pt idx="10">
                  <c:v>10.86</c:v>
                </c:pt>
                <c:pt idx="11">
                  <c:v>19.3</c:v>
                </c:pt>
                <c:pt idx="13">
                  <c:v>18.45</c:v>
                </c:pt>
                <c:pt idx="14">
                  <c:v>12.77</c:v>
                </c:pt>
                <c:pt idx="15">
                  <c:v>10.6</c:v>
                </c:pt>
                <c:pt idx="16">
                  <c:v>38.01</c:v>
                </c:pt>
                <c:pt idx="17">
                  <c:v>21.55</c:v>
                </c:pt>
                <c:pt idx="18">
                  <c:v>14.74</c:v>
                </c:pt>
                <c:pt idx="20">
                  <c:v>14.17</c:v>
                </c:pt>
                <c:pt idx="21">
                  <c:v>21.84</c:v>
                </c:pt>
                <c:pt idx="22">
                  <c:v>13.56</c:v>
                </c:pt>
                <c:pt idx="23">
                  <c:v>18.72</c:v>
                </c:pt>
              </c:numCache>
            </c:numRef>
          </c:val>
          <c:extLst>
            <c:ext xmlns:c16="http://schemas.microsoft.com/office/drawing/2014/chart" uri="{C3380CC4-5D6E-409C-BE32-E72D297353CC}">
              <c16:uniqueId val="{00000001-BD5D-4F55-9489-23CB73351075}"/>
            </c:ext>
          </c:extLst>
        </c:ser>
        <c:ser>
          <c:idx val="2"/>
          <c:order val="2"/>
          <c:tx>
            <c:strRef>
              <c:f>'Reason for out-ofschoo'!$R$26</c:f>
              <c:strCache>
                <c:ptCount val="1"/>
                <c:pt idx="0">
                  <c:v>Costs</c:v>
                </c:pt>
              </c:strCache>
            </c:strRef>
          </c:tx>
          <c:spPr>
            <a:solidFill>
              <a:schemeClr val="accent3"/>
            </a:solidFill>
            <a:ln>
              <a:noFill/>
            </a:ln>
            <a:effectLst/>
          </c:spPr>
          <c:invertIfNegative val="0"/>
          <c:cat>
            <c:multiLvlStrRef>
              <c:f>'Reason for out-ofschoo'!$N$27:$O$50</c:f>
              <c:multiLvlStrCache>
                <c:ptCount val="24"/>
                <c:lvl>
                  <c:pt idx="0">
                    <c:v>Q1</c:v>
                  </c:pt>
                  <c:pt idx="1">
                    <c:v>Q2</c:v>
                  </c:pt>
                  <c:pt idx="2">
                    <c:v>Q3</c:v>
                  </c:pt>
                  <c:pt idx="3">
                    <c:v>Q4</c:v>
                  </c:pt>
                  <c:pt idx="4">
                    <c:v>Q5</c:v>
                  </c:pt>
                  <c:pt idx="6">
                    <c:v>Region1</c:v>
                  </c:pt>
                  <c:pt idx="7">
                    <c:v>Region2</c:v>
                  </c:pt>
                  <c:pt idx="8">
                    <c:v>Region3</c:v>
                  </c:pt>
                  <c:pt idx="9">
                    <c:v>Region4</c:v>
                  </c:pt>
                  <c:pt idx="10">
                    <c:v>Region5</c:v>
                  </c:pt>
                  <c:pt idx="11">
                    <c:v>Region6</c:v>
                  </c:pt>
                  <c:pt idx="13">
                    <c:v>Mandinka/jahanka</c:v>
                  </c:pt>
                  <c:pt idx="14">
                    <c:v>Fula/tukulur/lorobo</c:v>
                  </c:pt>
                  <c:pt idx="15">
                    <c:v>Wollof</c:v>
                  </c:pt>
                  <c:pt idx="16">
                    <c:v>Jola/karoninka</c:v>
                  </c:pt>
                  <c:pt idx="17">
                    <c:v>Serahulleh</c:v>
                  </c:pt>
                  <c:pt idx="18">
                    <c:v>Others</c:v>
                  </c:pt>
                  <c:pt idx="20">
                    <c:v>No education</c:v>
                  </c:pt>
                  <c:pt idx="21">
                    <c:v>Some primary</c:v>
                  </c:pt>
                  <c:pt idx="22">
                    <c:v>Some lower secondary</c:v>
                  </c:pt>
                  <c:pt idx="23">
                    <c:v>Some upper secondary plus</c:v>
                  </c:pt>
                </c:lvl>
                <c:lvl>
                  <c:pt idx="0">
                    <c:v>Wealth Quintile</c:v>
                  </c:pt>
                  <c:pt idx="6">
                    <c:v>Region</c:v>
                  </c:pt>
                  <c:pt idx="13">
                    <c:v>Ethnicity</c:v>
                  </c:pt>
                  <c:pt idx="20">
                    <c:v>Head educ</c:v>
                  </c:pt>
                </c:lvl>
              </c:multiLvlStrCache>
            </c:multiLvlStrRef>
          </c:cat>
          <c:val>
            <c:numRef>
              <c:f>'Reason for out-ofschoo'!$R$27:$R$50</c:f>
              <c:numCache>
                <c:formatCode>_(* #,##0.0_);_(* \(#,##0.0\);_(* "-"??_);_(@_)</c:formatCode>
                <c:ptCount val="24"/>
                <c:pt idx="0">
                  <c:v>10.4</c:v>
                </c:pt>
                <c:pt idx="1">
                  <c:v>8.6</c:v>
                </c:pt>
                <c:pt idx="2">
                  <c:v>6.53</c:v>
                </c:pt>
                <c:pt idx="3">
                  <c:v>9.8699999999999992</c:v>
                </c:pt>
                <c:pt idx="4">
                  <c:v>2.84</c:v>
                </c:pt>
                <c:pt idx="6">
                  <c:v>10.119999999999999</c:v>
                </c:pt>
                <c:pt idx="7">
                  <c:v>4.08</c:v>
                </c:pt>
                <c:pt idx="8">
                  <c:v>4.63</c:v>
                </c:pt>
                <c:pt idx="9">
                  <c:v>1.33</c:v>
                </c:pt>
                <c:pt idx="10">
                  <c:v>4.0599999999999996</c:v>
                </c:pt>
                <c:pt idx="11">
                  <c:v>25.6</c:v>
                </c:pt>
                <c:pt idx="13">
                  <c:v>8.34</c:v>
                </c:pt>
                <c:pt idx="14">
                  <c:v>12.37</c:v>
                </c:pt>
                <c:pt idx="15">
                  <c:v>4.82</c:v>
                </c:pt>
                <c:pt idx="16">
                  <c:v>0.32</c:v>
                </c:pt>
                <c:pt idx="17">
                  <c:v>10.6</c:v>
                </c:pt>
                <c:pt idx="18">
                  <c:v>8.61</c:v>
                </c:pt>
                <c:pt idx="20">
                  <c:v>8.8699999999999992</c:v>
                </c:pt>
                <c:pt idx="21">
                  <c:v>6.21</c:v>
                </c:pt>
                <c:pt idx="22">
                  <c:v>2.1800000000000002</c:v>
                </c:pt>
                <c:pt idx="23">
                  <c:v>15.99</c:v>
                </c:pt>
              </c:numCache>
            </c:numRef>
          </c:val>
          <c:extLst>
            <c:ext xmlns:c16="http://schemas.microsoft.com/office/drawing/2014/chart" uri="{C3380CC4-5D6E-409C-BE32-E72D297353CC}">
              <c16:uniqueId val="{00000002-BD5D-4F55-9489-23CB73351075}"/>
            </c:ext>
          </c:extLst>
        </c:ser>
        <c:ser>
          <c:idx val="3"/>
          <c:order val="3"/>
          <c:tx>
            <c:strRef>
              <c:f>'Reason for out-ofschoo'!$S$26</c:f>
              <c:strCache>
                <c:ptCount val="1"/>
                <c:pt idx="0">
                  <c:v>Quality</c:v>
                </c:pt>
              </c:strCache>
            </c:strRef>
          </c:tx>
          <c:spPr>
            <a:solidFill>
              <a:schemeClr val="accent4"/>
            </a:solidFill>
            <a:ln>
              <a:noFill/>
            </a:ln>
            <a:effectLst/>
          </c:spPr>
          <c:invertIfNegative val="0"/>
          <c:cat>
            <c:multiLvlStrRef>
              <c:f>'Reason for out-ofschoo'!$N$27:$O$50</c:f>
              <c:multiLvlStrCache>
                <c:ptCount val="24"/>
                <c:lvl>
                  <c:pt idx="0">
                    <c:v>Q1</c:v>
                  </c:pt>
                  <c:pt idx="1">
                    <c:v>Q2</c:v>
                  </c:pt>
                  <c:pt idx="2">
                    <c:v>Q3</c:v>
                  </c:pt>
                  <c:pt idx="3">
                    <c:v>Q4</c:v>
                  </c:pt>
                  <c:pt idx="4">
                    <c:v>Q5</c:v>
                  </c:pt>
                  <c:pt idx="6">
                    <c:v>Region1</c:v>
                  </c:pt>
                  <c:pt idx="7">
                    <c:v>Region2</c:v>
                  </c:pt>
                  <c:pt idx="8">
                    <c:v>Region3</c:v>
                  </c:pt>
                  <c:pt idx="9">
                    <c:v>Region4</c:v>
                  </c:pt>
                  <c:pt idx="10">
                    <c:v>Region5</c:v>
                  </c:pt>
                  <c:pt idx="11">
                    <c:v>Region6</c:v>
                  </c:pt>
                  <c:pt idx="13">
                    <c:v>Mandinka/jahanka</c:v>
                  </c:pt>
                  <c:pt idx="14">
                    <c:v>Fula/tukulur/lorobo</c:v>
                  </c:pt>
                  <c:pt idx="15">
                    <c:v>Wollof</c:v>
                  </c:pt>
                  <c:pt idx="16">
                    <c:v>Jola/karoninka</c:v>
                  </c:pt>
                  <c:pt idx="17">
                    <c:v>Serahulleh</c:v>
                  </c:pt>
                  <c:pt idx="18">
                    <c:v>Others</c:v>
                  </c:pt>
                  <c:pt idx="20">
                    <c:v>No education</c:v>
                  </c:pt>
                  <c:pt idx="21">
                    <c:v>Some primary</c:v>
                  </c:pt>
                  <c:pt idx="22">
                    <c:v>Some lower secondary</c:v>
                  </c:pt>
                  <c:pt idx="23">
                    <c:v>Some upper secondary plus</c:v>
                  </c:pt>
                </c:lvl>
                <c:lvl>
                  <c:pt idx="0">
                    <c:v>Wealth Quintile</c:v>
                  </c:pt>
                  <c:pt idx="6">
                    <c:v>Region</c:v>
                  </c:pt>
                  <c:pt idx="13">
                    <c:v>Ethnicity</c:v>
                  </c:pt>
                  <c:pt idx="20">
                    <c:v>Head educ</c:v>
                  </c:pt>
                </c:lvl>
              </c:multiLvlStrCache>
            </c:multiLvlStrRef>
          </c:cat>
          <c:val>
            <c:numRef>
              <c:f>'Reason for out-ofschoo'!$S$27:$S$50</c:f>
              <c:numCache>
                <c:formatCode>_(* #,##0.0_);_(* \(#,##0.0\);_(* "-"??_);_(@_)</c:formatCode>
                <c:ptCount val="24"/>
                <c:pt idx="0">
                  <c:v>7.34</c:v>
                </c:pt>
                <c:pt idx="1">
                  <c:v>2.59</c:v>
                </c:pt>
                <c:pt idx="2">
                  <c:v>1.74</c:v>
                </c:pt>
                <c:pt idx="3">
                  <c:v>1.5</c:v>
                </c:pt>
                <c:pt idx="4">
                  <c:v>1.57</c:v>
                </c:pt>
                <c:pt idx="6">
                  <c:v>0.18</c:v>
                </c:pt>
                <c:pt idx="7">
                  <c:v>0.74</c:v>
                </c:pt>
                <c:pt idx="8">
                  <c:v>0.96</c:v>
                </c:pt>
                <c:pt idx="9">
                  <c:v>2.52</c:v>
                </c:pt>
                <c:pt idx="10">
                  <c:v>0.53</c:v>
                </c:pt>
                <c:pt idx="11">
                  <c:v>18.43</c:v>
                </c:pt>
                <c:pt idx="13">
                  <c:v>3.51</c:v>
                </c:pt>
                <c:pt idx="14">
                  <c:v>4.5999999999999996</c:v>
                </c:pt>
                <c:pt idx="15">
                  <c:v>0.54</c:v>
                </c:pt>
                <c:pt idx="16">
                  <c:v>1.3</c:v>
                </c:pt>
                <c:pt idx="17">
                  <c:v>13.53</c:v>
                </c:pt>
                <c:pt idx="18">
                  <c:v>2.4900000000000002</c:v>
                </c:pt>
                <c:pt idx="20">
                  <c:v>4.33</c:v>
                </c:pt>
                <c:pt idx="21">
                  <c:v>3.56</c:v>
                </c:pt>
                <c:pt idx="22">
                  <c:v>2.99</c:v>
                </c:pt>
                <c:pt idx="23">
                  <c:v>0.88</c:v>
                </c:pt>
              </c:numCache>
            </c:numRef>
          </c:val>
          <c:extLst>
            <c:ext xmlns:c16="http://schemas.microsoft.com/office/drawing/2014/chart" uri="{C3380CC4-5D6E-409C-BE32-E72D297353CC}">
              <c16:uniqueId val="{00000003-BD5D-4F55-9489-23CB73351075}"/>
            </c:ext>
          </c:extLst>
        </c:ser>
        <c:ser>
          <c:idx val="4"/>
          <c:order val="4"/>
          <c:tx>
            <c:strRef>
              <c:f>'Reason for out-ofschoo'!$T$26</c:f>
              <c:strCache>
                <c:ptCount val="1"/>
                <c:pt idx="0">
                  <c:v>Work</c:v>
                </c:pt>
              </c:strCache>
            </c:strRef>
          </c:tx>
          <c:spPr>
            <a:solidFill>
              <a:schemeClr val="accent5"/>
            </a:solidFill>
            <a:ln>
              <a:noFill/>
            </a:ln>
            <a:effectLst/>
          </c:spPr>
          <c:invertIfNegative val="0"/>
          <c:cat>
            <c:multiLvlStrRef>
              <c:f>'Reason for out-ofschoo'!$N$27:$O$50</c:f>
              <c:multiLvlStrCache>
                <c:ptCount val="24"/>
                <c:lvl>
                  <c:pt idx="0">
                    <c:v>Q1</c:v>
                  </c:pt>
                  <c:pt idx="1">
                    <c:v>Q2</c:v>
                  </c:pt>
                  <c:pt idx="2">
                    <c:v>Q3</c:v>
                  </c:pt>
                  <c:pt idx="3">
                    <c:v>Q4</c:v>
                  </c:pt>
                  <c:pt idx="4">
                    <c:v>Q5</c:v>
                  </c:pt>
                  <c:pt idx="6">
                    <c:v>Region1</c:v>
                  </c:pt>
                  <c:pt idx="7">
                    <c:v>Region2</c:v>
                  </c:pt>
                  <c:pt idx="8">
                    <c:v>Region3</c:v>
                  </c:pt>
                  <c:pt idx="9">
                    <c:v>Region4</c:v>
                  </c:pt>
                  <c:pt idx="10">
                    <c:v>Region5</c:v>
                  </c:pt>
                  <c:pt idx="11">
                    <c:v>Region6</c:v>
                  </c:pt>
                  <c:pt idx="13">
                    <c:v>Mandinka/jahanka</c:v>
                  </c:pt>
                  <c:pt idx="14">
                    <c:v>Fula/tukulur/lorobo</c:v>
                  </c:pt>
                  <c:pt idx="15">
                    <c:v>Wollof</c:v>
                  </c:pt>
                  <c:pt idx="16">
                    <c:v>Jola/karoninka</c:v>
                  </c:pt>
                  <c:pt idx="17">
                    <c:v>Serahulleh</c:v>
                  </c:pt>
                  <c:pt idx="18">
                    <c:v>Others</c:v>
                  </c:pt>
                  <c:pt idx="20">
                    <c:v>No education</c:v>
                  </c:pt>
                  <c:pt idx="21">
                    <c:v>Some primary</c:v>
                  </c:pt>
                  <c:pt idx="22">
                    <c:v>Some lower secondary</c:v>
                  </c:pt>
                  <c:pt idx="23">
                    <c:v>Some upper secondary plus</c:v>
                  </c:pt>
                </c:lvl>
                <c:lvl>
                  <c:pt idx="0">
                    <c:v>Wealth Quintile</c:v>
                  </c:pt>
                  <c:pt idx="6">
                    <c:v>Region</c:v>
                  </c:pt>
                  <c:pt idx="13">
                    <c:v>Ethnicity</c:v>
                  </c:pt>
                  <c:pt idx="20">
                    <c:v>Head educ</c:v>
                  </c:pt>
                </c:lvl>
              </c:multiLvlStrCache>
            </c:multiLvlStrRef>
          </c:cat>
          <c:val>
            <c:numRef>
              <c:f>'Reason for out-ofschoo'!$T$27:$T$50</c:f>
              <c:numCache>
                <c:formatCode>_(* #,##0.0_);_(* \(#,##0.0\);_(* "-"??_);_(@_)</c:formatCode>
                <c:ptCount val="24"/>
                <c:pt idx="0">
                  <c:v>4.0199999999999996</c:v>
                </c:pt>
                <c:pt idx="1">
                  <c:v>4.17</c:v>
                </c:pt>
                <c:pt idx="2">
                  <c:v>2.72</c:v>
                </c:pt>
                <c:pt idx="3">
                  <c:v>3.48</c:v>
                </c:pt>
                <c:pt idx="4">
                  <c:v>1.91</c:v>
                </c:pt>
                <c:pt idx="6">
                  <c:v>0</c:v>
                </c:pt>
                <c:pt idx="7">
                  <c:v>0.15</c:v>
                </c:pt>
                <c:pt idx="8">
                  <c:v>2.71</c:v>
                </c:pt>
                <c:pt idx="9">
                  <c:v>3.69</c:v>
                </c:pt>
                <c:pt idx="10">
                  <c:v>5.59</c:v>
                </c:pt>
                <c:pt idx="11">
                  <c:v>9.2200000000000006</c:v>
                </c:pt>
                <c:pt idx="13">
                  <c:v>3.13</c:v>
                </c:pt>
                <c:pt idx="14">
                  <c:v>5.7</c:v>
                </c:pt>
                <c:pt idx="15">
                  <c:v>1.25</c:v>
                </c:pt>
                <c:pt idx="16">
                  <c:v>0.46</c:v>
                </c:pt>
                <c:pt idx="17">
                  <c:v>6.08</c:v>
                </c:pt>
                <c:pt idx="18">
                  <c:v>1.47</c:v>
                </c:pt>
                <c:pt idx="20">
                  <c:v>3.97</c:v>
                </c:pt>
                <c:pt idx="21">
                  <c:v>5.21</c:v>
                </c:pt>
                <c:pt idx="22">
                  <c:v>3.16</c:v>
                </c:pt>
                <c:pt idx="23">
                  <c:v>0</c:v>
                </c:pt>
              </c:numCache>
            </c:numRef>
          </c:val>
          <c:extLst>
            <c:ext xmlns:c16="http://schemas.microsoft.com/office/drawing/2014/chart" uri="{C3380CC4-5D6E-409C-BE32-E72D297353CC}">
              <c16:uniqueId val="{00000004-BD5D-4F55-9489-23CB73351075}"/>
            </c:ext>
          </c:extLst>
        </c:ser>
        <c:ser>
          <c:idx val="5"/>
          <c:order val="5"/>
          <c:tx>
            <c:strRef>
              <c:f>'Reason for out-ofschoo'!$U$26</c:f>
              <c:strCache>
                <c:ptCount val="1"/>
                <c:pt idx="0">
                  <c:v>Others</c:v>
                </c:pt>
              </c:strCache>
            </c:strRef>
          </c:tx>
          <c:spPr>
            <a:solidFill>
              <a:schemeClr val="accent6"/>
            </a:solidFill>
            <a:ln>
              <a:noFill/>
            </a:ln>
            <a:effectLst/>
          </c:spPr>
          <c:invertIfNegative val="0"/>
          <c:cat>
            <c:multiLvlStrRef>
              <c:f>'Reason for out-ofschoo'!$N$27:$O$50</c:f>
              <c:multiLvlStrCache>
                <c:ptCount val="24"/>
                <c:lvl>
                  <c:pt idx="0">
                    <c:v>Q1</c:v>
                  </c:pt>
                  <c:pt idx="1">
                    <c:v>Q2</c:v>
                  </c:pt>
                  <c:pt idx="2">
                    <c:v>Q3</c:v>
                  </c:pt>
                  <c:pt idx="3">
                    <c:v>Q4</c:v>
                  </c:pt>
                  <c:pt idx="4">
                    <c:v>Q5</c:v>
                  </c:pt>
                  <c:pt idx="6">
                    <c:v>Region1</c:v>
                  </c:pt>
                  <c:pt idx="7">
                    <c:v>Region2</c:v>
                  </c:pt>
                  <c:pt idx="8">
                    <c:v>Region3</c:v>
                  </c:pt>
                  <c:pt idx="9">
                    <c:v>Region4</c:v>
                  </c:pt>
                  <c:pt idx="10">
                    <c:v>Region5</c:v>
                  </c:pt>
                  <c:pt idx="11">
                    <c:v>Region6</c:v>
                  </c:pt>
                  <c:pt idx="13">
                    <c:v>Mandinka/jahanka</c:v>
                  </c:pt>
                  <c:pt idx="14">
                    <c:v>Fula/tukulur/lorobo</c:v>
                  </c:pt>
                  <c:pt idx="15">
                    <c:v>Wollof</c:v>
                  </c:pt>
                  <c:pt idx="16">
                    <c:v>Jola/karoninka</c:v>
                  </c:pt>
                  <c:pt idx="17">
                    <c:v>Serahulleh</c:v>
                  </c:pt>
                  <c:pt idx="18">
                    <c:v>Others</c:v>
                  </c:pt>
                  <c:pt idx="20">
                    <c:v>No education</c:v>
                  </c:pt>
                  <c:pt idx="21">
                    <c:v>Some primary</c:v>
                  </c:pt>
                  <c:pt idx="22">
                    <c:v>Some lower secondary</c:v>
                  </c:pt>
                  <c:pt idx="23">
                    <c:v>Some upper secondary plus</c:v>
                  </c:pt>
                </c:lvl>
                <c:lvl>
                  <c:pt idx="0">
                    <c:v>Wealth Quintile</c:v>
                  </c:pt>
                  <c:pt idx="6">
                    <c:v>Region</c:v>
                  </c:pt>
                  <c:pt idx="13">
                    <c:v>Ethnicity</c:v>
                  </c:pt>
                  <c:pt idx="20">
                    <c:v>Head educ</c:v>
                  </c:pt>
                </c:lvl>
              </c:multiLvlStrCache>
            </c:multiLvlStrRef>
          </c:cat>
          <c:val>
            <c:numRef>
              <c:f>'Reason for out-ofschoo'!$U$27:$U$50</c:f>
              <c:numCache>
                <c:formatCode>_(* #,##0.0_);_(* \(#,##0.0\);_(* "-"??_);_(@_)</c:formatCode>
                <c:ptCount val="24"/>
                <c:pt idx="0">
                  <c:v>4.05</c:v>
                </c:pt>
                <c:pt idx="1">
                  <c:v>3.38</c:v>
                </c:pt>
                <c:pt idx="2">
                  <c:v>7.15</c:v>
                </c:pt>
                <c:pt idx="3">
                  <c:v>7.99</c:v>
                </c:pt>
                <c:pt idx="4">
                  <c:v>6.56</c:v>
                </c:pt>
                <c:pt idx="6">
                  <c:v>7.27</c:v>
                </c:pt>
                <c:pt idx="7">
                  <c:v>7.06</c:v>
                </c:pt>
                <c:pt idx="8">
                  <c:v>2.75</c:v>
                </c:pt>
                <c:pt idx="9">
                  <c:v>11.75</c:v>
                </c:pt>
                <c:pt idx="10">
                  <c:v>2.29</c:v>
                </c:pt>
                <c:pt idx="11">
                  <c:v>5.77</c:v>
                </c:pt>
                <c:pt idx="13">
                  <c:v>6.67</c:v>
                </c:pt>
                <c:pt idx="14">
                  <c:v>5.42</c:v>
                </c:pt>
                <c:pt idx="15">
                  <c:v>2.31</c:v>
                </c:pt>
                <c:pt idx="16">
                  <c:v>3.52</c:v>
                </c:pt>
                <c:pt idx="17">
                  <c:v>6.38</c:v>
                </c:pt>
                <c:pt idx="18">
                  <c:v>5.28</c:v>
                </c:pt>
                <c:pt idx="20">
                  <c:v>4.8899999999999997</c:v>
                </c:pt>
                <c:pt idx="21">
                  <c:v>2.4500000000000002</c:v>
                </c:pt>
                <c:pt idx="22">
                  <c:v>26.92</c:v>
                </c:pt>
                <c:pt idx="23">
                  <c:v>3.39</c:v>
                </c:pt>
              </c:numCache>
            </c:numRef>
          </c:val>
          <c:extLst>
            <c:ext xmlns:c16="http://schemas.microsoft.com/office/drawing/2014/chart" uri="{C3380CC4-5D6E-409C-BE32-E72D297353CC}">
              <c16:uniqueId val="{00000005-BD5D-4F55-9489-23CB73351075}"/>
            </c:ext>
          </c:extLst>
        </c:ser>
        <c:dLbls>
          <c:showLegendKey val="0"/>
          <c:showVal val="0"/>
          <c:showCatName val="0"/>
          <c:showSerName val="0"/>
          <c:showPercent val="0"/>
          <c:showBubbleSize val="0"/>
        </c:dLbls>
        <c:gapWidth val="40"/>
        <c:overlap val="100"/>
        <c:axId val="454876824"/>
        <c:axId val="454877216"/>
      </c:barChart>
      <c:catAx>
        <c:axId val="454876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4877216"/>
        <c:crosses val="autoZero"/>
        <c:auto val="1"/>
        <c:lblAlgn val="ctr"/>
        <c:lblOffset val="100"/>
        <c:noMultiLvlLbl val="0"/>
      </c:catAx>
      <c:valAx>
        <c:axId val="454877216"/>
        <c:scaling>
          <c:orientation val="minMax"/>
          <c:max val="10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4876824"/>
        <c:crosses val="autoZero"/>
        <c:crossBetween val="between"/>
      </c:valAx>
      <c:spPr>
        <a:noFill/>
        <a:ln>
          <a:noFill/>
        </a:ln>
        <a:effectLst/>
      </c:spPr>
    </c:plotArea>
    <c:legend>
      <c:legendPos val="b"/>
      <c:layout>
        <c:manualLayout>
          <c:xMode val="edge"/>
          <c:yMode val="edge"/>
          <c:x val="0.25292831239877944"/>
          <c:y val="7.8692010163536451E-3"/>
          <c:w val="0.4225791690979957"/>
          <c:h val="5.38622192398458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517598886091175E-2"/>
          <c:y val="1.8452947035240617E-2"/>
          <c:w val="0.90293644233697312"/>
          <c:h val="0.86430688688691337"/>
        </c:manualLayout>
      </c:layout>
      <c:lineChart>
        <c:grouping val="standard"/>
        <c:varyColors val="0"/>
        <c:ser>
          <c:idx val="2"/>
          <c:order val="0"/>
          <c:tx>
            <c:strRef>
              <c:f>Survival!$X$22</c:f>
              <c:strCache>
                <c:ptCount val="1"/>
                <c:pt idx="0">
                  <c:v>Male, high income, rural, hhhead has no education</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Survival!$T$23:$U$38</c:f>
              <c:multiLvlStrCache>
                <c:ptCount val="16"/>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lvl>
                <c:lvl>
                  <c:pt idx="0">
                    <c:v>Primary</c:v>
                  </c:pt>
                  <c:pt idx="6">
                    <c:v>Secondary</c:v>
                  </c:pt>
                  <c:pt idx="13">
                    <c:v>Post secondary</c:v>
                  </c:pt>
                </c:lvl>
              </c:multiLvlStrCache>
            </c:multiLvlStrRef>
          </c:cat>
          <c:val>
            <c:numRef>
              <c:f>Survival!$X$23:$X$38</c:f>
              <c:numCache>
                <c:formatCode>General</c:formatCode>
                <c:ptCount val="16"/>
                <c:pt idx="0" formatCode="0">
                  <c:v>88.2</c:v>
                </c:pt>
                <c:pt idx="1">
                  <c:v>86.01</c:v>
                </c:pt>
                <c:pt idx="2">
                  <c:v>81.31</c:v>
                </c:pt>
                <c:pt idx="3">
                  <c:v>76.88</c:v>
                </c:pt>
                <c:pt idx="4">
                  <c:v>73.02</c:v>
                </c:pt>
                <c:pt idx="5">
                  <c:v>70.94</c:v>
                </c:pt>
                <c:pt idx="6">
                  <c:v>64.12</c:v>
                </c:pt>
                <c:pt idx="7">
                  <c:v>55.449999999999996</c:v>
                </c:pt>
                <c:pt idx="8">
                  <c:v>50.989999999999995</c:v>
                </c:pt>
                <c:pt idx="9">
                  <c:v>50.279999999999994</c:v>
                </c:pt>
                <c:pt idx="10">
                  <c:v>44.099999999999994</c:v>
                </c:pt>
                <c:pt idx="11">
                  <c:v>32.629999999999995</c:v>
                </c:pt>
                <c:pt idx="12">
                  <c:v>32.44</c:v>
                </c:pt>
                <c:pt idx="13">
                  <c:v>27.67</c:v>
                </c:pt>
                <c:pt idx="14">
                  <c:v>15.41</c:v>
                </c:pt>
                <c:pt idx="15">
                  <c:v>5.08</c:v>
                </c:pt>
              </c:numCache>
            </c:numRef>
          </c:val>
          <c:smooth val="0"/>
          <c:extLst>
            <c:ext xmlns:c16="http://schemas.microsoft.com/office/drawing/2014/chart" uri="{C3380CC4-5D6E-409C-BE32-E72D297353CC}">
              <c16:uniqueId val="{00000000-E3AD-448F-A0A9-1744E9060DB6}"/>
            </c:ext>
          </c:extLst>
        </c:ser>
        <c:ser>
          <c:idx val="3"/>
          <c:order val="1"/>
          <c:tx>
            <c:strRef>
              <c:f>Survival!$Y$21:$Y$22</c:f>
              <c:strCache>
                <c:ptCount val="2"/>
                <c:pt idx="1">
                  <c:v>Female, high income, urban, hhhead has completed secondary</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multiLvlStrRef>
              <c:f>Survival!$T$23:$U$38</c:f>
              <c:multiLvlStrCache>
                <c:ptCount val="16"/>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lvl>
                <c:lvl>
                  <c:pt idx="0">
                    <c:v>Primary</c:v>
                  </c:pt>
                  <c:pt idx="6">
                    <c:v>Secondary</c:v>
                  </c:pt>
                  <c:pt idx="13">
                    <c:v>Post secondary</c:v>
                  </c:pt>
                </c:lvl>
              </c:multiLvlStrCache>
            </c:multiLvlStrRef>
          </c:cat>
          <c:val>
            <c:numRef>
              <c:f>Survival!$Y$23:$Y$38</c:f>
              <c:numCache>
                <c:formatCode>General</c:formatCode>
                <c:ptCount val="16"/>
                <c:pt idx="0">
                  <c:v>89.81</c:v>
                </c:pt>
                <c:pt idx="1">
                  <c:v>83.31</c:v>
                </c:pt>
                <c:pt idx="2">
                  <c:v>76.62</c:v>
                </c:pt>
                <c:pt idx="3">
                  <c:v>71.050000000000011</c:v>
                </c:pt>
                <c:pt idx="4">
                  <c:v>66.760000000000005</c:v>
                </c:pt>
                <c:pt idx="5">
                  <c:v>61.690000000000005</c:v>
                </c:pt>
                <c:pt idx="6">
                  <c:v>55.449999999999996</c:v>
                </c:pt>
                <c:pt idx="7">
                  <c:v>49.080000000000005</c:v>
                </c:pt>
                <c:pt idx="8">
                  <c:v>43.99</c:v>
                </c:pt>
                <c:pt idx="9">
                  <c:v>41.949999999999996</c:v>
                </c:pt>
                <c:pt idx="10">
                  <c:v>33.010000000000005</c:v>
                </c:pt>
                <c:pt idx="11">
                  <c:v>24.330000000000002</c:v>
                </c:pt>
                <c:pt idx="12">
                  <c:v>24.19</c:v>
                </c:pt>
                <c:pt idx="13">
                  <c:v>20.099999999999998</c:v>
                </c:pt>
                <c:pt idx="14">
                  <c:v>5.99</c:v>
                </c:pt>
                <c:pt idx="15">
                  <c:v>1.59</c:v>
                </c:pt>
              </c:numCache>
            </c:numRef>
          </c:val>
          <c:smooth val="0"/>
          <c:extLst>
            <c:ext xmlns:c16="http://schemas.microsoft.com/office/drawing/2014/chart" uri="{C3380CC4-5D6E-409C-BE32-E72D297353CC}">
              <c16:uniqueId val="{00000001-E3AD-448F-A0A9-1744E9060DB6}"/>
            </c:ext>
          </c:extLst>
        </c:ser>
        <c:ser>
          <c:idx val="0"/>
          <c:order val="2"/>
          <c:tx>
            <c:strRef>
              <c:f>Survival!$V$21:$V$22</c:f>
              <c:strCache>
                <c:ptCount val="2"/>
                <c:pt idx="1">
                  <c:v>Male, low income, rural, hhhead has no education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Survival!$T$23:$U$38</c:f>
              <c:multiLvlStrCache>
                <c:ptCount val="16"/>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lvl>
                <c:lvl>
                  <c:pt idx="0">
                    <c:v>Primary</c:v>
                  </c:pt>
                  <c:pt idx="6">
                    <c:v>Secondary</c:v>
                  </c:pt>
                  <c:pt idx="13">
                    <c:v>Post secondary</c:v>
                  </c:pt>
                </c:lvl>
              </c:multiLvlStrCache>
            </c:multiLvlStrRef>
          </c:cat>
          <c:val>
            <c:numRef>
              <c:f>Survival!$V$23:$V$38</c:f>
              <c:numCache>
                <c:formatCode>0.0</c:formatCode>
                <c:ptCount val="16"/>
                <c:pt idx="0">
                  <c:v>39.49</c:v>
                </c:pt>
                <c:pt idx="1">
                  <c:v>32.119999999999997</c:v>
                </c:pt>
                <c:pt idx="2" formatCode="General">
                  <c:v>26.549999999999997</c:v>
                </c:pt>
                <c:pt idx="3" formatCode="General">
                  <c:v>21.35</c:v>
                </c:pt>
                <c:pt idx="4" formatCode="General">
                  <c:v>16.879999999999995</c:v>
                </c:pt>
                <c:pt idx="5" formatCode="General">
                  <c:v>13.299999999999997</c:v>
                </c:pt>
                <c:pt idx="6" formatCode="General">
                  <c:v>9.32</c:v>
                </c:pt>
                <c:pt idx="7" formatCode="General">
                  <c:v>6.089999999999999</c:v>
                </c:pt>
                <c:pt idx="8" formatCode="General">
                  <c:v>3.33</c:v>
                </c:pt>
                <c:pt idx="9" formatCode="General">
                  <c:v>2.72</c:v>
                </c:pt>
                <c:pt idx="10" formatCode="General">
                  <c:v>1.62</c:v>
                </c:pt>
                <c:pt idx="11" formatCode="General">
                  <c:v>0.66</c:v>
                </c:pt>
                <c:pt idx="12" formatCode="General">
                  <c:v>0.6</c:v>
                </c:pt>
                <c:pt idx="13" formatCode="General">
                  <c:v>0.44999999999999996</c:v>
                </c:pt>
                <c:pt idx="14" formatCode="General">
                  <c:v>0.39</c:v>
                </c:pt>
                <c:pt idx="15" formatCode="General">
                  <c:v>0.1</c:v>
                </c:pt>
              </c:numCache>
            </c:numRef>
          </c:val>
          <c:smooth val="0"/>
          <c:extLst>
            <c:ext xmlns:c16="http://schemas.microsoft.com/office/drawing/2014/chart" uri="{C3380CC4-5D6E-409C-BE32-E72D297353CC}">
              <c16:uniqueId val="{00000002-E3AD-448F-A0A9-1744E9060DB6}"/>
            </c:ext>
          </c:extLst>
        </c:ser>
        <c:ser>
          <c:idx val="1"/>
          <c:order val="3"/>
          <c:tx>
            <c:strRef>
              <c:f>Survival!$W$21:$W$22</c:f>
              <c:strCache>
                <c:ptCount val="2"/>
                <c:pt idx="1">
                  <c:v>Female, low income, urban, hhhead has completed secondary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Survival!$T$23:$U$38</c:f>
              <c:multiLvlStrCache>
                <c:ptCount val="16"/>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lvl>
                <c:lvl>
                  <c:pt idx="0">
                    <c:v>Primary</c:v>
                  </c:pt>
                  <c:pt idx="6">
                    <c:v>Secondary</c:v>
                  </c:pt>
                  <c:pt idx="13">
                    <c:v>Post secondary</c:v>
                  </c:pt>
                </c:lvl>
              </c:multiLvlStrCache>
            </c:multiLvlStrRef>
          </c:cat>
          <c:val>
            <c:numRef>
              <c:f>Survival!$W$23:$W$38</c:f>
              <c:numCache>
                <c:formatCode>General</c:formatCode>
                <c:ptCount val="16"/>
                <c:pt idx="0" formatCode="0">
                  <c:v>38.330000000000005</c:v>
                </c:pt>
                <c:pt idx="1">
                  <c:v>31.589999999999993</c:v>
                </c:pt>
                <c:pt idx="2">
                  <c:v>25.759999999999994</c:v>
                </c:pt>
                <c:pt idx="3">
                  <c:v>21.279999999999998</c:v>
                </c:pt>
                <c:pt idx="4">
                  <c:v>17.059999999999999</c:v>
                </c:pt>
                <c:pt idx="5">
                  <c:v>14</c:v>
                </c:pt>
                <c:pt idx="6">
                  <c:v>9.6199999999999992</c:v>
                </c:pt>
                <c:pt idx="7">
                  <c:v>5.7199999999999989</c:v>
                </c:pt>
                <c:pt idx="8">
                  <c:v>3.4599999999999995</c:v>
                </c:pt>
                <c:pt idx="9">
                  <c:v>2.5799999999999996</c:v>
                </c:pt>
                <c:pt idx="10">
                  <c:v>1.1800000000000002</c:v>
                </c:pt>
                <c:pt idx="11">
                  <c:v>0.2</c:v>
                </c:pt>
                <c:pt idx="12">
                  <c:v>0.16999999999999998</c:v>
                </c:pt>
                <c:pt idx="13">
                  <c:v>0.15</c:v>
                </c:pt>
                <c:pt idx="14">
                  <c:v>0.06</c:v>
                </c:pt>
                <c:pt idx="15">
                  <c:v>0</c:v>
                </c:pt>
              </c:numCache>
            </c:numRef>
          </c:val>
          <c:smooth val="0"/>
          <c:extLst>
            <c:ext xmlns:c16="http://schemas.microsoft.com/office/drawing/2014/chart" uri="{C3380CC4-5D6E-409C-BE32-E72D297353CC}">
              <c16:uniqueId val="{00000003-E3AD-448F-A0A9-1744E9060DB6}"/>
            </c:ext>
          </c:extLst>
        </c:ser>
        <c:dLbls>
          <c:showLegendKey val="0"/>
          <c:showVal val="0"/>
          <c:showCatName val="0"/>
          <c:showSerName val="0"/>
          <c:showPercent val="0"/>
          <c:showBubbleSize val="0"/>
        </c:dLbls>
        <c:marker val="1"/>
        <c:smooth val="0"/>
        <c:axId val="705334056"/>
        <c:axId val="705334448"/>
      </c:lineChart>
      <c:catAx>
        <c:axId val="705334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5334448"/>
        <c:crosses val="autoZero"/>
        <c:auto val="1"/>
        <c:lblAlgn val="ctr"/>
        <c:lblOffset val="100"/>
        <c:noMultiLvlLbl val="0"/>
      </c:catAx>
      <c:valAx>
        <c:axId val="705334448"/>
        <c:scaling>
          <c:orientation val="minMax"/>
          <c:max val="10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5334056"/>
        <c:crosses val="autoZero"/>
        <c:crossBetween val="between"/>
      </c:valAx>
      <c:spPr>
        <a:noFill/>
        <a:ln>
          <a:noFill/>
        </a:ln>
        <a:effectLst/>
      </c:spPr>
    </c:plotArea>
    <c:legend>
      <c:legendPos val="b"/>
      <c:layout>
        <c:manualLayout>
          <c:xMode val="edge"/>
          <c:yMode val="edge"/>
          <c:x val="0.36428057069789355"/>
          <c:y val="7.4286017000168528E-2"/>
          <c:w val="0.6335163873746551"/>
          <c:h val="0.195482733246240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455877481334246E-2"/>
          <c:y val="0.15285751781027371"/>
          <c:w val="0.95287729658792653"/>
          <c:h val="0.75850121131372739"/>
        </c:manualLayout>
      </c:layout>
      <c:barChart>
        <c:barDir val="col"/>
        <c:grouping val="stacked"/>
        <c:varyColors val="0"/>
        <c:ser>
          <c:idx val="0"/>
          <c:order val="0"/>
          <c:tx>
            <c:strRef>
              <c:f>'Fig63.73'!$H$66</c:f>
              <c:strCache>
                <c:ptCount val="1"/>
                <c:pt idx="0">
                  <c:v>Q1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'Fig63.73'!$I$65:$J$65</c:f>
              <c:numCache>
                <c:formatCode>General</c:formatCode>
                <c:ptCount val="2"/>
                <c:pt idx="0">
                  <c:v>2010</c:v>
                </c:pt>
                <c:pt idx="1">
                  <c:v>2015</c:v>
                </c:pt>
              </c:numCache>
            </c:numRef>
          </c:cat>
          <c:val>
            <c:numRef>
              <c:f>'Fig63.73'!$I$66:$J$66</c:f>
              <c:numCache>
                <c:formatCode>0.0%</c:formatCode>
                <c:ptCount val="2"/>
                <c:pt idx="0">
                  <c:v>5.7049761227934821E-2</c:v>
                </c:pt>
                <c:pt idx="1">
                  <c:v>7.1058676705163817E-2</c:v>
                </c:pt>
              </c:numCache>
            </c:numRef>
          </c:val>
          <c:extLst>
            <c:ext xmlns:c16="http://schemas.microsoft.com/office/drawing/2014/chart" uri="{C3380CC4-5D6E-409C-BE32-E72D297353CC}">
              <c16:uniqueId val="{00000000-C6A6-4C85-95AF-F5A22D35277E}"/>
            </c:ext>
          </c:extLst>
        </c:ser>
        <c:ser>
          <c:idx val="1"/>
          <c:order val="1"/>
          <c:tx>
            <c:strRef>
              <c:f>'Fig63.73'!$H$67</c:f>
              <c:strCache>
                <c:ptCount val="1"/>
                <c:pt idx="0">
                  <c:v>Q2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'Fig63.73'!$I$65:$J$65</c:f>
              <c:numCache>
                <c:formatCode>General</c:formatCode>
                <c:ptCount val="2"/>
                <c:pt idx="0">
                  <c:v>2010</c:v>
                </c:pt>
                <c:pt idx="1">
                  <c:v>2015</c:v>
                </c:pt>
              </c:numCache>
            </c:numRef>
          </c:cat>
          <c:val>
            <c:numRef>
              <c:f>'Fig63.73'!$I$67:$J$67</c:f>
              <c:numCache>
                <c:formatCode>0.0%</c:formatCode>
                <c:ptCount val="2"/>
                <c:pt idx="0">
                  <c:v>9.8641100480578892E-2</c:v>
                </c:pt>
                <c:pt idx="1">
                  <c:v>0.11241571688107503</c:v>
                </c:pt>
              </c:numCache>
            </c:numRef>
          </c:val>
          <c:extLst>
            <c:ext xmlns:c16="http://schemas.microsoft.com/office/drawing/2014/chart" uri="{C3380CC4-5D6E-409C-BE32-E72D297353CC}">
              <c16:uniqueId val="{00000001-C6A6-4C85-95AF-F5A22D35277E}"/>
            </c:ext>
          </c:extLst>
        </c:ser>
        <c:ser>
          <c:idx val="2"/>
          <c:order val="2"/>
          <c:tx>
            <c:strRef>
              <c:f>'Fig63.73'!$H$68</c:f>
              <c:strCache>
                <c:ptCount val="1"/>
                <c:pt idx="0">
                  <c:v>Q3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'Fig63.73'!$I$65:$J$65</c:f>
              <c:numCache>
                <c:formatCode>General</c:formatCode>
                <c:ptCount val="2"/>
                <c:pt idx="0">
                  <c:v>2010</c:v>
                </c:pt>
                <c:pt idx="1">
                  <c:v>2015</c:v>
                </c:pt>
              </c:numCache>
            </c:numRef>
          </c:cat>
          <c:val>
            <c:numRef>
              <c:f>'Fig63.73'!$I$68:$J$68</c:f>
              <c:numCache>
                <c:formatCode>0.0%</c:formatCode>
                <c:ptCount val="2"/>
                <c:pt idx="0">
                  <c:v>0.14090792507827815</c:v>
                </c:pt>
                <c:pt idx="1">
                  <c:v>0.15504358340179725</c:v>
                </c:pt>
              </c:numCache>
            </c:numRef>
          </c:val>
          <c:extLst>
            <c:ext xmlns:c16="http://schemas.microsoft.com/office/drawing/2014/chart" uri="{C3380CC4-5D6E-409C-BE32-E72D297353CC}">
              <c16:uniqueId val="{00000002-C6A6-4C85-95AF-F5A22D35277E}"/>
            </c:ext>
          </c:extLst>
        </c:ser>
        <c:ser>
          <c:idx val="3"/>
          <c:order val="3"/>
          <c:tx>
            <c:strRef>
              <c:f>'Fig63.73'!$H$69</c:f>
              <c:strCache>
                <c:ptCount val="1"/>
                <c:pt idx="0">
                  <c:v>Q4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'Fig63.73'!$I$65:$J$65</c:f>
              <c:numCache>
                <c:formatCode>General</c:formatCode>
                <c:ptCount val="2"/>
                <c:pt idx="0">
                  <c:v>2010</c:v>
                </c:pt>
                <c:pt idx="1">
                  <c:v>2015</c:v>
                </c:pt>
              </c:numCache>
            </c:numRef>
          </c:cat>
          <c:val>
            <c:numRef>
              <c:f>'Fig63.73'!$I$69:$J$69</c:f>
              <c:numCache>
                <c:formatCode>0.0%</c:formatCode>
                <c:ptCount val="2"/>
                <c:pt idx="0">
                  <c:v>0.20448281084960337</c:v>
                </c:pt>
                <c:pt idx="1">
                  <c:v>0.21320129838352164</c:v>
                </c:pt>
              </c:numCache>
            </c:numRef>
          </c:val>
          <c:extLst>
            <c:ext xmlns:c16="http://schemas.microsoft.com/office/drawing/2014/chart" uri="{C3380CC4-5D6E-409C-BE32-E72D297353CC}">
              <c16:uniqueId val="{00000003-C6A6-4C85-95AF-F5A22D35277E}"/>
            </c:ext>
          </c:extLst>
        </c:ser>
        <c:ser>
          <c:idx val="4"/>
          <c:order val="4"/>
          <c:tx>
            <c:strRef>
              <c:f>'Fig63.73'!$H$70</c:f>
              <c:strCache>
                <c:ptCount val="1"/>
                <c:pt idx="0">
                  <c:v>Q5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'Fig63.73'!$I$65:$J$65</c:f>
              <c:numCache>
                <c:formatCode>General</c:formatCode>
                <c:ptCount val="2"/>
                <c:pt idx="0">
                  <c:v>2010</c:v>
                </c:pt>
                <c:pt idx="1">
                  <c:v>2015</c:v>
                </c:pt>
              </c:numCache>
            </c:numRef>
          </c:cat>
          <c:val>
            <c:numRef>
              <c:f>'Fig63.73'!$I$70:$J$70</c:f>
              <c:numCache>
                <c:formatCode>0.0%</c:formatCode>
                <c:ptCount val="2"/>
                <c:pt idx="0">
                  <c:v>0.49891840236360468</c:v>
                </c:pt>
                <c:pt idx="1">
                  <c:v>0.44828072462844232</c:v>
                </c:pt>
              </c:numCache>
            </c:numRef>
          </c:val>
          <c:extLst>
            <c:ext xmlns:c16="http://schemas.microsoft.com/office/drawing/2014/chart" uri="{C3380CC4-5D6E-409C-BE32-E72D297353CC}">
              <c16:uniqueId val="{00000004-C6A6-4C85-95AF-F5A22D35277E}"/>
            </c:ext>
          </c:extLst>
        </c:ser>
        <c:dLbls>
          <c:dLblPos val="ctr"/>
          <c:showLegendKey val="0"/>
          <c:showVal val="1"/>
          <c:showCatName val="0"/>
          <c:showSerName val="0"/>
          <c:showPercent val="0"/>
          <c:showBubbleSize val="0"/>
        </c:dLbls>
        <c:gapWidth val="79"/>
        <c:overlap val="100"/>
        <c:axId val="530064744"/>
        <c:axId val="530065136"/>
      </c:barChart>
      <c:catAx>
        <c:axId val="530064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530065136"/>
        <c:crosses val="autoZero"/>
        <c:auto val="1"/>
        <c:lblAlgn val="ctr"/>
        <c:lblOffset val="100"/>
        <c:noMultiLvlLbl val="0"/>
      </c:catAx>
      <c:valAx>
        <c:axId val="530065136"/>
        <c:scaling>
          <c:orientation val="minMax"/>
          <c:max val="1"/>
        </c:scaling>
        <c:delete val="1"/>
        <c:axPos val="l"/>
        <c:numFmt formatCode="0.0%" sourceLinked="1"/>
        <c:majorTickMark val="none"/>
        <c:minorTickMark val="none"/>
        <c:tickLblPos val="nextTo"/>
        <c:crossAx val="530064744"/>
        <c:crosses val="autoZero"/>
        <c:crossBetween val="between"/>
      </c:valAx>
      <c:spPr>
        <a:noFill/>
        <a:ln>
          <a:noFill/>
        </a:ln>
        <a:effectLst/>
      </c:spPr>
    </c:plotArea>
    <c:legend>
      <c:legendPos val="t"/>
      <c:layout>
        <c:manualLayout>
          <c:xMode val="edge"/>
          <c:yMode val="edge"/>
          <c:x val="4.8237902301047301E-3"/>
          <c:y val="2.3809523809523808E-2"/>
          <c:w val="0.79617766225823716"/>
          <c:h val="8.035770528683915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900"/>
              <a:t>Lower secondary</a:t>
            </a:r>
          </a:p>
        </c:rich>
      </c:tx>
      <c:layout>
        <c:manualLayout>
          <c:xMode val="edge"/>
          <c:yMode val="edge"/>
          <c:x val="8.5672006516426841E-2"/>
          <c:y val="4.1208791208791208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581954429609341"/>
          <c:y val="3.2824074074074089E-2"/>
          <c:w val="0.8580653505268363"/>
          <c:h val="0.75387321376494609"/>
        </c:manualLayout>
      </c:layout>
      <c:lineChart>
        <c:grouping val="standard"/>
        <c:varyColors val="0"/>
        <c:ser>
          <c:idx val="0"/>
          <c:order val="0"/>
          <c:tx>
            <c:strRef>
              <c:f>Sheet1!$V$36</c:f>
              <c:strCache>
                <c:ptCount val="1"/>
                <c:pt idx="0">
                  <c:v>High</c:v>
                </c:pt>
              </c:strCache>
            </c:strRef>
          </c:tx>
          <c:spPr>
            <a:ln w="28575" cap="rnd">
              <a:solidFill>
                <a:schemeClr val="accent1"/>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2E8-4A45-9CF6-4AD9835731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Sheet1!$W$35:$Z$35</c:f>
              <c:numCache>
                <c:formatCode>General</c:formatCode>
                <c:ptCount val="4"/>
                <c:pt idx="0">
                  <c:v>2015</c:v>
                </c:pt>
                <c:pt idx="1">
                  <c:v>2020</c:v>
                </c:pt>
                <c:pt idx="2">
                  <c:v>2025</c:v>
                </c:pt>
                <c:pt idx="3">
                  <c:v>2030</c:v>
                </c:pt>
              </c:numCache>
            </c:numRef>
          </c:cat>
          <c:val>
            <c:numRef>
              <c:f>Sheet1!$W$36:$Z$36</c:f>
              <c:numCache>
                <c:formatCode>0</c:formatCode>
                <c:ptCount val="4"/>
                <c:pt idx="0">
                  <c:v>90.837999999999994</c:v>
                </c:pt>
                <c:pt idx="1">
                  <c:v>113.39243404929012</c:v>
                </c:pt>
                <c:pt idx="2">
                  <c:v>189.43528931055343</c:v>
                </c:pt>
                <c:pt idx="3">
                  <c:v>230.42050580726547</c:v>
                </c:pt>
              </c:numCache>
            </c:numRef>
          </c:val>
          <c:smooth val="0"/>
          <c:extLst>
            <c:ext xmlns:c16="http://schemas.microsoft.com/office/drawing/2014/chart" uri="{C3380CC4-5D6E-409C-BE32-E72D297353CC}">
              <c16:uniqueId val="{00000001-42E8-4A45-9CF6-4AD983573105}"/>
            </c:ext>
          </c:extLst>
        </c:ser>
        <c:ser>
          <c:idx val="1"/>
          <c:order val="1"/>
          <c:tx>
            <c:strRef>
              <c:f>Sheet1!$V$37</c:f>
              <c:strCache>
                <c:ptCount val="1"/>
                <c:pt idx="0">
                  <c:v>Medium</c:v>
                </c:pt>
              </c:strCache>
            </c:strRef>
          </c:tx>
          <c:spPr>
            <a:ln w="28575" cap="rnd">
              <a:solidFill>
                <a:schemeClr val="accent2"/>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2E8-4A45-9CF6-4AD9835731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Sheet1!$W$35:$Z$35</c:f>
              <c:numCache>
                <c:formatCode>General</c:formatCode>
                <c:ptCount val="4"/>
                <c:pt idx="0">
                  <c:v>2015</c:v>
                </c:pt>
                <c:pt idx="1">
                  <c:v>2020</c:v>
                </c:pt>
                <c:pt idx="2">
                  <c:v>2025</c:v>
                </c:pt>
                <c:pt idx="3">
                  <c:v>2030</c:v>
                </c:pt>
              </c:numCache>
            </c:numRef>
          </c:cat>
          <c:val>
            <c:numRef>
              <c:f>Sheet1!$W$37:$Z$37</c:f>
              <c:numCache>
                <c:formatCode>0</c:formatCode>
                <c:ptCount val="4"/>
                <c:pt idx="0">
                  <c:v>90.837999999999994</c:v>
                </c:pt>
                <c:pt idx="1">
                  <c:v>101.11760305403715</c:v>
                </c:pt>
                <c:pt idx="2">
                  <c:v>148.31758264218061</c:v>
                </c:pt>
                <c:pt idx="3">
                  <c:v>174.81196372752939</c:v>
                </c:pt>
              </c:numCache>
            </c:numRef>
          </c:val>
          <c:smooth val="0"/>
          <c:extLst>
            <c:ext xmlns:c16="http://schemas.microsoft.com/office/drawing/2014/chart" uri="{C3380CC4-5D6E-409C-BE32-E72D297353CC}">
              <c16:uniqueId val="{00000003-42E8-4A45-9CF6-4AD983573105}"/>
            </c:ext>
          </c:extLst>
        </c:ser>
        <c:ser>
          <c:idx val="2"/>
          <c:order val="2"/>
          <c:tx>
            <c:strRef>
              <c:f>Sheet1!$V$38</c:f>
              <c:strCache>
                <c:ptCount val="1"/>
                <c:pt idx="0">
                  <c:v>Low</c:v>
                </c:pt>
              </c:strCache>
            </c:strRef>
          </c:tx>
          <c:spPr>
            <a:ln w="28575" cap="rnd">
              <a:solidFill>
                <a:schemeClr val="accent3"/>
              </a:solidFill>
              <a:round/>
            </a:ln>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2E8-4A45-9CF6-4AD983573105}"/>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2E8-4A45-9CF6-4AD9835731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Sheet1!$W$35:$Z$35</c:f>
              <c:numCache>
                <c:formatCode>General</c:formatCode>
                <c:ptCount val="4"/>
                <c:pt idx="0">
                  <c:v>2015</c:v>
                </c:pt>
                <c:pt idx="1">
                  <c:v>2020</c:v>
                </c:pt>
                <c:pt idx="2">
                  <c:v>2025</c:v>
                </c:pt>
                <c:pt idx="3">
                  <c:v>2030</c:v>
                </c:pt>
              </c:numCache>
            </c:numRef>
          </c:cat>
          <c:val>
            <c:numRef>
              <c:f>Sheet1!$W$38:$Z$38</c:f>
              <c:numCache>
                <c:formatCode>0</c:formatCode>
                <c:ptCount val="4"/>
                <c:pt idx="0">
                  <c:v>90.837999999999994</c:v>
                </c:pt>
                <c:pt idx="1">
                  <c:v>96.834277349636366</c:v>
                </c:pt>
                <c:pt idx="2">
                  <c:v>133.58564125281191</c:v>
                </c:pt>
                <c:pt idx="3">
                  <c:v>155.49353499770075</c:v>
                </c:pt>
              </c:numCache>
            </c:numRef>
          </c:val>
          <c:smooth val="0"/>
          <c:extLst>
            <c:ext xmlns:c16="http://schemas.microsoft.com/office/drawing/2014/chart" uri="{C3380CC4-5D6E-409C-BE32-E72D297353CC}">
              <c16:uniqueId val="{00000006-42E8-4A45-9CF6-4AD983573105}"/>
            </c:ext>
          </c:extLst>
        </c:ser>
        <c:dLbls>
          <c:showLegendKey val="0"/>
          <c:showVal val="0"/>
          <c:showCatName val="0"/>
          <c:showSerName val="0"/>
          <c:showPercent val="0"/>
          <c:showBubbleSize val="0"/>
        </c:dLbls>
        <c:smooth val="0"/>
        <c:axId val="213568816"/>
        <c:axId val="17022480"/>
      </c:lineChart>
      <c:catAx>
        <c:axId val="21356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22480"/>
        <c:crosses val="autoZero"/>
        <c:auto val="1"/>
        <c:lblAlgn val="ctr"/>
        <c:lblOffset val="100"/>
        <c:noMultiLvlLbl val="0"/>
      </c:catAx>
      <c:valAx>
        <c:axId val="17022480"/>
        <c:scaling>
          <c:orientation val="minMax"/>
          <c:min val="75"/>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3568816"/>
        <c:crosses val="autoZero"/>
        <c:crossBetween val="between"/>
        <c:majorUnit val="25"/>
      </c:valAx>
      <c:spPr>
        <a:noFill/>
        <a:ln>
          <a:noFill/>
        </a:ln>
        <a:effectLst/>
      </c:spPr>
    </c:plotArea>
    <c:legend>
      <c:legendPos val="b"/>
      <c:layout>
        <c:manualLayout>
          <c:xMode val="edge"/>
          <c:yMode val="edge"/>
          <c:x val="0.15593049144718979"/>
          <c:y val="0.14663299299126073"/>
          <c:w val="0.45365625848493069"/>
          <c:h val="0.2214988751406074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916996749840862E-2"/>
          <c:y val="4.3420878490654832E-2"/>
          <c:w val="0.91023473219859719"/>
          <c:h val="0.86281770374383937"/>
        </c:manualLayout>
      </c:layout>
      <c:barChart>
        <c:barDir val="col"/>
        <c:grouping val="clustered"/>
        <c:varyColors val="0"/>
        <c:ser>
          <c:idx val="0"/>
          <c:order val="0"/>
          <c:tx>
            <c:strRef>
              <c:f>'Fig 33 BIA'!$B$3</c:f>
              <c:strCache>
                <c:ptCount val="1"/>
                <c:pt idx="0">
                  <c:v>Q1</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 33 BIA'!$A$4:$A$9</c:f>
              <c:strCache>
                <c:ptCount val="5"/>
                <c:pt idx="0">
                  <c:v>Primary</c:v>
                </c:pt>
                <c:pt idx="1">
                  <c:v>Lower secondary</c:v>
                </c:pt>
                <c:pt idx="2">
                  <c:v>Upper secondary</c:v>
                </c:pt>
                <c:pt idx="3">
                  <c:v>Higher education</c:v>
                </c:pt>
                <c:pt idx="4">
                  <c:v>All</c:v>
                </c:pt>
              </c:strCache>
              <c:extLst/>
            </c:strRef>
          </c:cat>
          <c:val>
            <c:numRef>
              <c:f>'Fig 33 BIA'!$B$4:$B$9</c:f>
              <c:numCache>
                <c:formatCode>0%</c:formatCode>
                <c:ptCount val="5"/>
                <c:pt idx="0">
                  <c:v>0.20187981201879809</c:v>
                </c:pt>
                <c:pt idx="1">
                  <c:v>0.18019999999999997</c:v>
                </c:pt>
                <c:pt idx="2">
                  <c:v>9.6900000000000014E-2</c:v>
                </c:pt>
                <c:pt idx="3">
                  <c:v>7.0692930706929308E-2</c:v>
                </c:pt>
                <c:pt idx="4">
                  <c:v>0.16338506650018245</c:v>
                </c:pt>
              </c:numCache>
              <c:extLst/>
            </c:numRef>
          </c:val>
          <c:extLst>
            <c:ext xmlns:c16="http://schemas.microsoft.com/office/drawing/2014/chart" uri="{C3380CC4-5D6E-409C-BE32-E72D297353CC}">
              <c16:uniqueId val="{00000000-DF1D-45C2-BC59-9219D4018582}"/>
            </c:ext>
          </c:extLst>
        </c:ser>
        <c:ser>
          <c:idx val="1"/>
          <c:order val="1"/>
          <c:tx>
            <c:strRef>
              <c:f>'Fig 33 BIA'!$C$3</c:f>
              <c:strCache>
                <c:ptCount val="1"/>
                <c:pt idx="0">
                  <c:v>Q2</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 33 BIA'!$A$4:$A$9</c:f>
              <c:strCache>
                <c:ptCount val="5"/>
                <c:pt idx="0">
                  <c:v>Primary</c:v>
                </c:pt>
                <c:pt idx="1">
                  <c:v>Lower secondary</c:v>
                </c:pt>
                <c:pt idx="2">
                  <c:v>Upper secondary</c:v>
                </c:pt>
                <c:pt idx="3">
                  <c:v>Higher education</c:v>
                </c:pt>
                <c:pt idx="4">
                  <c:v>All</c:v>
                </c:pt>
              </c:strCache>
              <c:extLst/>
            </c:strRef>
          </c:cat>
          <c:val>
            <c:numRef>
              <c:f>'Fig 33 BIA'!$C$4:$C$9</c:f>
              <c:numCache>
                <c:formatCode>0%</c:formatCode>
                <c:ptCount val="5"/>
                <c:pt idx="0">
                  <c:v>0.21067893210678931</c:v>
                </c:pt>
                <c:pt idx="1">
                  <c:v>0.18159999999999998</c:v>
                </c:pt>
                <c:pt idx="2">
                  <c:v>0.14540000000000003</c:v>
                </c:pt>
                <c:pt idx="3">
                  <c:v>6.7593240675932406E-2</c:v>
                </c:pt>
                <c:pt idx="4">
                  <c:v>0.17369393361993654</c:v>
                </c:pt>
              </c:numCache>
              <c:extLst/>
            </c:numRef>
          </c:val>
          <c:extLst>
            <c:ext xmlns:c16="http://schemas.microsoft.com/office/drawing/2014/chart" uri="{C3380CC4-5D6E-409C-BE32-E72D297353CC}">
              <c16:uniqueId val="{00000001-DF1D-45C2-BC59-9219D4018582}"/>
            </c:ext>
          </c:extLst>
        </c:ser>
        <c:ser>
          <c:idx val="2"/>
          <c:order val="2"/>
          <c:tx>
            <c:strRef>
              <c:f>'Fig 33 BIA'!$D$3</c:f>
              <c:strCache>
                <c:ptCount val="1"/>
                <c:pt idx="0">
                  <c:v>Q3</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 33 BIA'!$A$4:$A$9</c:f>
              <c:strCache>
                <c:ptCount val="5"/>
                <c:pt idx="0">
                  <c:v>Primary</c:v>
                </c:pt>
                <c:pt idx="1">
                  <c:v>Lower secondary</c:v>
                </c:pt>
                <c:pt idx="2">
                  <c:v>Upper secondary</c:v>
                </c:pt>
                <c:pt idx="3">
                  <c:v>Higher education</c:v>
                </c:pt>
                <c:pt idx="4">
                  <c:v>All</c:v>
                </c:pt>
              </c:strCache>
              <c:extLst/>
            </c:strRef>
          </c:cat>
          <c:val>
            <c:numRef>
              <c:f>'Fig 33 BIA'!$D$4:$D$9</c:f>
              <c:numCache>
                <c:formatCode>0%</c:formatCode>
                <c:ptCount val="5"/>
                <c:pt idx="0">
                  <c:v>0.21327867213278667</c:v>
                </c:pt>
                <c:pt idx="1">
                  <c:v>0.21539999999999998</c:v>
                </c:pt>
                <c:pt idx="2">
                  <c:v>0.21810000000000002</c:v>
                </c:pt>
                <c:pt idx="3">
                  <c:v>7.3192680731926835E-2</c:v>
                </c:pt>
                <c:pt idx="4">
                  <c:v>0.19097666073715155</c:v>
                </c:pt>
              </c:numCache>
              <c:extLst/>
            </c:numRef>
          </c:val>
          <c:extLst>
            <c:ext xmlns:c16="http://schemas.microsoft.com/office/drawing/2014/chart" uri="{C3380CC4-5D6E-409C-BE32-E72D297353CC}">
              <c16:uniqueId val="{00000002-DF1D-45C2-BC59-9219D4018582}"/>
            </c:ext>
          </c:extLst>
        </c:ser>
        <c:ser>
          <c:idx val="3"/>
          <c:order val="3"/>
          <c:tx>
            <c:strRef>
              <c:f>'Fig 33 BIA'!$E$3</c:f>
              <c:strCache>
                <c:ptCount val="1"/>
                <c:pt idx="0">
                  <c:v>Q4</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 33 BIA'!$A$4:$A$9</c:f>
              <c:strCache>
                <c:ptCount val="5"/>
                <c:pt idx="0">
                  <c:v>Primary</c:v>
                </c:pt>
                <c:pt idx="1">
                  <c:v>Lower secondary</c:v>
                </c:pt>
                <c:pt idx="2">
                  <c:v>Upper secondary</c:v>
                </c:pt>
                <c:pt idx="3">
                  <c:v>Higher education</c:v>
                </c:pt>
                <c:pt idx="4">
                  <c:v>All</c:v>
                </c:pt>
              </c:strCache>
              <c:extLst/>
            </c:strRef>
          </c:cat>
          <c:val>
            <c:numRef>
              <c:f>'Fig 33 BIA'!$E$4:$E$9</c:f>
              <c:numCache>
                <c:formatCode>0%</c:formatCode>
                <c:ptCount val="5"/>
                <c:pt idx="0">
                  <c:v>0.21407859214078595</c:v>
                </c:pt>
                <c:pt idx="1">
                  <c:v>0.20039999999999997</c:v>
                </c:pt>
                <c:pt idx="2">
                  <c:v>0.23860000000000003</c:v>
                </c:pt>
                <c:pt idx="3">
                  <c:v>0.29507049295070498</c:v>
                </c:pt>
                <c:pt idx="4">
                  <c:v>0.22803562080159401</c:v>
                </c:pt>
              </c:numCache>
              <c:extLst/>
            </c:numRef>
          </c:val>
          <c:extLst>
            <c:ext xmlns:c16="http://schemas.microsoft.com/office/drawing/2014/chart" uri="{C3380CC4-5D6E-409C-BE32-E72D297353CC}">
              <c16:uniqueId val="{00000003-DF1D-45C2-BC59-9219D4018582}"/>
            </c:ext>
          </c:extLst>
        </c:ser>
        <c:ser>
          <c:idx val="4"/>
          <c:order val="4"/>
          <c:tx>
            <c:strRef>
              <c:f>'Fig 33 BIA'!$F$3</c:f>
              <c:strCache>
                <c:ptCount val="1"/>
                <c:pt idx="0">
                  <c:v>Q5</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 33 BIA'!$A$4:$A$9</c:f>
              <c:strCache>
                <c:ptCount val="5"/>
                <c:pt idx="0">
                  <c:v>Primary</c:v>
                </c:pt>
                <c:pt idx="1">
                  <c:v>Lower secondary</c:v>
                </c:pt>
                <c:pt idx="2">
                  <c:v>Upper secondary</c:v>
                </c:pt>
                <c:pt idx="3">
                  <c:v>Higher education</c:v>
                </c:pt>
                <c:pt idx="4">
                  <c:v>All</c:v>
                </c:pt>
              </c:strCache>
              <c:extLst/>
            </c:strRef>
          </c:cat>
          <c:val>
            <c:numRef>
              <c:f>'Fig 33 BIA'!$F$4:$F$9</c:f>
              <c:numCache>
                <c:formatCode>0%</c:formatCode>
                <c:ptCount val="5"/>
                <c:pt idx="0">
                  <c:v>0.16008399160083991</c:v>
                </c:pt>
                <c:pt idx="1">
                  <c:v>0.2223999999999999</c:v>
                </c:pt>
                <c:pt idx="2">
                  <c:v>0.30099999999999999</c:v>
                </c:pt>
                <c:pt idx="3">
                  <c:v>0.49345065493450657</c:v>
                </c:pt>
                <c:pt idx="4">
                  <c:v>0.24390871834113537</c:v>
                </c:pt>
              </c:numCache>
              <c:extLst/>
            </c:numRef>
          </c:val>
          <c:extLst>
            <c:ext xmlns:c16="http://schemas.microsoft.com/office/drawing/2014/chart" uri="{C3380CC4-5D6E-409C-BE32-E72D297353CC}">
              <c16:uniqueId val="{00000004-DF1D-45C2-BC59-9219D4018582}"/>
            </c:ext>
          </c:extLst>
        </c:ser>
        <c:dLbls>
          <c:dLblPos val="outEnd"/>
          <c:showLegendKey val="0"/>
          <c:showVal val="1"/>
          <c:showCatName val="0"/>
          <c:showSerName val="0"/>
          <c:showPercent val="0"/>
          <c:showBubbleSize val="0"/>
        </c:dLbls>
        <c:gapWidth val="444"/>
        <c:overlap val="-90"/>
        <c:axId val="233693648"/>
        <c:axId val="233693256"/>
      </c:barChart>
      <c:catAx>
        <c:axId val="23369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cap="none" spc="120" normalizeH="0" baseline="0">
                <a:solidFill>
                  <a:schemeClr val="tx1">
                    <a:lumMod val="65000"/>
                    <a:lumOff val="35000"/>
                  </a:schemeClr>
                </a:solidFill>
                <a:latin typeface="Sylfaen" panose="010A0502050306030303" pitchFamily="18" charset="0"/>
                <a:ea typeface="+mn-ea"/>
                <a:cs typeface="+mn-cs"/>
              </a:defRPr>
            </a:pPr>
            <a:endParaRPr lang="en-US"/>
          </a:p>
        </c:txPr>
        <c:crossAx val="233693256"/>
        <c:crosses val="autoZero"/>
        <c:auto val="1"/>
        <c:lblAlgn val="ctr"/>
        <c:lblOffset val="100"/>
        <c:noMultiLvlLbl val="0"/>
      </c:catAx>
      <c:valAx>
        <c:axId val="233693256"/>
        <c:scaling>
          <c:orientation val="minMax"/>
        </c:scaling>
        <c:delete val="1"/>
        <c:axPos val="l"/>
        <c:numFmt formatCode="0%" sourceLinked="1"/>
        <c:majorTickMark val="none"/>
        <c:minorTickMark val="none"/>
        <c:tickLblPos val="nextTo"/>
        <c:crossAx val="2336936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Public schools</a:t>
            </a:r>
          </a:p>
        </c:rich>
      </c:tx>
      <c:layout>
        <c:manualLayout>
          <c:xMode val="edge"/>
          <c:yMode val="edge"/>
          <c:x val="4.6682864157327648E-2"/>
          <c:y val="2.576489533011272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2305802200256886E-2"/>
          <c:y val="1.8898995024840576E-2"/>
          <c:w val="0.92368983336984678"/>
          <c:h val="0.82426359485409806"/>
        </c:manualLayout>
      </c:layout>
      <c:barChart>
        <c:barDir val="col"/>
        <c:grouping val="clustered"/>
        <c:varyColors val="0"/>
        <c:ser>
          <c:idx val="0"/>
          <c:order val="0"/>
          <c:tx>
            <c:strRef>
              <c:f>School_type!$K$4</c:f>
              <c:strCache>
                <c:ptCount val="1"/>
                <c:pt idx="0">
                  <c:v>Q1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School_type!$L$3:$R$3</c:f>
              <c:strCache>
                <c:ptCount val="7"/>
                <c:pt idx="0">
                  <c:v>Preschool</c:v>
                </c:pt>
                <c:pt idx="1">
                  <c:v>Primary</c:v>
                </c:pt>
                <c:pt idx="2">
                  <c:v>Lower secondary</c:v>
                </c:pt>
                <c:pt idx="3">
                  <c:v>Upper secondary</c:v>
                </c:pt>
                <c:pt idx="4">
                  <c:v>TVET</c:v>
                </c:pt>
                <c:pt idx="5">
                  <c:v>Higher</c:v>
                </c:pt>
                <c:pt idx="6">
                  <c:v>All Level</c:v>
                </c:pt>
              </c:strCache>
            </c:strRef>
          </c:cat>
          <c:val>
            <c:numRef>
              <c:f>School_type!$L$4:$R$4</c:f>
              <c:numCache>
                <c:formatCode>0</c:formatCode>
                <c:ptCount val="7"/>
                <c:pt idx="0">
                  <c:v>22.189999999999998</c:v>
                </c:pt>
                <c:pt idx="1">
                  <c:v>21.19</c:v>
                </c:pt>
                <c:pt idx="2">
                  <c:v>19.28</c:v>
                </c:pt>
                <c:pt idx="3">
                  <c:v>11.15</c:v>
                </c:pt>
                <c:pt idx="4">
                  <c:v>0</c:v>
                </c:pt>
                <c:pt idx="5">
                  <c:v>7.61</c:v>
                </c:pt>
                <c:pt idx="6">
                  <c:v>19.600000000000001</c:v>
                </c:pt>
              </c:numCache>
            </c:numRef>
          </c:val>
          <c:extLst>
            <c:ext xmlns:c16="http://schemas.microsoft.com/office/drawing/2014/chart" uri="{C3380CC4-5D6E-409C-BE32-E72D297353CC}">
              <c16:uniqueId val="{00000000-C57B-4FB9-9B0D-728C8DBD5B43}"/>
            </c:ext>
          </c:extLst>
        </c:ser>
        <c:ser>
          <c:idx val="1"/>
          <c:order val="1"/>
          <c:tx>
            <c:strRef>
              <c:f>School_type!$K$5</c:f>
              <c:strCache>
                <c:ptCount val="1"/>
                <c:pt idx="0">
                  <c:v>Q2</c:v>
                </c:pt>
              </c:strCache>
            </c:strRef>
          </c:tx>
          <c:spPr>
            <a:solidFill>
              <a:schemeClr val="accent2"/>
            </a:solidFill>
            <a:ln>
              <a:noFill/>
            </a:ln>
            <a:effectLst/>
          </c:spPr>
          <c:invertIfNegative val="0"/>
          <c:dLbls>
            <c:delete val="1"/>
          </c:dLbls>
          <c:cat>
            <c:strRef>
              <c:f>School_type!$L$3:$R$3</c:f>
              <c:strCache>
                <c:ptCount val="7"/>
                <c:pt idx="0">
                  <c:v>Preschool</c:v>
                </c:pt>
                <c:pt idx="1">
                  <c:v>Primary</c:v>
                </c:pt>
                <c:pt idx="2">
                  <c:v>Lower secondary</c:v>
                </c:pt>
                <c:pt idx="3">
                  <c:v>Upper secondary</c:v>
                </c:pt>
                <c:pt idx="4">
                  <c:v>TVET</c:v>
                </c:pt>
                <c:pt idx="5">
                  <c:v>Higher</c:v>
                </c:pt>
                <c:pt idx="6">
                  <c:v>All Level</c:v>
                </c:pt>
              </c:strCache>
            </c:strRef>
          </c:cat>
          <c:val>
            <c:numRef>
              <c:f>School_type!$L$5:$R$5</c:f>
              <c:numCache>
                <c:formatCode>0</c:formatCode>
                <c:ptCount val="7"/>
                <c:pt idx="0">
                  <c:v>21.15</c:v>
                </c:pt>
                <c:pt idx="1">
                  <c:v>22.720000000000002</c:v>
                </c:pt>
                <c:pt idx="2">
                  <c:v>19.34</c:v>
                </c:pt>
                <c:pt idx="3">
                  <c:v>16.07</c:v>
                </c:pt>
                <c:pt idx="4">
                  <c:v>10.040000000000001</c:v>
                </c:pt>
                <c:pt idx="5">
                  <c:v>6.6000000000000005</c:v>
                </c:pt>
                <c:pt idx="6">
                  <c:v>20.89</c:v>
                </c:pt>
              </c:numCache>
            </c:numRef>
          </c:val>
          <c:extLst>
            <c:ext xmlns:c16="http://schemas.microsoft.com/office/drawing/2014/chart" uri="{C3380CC4-5D6E-409C-BE32-E72D297353CC}">
              <c16:uniqueId val="{00000001-C57B-4FB9-9B0D-728C8DBD5B43}"/>
            </c:ext>
          </c:extLst>
        </c:ser>
        <c:ser>
          <c:idx val="2"/>
          <c:order val="2"/>
          <c:tx>
            <c:strRef>
              <c:f>School_type!$K$6</c:f>
              <c:strCache>
                <c:ptCount val="1"/>
                <c:pt idx="0">
                  <c:v>Q3</c:v>
                </c:pt>
              </c:strCache>
            </c:strRef>
          </c:tx>
          <c:spPr>
            <a:solidFill>
              <a:schemeClr val="accent3"/>
            </a:solidFill>
            <a:ln>
              <a:noFill/>
            </a:ln>
            <a:effectLst/>
          </c:spPr>
          <c:invertIfNegative val="0"/>
          <c:dLbls>
            <c:delete val="1"/>
          </c:dLbls>
          <c:cat>
            <c:strRef>
              <c:f>School_type!$L$3:$R$3</c:f>
              <c:strCache>
                <c:ptCount val="7"/>
                <c:pt idx="0">
                  <c:v>Preschool</c:v>
                </c:pt>
                <c:pt idx="1">
                  <c:v>Primary</c:v>
                </c:pt>
                <c:pt idx="2">
                  <c:v>Lower secondary</c:v>
                </c:pt>
                <c:pt idx="3">
                  <c:v>Upper secondary</c:v>
                </c:pt>
                <c:pt idx="4">
                  <c:v>TVET</c:v>
                </c:pt>
                <c:pt idx="5">
                  <c:v>Higher</c:v>
                </c:pt>
                <c:pt idx="6">
                  <c:v>All Level</c:v>
                </c:pt>
              </c:strCache>
            </c:strRef>
          </c:cat>
          <c:val>
            <c:numRef>
              <c:f>School_type!$L$6:$R$6</c:f>
              <c:numCache>
                <c:formatCode>0</c:formatCode>
                <c:ptCount val="7"/>
                <c:pt idx="0">
                  <c:v>19.02</c:v>
                </c:pt>
                <c:pt idx="1">
                  <c:v>22.39</c:v>
                </c:pt>
                <c:pt idx="2">
                  <c:v>21.029999999999998</c:v>
                </c:pt>
                <c:pt idx="3">
                  <c:v>24.34</c:v>
                </c:pt>
                <c:pt idx="4">
                  <c:v>7.55</c:v>
                </c:pt>
                <c:pt idx="5">
                  <c:v>8.4</c:v>
                </c:pt>
                <c:pt idx="6">
                  <c:v>21.67</c:v>
                </c:pt>
              </c:numCache>
            </c:numRef>
          </c:val>
          <c:extLst>
            <c:ext xmlns:c16="http://schemas.microsoft.com/office/drawing/2014/chart" uri="{C3380CC4-5D6E-409C-BE32-E72D297353CC}">
              <c16:uniqueId val="{00000002-C57B-4FB9-9B0D-728C8DBD5B43}"/>
            </c:ext>
          </c:extLst>
        </c:ser>
        <c:ser>
          <c:idx val="3"/>
          <c:order val="3"/>
          <c:tx>
            <c:strRef>
              <c:f>School_type!$K$7</c:f>
              <c:strCache>
                <c:ptCount val="1"/>
                <c:pt idx="0">
                  <c:v>Q4</c:v>
                </c:pt>
              </c:strCache>
            </c:strRef>
          </c:tx>
          <c:spPr>
            <a:solidFill>
              <a:schemeClr val="accent4"/>
            </a:solidFill>
            <a:ln>
              <a:noFill/>
            </a:ln>
            <a:effectLst/>
          </c:spPr>
          <c:invertIfNegative val="0"/>
          <c:dLbls>
            <c:delete val="1"/>
          </c:dLbls>
          <c:cat>
            <c:strRef>
              <c:f>School_type!$L$3:$R$3</c:f>
              <c:strCache>
                <c:ptCount val="7"/>
                <c:pt idx="0">
                  <c:v>Preschool</c:v>
                </c:pt>
                <c:pt idx="1">
                  <c:v>Primary</c:v>
                </c:pt>
                <c:pt idx="2">
                  <c:v>Lower secondary</c:v>
                </c:pt>
                <c:pt idx="3">
                  <c:v>Upper secondary</c:v>
                </c:pt>
                <c:pt idx="4">
                  <c:v>TVET</c:v>
                </c:pt>
                <c:pt idx="5">
                  <c:v>Higher</c:v>
                </c:pt>
                <c:pt idx="6">
                  <c:v>All Level</c:v>
                </c:pt>
              </c:strCache>
            </c:strRef>
          </c:cat>
          <c:val>
            <c:numRef>
              <c:f>School_type!$L$7:$R$7</c:f>
              <c:numCache>
                <c:formatCode>0</c:formatCode>
                <c:ptCount val="7"/>
                <c:pt idx="0">
                  <c:v>17.78</c:v>
                </c:pt>
                <c:pt idx="1">
                  <c:v>21.36</c:v>
                </c:pt>
                <c:pt idx="2">
                  <c:v>21.36</c:v>
                </c:pt>
                <c:pt idx="3">
                  <c:v>22.830000000000002</c:v>
                </c:pt>
                <c:pt idx="4">
                  <c:v>16.77</c:v>
                </c:pt>
                <c:pt idx="5">
                  <c:v>23.150000000000002</c:v>
                </c:pt>
                <c:pt idx="6">
                  <c:v>21.18</c:v>
                </c:pt>
              </c:numCache>
            </c:numRef>
          </c:val>
          <c:extLst>
            <c:ext xmlns:c16="http://schemas.microsoft.com/office/drawing/2014/chart" uri="{C3380CC4-5D6E-409C-BE32-E72D297353CC}">
              <c16:uniqueId val="{00000003-C57B-4FB9-9B0D-728C8DBD5B43}"/>
            </c:ext>
          </c:extLst>
        </c:ser>
        <c:ser>
          <c:idx val="4"/>
          <c:order val="4"/>
          <c:tx>
            <c:strRef>
              <c:f>School_type!$K$8</c:f>
              <c:strCache>
                <c:ptCount val="1"/>
                <c:pt idx="0">
                  <c:v>Q5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School_type!$L$3:$R$3</c:f>
              <c:strCache>
                <c:ptCount val="7"/>
                <c:pt idx="0">
                  <c:v>Preschool</c:v>
                </c:pt>
                <c:pt idx="1">
                  <c:v>Primary</c:v>
                </c:pt>
                <c:pt idx="2">
                  <c:v>Lower secondary</c:v>
                </c:pt>
                <c:pt idx="3">
                  <c:v>Upper secondary</c:v>
                </c:pt>
                <c:pt idx="4">
                  <c:v>TVET</c:v>
                </c:pt>
                <c:pt idx="5">
                  <c:v>Higher</c:v>
                </c:pt>
                <c:pt idx="6">
                  <c:v>All Level</c:v>
                </c:pt>
              </c:strCache>
            </c:strRef>
          </c:cat>
          <c:val>
            <c:numRef>
              <c:f>School_type!$L$8:$R$8</c:f>
              <c:numCache>
                <c:formatCode>0</c:formatCode>
                <c:ptCount val="7"/>
                <c:pt idx="0">
                  <c:v>19.86</c:v>
                </c:pt>
                <c:pt idx="1">
                  <c:v>12.34</c:v>
                </c:pt>
                <c:pt idx="2">
                  <c:v>19</c:v>
                </c:pt>
                <c:pt idx="3">
                  <c:v>25.619999999999997</c:v>
                </c:pt>
                <c:pt idx="4">
                  <c:v>65.63</c:v>
                </c:pt>
                <c:pt idx="5">
                  <c:v>54.24</c:v>
                </c:pt>
                <c:pt idx="6">
                  <c:v>16.669999999999998</c:v>
                </c:pt>
              </c:numCache>
            </c:numRef>
          </c:val>
          <c:extLst>
            <c:ext xmlns:c16="http://schemas.microsoft.com/office/drawing/2014/chart" uri="{C3380CC4-5D6E-409C-BE32-E72D297353CC}">
              <c16:uniqueId val="{00000004-C57B-4FB9-9B0D-728C8DBD5B43}"/>
            </c:ext>
          </c:extLst>
        </c:ser>
        <c:dLbls>
          <c:dLblPos val="outEnd"/>
          <c:showLegendKey val="0"/>
          <c:showVal val="1"/>
          <c:showCatName val="0"/>
          <c:showSerName val="0"/>
          <c:showPercent val="0"/>
          <c:showBubbleSize val="0"/>
        </c:dLbls>
        <c:gapWidth val="219"/>
        <c:overlap val="-27"/>
        <c:axId val="233152128"/>
        <c:axId val="233521520"/>
      </c:barChart>
      <c:catAx>
        <c:axId val="23315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3521520"/>
        <c:crosses val="autoZero"/>
        <c:auto val="1"/>
        <c:lblAlgn val="ctr"/>
        <c:lblOffset val="100"/>
        <c:noMultiLvlLbl val="0"/>
      </c:catAx>
      <c:valAx>
        <c:axId val="23352152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3152128"/>
        <c:crosses val="autoZero"/>
        <c:crossBetween val="between"/>
      </c:valAx>
      <c:spPr>
        <a:noFill/>
        <a:ln>
          <a:noFill/>
        </a:ln>
        <a:effectLst/>
      </c:spPr>
    </c:plotArea>
    <c:legend>
      <c:legendPos val="b"/>
      <c:layout>
        <c:manualLayout>
          <c:xMode val="edge"/>
          <c:yMode val="edge"/>
          <c:x val="0.36751801016795355"/>
          <c:y val="4.106204115789875E-2"/>
          <c:w val="0.26496381005686082"/>
          <c:h val="0.108696412948381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Private schools</a:t>
            </a:r>
          </a:p>
        </c:rich>
      </c:tx>
      <c:layout>
        <c:manualLayout>
          <c:xMode val="edge"/>
          <c:yMode val="edge"/>
          <c:x val="2.8408803268523478E-2"/>
          <c:y val="2.15053763440860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2305802200256886E-2"/>
          <c:y val="1.8898995024840576E-2"/>
          <c:w val="0.92368983336984678"/>
          <c:h val="0.82426359485409806"/>
        </c:manualLayout>
      </c:layout>
      <c:barChart>
        <c:barDir val="col"/>
        <c:grouping val="clustered"/>
        <c:varyColors val="0"/>
        <c:ser>
          <c:idx val="0"/>
          <c:order val="0"/>
          <c:tx>
            <c:strRef>
              <c:f>School_type!$K$14</c:f>
              <c:strCache>
                <c:ptCount val="1"/>
                <c:pt idx="0">
                  <c:v>Q1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School_type!$L$3:$R$3</c:f>
              <c:strCache>
                <c:ptCount val="7"/>
                <c:pt idx="0">
                  <c:v>Preschool</c:v>
                </c:pt>
                <c:pt idx="1">
                  <c:v>Primary</c:v>
                </c:pt>
                <c:pt idx="2">
                  <c:v>Lower secondary</c:v>
                </c:pt>
                <c:pt idx="3">
                  <c:v>Upper secondary</c:v>
                </c:pt>
                <c:pt idx="4">
                  <c:v>TVET</c:v>
                </c:pt>
                <c:pt idx="5">
                  <c:v>Higher</c:v>
                </c:pt>
                <c:pt idx="6">
                  <c:v>All Level</c:v>
                </c:pt>
              </c:strCache>
            </c:strRef>
          </c:cat>
          <c:val>
            <c:numRef>
              <c:f>School_type!$L$14:$R$14</c:f>
              <c:numCache>
                <c:formatCode>0</c:formatCode>
                <c:ptCount val="7"/>
                <c:pt idx="0">
                  <c:v>10.52</c:v>
                </c:pt>
                <c:pt idx="1">
                  <c:v>6.83</c:v>
                </c:pt>
                <c:pt idx="2">
                  <c:v>5.52</c:v>
                </c:pt>
                <c:pt idx="3">
                  <c:v>2.9899999999999998</c:v>
                </c:pt>
                <c:pt idx="4">
                  <c:v>5.1499999999999995</c:v>
                </c:pt>
                <c:pt idx="5">
                  <c:v>8.0399999999999991</c:v>
                </c:pt>
                <c:pt idx="6">
                  <c:v>7.1999999999999993</c:v>
                </c:pt>
              </c:numCache>
            </c:numRef>
          </c:val>
          <c:extLst>
            <c:ext xmlns:c16="http://schemas.microsoft.com/office/drawing/2014/chart" uri="{C3380CC4-5D6E-409C-BE32-E72D297353CC}">
              <c16:uniqueId val="{00000000-F075-4A92-B327-616599D27DBA}"/>
            </c:ext>
          </c:extLst>
        </c:ser>
        <c:ser>
          <c:idx val="1"/>
          <c:order val="1"/>
          <c:tx>
            <c:strRef>
              <c:f>School_type!$K$15</c:f>
              <c:strCache>
                <c:ptCount val="1"/>
                <c:pt idx="0">
                  <c:v>Q2</c:v>
                </c:pt>
              </c:strCache>
            </c:strRef>
          </c:tx>
          <c:spPr>
            <a:solidFill>
              <a:schemeClr val="accent2"/>
            </a:solidFill>
            <a:ln>
              <a:noFill/>
            </a:ln>
            <a:effectLst/>
          </c:spPr>
          <c:invertIfNegative val="0"/>
          <c:cat>
            <c:strRef>
              <c:f>School_type!$L$3:$R$3</c:f>
              <c:strCache>
                <c:ptCount val="7"/>
                <c:pt idx="0">
                  <c:v>Preschool</c:v>
                </c:pt>
                <c:pt idx="1">
                  <c:v>Primary</c:v>
                </c:pt>
                <c:pt idx="2">
                  <c:v>Lower secondary</c:v>
                </c:pt>
                <c:pt idx="3">
                  <c:v>Upper secondary</c:v>
                </c:pt>
                <c:pt idx="4">
                  <c:v>TVET</c:v>
                </c:pt>
                <c:pt idx="5">
                  <c:v>Higher</c:v>
                </c:pt>
                <c:pt idx="6">
                  <c:v>All Level</c:v>
                </c:pt>
              </c:strCache>
            </c:strRef>
          </c:cat>
          <c:val>
            <c:numRef>
              <c:f>School_type!$L$15:$R$15</c:f>
              <c:numCache>
                <c:formatCode>0</c:formatCode>
                <c:ptCount val="7"/>
                <c:pt idx="0">
                  <c:v>19.009999999999998</c:v>
                </c:pt>
                <c:pt idx="1">
                  <c:v>12.389999999999999</c:v>
                </c:pt>
                <c:pt idx="2">
                  <c:v>13.79</c:v>
                </c:pt>
                <c:pt idx="3">
                  <c:v>10.65</c:v>
                </c:pt>
                <c:pt idx="4">
                  <c:v>12.82</c:v>
                </c:pt>
                <c:pt idx="5">
                  <c:v>5.0200000000000005</c:v>
                </c:pt>
                <c:pt idx="6">
                  <c:v>14.09</c:v>
                </c:pt>
              </c:numCache>
            </c:numRef>
          </c:val>
          <c:extLst>
            <c:ext xmlns:c16="http://schemas.microsoft.com/office/drawing/2014/chart" uri="{C3380CC4-5D6E-409C-BE32-E72D297353CC}">
              <c16:uniqueId val="{00000001-F075-4A92-B327-616599D27DBA}"/>
            </c:ext>
          </c:extLst>
        </c:ser>
        <c:ser>
          <c:idx val="2"/>
          <c:order val="2"/>
          <c:tx>
            <c:strRef>
              <c:f>School_type!$K$16</c:f>
              <c:strCache>
                <c:ptCount val="1"/>
                <c:pt idx="0">
                  <c:v>Q3</c:v>
                </c:pt>
              </c:strCache>
            </c:strRef>
          </c:tx>
          <c:spPr>
            <a:solidFill>
              <a:schemeClr val="accent3"/>
            </a:solidFill>
            <a:ln>
              <a:noFill/>
            </a:ln>
            <a:effectLst/>
          </c:spPr>
          <c:invertIfNegative val="0"/>
          <c:cat>
            <c:strRef>
              <c:f>School_type!$L$3:$R$3</c:f>
              <c:strCache>
                <c:ptCount val="7"/>
                <c:pt idx="0">
                  <c:v>Preschool</c:v>
                </c:pt>
                <c:pt idx="1">
                  <c:v>Primary</c:v>
                </c:pt>
                <c:pt idx="2">
                  <c:v>Lower secondary</c:v>
                </c:pt>
                <c:pt idx="3">
                  <c:v>Upper secondary</c:v>
                </c:pt>
                <c:pt idx="4">
                  <c:v>TVET</c:v>
                </c:pt>
                <c:pt idx="5">
                  <c:v>Higher</c:v>
                </c:pt>
                <c:pt idx="6">
                  <c:v>All Level</c:v>
                </c:pt>
              </c:strCache>
            </c:strRef>
          </c:cat>
          <c:val>
            <c:numRef>
              <c:f>School_type!$L$16:$R$16</c:f>
              <c:numCache>
                <c:formatCode>0</c:formatCode>
                <c:ptCount val="7"/>
                <c:pt idx="0">
                  <c:v>13.08</c:v>
                </c:pt>
                <c:pt idx="1">
                  <c:v>16.04</c:v>
                </c:pt>
                <c:pt idx="2">
                  <c:v>17.39</c:v>
                </c:pt>
                <c:pt idx="3">
                  <c:v>12.75</c:v>
                </c:pt>
                <c:pt idx="4">
                  <c:v>0</c:v>
                </c:pt>
                <c:pt idx="5">
                  <c:v>8.25</c:v>
                </c:pt>
                <c:pt idx="6">
                  <c:v>14.52</c:v>
                </c:pt>
              </c:numCache>
            </c:numRef>
          </c:val>
          <c:extLst>
            <c:ext xmlns:c16="http://schemas.microsoft.com/office/drawing/2014/chart" uri="{C3380CC4-5D6E-409C-BE32-E72D297353CC}">
              <c16:uniqueId val="{00000002-F075-4A92-B327-616599D27DBA}"/>
            </c:ext>
          </c:extLst>
        </c:ser>
        <c:ser>
          <c:idx val="3"/>
          <c:order val="3"/>
          <c:tx>
            <c:strRef>
              <c:f>School_type!$K$17</c:f>
              <c:strCache>
                <c:ptCount val="1"/>
                <c:pt idx="0">
                  <c:v>Q4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School_type!$L$3:$R$3</c:f>
              <c:strCache>
                <c:ptCount val="7"/>
                <c:pt idx="0">
                  <c:v>Preschool</c:v>
                </c:pt>
                <c:pt idx="1">
                  <c:v>Primary</c:v>
                </c:pt>
                <c:pt idx="2">
                  <c:v>Lower secondary</c:v>
                </c:pt>
                <c:pt idx="3">
                  <c:v>Upper secondary</c:v>
                </c:pt>
                <c:pt idx="4">
                  <c:v>TVET</c:v>
                </c:pt>
                <c:pt idx="5">
                  <c:v>Higher</c:v>
                </c:pt>
                <c:pt idx="6">
                  <c:v>All Level</c:v>
                </c:pt>
              </c:strCache>
            </c:strRef>
          </c:cat>
          <c:val>
            <c:numRef>
              <c:f>School_type!$L$17:$R$17</c:f>
              <c:numCache>
                <c:formatCode>0</c:formatCode>
                <c:ptCount val="7"/>
                <c:pt idx="0">
                  <c:v>22.58</c:v>
                </c:pt>
                <c:pt idx="1">
                  <c:v>23.919999999999998</c:v>
                </c:pt>
                <c:pt idx="2">
                  <c:v>17.899999999999999</c:v>
                </c:pt>
                <c:pt idx="3">
                  <c:v>28.09</c:v>
                </c:pt>
                <c:pt idx="4">
                  <c:v>62.480000000000004</c:v>
                </c:pt>
                <c:pt idx="5">
                  <c:v>35.74</c:v>
                </c:pt>
                <c:pt idx="6">
                  <c:v>24.03</c:v>
                </c:pt>
              </c:numCache>
            </c:numRef>
          </c:val>
          <c:extLst>
            <c:ext xmlns:c16="http://schemas.microsoft.com/office/drawing/2014/chart" uri="{C3380CC4-5D6E-409C-BE32-E72D297353CC}">
              <c16:uniqueId val="{00000003-F075-4A92-B327-616599D27DBA}"/>
            </c:ext>
          </c:extLst>
        </c:ser>
        <c:ser>
          <c:idx val="4"/>
          <c:order val="4"/>
          <c:tx>
            <c:strRef>
              <c:f>School_type!$K$18</c:f>
              <c:strCache>
                <c:ptCount val="1"/>
                <c:pt idx="0">
                  <c:v>Q5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School_type!$L$3:$R$3</c:f>
              <c:strCache>
                <c:ptCount val="7"/>
                <c:pt idx="0">
                  <c:v>Preschool</c:v>
                </c:pt>
                <c:pt idx="1">
                  <c:v>Primary</c:v>
                </c:pt>
                <c:pt idx="2">
                  <c:v>Lower secondary</c:v>
                </c:pt>
                <c:pt idx="3">
                  <c:v>Upper secondary</c:v>
                </c:pt>
                <c:pt idx="4">
                  <c:v>TVET</c:v>
                </c:pt>
                <c:pt idx="5">
                  <c:v>Higher</c:v>
                </c:pt>
                <c:pt idx="6">
                  <c:v>All Level</c:v>
                </c:pt>
              </c:strCache>
            </c:strRef>
          </c:cat>
          <c:val>
            <c:numRef>
              <c:f>School_type!$L$18:$R$18</c:f>
              <c:numCache>
                <c:formatCode>0</c:formatCode>
                <c:ptCount val="7"/>
                <c:pt idx="0">
                  <c:v>34.81</c:v>
                </c:pt>
                <c:pt idx="1">
                  <c:v>40.82</c:v>
                </c:pt>
                <c:pt idx="2">
                  <c:v>45.39</c:v>
                </c:pt>
                <c:pt idx="3">
                  <c:v>45.519999999999996</c:v>
                </c:pt>
                <c:pt idx="4">
                  <c:v>19.55</c:v>
                </c:pt>
                <c:pt idx="5">
                  <c:v>42.95</c:v>
                </c:pt>
                <c:pt idx="6">
                  <c:v>40.160000000000004</c:v>
                </c:pt>
              </c:numCache>
            </c:numRef>
          </c:val>
          <c:extLst>
            <c:ext xmlns:c16="http://schemas.microsoft.com/office/drawing/2014/chart" uri="{C3380CC4-5D6E-409C-BE32-E72D297353CC}">
              <c16:uniqueId val="{00000004-F075-4A92-B327-616599D27DBA}"/>
            </c:ext>
          </c:extLst>
        </c:ser>
        <c:dLbls>
          <c:showLegendKey val="0"/>
          <c:showVal val="0"/>
          <c:showCatName val="0"/>
          <c:showSerName val="0"/>
          <c:showPercent val="0"/>
          <c:showBubbleSize val="0"/>
        </c:dLbls>
        <c:gapWidth val="219"/>
        <c:overlap val="-27"/>
        <c:axId val="233522304"/>
        <c:axId val="233522696"/>
      </c:barChart>
      <c:catAx>
        <c:axId val="233522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3522696"/>
        <c:crosses val="autoZero"/>
        <c:auto val="1"/>
        <c:lblAlgn val="ctr"/>
        <c:lblOffset val="100"/>
        <c:noMultiLvlLbl val="0"/>
      </c:catAx>
      <c:valAx>
        <c:axId val="23352269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3522304"/>
        <c:crosses val="autoZero"/>
        <c:crossBetween val="between"/>
      </c:valAx>
      <c:spPr>
        <a:noFill/>
        <a:ln>
          <a:noFill/>
        </a:ln>
        <a:effectLst/>
      </c:spPr>
    </c:plotArea>
    <c:legend>
      <c:legendPos val="b"/>
      <c:layout>
        <c:manualLayout>
          <c:xMode val="edge"/>
          <c:yMode val="edge"/>
          <c:x val="0.39966618250388602"/>
          <c:y val="4.7490192758163338E-2"/>
          <c:w val="0.26539255408607904"/>
          <c:h val="0.1209685886038438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Madarasa schools</a:t>
            </a:r>
          </a:p>
        </c:rich>
      </c:tx>
      <c:layout>
        <c:manualLayout>
          <c:xMode val="edge"/>
          <c:yMode val="edge"/>
          <c:x val="2.8408803268523478E-2"/>
          <c:y val="2.15053763440860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2305802200256886E-2"/>
          <c:y val="1.8898995024840576E-2"/>
          <c:w val="0.92368983336984678"/>
          <c:h val="0.82426359485409806"/>
        </c:manualLayout>
      </c:layout>
      <c:barChart>
        <c:barDir val="col"/>
        <c:grouping val="clustered"/>
        <c:varyColors val="0"/>
        <c:ser>
          <c:idx val="0"/>
          <c:order val="0"/>
          <c:tx>
            <c:strRef>
              <c:f>School_type!$K$24</c:f>
              <c:strCache>
                <c:ptCount val="1"/>
                <c:pt idx="0">
                  <c:v>Q1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School_type!$L$23:$P$23</c:f>
              <c:strCache>
                <c:ptCount val="5"/>
                <c:pt idx="0">
                  <c:v>Preschool</c:v>
                </c:pt>
                <c:pt idx="1">
                  <c:v>Primary</c:v>
                </c:pt>
                <c:pt idx="2">
                  <c:v>Lower secondary</c:v>
                </c:pt>
                <c:pt idx="3">
                  <c:v>Upper secondary</c:v>
                </c:pt>
                <c:pt idx="4">
                  <c:v>All Level</c:v>
                </c:pt>
              </c:strCache>
            </c:strRef>
          </c:cat>
          <c:val>
            <c:numRef>
              <c:f>School_type!$L$24:$P$24</c:f>
              <c:numCache>
                <c:formatCode>0</c:formatCode>
                <c:ptCount val="5"/>
                <c:pt idx="0">
                  <c:v>19.950000000000003</c:v>
                </c:pt>
                <c:pt idx="1">
                  <c:v>28.799999999999997</c:v>
                </c:pt>
                <c:pt idx="2">
                  <c:v>30.320000000000004</c:v>
                </c:pt>
                <c:pt idx="3">
                  <c:v>29.470000000000002</c:v>
                </c:pt>
                <c:pt idx="4">
                  <c:v>28.499999999999996</c:v>
                </c:pt>
              </c:numCache>
            </c:numRef>
          </c:val>
          <c:extLst>
            <c:ext xmlns:c16="http://schemas.microsoft.com/office/drawing/2014/chart" uri="{C3380CC4-5D6E-409C-BE32-E72D297353CC}">
              <c16:uniqueId val="{00000000-7E96-420B-A98B-45C49DCDAFE5}"/>
            </c:ext>
          </c:extLst>
        </c:ser>
        <c:ser>
          <c:idx val="1"/>
          <c:order val="1"/>
          <c:tx>
            <c:strRef>
              <c:f>School_type!$K$25</c:f>
              <c:strCache>
                <c:ptCount val="1"/>
                <c:pt idx="0">
                  <c:v>Q2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School_type!$L$23:$P$23</c:f>
              <c:strCache>
                <c:ptCount val="5"/>
                <c:pt idx="0">
                  <c:v>Preschool</c:v>
                </c:pt>
                <c:pt idx="1">
                  <c:v>Primary</c:v>
                </c:pt>
                <c:pt idx="2">
                  <c:v>Lower secondary</c:v>
                </c:pt>
                <c:pt idx="3">
                  <c:v>Upper secondary</c:v>
                </c:pt>
                <c:pt idx="4">
                  <c:v>All Level</c:v>
                </c:pt>
              </c:strCache>
            </c:strRef>
          </c:cat>
          <c:val>
            <c:numRef>
              <c:f>School_type!$L$25:$P$25</c:f>
              <c:numCache>
                <c:formatCode>0</c:formatCode>
                <c:ptCount val="5"/>
                <c:pt idx="0">
                  <c:v>17.34</c:v>
                </c:pt>
                <c:pt idx="1">
                  <c:v>21.099999999999998</c:v>
                </c:pt>
                <c:pt idx="2">
                  <c:v>14.979999999999999</c:v>
                </c:pt>
                <c:pt idx="3">
                  <c:v>13.52</c:v>
                </c:pt>
                <c:pt idx="4">
                  <c:v>19.73</c:v>
                </c:pt>
              </c:numCache>
            </c:numRef>
          </c:val>
          <c:extLst>
            <c:ext xmlns:c16="http://schemas.microsoft.com/office/drawing/2014/chart" uri="{C3380CC4-5D6E-409C-BE32-E72D297353CC}">
              <c16:uniqueId val="{00000001-7E96-420B-A98B-45C49DCDAFE5}"/>
            </c:ext>
          </c:extLst>
        </c:ser>
        <c:ser>
          <c:idx val="2"/>
          <c:order val="2"/>
          <c:tx>
            <c:strRef>
              <c:f>School_type!$K$26</c:f>
              <c:strCache>
                <c:ptCount val="1"/>
                <c:pt idx="0">
                  <c:v>Q3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School_type!$L$23:$P$23</c:f>
              <c:strCache>
                <c:ptCount val="5"/>
                <c:pt idx="0">
                  <c:v>Preschool</c:v>
                </c:pt>
                <c:pt idx="1">
                  <c:v>Primary</c:v>
                </c:pt>
                <c:pt idx="2">
                  <c:v>Lower secondary</c:v>
                </c:pt>
                <c:pt idx="3">
                  <c:v>Upper secondary</c:v>
                </c:pt>
                <c:pt idx="4">
                  <c:v>All Level</c:v>
                </c:pt>
              </c:strCache>
            </c:strRef>
          </c:cat>
          <c:val>
            <c:numRef>
              <c:f>School_type!$L$26:$P$26</c:f>
              <c:numCache>
                <c:formatCode>0</c:formatCode>
                <c:ptCount val="5"/>
                <c:pt idx="0">
                  <c:v>20.94</c:v>
                </c:pt>
                <c:pt idx="1">
                  <c:v>21.08</c:v>
                </c:pt>
                <c:pt idx="2">
                  <c:v>35.410000000000004</c:v>
                </c:pt>
                <c:pt idx="3">
                  <c:v>38.72</c:v>
                </c:pt>
                <c:pt idx="4">
                  <c:v>23.73</c:v>
                </c:pt>
              </c:numCache>
            </c:numRef>
          </c:val>
          <c:extLst>
            <c:ext xmlns:c16="http://schemas.microsoft.com/office/drawing/2014/chart" uri="{C3380CC4-5D6E-409C-BE32-E72D297353CC}">
              <c16:uniqueId val="{00000002-7E96-420B-A98B-45C49DCDAFE5}"/>
            </c:ext>
          </c:extLst>
        </c:ser>
        <c:ser>
          <c:idx val="3"/>
          <c:order val="3"/>
          <c:tx>
            <c:strRef>
              <c:f>School_type!$K$27</c:f>
              <c:strCache>
                <c:ptCount val="1"/>
                <c:pt idx="0">
                  <c:v>Q4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School_type!$L$23:$P$23</c:f>
              <c:strCache>
                <c:ptCount val="5"/>
                <c:pt idx="0">
                  <c:v>Preschool</c:v>
                </c:pt>
                <c:pt idx="1">
                  <c:v>Primary</c:v>
                </c:pt>
                <c:pt idx="2">
                  <c:v>Lower secondary</c:v>
                </c:pt>
                <c:pt idx="3">
                  <c:v>Upper secondary</c:v>
                </c:pt>
                <c:pt idx="4">
                  <c:v>All Level</c:v>
                </c:pt>
              </c:strCache>
            </c:strRef>
          </c:cat>
          <c:val>
            <c:numRef>
              <c:f>School_type!$L$27:$P$27</c:f>
              <c:numCache>
                <c:formatCode>0</c:formatCode>
                <c:ptCount val="5"/>
                <c:pt idx="0">
                  <c:v>16.059999999999999</c:v>
                </c:pt>
                <c:pt idx="1">
                  <c:v>17.78</c:v>
                </c:pt>
                <c:pt idx="2">
                  <c:v>11.51</c:v>
                </c:pt>
                <c:pt idx="3">
                  <c:v>8.16</c:v>
                </c:pt>
                <c:pt idx="4">
                  <c:v>16.439999999999998</c:v>
                </c:pt>
              </c:numCache>
            </c:numRef>
          </c:val>
          <c:extLst>
            <c:ext xmlns:c16="http://schemas.microsoft.com/office/drawing/2014/chart" uri="{C3380CC4-5D6E-409C-BE32-E72D297353CC}">
              <c16:uniqueId val="{00000003-7E96-420B-A98B-45C49DCDAFE5}"/>
            </c:ext>
          </c:extLst>
        </c:ser>
        <c:ser>
          <c:idx val="4"/>
          <c:order val="4"/>
          <c:tx>
            <c:strRef>
              <c:f>School_type!$K$28</c:f>
              <c:strCache>
                <c:ptCount val="1"/>
                <c:pt idx="0">
                  <c:v>Q5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School_type!$L$23:$P$23</c:f>
              <c:strCache>
                <c:ptCount val="5"/>
                <c:pt idx="0">
                  <c:v>Preschool</c:v>
                </c:pt>
                <c:pt idx="1">
                  <c:v>Primary</c:v>
                </c:pt>
                <c:pt idx="2">
                  <c:v>Lower secondary</c:v>
                </c:pt>
                <c:pt idx="3">
                  <c:v>Upper secondary</c:v>
                </c:pt>
                <c:pt idx="4">
                  <c:v>All Level</c:v>
                </c:pt>
              </c:strCache>
            </c:strRef>
          </c:cat>
          <c:val>
            <c:numRef>
              <c:f>School_type!$L$28:$P$28</c:f>
              <c:numCache>
                <c:formatCode>0</c:formatCode>
                <c:ptCount val="5"/>
                <c:pt idx="0">
                  <c:v>25.71</c:v>
                </c:pt>
                <c:pt idx="1">
                  <c:v>11.24</c:v>
                </c:pt>
                <c:pt idx="2">
                  <c:v>7.7799999999999994</c:v>
                </c:pt>
                <c:pt idx="3">
                  <c:v>10.119999999999999</c:v>
                </c:pt>
                <c:pt idx="4">
                  <c:v>11.61</c:v>
                </c:pt>
              </c:numCache>
            </c:numRef>
          </c:val>
          <c:extLst>
            <c:ext xmlns:c16="http://schemas.microsoft.com/office/drawing/2014/chart" uri="{C3380CC4-5D6E-409C-BE32-E72D297353CC}">
              <c16:uniqueId val="{00000004-7E96-420B-A98B-45C49DCDAFE5}"/>
            </c:ext>
          </c:extLst>
        </c:ser>
        <c:dLbls>
          <c:dLblPos val="outEnd"/>
          <c:showLegendKey val="0"/>
          <c:showVal val="1"/>
          <c:showCatName val="0"/>
          <c:showSerName val="0"/>
          <c:showPercent val="0"/>
          <c:showBubbleSize val="0"/>
        </c:dLbls>
        <c:gapWidth val="219"/>
        <c:overlap val="-27"/>
        <c:axId val="233523480"/>
        <c:axId val="233523872"/>
      </c:barChart>
      <c:catAx>
        <c:axId val="233523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3523872"/>
        <c:crosses val="autoZero"/>
        <c:auto val="1"/>
        <c:lblAlgn val="ctr"/>
        <c:lblOffset val="100"/>
        <c:noMultiLvlLbl val="0"/>
      </c:catAx>
      <c:valAx>
        <c:axId val="2335238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3523480"/>
        <c:crosses val="autoZero"/>
        <c:crossBetween val="between"/>
      </c:valAx>
      <c:spPr>
        <a:noFill/>
        <a:ln>
          <a:noFill/>
        </a:ln>
        <a:effectLst/>
      </c:spPr>
    </c:plotArea>
    <c:legend>
      <c:legendPos val="b"/>
      <c:layout>
        <c:manualLayout>
          <c:xMode val="edge"/>
          <c:yMode val="edge"/>
          <c:x val="0.39966618250388602"/>
          <c:y val="4.7490192758163338E-2"/>
          <c:w val="0.26539255408607904"/>
          <c:h val="0.1209685886038438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67408951098028E-2"/>
          <c:y val="0.12554105233490109"/>
          <c:w val="0.91488116068824732"/>
          <c:h val="0.64922725568394857"/>
        </c:manualLayout>
      </c:layout>
      <c:barChart>
        <c:barDir val="col"/>
        <c:grouping val="clustered"/>
        <c:varyColors val="0"/>
        <c:ser>
          <c:idx val="0"/>
          <c:order val="0"/>
          <c:tx>
            <c:strRef>
              <c:f>Pojection!$AA$1</c:f>
              <c:strCache>
                <c:ptCount val="1"/>
                <c:pt idx="0">
                  <c:v>2015</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Pojection!$Y$2:$Z$8</c:f>
              <c:multiLvlStrCache>
                <c:ptCount val="7"/>
                <c:lvl>
                  <c:pt idx="0">
                    <c:v>ECD</c:v>
                  </c:pt>
                  <c:pt idx="1">
                    <c:v>Primary</c:v>
                  </c:pt>
                  <c:pt idx="2">
                    <c:v>Lower secondary</c:v>
                  </c:pt>
                  <c:pt idx="3">
                    <c:v>Senior secondary</c:v>
                  </c:pt>
                  <c:pt idx="4">
                    <c:v>Post-secondary</c:v>
                  </c:pt>
                  <c:pt idx="5">
                    <c:v>Primary </c:v>
                  </c:pt>
                  <c:pt idx="6">
                    <c:v>Lower secondary </c:v>
                  </c:pt>
                </c:lvl>
                <c:lvl>
                  <c:pt idx="0">
                    <c:v>Gross enrollment rate</c:v>
                  </c:pt>
                  <c:pt idx="5">
                    <c:v>Completion rate</c:v>
                  </c:pt>
                </c:lvl>
              </c:multiLvlStrCache>
            </c:multiLvlStrRef>
          </c:cat>
          <c:val>
            <c:numRef>
              <c:f>Pojection!$AA$2:$AA$8</c:f>
              <c:numCache>
                <c:formatCode>0%</c:formatCode>
                <c:ptCount val="7"/>
                <c:pt idx="0">
                  <c:v>0.36842860595806393</c:v>
                </c:pt>
                <c:pt idx="1">
                  <c:v>0.93437021433716494</c:v>
                </c:pt>
                <c:pt idx="2">
                  <c:v>0.64417717389762719</c:v>
                </c:pt>
                <c:pt idx="3">
                  <c:v>0.44036329322953527</c:v>
                </c:pt>
                <c:pt idx="4" formatCode="0.0%">
                  <c:v>6.8077598160936448E-2</c:v>
                </c:pt>
                <c:pt idx="5">
                  <c:v>0.74</c:v>
                </c:pt>
                <c:pt idx="6">
                  <c:v>0.59688897701985288</c:v>
                </c:pt>
              </c:numCache>
            </c:numRef>
          </c:val>
          <c:extLst>
            <c:ext xmlns:c16="http://schemas.microsoft.com/office/drawing/2014/chart" uri="{C3380CC4-5D6E-409C-BE32-E72D297353CC}">
              <c16:uniqueId val="{00000000-61F4-4D99-ADEB-C38E95F07079}"/>
            </c:ext>
          </c:extLst>
        </c:ser>
        <c:ser>
          <c:idx val="1"/>
          <c:order val="1"/>
          <c:tx>
            <c:strRef>
              <c:f>Pojection!$AB$1</c:f>
              <c:strCache>
                <c:ptCount val="1"/>
                <c:pt idx="0">
                  <c:v>2020</c:v>
                </c:pt>
              </c:strCache>
            </c:strRef>
          </c:tx>
          <c:spPr>
            <a:solidFill>
              <a:schemeClr val="accent2"/>
            </a:solidFill>
            <a:ln>
              <a:noFill/>
            </a:ln>
            <a:effectLst/>
          </c:spPr>
          <c:invertIfNegative val="0"/>
          <c:cat>
            <c:multiLvlStrRef>
              <c:f>Pojection!$Y$2:$Z$8</c:f>
              <c:multiLvlStrCache>
                <c:ptCount val="7"/>
                <c:lvl>
                  <c:pt idx="0">
                    <c:v>ECD</c:v>
                  </c:pt>
                  <c:pt idx="1">
                    <c:v>Primary</c:v>
                  </c:pt>
                  <c:pt idx="2">
                    <c:v>Lower secondary</c:v>
                  </c:pt>
                  <c:pt idx="3">
                    <c:v>Senior secondary</c:v>
                  </c:pt>
                  <c:pt idx="4">
                    <c:v>Post-secondary</c:v>
                  </c:pt>
                  <c:pt idx="5">
                    <c:v>Primary </c:v>
                  </c:pt>
                  <c:pt idx="6">
                    <c:v>Lower secondary </c:v>
                  </c:pt>
                </c:lvl>
                <c:lvl>
                  <c:pt idx="0">
                    <c:v>Gross enrollment rate</c:v>
                  </c:pt>
                  <c:pt idx="5">
                    <c:v>Completion rate</c:v>
                  </c:pt>
                </c:lvl>
              </c:multiLvlStrCache>
            </c:multiLvlStrRef>
          </c:cat>
          <c:val>
            <c:numRef>
              <c:f>Pojection!$AB$2:$AB$8</c:f>
              <c:numCache>
                <c:formatCode>0%</c:formatCode>
                <c:ptCount val="7"/>
                <c:pt idx="0">
                  <c:v>0.46624073711446479</c:v>
                </c:pt>
                <c:pt idx="1">
                  <c:v>1.110085556047431</c:v>
                </c:pt>
                <c:pt idx="2">
                  <c:v>0.6831733776519322</c:v>
                </c:pt>
                <c:pt idx="3">
                  <c:v>0.44525372027809806</c:v>
                </c:pt>
                <c:pt idx="4" formatCode="0.0%">
                  <c:v>7.3793380616647669E-2</c:v>
                </c:pt>
                <c:pt idx="5">
                  <c:v>0.7746565116600006</c:v>
                </c:pt>
                <c:pt idx="6">
                  <c:v>0.62942817646273697</c:v>
                </c:pt>
              </c:numCache>
            </c:numRef>
          </c:val>
          <c:extLst>
            <c:ext xmlns:c16="http://schemas.microsoft.com/office/drawing/2014/chart" uri="{C3380CC4-5D6E-409C-BE32-E72D297353CC}">
              <c16:uniqueId val="{00000001-61F4-4D99-ADEB-C38E95F07079}"/>
            </c:ext>
          </c:extLst>
        </c:ser>
        <c:ser>
          <c:idx val="2"/>
          <c:order val="2"/>
          <c:tx>
            <c:strRef>
              <c:f>Pojection!$AC$1</c:f>
              <c:strCache>
                <c:ptCount val="1"/>
                <c:pt idx="0">
                  <c:v>2025</c:v>
                </c:pt>
              </c:strCache>
            </c:strRef>
          </c:tx>
          <c:spPr>
            <a:solidFill>
              <a:schemeClr val="accent3"/>
            </a:solidFill>
            <a:ln>
              <a:noFill/>
            </a:ln>
            <a:effectLst/>
          </c:spPr>
          <c:invertIfNegative val="0"/>
          <c:cat>
            <c:multiLvlStrRef>
              <c:f>Pojection!$Y$2:$Z$8</c:f>
              <c:multiLvlStrCache>
                <c:ptCount val="7"/>
                <c:lvl>
                  <c:pt idx="0">
                    <c:v>ECD</c:v>
                  </c:pt>
                  <c:pt idx="1">
                    <c:v>Primary</c:v>
                  </c:pt>
                  <c:pt idx="2">
                    <c:v>Lower secondary</c:v>
                  </c:pt>
                  <c:pt idx="3">
                    <c:v>Senior secondary</c:v>
                  </c:pt>
                  <c:pt idx="4">
                    <c:v>Post-secondary</c:v>
                  </c:pt>
                  <c:pt idx="5">
                    <c:v>Primary </c:v>
                  </c:pt>
                  <c:pt idx="6">
                    <c:v>Lower secondary </c:v>
                  </c:pt>
                </c:lvl>
                <c:lvl>
                  <c:pt idx="0">
                    <c:v>Gross enrollment rate</c:v>
                  </c:pt>
                  <c:pt idx="5">
                    <c:v>Completion rate</c:v>
                  </c:pt>
                </c:lvl>
              </c:multiLvlStrCache>
            </c:multiLvlStrRef>
          </c:cat>
          <c:val>
            <c:numRef>
              <c:f>Pojection!$AC$2:$AC$8</c:f>
              <c:numCache>
                <c:formatCode>0%</c:formatCode>
                <c:ptCount val="7"/>
                <c:pt idx="0">
                  <c:v>0.61455955113888794</c:v>
                </c:pt>
                <c:pt idx="1">
                  <c:v>1.1603024600857108</c:v>
                </c:pt>
                <c:pt idx="2">
                  <c:v>0.96868612188931935</c:v>
                </c:pt>
                <c:pt idx="3">
                  <c:v>0.5922663348169106</c:v>
                </c:pt>
                <c:pt idx="4" formatCode="0.0%">
                  <c:v>8.0681958390855457E-2</c:v>
                </c:pt>
                <c:pt idx="5">
                  <c:v>1.0075826525954301</c:v>
                </c:pt>
                <c:pt idx="6">
                  <c:v>0.91856515992070153</c:v>
                </c:pt>
              </c:numCache>
            </c:numRef>
          </c:val>
          <c:extLst>
            <c:ext xmlns:c16="http://schemas.microsoft.com/office/drawing/2014/chart" uri="{C3380CC4-5D6E-409C-BE32-E72D297353CC}">
              <c16:uniqueId val="{00000002-61F4-4D99-ADEB-C38E95F07079}"/>
            </c:ext>
          </c:extLst>
        </c:ser>
        <c:ser>
          <c:idx val="3"/>
          <c:order val="3"/>
          <c:tx>
            <c:strRef>
              <c:f>Pojection!$AD$1</c:f>
              <c:strCache>
                <c:ptCount val="1"/>
                <c:pt idx="0">
                  <c:v>2030</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Pojection!$Y$2:$Z$8</c:f>
              <c:multiLvlStrCache>
                <c:ptCount val="7"/>
                <c:lvl>
                  <c:pt idx="0">
                    <c:v>ECD</c:v>
                  </c:pt>
                  <c:pt idx="1">
                    <c:v>Primary</c:v>
                  </c:pt>
                  <c:pt idx="2">
                    <c:v>Lower secondary</c:v>
                  </c:pt>
                  <c:pt idx="3">
                    <c:v>Senior secondary</c:v>
                  </c:pt>
                  <c:pt idx="4">
                    <c:v>Post-secondary</c:v>
                  </c:pt>
                  <c:pt idx="5">
                    <c:v>Primary </c:v>
                  </c:pt>
                  <c:pt idx="6">
                    <c:v>Lower secondary </c:v>
                  </c:pt>
                </c:lvl>
                <c:lvl>
                  <c:pt idx="0">
                    <c:v>Gross enrollment rate</c:v>
                  </c:pt>
                  <c:pt idx="5">
                    <c:v>Completion rate</c:v>
                  </c:pt>
                </c:lvl>
              </c:multiLvlStrCache>
            </c:multiLvlStrRef>
          </c:cat>
          <c:val>
            <c:numRef>
              <c:f>Pojection!$AD$2:$AD$8</c:f>
              <c:numCache>
                <c:formatCode>0%</c:formatCode>
                <c:ptCount val="7"/>
                <c:pt idx="0">
                  <c:v>0.80795344079919962</c:v>
                </c:pt>
                <c:pt idx="1">
                  <c:v>1.1504063377720617</c:v>
                </c:pt>
                <c:pt idx="2">
                  <c:v>1.035402332176693</c:v>
                </c:pt>
                <c:pt idx="3">
                  <c:v>0.77991050998737022</c:v>
                </c:pt>
                <c:pt idx="4" formatCode="0.0%">
                  <c:v>8.8943048330183197E-2</c:v>
                </c:pt>
                <c:pt idx="5">
                  <c:v>1.0319644505232348</c:v>
                </c:pt>
                <c:pt idx="6">
                  <c:v>1.0090834754733673</c:v>
                </c:pt>
              </c:numCache>
            </c:numRef>
          </c:val>
          <c:extLst>
            <c:ext xmlns:c16="http://schemas.microsoft.com/office/drawing/2014/chart" uri="{C3380CC4-5D6E-409C-BE32-E72D297353CC}">
              <c16:uniqueId val="{00000003-61F4-4D99-ADEB-C38E95F07079}"/>
            </c:ext>
          </c:extLst>
        </c:ser>
        <c:dLbls>
          <c:showLegendKey val="0"/>
          <c:showVal val="0"/>
          <c:showCatName val="0"/>
          <c:showSerName val="0"/>
          <c:showPercent val="0"/>
          <c:showBubbleSize val="0"/>
        </c:dLbls>
        <c:gapWidth val="219"/>
        <c:overlap val="-27"/>
        <c:axId val="339461520"/>
        <c:axId val="339464016"/>
      </c:barChart>
      <c:catAx>
        <c:axId val="339461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9464016"/>
        <c:crosses val="autoZero"/>
        <c:auto val="1"/>
        <c:lblAlgn val="ctr"/>
        <c:lblOffset val="100"/>
        <c:noMultiLvlLbl val="0"/>
      </c:catAx>
      <c:valAx>
        <c:axId val="3394640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9461520"/>
        <c:crosses val="autoZero"/>
        <c:crossBetween val="between"/>
      </c:valAx>
      <c:spPr>
        <a:noFill/>
        <a:ln>
          <a:noFill/>
        </a:ln>
        <a:effectLst/>
      </c:spPr>
    </c:plotArea>
    <c:legend>
      <c:legendPos val="b"/>
      <c:layout>
        <c:manualLayout>
          <c:xMode val="edge"/>
          <c:yMode val="edge"/>
          <c:x val="0.54351166520851557"/>
          <c:y val="6.114667484746221E-2"/>
          <c:w val="0.25001356080489939"/>
          <c:h val="7.305245935167195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a:t>Enrollment</a:t>
            </a:r>
          </a:p>
        </c:rich>
      </c:tx>
      <c:layout>
        <c:manualLayout>
          <c:xMode val="edge"/>
          <c:yMode val="edge"/>
          <c:x val="0.11063246671970206"/>
          <c:y val="1.7316017316017316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440175237515977E-2"/>
          <c:y val="0.1688311688311688"/>
          <c:w val="0.87371666779035184"/>
          <c:h val="0.66332617513719883"/>
        </c:manualLayout>
      </c:layout>
      <c:barChart>
        <c:barDir val="col"/>
        <c:grouping val="clustered"/>
        <c:varyColors val="0"/>
        <c:ser>
          <c:idx val="0"/>
          <c:order val="0"/>
          <c:tx>
            <c:strRef>
              <c:f>Pojection!$C$41</c:f>
              <c:strCache>
                <c:ptCount val="1"/>
                <c:pt idx="0">
                  <c:v>2015</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Pojection!$B$42:$B$46</c:f>
              <c:strCache>
                <c:ptCount val="5"/>
                <c:pt idx="0">
                  <c:v>ECD</c:v>
                </c:pt>
                <c:pt idx="1">
                  <c:v>Primary</c:v>
                </c:pt>
                <c:pt idx="2">
                  <c:v>Lower secondary</c:v>
                </c:pt>
                <c:pt idx="3">
                  <c:v>Senior secondary</c:v>
                </c:pt>
                <c:pt idx="4">
                  <c:v>Higher Education</c:v>
                </c:pt>
              </c:strCache>
            </c:strRef>
          </c:cat>
          <c:val>
            <c:numRef>
              <c:f>Pojection!$C$42:$C$46</c:f>
              <c:numCache>
                <c:formatCode>_(* #,##0_);_(* \(#,##0\);_(* "-"??_);_(@_)</c:formatCode>
                <c:ptCount val="5"/>
                <c:pt idx="0" formatCode="#,##0">
                  <c:v>97554</c:v>
                </c:pt>
                <c:pt idx="1">
                  <c:v>308729</c:v>
                </c:pt>
                <c:pt idx="2">
                  <c:v>90838</c:v>
                </c:pt>
                <c:pt idx="3">
                  <c:v>56001</c:v>
                </c:pt>
                <c:pt idx="4">
                  <c:v>14777.4</c:v>
                </c:pt>
              </c:numCache>
            </c:numRef>
          </c:val>
          <c:extLst>
            <c:ext xmlns:c16="http://schemas.microsoft.com/office/drawing/2014/chart" uri="{C3380CC4-5D6E-409C-BE32-E72D297353CC}">
              <c16:uniqueId val="{00000000-505F-4305-9847-0117E9E922CA}"/>
            </c:ext>
          </c:extLst>
        </c:ser>
        <c:ser>
          <c:idx val="1"/>
          <c:order val="1"/>
          <c:tx>
            <c:strRef>
              <c:f>Pojection!$D$41</c:f>
              <c:strCache>
                <c:ptCount val="1"/>
                <c:pt idx="0">
                  <c:v>2020</c:v>
                </c:pt>
              </c:strCache>
            </c:strRef>
          </c:tx>
          <c:spPr>
            <a:solidFill>
              <a:schemeClr val="accent2"/>
            </a:solidFill>
            <a:ln>
              <a:noFill/>
            </a:ln>
            <a:effectLst/>
          </c:spPr>
          <c:invertIfNegative val="0"/>
          <c:cat>
            <c:strRef>
              <c:f>Pojection!$B$42:$B$46</c:f>
              <c:strCache>
                <c:ptCount val="5"/>
                <c:pt idx="0">
                  <c:v>ECD</c:v>
                </c:pt>
                <c:pt idx="1">
                  <c:v>Primary</c:v>
                </c:pt>
                <c:pt idx="2">
                  <c:v>Lower secondary</c:v>
                </c:pt>
                <c:pt idx="3">
                  <c:v>Senior secondary</c:v>
                </c:pt>
                <c:pt idx="4">
                  <c:v>Higher Education</c:v>
                </c:pt>
              </c:strCache>
            </c:strRef>
          </c:cat>
          <c:val>
            <c:numRef>
              <c:f>Pojection!$D$42:$D$46</c:f>
              <c:numCache>
                <c:formatCode>_(* #,##0_);_(* \(#,##0\);_(* "-"??_);_(@_)</c:formatCode>
                <c:ptCount val="5"/>
                <c:pt idx="0" formatCode="#,##0">
                  <c:v>141997.34641410716</c:v>
                </c:pt>
                <c:pt idx="1">
                  <c:v>430270.27160954021</c:v>
                </c:pt>
                <c:pt idx="2">
                  <c:v>113392.43404929011</c:v>
                </c:pt>
                <c:pt idx="3">
                  <c:v>67147.377793979147</c:v>
                </c:pt>
                <c:pt idx="4">
                  <c:v>19115.584901697639</c:v>
                </c:pt>
              </c:numCache>
            </c:numRef>
          </c:val>
          <c:extLst>
            <c:ext xmlns:c16="http://schemas.microsoft.com/office/drawing/2014/chart" uri="{C3380CC4-5D6E-409C-BE32-E72D297353CC}">
              <c16:uniqueId val="{00000001-505F-4305-9847-0117E9E922CA}"/>
            </c:ext>
          </c:extLst>
        </c:ser>
        <c:ser>
          <c:idx val="2"/>
          <c:order val="2"/>
          <c:tx>
            <c:strRef>
              <c:f>Pojection!$E$41</c:f>
              <c:strCache>
                <c:ptCount val="1"/>
                <c:pt idx="0">
                  <c:v>2025</c:v>
                </c:pt>
              </c:strCache>
            </c:strRef>
          </c:tx>
          <c:spPr>
            <a:solidFill>
              <a:schemeClr val="accent3"/>
            </a:solidFill>
            <a:ln>
              <a:noFill/>
            </a:ln>
            <a:effectLst/>
          </c:spPr>
          <c:invertIfNegative val="0"/>
          <c:cat>
            <c:strRef>
              <c:f>Pojection!$B$42:$B$46</c:f>
              <c:strCache>
                <c:ptCount val="5"/>
                <c:pt idx="0">
                  <c:v>ECD</c:v>
                </c:pt>
                <c:pt idx="1">
                  <c:v>Primary</c:v>
                </c:pt>
                <c:pt idx="2">
                  <c:v>Lower secondary</c:v>
                </c:pt>
                <c:pt idx="3">
                  <c:v>Senior secondary</c:v>
                </c:pt>
                <c:pt idx="4">
                  <c:v>Higher Education</c:v>
                </c:pt>
              </c:strCache>
            </c:strRef>
          </c:cat>
          <c:val>
            <c:numRef>
              <c:f>Pojection!$E$42:$E$46</c:f>
              <c:numCache>
                <c:formatCode>_(* #,##0_);_(* \(#,##0\);_(* "-"??_);_(@_)</c:formatCode>
                <c:ptCount val="5"/>
                <c:pt idx="0" formatCode="#,##0">
                  <c:v>206688.05367947964</c:v>
                </c:pt>
                <c:pt idx="1">
                  <c:v>515093.07110584964</c:v>
                </c:pt>
                <c:pt idx="2">
                  <c:v>189435.28931055343</c:v>
                </c:pt>
                <c:pt idx="3">
                  <c:v>104667.08348784888</c:v>
                </c:pt>
                <c:pt idx="4">
                  <c:v>24727.325925671004</c:v>
                </c:pt>
              </c:numCache>
            </c:numRef>
          </c:val>
          <c:extLst>
            <c:ext xmlns:c16="http://schemas.microsoft.com/office/drawing/2014/chart" uri="{C3380CC4-5D6E-409C-BE32-E72D297353CC}">
              <c16:uniqueId val="{00000002-505F-4305-9847-0117E9E922CA}"/>
            </c:ext>
          </c:extLst>
        </c:ser>
        <c:ser>
          <c:idx val="3"/>
          <c:order val="3"/>
          <c:tx>
            <c:strRef>
              <c:f>Pojection!$F$41</c:f>
              <c:strCache>
                <c:ptCount val="1"/>
                <c:pt idx="0">
                  <c:v>2030</c:v>
                </c:pt>
              </c:strCache>
            </c:strRef>
          </c:tx>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Pojection!$B$42:$B$46</c:f>
              <c:strCache>
                <c:ptCount val="5"/>
                <c:pt idx="0">
                  <c:v>ECD</c:v>
                </c:pt>
                <c:pt idx="1">
                  <c:v>Primary</c:v>
                </c:pt>
                <c:pt idx="2">
                  <c:v>Lower secondary</c:v>
                </c:pt>
                <c:pt idx="3">
                  <c:v>Senior secondary</c:v>
                </c:pt>
                <c:pt idx="4">
                  <c:v>Higher Education</c:v>
                </c:pt>
              </c:strCache>
            </c:strRef>
          </c:cat>
          <c:val>
            <c:numRef>
              <c:f>Pojection!$F$42:$F$46</c:f>
              <c:numCache>
                <c:formatCode>_(* #,##0_);_(* \(#,##0\);_(* "-"??_);_(@_)</c:formatCode>
                <c:ptCount val="5"/>
                <c:pt idx="0" formatCode="#,##0">
                  <c:v>300850.35116943077</c:v>
                </c:pt>
                <c:pt idx="1">
                  <c:v>568714.87714099628</c:v>
                </c:pt>
                <c:pt idx="2">
                  <c:v>230420.50580726546</c:v>
                </c:pt>
                <c:pt idx="3">
                  <c:v>161894.60357368842</c:v>
                </c:pt>
                <c:pt idx="4">
                  <c:v>31986.499527935448</c:v>
                </c:pt>
              </c:numCache>
            </c:numRef>
          </c:val>
          <c:extLst>
            <c:ext xmlns:c16="http://schemas.microsoft.com/office/drawing/2014/chart" uri="{C3380CC4-5D6E-409C-BE32-E72D297353CC}">
              <c16:uniqueId val="{00000003-505F-4305-9847-0117E9E922CA}"/>
            </c:ext>
          </c:extLst>
        </c:ser>
        <c:dLbls>
          <c:showLegendKey val="0"/>
          <c:showVal val="0"/>
          <c:showCatName val="0"/>
          <c:showSerName val="0"/>
          <c:showPercent val="0"/>
          <c:showBubbleSize val="0"/>
        </c:dLbls>
        <c:gapWidth val="219"/>
        <c:overlap val="-27"/>
        <c:axId val="634047567"/>
        <c:axId val="634044655"/>
      </c:barChart>
      <c:catAx>
        <c:axId val="634047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34044655"/>
        <c:crosses val="autoZero"/>
        <c:auto val="1"/>
        <c:lblAlgn val="ctr"/>
        <c:lblOffset val="100"/>
        <c:noMultiLvlLbl val="0"/>
      </c:catAx>
      <c:valAx>
        <c:axId val="6340446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34047567"/>
        <c:crosses val="autoZero"/>
        <c:crossBetween val="between"/>
      </c:valAx>
      <c:spPr>
        <a:noFill/>
        <a:ln>
          <a:noFill/>
        </a:ln>
        <a:effectLst/>
      </c:spPr>
    </c:plotArea>
    <c:legend>
      <c:legendPos val="t"/>
      <c:layout>
        <c:manualLayout>
          <c:xMode val="edge"/>
          <c:yMode val="edge"/>
          <c:x val="0.81115996968300208"/>
          <c:y val="2.2034632034632039E-2"/>
          <c:w val="0.15467163317382854"/>
          <c:h val="0.2765156628148754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a:t>Public spending</a:t>
            </a:r>
          </a:p>
        </c:rich>
      </c:tx>
      <c:layout>
        <c:manualLayout>
          <c:xMode val="edge"/>
          <c:yMode val="edge"/>
          <c:x val="0.13086138462904107"/>
          <c:y val="8.658008658008658E-3"/>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440175237515977E-2"/>
          <c:y val="4.7619047619047616E-2"/>
          <c:w val="0.87371666779035184"/>
          <c:h val="0.78453829634931993"/>
        </c:manualLayout>
      </c:layout>
      <c:barChart>
        <c:barDir val="col"/>
        <c:grouping val="clustered"/>
        <c:varyColors val="0"/>
        <c:ser>
          <c:idx val="0"/>
          <c:order val="0"/>
          <c:tx>
            <c:strRef>
              <c:f>Pojection!$C$56</c:f>
              <c:strCache>
                <c:ptCount val="1"/>
                <c:pt idx="0">
                  <c:v>2015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Pojection!$B$57:$B$61</c:f>
              <c:strCache>
                <c:ptCount val="5"/>
                <c:pt idx="0">
                  <c:v>ECD</c:v>
                </c:pt>
                <c:pt idx="1">
                  <c:v>Primary</c:v>
                </c:pt>
                <c:pt idx="2">
                  <c:v>Lower Secondary</c:v>
                </c:pt>
                <c:pt idx="3">
                  <c:v>Senior secondary</c:v>
                </c:pt>
                <c:pt idx="4">
                  <c:v>Higher Education</c:v>
                </c:pt>
              </c:strCache>
            </c:strRef>
          </c:cat>
          <c:val>
            <c:numRef>
              <c:f>Pojection!$C$57:$C$61</c:f>
              <c:numCache>
                <c:formatCode>_(* #,##0_);_(* \(#,##0\);_(* "-"??_);_(@_)</c:formatCode>
                <c:ptCount val="5"/>
                <c:pt idx="0">
                  <c:v>1293.7238134047661</c:v>
                </c:pt>
                <c:pt idx="1">
                  <c:v>13573.895196700727</c:v>
                </c:pt>
                <c:pt idx="2">
                  <c:v>7174.5854005629089</c:v>
                </c:pt>
                <c:pt idx="3">
                  <c:v>4410.7647341868387</c:v>
                </c:pt>
                <c:pt idx="4">
                  <c:v>4492.6537419124616</c:v>
                </c:pt>
              </c:numCache>
            </c:numRef>
          </c:val>
          <c:extLst>
            <c:ext xmlns:c16="http://schemas.microsoft.com/office/drawing/2014/chart" uri="{C3380CC4-5D6E-409C-BE32-E72D297353CC}">
              <c16:uniqueId val="{00000000-920A-44CD-8185-DCBDA8D99FFD}"/>
            </c:ext>
          </c:extLst>
        </c:ser>
        <c:ser>
          <c:idx val="1"/>
          <c:order val="1"/>
          <c:tx>
            <c:strRef>
              <c:f>Pojection!$D$56</c:f>
              <c:strCache>
                <c:ptCount val="1"/>
                <c:pt idx="0">
                  <c:v>2020</c:v>
                </c:pt>
              </c:strCache>
            </c:strRef>
          </c:tx>
          <c:spPr>
            <a:solidFill>
              <a:schemeClr val="accent2"/>
            </a:solidFill>
            <a:ln>
              <a:noFill/>
            </a:ln>
            <a:effectLst/>
          </c:spPr>
          <c:invertIfNegative val="0"/>
          <c:cat>
            <c:strRef>
              <c:f>Pojection!$B$57:$B$61</c:f>
              <c:strCache>
                <c:ptCount val="5"/>
                <c:pt idx="0">
                  <c:v>ECD</c:v>
                </c:pt>
                <c:pt idx="1">
                  <c:v>Primary</c:v>
                </c:pt>
                <c:pt idx="2">
                  <c:v>Lower Secondary</c:v>
                </c:pt>
                <c:pt idx="3">
                  <c:v>Senior secondary</c:v>
                </c:pt>
                <c:pt idx="4">
                  <c:v>Higher Education</c:v>
                </c:pt>
              </c:strCache>
            </c:strRef>
          </c:cat>
          <c:val>
            <c:numRef>
              <c:f>Pojection!$D$57:$D$61</c:f>
              <c:numCache>
                <c:formatCode>_(* #,##0_);_(* \(#,##0\);_(* "-"??_);_(@_)</c:formatCode>
                <c:ptCount val="5"/>
                <c:pt idx="0">
                  <c:v>1883.1144647704484</c:v>
                </c:pt>
                <c:pt idx="1">
                  <c:v>18917.703141213995</c:v>
                </c:pt>
                <c:pt idx="2">
                  <c:v>8955.9843002304024</c:v>
                </c:pt>
                <c:pt idx="3">
                  <c:v>5288.6785230050118</c:v>
                </c:pt>
                <c:pt idx="4">
                  <c:v>5811.557110009694</c:v>
                </c:pt>
              </c:numCache>
            </c:numRef>
          </c:val>
          <c:extLst>
            <c:ext xmlns:c16="http://schemas.microsoft.com/office/drawing/2014/chart" uri="{C3380CC4-5D6E-409C-BE32-E72D297353CC}">
              <c16:uniqueId val="{00000001-920A-44CD-8185-DCBDA8D99FFD}"/>
            </c:ext>
          </c:extLst>
        </c:ser>
        <c:ser>
          <c:idx val="2"/>
          <c:order val="2"/>
          <c:tx>
            <c:strRef>
              <c:f>Pojection!$E$56</c:f>
              <c:strCache>
                <c:ptCount val="1"/>
                <c:pt idx="0">
                  <c:v>2025</c:v>
                </c:pt>
              </c:strCache>
            </c:strRef>
          </c:tx>
          <c:spPr>
            <a:solidFill>
              <a:schemeClr val="accent3"/>
            </a:solidFill>
            <a:ln>
              <a:noFill/>
            </a:ln>
            <a:effectLst/>
          </c:spPr>
          <c:invertIfNegative val="0"/>
          <c:cat>
            <c:strRef>
              <c:f>Pojection!$B$57:$B$61</c:f>
              <c:strCache>
                <c:ptCount val="5"/>
                <c:pt idx="0">
                  <c:v>ECD</c:v>
                </c:pt>
                <c:pt idx="1">
                  <c:v>Primary</c:v>
                </c:pt>
                <c:pt idx="2">
                  <c:v>Lower Secondary</c:v>
                </c:pt>
                <c:pt idx="3">
                  <c:v>Senior secondary</c:v>
                </c:pt>
                <c:pt idx="4">
                  <c:v>Higher Education</c:v>
                </c:pt>
              </c:strCache>
            </c:strRef>
          </c:cat>
          <c:val>
            <c:numRef>
              <c:f>Pojection!$E$57:$E$61</c:f>
              <c:numCache>
                <c:formatCode>_(* #,##0_);_(* \(#,##0\);_(* "-"??_);_(@_)</c:formatCode>
                <c:ptCount val="5"/>
                <c:pt idx="0">
                  <c:v>2741.0178669395968</c:v>
                </c:pt>
                <c:pt idx="1">
                  <c:v>22647.109159610915</c:v>
                </c:pt>
                <c:pt idx="2">
                  <c:v>14962.016568384457</c:v>
                </c:pt>
                <c:pt idx="3">
                  <c:v>8243.8149439901681</c:v>
                </c:pt>
                <c:pt idx="4">
                  <c:v>7517.6494747015622</c:v>
                </c:pt>
              </c:numCache>
            </c:numRef>
          </c:val>
          <c:extLst>
            <c:ext xmlns:c16="http://schemas.microsoft.com/office/drawing/2014/chart" uri="{C3380CC4-5D6E-409C-BE32-E72D297353CC}">
              <c16:uniqueId val="{00000002-920A-44CD-8185-DCBDA8D99FFD}"/>
            </c:ext>
          </c:extLst>
        </c:ser>
        <c:ser>
          <c:idx val="3"/>
          <c:order val="3"/>
          <c:tx>
            <c:strRef>
              <c:f>Pojection!$F$56</c:f>
              <c:strCache>
                <c:ptCount val="1"/>
                <c:pt idx="0">
                  <c:v>2030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Pojection!$B$57:$B$61</c:f>
              <c:strCache>
                <c:ptCount val="5"/>
                <c:pt idx="0">
                  <c:v>ECD</c:v>
                </c:pt>
                <c:pt idx="1">
                  <c:v>Primary</c:v>
                </c:pt>
                <c:pt idx="2">
                  <c:v>Lower Secondary</c:v>
                </c:pt>
                <c:pt idx="3">
                  <c:v>Senior secondary</c:v>
                </c:pt>
                <c:pt idx="4">
                  <c:v>Higher Education</c:v>
                </c:pt>
              </c:strCache>
            </c:strRef>
          </c:cat>
          <c:val>
            <c:numRef>
              <c:f>Pojection!$F$57:$F$61</c:f>
              <c:numCache>
                <c:formatCode>_(* #,##0_);_(* \(#,##0\);_(* "-"??_);_(@_)</c:formatCode>
                <c:ptCount val="5"/>
                <c:pt idx="0">
                  <c:v>3989.7622196842676</c:v>
                </c:pt>
                <c:pt idx="1">
                  <c:v>25004.700365422144</c:v>
                </c:pt>
                <c:pt idx="2">
                  <c:v>18199.119277781629</c:v>
                </c:pt>
                <c:pt idx="3">
                  <c:v>12751.183159193288</c:v>
                </c:pt>
                <c:pt idx="4">
                  <c:v>9724.5974795877755</c:v>
                </c:pt>
              </c:numCache>
            </c:numRef>
          </c:val>
          <c:extLst>
            <c:ext xmlns:c16="http://schemas.microsoft.com/office/drawing/2014/chart" uri="{C3380CC4-5D6E-409C-BE32-E72D297353CC}">
              <c16:uniqueId val="{00000003-920A-44CD-8185-DCBDA8D99FFD}"/>
            </c:ext>
          </c:extLst>
        </c:ser>
        <c:dLbls>
          <c:showLegendKey val="0"/>
          <c:showVal val="0"/>
          <c:showCatName val="0"/>
          <c:showSerName val="0"/>
          <c:showPercent val="0"/>
          <c:showBubbleSize val="0"/>
        </c:dLbls>
        <c:gapWidth val="219"/>
        <c:overlap val="-27"/>
        <c:axId val="634047567"/>
        <c:axId val="634044655"/>
      </c:barChart>
      <c:catAx>
        <c:axId val="634047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34044655"/>
        <c:crosses val="autoZero"/>
        <c:auto val="1"/>
        <c:lblAlgn val="ctr"/>
        <c:lblOffset val="100"/>
        <c:noMultiLvlLbl val="0"/>
      </c:catAx>
      <c:valAx>
        <c:axId val="634044655"/>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34047567"/>
        <c:crosses val="autoZero"/>
        <c:crossBetween val="between"/>
      </c:valAx>
      <c:spPr>
        <a:noFill/>
        <a:ln>
          <a:noFill/>
        </a:ln>
        <a:effectLst/>
      </c:spPr>
    </c:plotArea>
    <c:legend>
      <c:legendPos val="b"/>
      <c:layout>
        <c:manualLayout>
          <c:xMode val="edge"/>
          <c:yMode val="edge"/>
          <c:x val="0.53748972003499573"/>
          <c:y val="0.2042818606007582"/>
          <c:w val="0.30744619579952115"/>
          <c:h val="7.3052459351671956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a:t>Teachers</a:t>
            </a:r>
          </a:p>
        </c:rich>
      </c:tx>
      <c:layout>
        <c:manualLayout>
          <c:xMode val="edge"/>
          <c:yMode val="edge"/>
          <c:x val="0.12726151069721162"/>
          <c:y val="8.23045267489712E-3"/>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52353314404751"/>
          <c:y val="8.6834782907038555E-2"/>
          <c:w val="0.87371666779035184"/>
          <c:h val="0.78453829634931993"/>
        </c:manualLayout>
      </c:layout>
      <c:barChart>
        <c:barDir val="col"/>
        <c:grouping val="clustered"/>
        <c:varyColors val="0"/>
        <c:ser>
          <c:idx val="0"/>
          <c:order val="0"/>
          <c:tx>
            <c:strRef>
              <c:f>Pojection!$C$49</c:f>
              <c:strCache>
                <c:ptCount val="1"/>
                <c:pt idx="0">
                  <c:v>2015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Pojection!$B$50:$B$53</c:f>
              <c:strCache>
                <c:ptCount val="4"/>
                <c:pt idx="0">
                  <c:v>ECD</c:v>
                </c:pt>
                <c:pt idx="1">
                  <c:v>Primary</c:v>
                </c:pt>
                <c:pt idx="2">
                  <c:v>Lower Secondary</c:v>
                </c:pt>
                <c:pt idx="3">
                  <c:v>Senior secondary</c:v>
                </c:pt>
              </c:strCache>
            </c:strRef>
          </c:cat>
          <c:val>
            <c:numRef>
              <c:f>Pojection!$C$50:$C$53</c:f>
              <c:numCache>
                <c:formatCode>_(* #,##0_);_(* \(#,##0\);_(* "-"??_);_(@_)</c:formatCode>
                <c:ptCount val="4"/>
                <c:pt idx="0">
                  <c:v>3484.0714285714284</c:v>
                </c:pt>
                <c:pt idx="1">
                  <c:v>9355.424242424242</c:v>
                </c:pt>
                <c:pt idx="2">
                  <c:v>3244.2142857142858</c:v>
                </c:pt>
                <c:pt idx="3">
                  <c:v>2074.1111111111113</c:v>
                </c:pt>
              </c:numCache>
            </c:numRef>
          </c:val>
          <c:extLst>
            <c:ext xmlns:c16="http://schemas.microsoft.com/office/drawing/2014/chart" uri="{C3380CC4-5D6E-409C-BE32-E72D297353CC}">
              <c16:uniqueId val="{00000000-1BCF-44D0-B8F9-BF7F7FC80579}"/>
            </c:ext>
          </c:extLst>
        </c:ser>
        <c:ser>
          <c:idx val="1"/>
          <c:order val="1"/>
          <c:tx>
            <c:strRef>
              <c:f>Pojection!$D$49</c:f>
              <c:strCache>
                <c:ptCount val="1"/>
                <c:pt idx="0">
                  <c:v>2020</c:v>
                </c:pt>
              </c:strCache>
            </c:strRef>
          </c:tx>
          <c:spPr>
            <a:solidFill>
              <a:schemeClr val="accent2"/>
            </a:solidFill>
            <a:ln>
              <a:noFill/>
            </a:ln>
            <a:effectLst/>
          </c:spPr>
          <c:invertIfNegative val="0"/>
          <c:cat>
            <c:strRef>
              <c:f>Pojection!$B$50:$B$53</c:f>
              <c:strCache>
                <c:ptCount val="4"/>
                <c:pt idx="0">
                  <c:v>ECD</c:v>
                </c:pt>
                <c:pt idx="1">
                  <c:v>Primary</c:v>
                </c:pt>
                <c:pt idx="2">
                  <c:v>Lower Secondary</c:v>
                </c:pt>
                <c:pt idx="3">
                  <c:v>Senior secondary</c:v>
                </c:pt>
              </c:strCache>
            </c:strRef>
          </c:cat>
          <c:val>
            <c:numRef>
              <c:f>Pojection!$D$50:$D$53</c:f>
              <c:numCache>
                <c:formatCode>_(* #,##0_);_(* \(#,##0\);_(* "-"??_);_(@_)</c:formatCode>
                <c:ptCount val="4"/>
                <c:pt idx="0">
                  <c:v>5071.3338005038268</c:v>
                </c:pt>
                <c:pt idx="1">
                  <c:v>13038.493079076976</c:v>
                </c:pt>
                <c:pt idx="2">
                  <c:v>4049.7297874746469</c:v>
                </c:pt>
                <c:pt idx="3">
                  <c:v>2486.939918295524</c:v>
                </c:pt>
              </c:numCache>
            </c:numRef>
          </c:val>
          <c:extLst>
            <c:ext xmlns:c16="http://schemas.microsoft.com/office/drawing/2014/chart" uri="{C3380CC4-5D6E-409C-BE32-E72D297353CC}">
              <c16:uniqueId val="{00000001-1BCF-44D0-B8F9-BF7F7FC80579}"/>
            </c:ext>
          </c:extLst>
        </c:ser>
        <c:ser>
          <c:idx val="2"/>
          <c:order val="2"/>
          <c:tx>
            <c:strRef>
              <c:f>Pojection!$E$49</c:f>
              <c:strCache>
                <c:ptCount val="1"/>
                <c:pt idx="0">
                  <c:v>2025</c:v>
                </c:pt>
              </c:strCache>
            </c:strRef>
          </c:tx>
          <c:spPr>
            <a:solidFill>
              <a:schemeClr val="accent3"/>
            </a:solidFill>
            <a:ln>
              <a:noFill/>
            </a:ln>
            <a:effectLst/>
          </c:spPr>
          <c:invertIfNegative val="0"/>
          <c:cat>
            <c:strRef>
              <c:f>Pojection!$B$50:$B$53</c:f>
              <c:strCache>
                <c:ptCount val="4"/>
                <c:pt idx="0">
                  <c:v>ECD</c:v>
                </c:pt>
                <c:pt idx="1">
                  <c:v>Primary</c:v>
                </c:pt>
                <c:pt idx="2">
                  <c:v>Lower Secondary</c:v>
                </c:pt>
                <c:pt idx="3">
                  <c:v>Senior secondary</c:v>
                </c:pt>
              </c:strCache>
            </c:strRef>
          </c:cat>
          <c:val>
            <c:numRef>
              <c:f>Pojection!$E$50:$E$53</c:f>
              <c:numCache>
                <c:formatCode>_(* #,##0_);_(* \(#,##0\);_(* "-"??_);_(@_)</c:formatCode>
                <c:ptCount val="4"/>
                <c:pt idx="0">
                  <c:v>7381.7162028385583</c:v>
                </c:pt>
                <c:pt idx="1">
                  <c:v>15608.880942601505</c:v>
                </c:pt>
                <c:pt idx="2">
                  <c:v>6765.5460468054798</c:v>
                </c:pt>
                <c:pt idx="3">
                  <c:v>3876.5586476981066</c:v>
                </c:pt>
              </c:numCache>
            </c:numRef>
          </c:val>
          <c:extLst>
            <c:ext xmlns:c16="http://schemas.microsoft.com/office/drawing/2014/chart" uri="{C3380CC4-5D6E-409C-BE32-E72D297353CC}">
              <c16:uniqueId val="{00000002-1BCF-44D0-B8F9-BF7F7FC80579}"/>
            </c:ext>
          </c:extLst>
        </c:ser>
        <c:ser>
          <c:idx val="3"/>
          <c:order val="3"/>
          <c:tx>
            <c:strRef>
              <c:f>Pojection!$F$49</c:f>
              <c:strCache>
                <c:ptCount val="1"/>
                <c:pt idx="0">
                  <c:v>2030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Pojection!$B$50:$B$53</c:f>
              <c:strCache>
                <c:ptCount val="4"/>
                <c:pt idx="0">
                  <c:v>ECD</c:v>
                </c:pt>
                <c:pt idx="1">
                  <c:v>Primary</c:v>
                </c:pt>
                <c:pt idx="2">
                  <c:v>Lower Secondary</c:v>
                </c:pt>
                <c:pt idx="3">
                  <c:v>Senior secondary</c:v>
                </c:pt>
              </c:strCache>
            </c:strRef>
          </c:cat>
          <c:val>
            <c:numRef>
              <c:f>Pojection!$F$50:$F$53</c:f>
              <c:numCache>
                <c:formatCode>_(* #,##0_);_(* \(#,##0\);_(* "-"??_);_(@_)</c:formatCode>
                <c:ptCount val="4"/>
                <c:pt idx="0">
                  <c:v>10744.655398908242</c:v>
                </c:pt>
                <c:pt idx="1">
                  <c:v>17233.784155787765</c:v>
                </c:pt>
                <c:pt idx="2">
                  <c:v>8229.3037788309102</c:v>
                </c:pt>
                <c:pt idx="3">
                  <c:v>5996.0964286551271</c:v>
                </c:pt>
              </c:numCache>
            </c:numRef>
          </c:val>
          <c:extLst>
            <c:ext xmlns:c16="http://schemas.microsoft.com/office/drawing/2014/chart" uri="{C3380CC4-5D6E-409C-BE32-E72D297353CC}">
              <c16:uniqueId val="{00000003-1BCF-44D0-B8F9-BF7F7FC80579}"/>
            </c:ext>
          </c:extLst>
        </c:ser>
        <c:dLbls>
          <c:showLegendKey val="0"/>
          <c:showVal val="0"/>
          <c:showCatName val="0"/>
          <c:showSerName val="0"/>
          <c:showPercent val="0"/>
          <c:showBubbleSize val="0"/>
        </c:dLbls>
        <c:gapWidth val="219"/>
        <c:overlap val="-27"/>
        <c:axId val="634047567"/>
        <c:axId val="634044655"/>
      </c:barChart>
      <c:catAx>
        <c:axId val="634047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34044655"/>
        <c:crosses val="autoZero"/>
        <c:auto val="1"/>
        <c:lblAlgn val="ctr"/>
        <c:lblOffset val="100"/>
        <c:noMultiLvlLbl val="0"/>
      </c:catAx>
      <c:valAx>
        <c:axId val="634044655"/>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34047567"/>
        <c:crosses val="autoZero"/>
        <c:crossBetween val="between"/>
      </c:valAx>
      <c:spPr>
        <a:noFill/>
        <a:ln>
          <a:noFill/>
        </a:ln>
        <a:effectLst/>
      </c:spPr>
    </c:plotArea>
    <c:legend>
      <c:legendPos val="b"/>
      <c:layout>
        <c:manualLayout>
          <c:xMode val="edge"/>
          <c:yMode val="edge"/>
          <c:x val="0.85140963402125969"/>
          <c:y val="2.1275281766249807E-2"/>
          <c:w val="0.13133245111410966"/>
          <c:h val="0.2647734719434580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a:t>Household spending</a:t>
            </a:r>
          </a:p>
        </c:rich>
      </c:tx>
      <c:layout>
        <c:manualLayout>
          <c:xMode val="edge"/>
          <c:yMode val="edge"/>
          <c:x val="0.10497217799576751"/>
          <c:y val="1.0313399210367825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440175237515977E-2"/>
          <c:y val="4.7619047619047616E-2"/>
          <c:w val="0.87371666779035184"/>
          <c:h val="0.78453829634931993"/>
        </c:manualLayout>
      </c:layout>
      <c:barChart>
        <c:barDir val="col"/>
        <c:grouping val="clustered"/>
        <c:varyColors val="0"/>
        <c:ser>
          <c:idx val="0"/>
          <c:order val="0"/>
          <c:tx>
            <c:strRef>
              <c:f>Pojection!$C$64</c:f>
              <c:strCache>
                <c:ptCount val="1"/>
                <c:pt idx="0">
                  <c:v>2015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Pojection!$B$65:$B$69</c:f>
              <c:strCache>
                <c:ptCount val="5"/>
                <c:pt idx="0">
                  <c:v>ECD</c:v>
                </c:pt>
                <c:pt idx="1">
                  <c:v>Primary</c:v>
                </c:pt>
                <c:pt idx="2">
                  <c:v>Lower Secondary</c:v>
                </c:pt>
                <c:pt idx="3">
                  <c:v>Senior secondary</c:v>
                </c:pt>
                <c:pt idx="4">
                  <c:v>Higher Education</c:v>
                </c:pt>
              </c:strCache>
            </c:strRef>
          </c:cat>
          <c:val>
            <c:numRef>
              <c:f>Pojection!$C$65:$C$69</c:f>
              <c:numCache>
                <c:formatCode>_(* #,##0_);_(* \(#,##0\);_(* "-"??_);_(@_)</c:formatCode>
                <c:ptCount val="5"/>
                <c:pt idx="0">
                  <c:v>4454.5466496168592</c:v>
                </c:pt>
                <c:pt idx="1">
                  <c:v>19084.188024248448</c:v>
                </c:pt>
                <c:pt idx="2">
                  <c:v>9388.3013980964988</c:v>
                </c:pt>
                <c:pt idx="3">
                  <c:v>10910.1994407518</c:v>
                </c:pt>
                <c:pt idx="4">
                  <c:v>5819.8149123888879</c:v>
                </c:pt>
              </c:numCache>
            </c:numRef>
          </c:val>
          <c:extLst>
            <c:ext xmlns:c16="http://schemas.microsoft.com/office/drawing/2014/chart" uri="{C3380CC4-5D6E-409C-BE32-E72D297353CC}">
              <c16:uniqueId val="{00000000-216D-4704-B7B2-0EE3788AA679}"/>
            </c:ext>
          </c:extLst>
        </c:ser>
        <c:ser>
          <c:idx val="1"/>
          <c:order val="1"/>
          <c:tx>
            <c:strRef>
              <c:f>Pojection!$D$64</c:f>
              <c:strCache>
                <c:ptCount val="1"/>
                <c:pt idx="0">
                  <c:v>2020</c:v>
                </c:pt>
              </c:strCache>
            </c:strRef>
          </c:tx>
          <c:spPr>
            <a:solidFill>
              <a:schemeClr val="accent2"/>
            </a:solidFill>
            <a:ln>
              <a:noFill/>
            </a:ln>
            <a:effectLst/>
          </c:spPr>
          <c:invertIfNegative val="0"/>
          <c:cat>
            <c:strRef>
              <c:f>Pojection!$B$65:$B$69</c:f>
              <c:strCache>
                <c:ptCount val="5"/>
                <c:pt idx="0">
                  <c:v>ECD</c:v>
                </c:pt>
                <c:pt idx="1">
                  <c:v>Primary</c:v>
                </c:pt>
                <c:pt idx="2">
                  <c:v>Lower Secondary</c:v>
                </c:pt>
                <c:pt idx="3">
                  <c:v>Senior secondary</c:v>
                </c:pt>
                <c:pt idx="4">
                  <c:v>Higher Education</c:v>
                </c:pt>
              </c:strCache>
            </c:strRef>
          </c:cat>
          <c:val>
            <c:numRef>
              <c:f>Pojection!$D$65:$D$69</c:f>
              <c:numCache>
                <c:formatCode>_(* #,##0_);_(* \(#,##0\);_(* "-"??_);_(@_)</c:formatCode>
                <c:ptCount val="5"/>
                <c:pt idx="0">
                  <c:v>6483.9350895242187</c:v>
                </c:pt>
                <c:pt idx="1">
                  <c:v>26597.303021876516</c:v>
                </c:pt>
                <c:pt idx="2">
                  <c:v>11719.350350277586</c:v>
                </c:pt>
                <c:pt idx="3">
                  <c:v>13081.753605396709</c:v>
                </c:pt>
                <c:pt idx="4">
                  <c:v>7528.3315109515752</c:v>
                </c:pt>
              </c:numCache>
            </c:numRef>
          </c:val>
          <c:extLst>
            <c:ext xmlns:c16="http://schemas.microsoft.com/office/drawing/2014/chart" uri="{C3380CC4-5D6E-409C-BE32-E72D297353CC}">
              <c16:uniqueId val="{00000001-216D-4704-B7B2-0EE3788AA679}"/>
            </c:ext>
          </c:extLst>
        </c:ser>
        <c:ser>
          <c:idx val="2"/>
          <c:order val="2"/>
          <c:tx>
            <c:strRef>
              <c:f>Pojection!$E$64</c:f>
              <c:strCache>
                <c:ptCount val="1"/>
                <c:pt idx="0">
                  <c:v>2025</c:v>
                </c:pt>
              </c:strCache>
            </c:strRef>
          </c:tx>
          <c:spPr>
            <a:solidFill>
              <a:schemeClr val="accent3"/>
            </a:solidFill>
            <a:ln>
              <a:noFill/>
            </a:ln>
            <a:effectLst/>
          </c:spPr>
          <c:invertIfNegative val="0"/>
          <c:cat>
            <c:strRef>
              <c:f>Pojection!$B$65:$B$69</c:f>
              <c:strCache>
                <c:ptCount val="5"/>
                <c:pt idx="0">
                  <c:v>ECD</c:v>
                </c:pt>
                <c:pt idx="1">
                  <c:v>Primary</c:v>
                </c:pt>
                <c:pt idx="2">
                  <c:v>Lower Secondary</c:v>
                </c:pt>
                <c:pt idx="3">
                  <c:v>Senior secondary</c:v>
                </c:pt>
                <c:pt idx="4">
                  <c:v>Higher Education</c:v>
                </c:pt>
              </c:strCache>
            </c:strRef>
          </c:cat>
          <c:val>
            <c:numRef>
              <c:f>Pojection!$E$65:$E$69</c:f>
              <c:numCache>
                <c:formatCode>_(* #,##0_);_(* \(#,##0\);_(* "-"??_);_(@_)</c:formatCode>
                <c:ptCount val="5"/>
                <c:pt idx="0">
                  <c:v>9437.8659720129945</c:v>
                </c:pt>
                <c:pt idx="1">
                  <c:v>31840.653190894311</c:v>
                </c:pt>
                <c:pt idx="2">
                  <c:v>19578.54192610013</c:v>
                </c:pt>
                <c:pt idx="3">
                  <c:v>20391.399363122993</c:v>
                </c:pt>
                <c:pt idx="4">
                  <c:v>9738.4154293529646</c:v>
                </c:pt>
              </c:numCache>
            </c:numRef>
          </c:val>
          <c:extLst>
            <c:ext xmlns:c16="http://schemas.microsoft.com/office/drawing/2014/chart" uri="{C3380CC4-5D6E-409C-BE32-E72D297353CC}">
              <c16:uniqueId val="{00000002-216D-4704-B7B2-0EE3788AA679}"/>
            </c:ext>
          </c:extLst>
        </c:ser>
        <c:ser>
          <c:idx val="3"/>
          <c:order val="3"/>
          <c:tx>
            <c:strRef>
              <c:f>Pojection!$F$64</c:f>
              <c:strCache>
                <c:ptCount val="1"/>
                <c:pt idx="0">
                  <c:v>2030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Pojection!$B$65:$B$69</c:f>
              <c:strCache>
                <c:ptCount val="5"/>
                <c:pt idx="0">
                  <c:v>ECD</c:v>
                </c:pt>
                <c:pt idx="1">
                  <c:v>Primary</c:v>
                </c:pt>
                <c:pt idx="2">
                  <c:v>Lower Secondary</c:v>
                </c:pt>
                <c:pt idx="3">
                  <c:v>Senior secondary</c:v>
                </c:pt>
                <c:pt idx="4">
                  <c:v>Higher Education</c:v>
                </c:pt>
              </c:strCache>
            </c:strRef>
          </c:cat>
          <c:val>
            <c:numRef>
              <c:f>Pojection!$F$65:$F$69</c:f>
              <c:numCache>
                <c:formatCode>_(* #,##0_);_(* \(#,##0\);_(* "-"??_);_(@_)</c:formatCode>
                <c:ptCount val="5"/>
                <c:pt idx="0">
                  <c:v>13737.539453408817</c:v>
                </c:pt>
                <c:pt idx="1">
                  <c:v>35155.303348717251</c:v>
                </c:pt>
                <c:pt idx="2">
                  <c:v>23814.451626196667</c:v>
                </c:pt>
                <c:pt idx="3">
                  <c:v>31540.551300340881</c:v>
                </c:pt>
                <c:pt idx="4">
                  <c:v>12597.311228483959</c:v>
                </c:pt>
              </c:numCache>
            </c:numRef>
          </c:val>
          <c:extLst>
            <c:ext xmlns:c16="http://schemas.microsoft.com/office/drawing/2014/chart" uri="{C3380CC4-5D6E-409C-BE32-E72D297353CC}">
              <c16:uniqueId val="{00000003-216D-4704-B7B2-0EE3788AA679}"/>
            </c:ext>
          </c:extLst>
        </c:ser>
        <c:dLbls>
          <c:showLegendKey val="0"/>
          <c:showVal val="0"/>
          <c:showCatName val="0"/>
          <c:showSerName val="0"/>
          <c:showPercent val="0"/>
          <c:showBubbleSize val="0"/>
        </c:dLbls>
        <c:gapWidth val="219"/>
        <c:overlap val="-27"/>
        <c:axId val="634047567"/>
        <c:axId val="634044655"/>
      </c:barChart>
      <c:catAx>
        <c:axId val="634047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34044655"/>
        <c:crosses val="autoZero"/>
        <c:auto val="1"/>
        <c:lblAlgn val="ctr"/>
        <c:lblOffset val="100"/>
        <c:noMultiLvlLbl val="0"/>
      </c:catAx>
      <c:valAx>
        <c:axId val="634044655"/>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34047567"/>
        <c:crosses val="autoZero"/>
        <c:crossBetween val="between"/>
      </c:valAx>
      <c:spPr>
        <a:noFill/>
        <a:ln>
          <a:noFill/>
        </a:ln>
        <a:effectLst/>
      </c:spPr>
    </c:plotArea>
    <c:legend>
      <c:legendPos val="b"/>
      <c:layout>
        <c:manualLayout>
          <c:xMode val="edge"/>
          <c:yMode val="edge"/>
          <c:x val="0.82247707586170049"/>
          <c:y val="2.2463782936223881E-2"/>
          <c:w val="0.17247393694108848"/>
          <c:h val="0.220238606537819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42957923910305E-2"/>
          <c:y val="0.25035191965456738"/>
          <c:w val="0.88914084152179396"/>
          <c:h val="0.66450252964339962"/>
        </c:manualLayout>
      </c:layout>
      <c:barChart>
        <c:barDir val="col"/>
        <c:grouping val="percentStacked"/>
        <c:varyColors val="0"/>
        <c:ser>
          <c:idx val="0"/>
          <c:order val="0"/>
          <c:tx>
            <c:strRef>
              <c:f>Graphmdgandbase!$AT$35</c:f>
              <c:strCache>
                <c:ptCount val="1"/>
                <c:pt idx="0">
                  <c:v>No education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Graphmdgandbase!$AU$34:$BA$34</c:f>
              <c:numCache>
                <c:formatCode>General</c:formatCode>
                <c:ptCount val="4"/>
                <c:pt idx="0">
                  <c:v>2015</c:v>
                </c:pt>
                <c:pt idx="1">
                  <c:v>2020</c:v>
                </c:pt>
                <c:pt idx="2">
                  <c:v>2025</c:v>
                </c:pt>
                <c:pt idx="3">
                  <c:v>2030</c:v>
                </c:pt>
              </c:numCache>
            </c:numRef>
          </c:cat>
          <c:val>
            <c:numRef>
              <c:f>Graphmdgandbase!$AU$35:$BA$35</c:f>
              <c:numCache>
                <c:formatCode>0%</c:formatCode>
                <c:ptCount val="4"/>
                <c:pt idx="0">
                  <c:v>0.44100580270793038</c:v>
                </c:pt>
                <c:pt idx="1">
                  <c:v>0.30322287789378122</c:v>
                </c:pt>
                <c:pt idx="2">
                  <c:v>0.18054672600127145</c:v>
                </c:pt>
                <c:pt idx="3">
                  <c:v>0.12061131763733994</c:v>
                </c:pt>
              </c:numCache>
            </c:numRef>
          </c:val>
          <c:extLst>
            <c:ext xmlns:c16="http://schemas.microsoft.com/office/drawing/2014/chart" uri="{C3380CC4-5D6E-409C-BE32-E72D297353CC}">
              <c16:uniqueId val="{00000000-516D-4F30-81BE-711B737BD0E0}"/>
            </c:ext>
          </c:extLst>
        </c:ser>
        <c:ser>
          <c:idx val="1"/>
          <c:order val="1"/>
          <c:tx>
            <c:strRef>
              <c:f>Graphmdgandbase!$AT$36</c:f>
              <c:strCache>
                <c:ptCount val="1"/>
                <c:pt idx="0">
                  <c:v>Incomplete Primary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Graphmdgandbase!$AU$34:$BA$34</c:f>
              <c:numCache>
                <c:formatCode>General</c:formatCode>
                <c:ptCount val="4"/>
                <c:pt idx="0">
                  <c:v>2015</c:v>
                </c:pt>
                <c:pt idx="1">
                  <c:v>2020</c:v>
                </c:pt>
                <c:pt idx="2">
                  <c:v>2025</c:v>
                </c:pt>
                <c:pt idx="3">
                  <c:v>2030</c:v>
                </c:pt>
              </c:numCache>
            </c:numRef>
          </c:cat>
          <c:val>
            <c:numRef>
              <c:f>Graphmdgandbase!$AU$36:$BA$36</c:f>
              <c:numCache>
                <c:formatCode>0%</c:formatCode>
                <c:ptCount val="4"/>
                <c:pt idx="0">
                  <c:v>0.14458413926499034</c:v>
                </c:pt>
                <c:pt idx="1">
                  <c:v>0.21107580571947346</c:v>
                </c:pt>
                <c:pt idx="2">
                  <c:v>0.22504767959313413</c:v>
                </c:pt>
                <c:pt idx="3">
                  <c:v>0.17864518793886824</c:v>
                </c:pt>
              </c:numCache>
            </c:numRef>
          </c:val>
          <c:extLst>
            <c:ext xmlns:c16="http://schemas.microsoft.com/office/drawing/2014/chart" uri="{C3380CC4-5D6E-409C-BE32-E72D297353CC}">
              <c16:uniqueId val="{00000001-516D-4F30-81BE-711B737BD0E0}"/>
            </c:ext>
          </c:extLst>
        </c:ser>
        <c:ser>
          <c:idx val="2"/>
          <c:order val="2"/>
          <c:tx>
            <c:strRef>
              <c:f>Graphmdgandbase!$AT$37</c:f>
              <c:strCache>
                <c:ptCount val="1"/>
                <c:pt idx="0">
                  <c:v>Completed Primary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Graphmdgandbase!$AU$34:$BA$34</c:f>
              <c:numCache>
                <c:formatCode>General</c:formatCode>
                <c:ptCount val="4"/>
                <c:pt idx="0">
                  <c:v>2015</c:v>
                </c:pt>
                <c:pt idx="1">
                  <c:v>2020</c:v>
                </c:pt>
                <c:pt idx="2">
                  <c:v>2025</c:v>
                </c:pt>
                <c:pt idx="3">
                  <c:v>2030</c:v>
                </c:pt>
              </c:numCache>
            </c:numRef>
          </c:cat>
          <c:val>
            <c:numRef>
              <c:f>Graphmdgandbase!$AU$37:$BA$37</c:f>
              <c:numCache>
                <c:formatCode>0%</c:formatCode>
                <c:ptCount val="4"/>
                <c:pt idx="0">
                  <c:v>6.1170212765957445E-2</c:v>
                </c:pt>
                <c:pt idx="1">
                  <c:v>0.10848842487517023</c:v>
                </c:pt>
                <c:pt idx="2">
                  <c:v>0.16867980504344141</c:v>
                </c:pt>
                <c:pt idx="3">
                  <c:v>0.20218917802560926</c:v>
                </c:pt>
              </c:numCache>
            </c:numRef>
          </c:val>
          <c:extLst>
            <c:ext xmlns:c16="http://schemas.microsoft.com/office/drawing/2014/chart" uri="{C3380CC4-5D6E-409C-BE32-E72D297353CC}">
              <c16:uniqueId val="{00000002-516D-4F30-81BE-711B737BD0E0}"/>
            </c:ext>
          </c:extLst>
        </c:ser>
        <c:ser>
          <c:idx val="3"/>
          <c:order val="3"/>
          <c:tx>
            <c:strRef>
              <c:f>Graphmdgandbase!$AT$38</c:f>
              <c:strCache>
                <c:ptCount val="1"/>
                <c:pt idx="0">
                  <c:v>Completed Lower Secondary</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Graphmdgandbase!$AU$34:$BA$34</c:f>
              <c:numCache>
                <c:formatCode>General</c:formatCode>
                <c:ptCount val="4"/>
                <c:pt idx="0">
                  <c:v>2015</c:v>
                </c:pt>
                <c:pt idx="1">
                  <c:v>2020</c:v>
                </c:pt>
                <c:pt idx="2">
                  <c:v>2025</c:v>
                </c:pt>
                <c:pt idx="3">
                  <c:v>2030</c:v>
                </c:pt>
              </c:numCache>
            </c:numRef>
          </c:cat>
          <c:val>
            <c:numRef>
              <c:f>Graphmdgandbase!$AU$38:$BA$38</c:f>
              <c:numCache>
                <c:formatCode>0%</c:formatCode>
                <c:ptCount val="4"/>
                <c:pt idx="0">
                  <c:v>0.23162475822050291</c:v>
                </c:pt>
                <c:pt idx="1">
                  <c:v>0.23944620971402633</c:v>
                </c:pt>
                <c:pt idx="2">
                  <c:v>0.29158720067810978</c:v>
                </c:pt>
                <c:pt idx="3">
                  <c:v>0.34572490706319703</c:v>
                </c:pt>
              </c:numCache>
            </c:numRef>
          </c:val>
          <c:extLst>
            <c:ext xmlns:c16="http://schemas.microsoft.com/office/drawing/2014/chart" uri="{C3380CC4-5D6E-409C-BE32-E72D297353CC}">
              <c16:uniqueId val="{00000003-516D-4F30-81BE-711B737BD0E0}"/>
            </c:ext>
          </c:extLst>
        </c:ser>
        <c:ser>
          <c:idx val="4"/>
          <c:order val="4"/>
          <c:tx>
            <c:strRef>
              <c:f>Graphmdgandbase!$AT$39</c:f>
              <c:strCache>
                <c:ptCount val="1"/>
                <c:pt idx="0">
                  <c:v>Completed Upper Secondary</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Graphmdgandbase!$AU$34:$BA$34</c:f>
              <c:numCache>
                <c:formatCode>General</c:formatCode>
                <c:ptCount val="4"/>
                <c:pt idx="0">
                  <c:v>2015</c:v>
                </c:pt>
                <c:pt idx="1">
                  <c:v>2020</c:v>
                </c:pt>
                <c:pt idx="2">
                  <c:v>2025</c:v>
                </c:pt>
                <c:pt idx="3">
                  <c:v>2030</c:v>
                </c:pt>
              </c:numCache>
            </c:numRef>
          </c:cat>
          <c:val>
            <c:numRef>
              <c:f>Graphmdgandbase!$AU$39:$BA$39</c:f>
              <c:numCache>
                <c:formatCode>0%</c:formatCode>
                <c:ptCount val="4"/>
                <c:pt idx="0">
                  <c:v>9.6953578336557059E-2</c:v>
                </c:pt>
                <c:pt idx="1">
                  <c:v>0.10803449841125738</c:v>
                </c:pt>
                <c:pt idx="2">
                  <c:v>9.2180546726001275E-2</c:v>
                </c:pt>
                <c:pt idx="3">
                  <c:v>0.11338289962825279</c:v>
                </c:pt>
              </c:numCache>
            </c:numRef>
          </c:val>
          <c:extLst>
            <c:ext xmlns:c16="http://schemas.microsoft.com/office/drawing/2014/chart" uri="{C3380CC4-5D6E-409C-BE32-E72D297353CC}">
              <c16:uniqueId val="{00000004-516D-4F30-81BE-711B737BD0E0}"/>
            </c:ext>
          </c:extLst>
        </c:ser>
        <c:ser>
          <c:idx val="5"/>
          <c:order val="5"/>
          <c:tx>
            <c:strRef>
              <c:f>Graphmdgandbase!$AT$40</c:f>
              <c:strCache>
                <c:ptCount val="1"/>
                <c:pt idx="0">
                  <c:v>Some Higher</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Graphmdgandbase!$AU$34:$BA$34</c:f>
              <c:numCache>
                <c:formatCode>General</c:formatCode>
                <c:ptCount val="4"/>
                <c:pt idx="0">
                  <c:v>2015</c:v>
                </c:pt>
                <c:pt idx="1">
                  <c:v>2020</c:v>
                </c:pt>
                <c:pt idx="2">
                  <c:v>2025</c:v>
                </c:pt>
                <c:pt idx="3">
                  <c:v>2030</c:v>
                </c:pt>
              </c:numCache>
            </c:numRef>
          </c:cat>
          <c:val>
            <c:numRef>
              <c:f>Graphmdgandbase!$AU$40:$BA$40</c:f>
              <c:numCache>
                <c:formatCode>0%</c:formatCode>
                <c:ptCount val="4"/>
                <c:pt idx="0">
                  <c:v>2.4661508704061894E-2</c:v>
                </c:pt>
                <c:pt idx="1">
                  <c:v>2.9732183386291421E-2</c:v>
                </c:pt>
                <c:pt idx="2">
                  <c:v>4.195804195804196E-2</c:v>
                </c:pt>
                <c:pt idx="3">
                  <c:v>3.9446509706732753E-2</c:v>
                </c:pt>
              </c:numCache>
            </c:numRef>
          </c:val>
          <c:extLst>
            <c:ext xmlns:c16="http://schemas.microsoft.com/office/drawing/2014/chart" uri="{C3380CC4-5D6E-409C-BE32-E72D297353CC}">
              <c16:uniqueId val="{00000005-516D-4F30-81BE-711B737BD0E0}"/>
            </c:ext>
          </c:extLst>
        </c:ser>
        <c:dLbls>
          <c:dLblPos val="ctr"/>
          <c:showLegendKey val="0"/>
          <c:showVal val="1"/>
          <c:showCatName val="0"/>
          <c:showSerName val="0"/>
          <c:showPercent val="0"/>
          <c:showBubbleSize val="0"/>
        </c:dLbls>
        <c:gapWidth val="79"/>
        <c:overlap val="100"/>
        <c:axId val="525903592"/>
        <c:axId val="525903984"/>
      </c:barChart>
      <c:catAx>
        <c:axId val="5259035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525903984"/>
        <c:crosses val="autoZero"/>
        <c:auto val="1"/>
        <c:lblAlgn val="ctr"/>
        <c:lblOffset val="100"/>
        <c:noMultiLvlLbl val="0"/>
      </c:catAx>
      <c:valAx>
        <c:axId val="525903984"/>
        <c:scaling>
          <c:orientation val="minMax"/>
        </c:scaling>
        <c:delete val="1"/>
        <c:axPos val="l"/>
        <c:numFmt formatCode="0%" sourceLinked="1"/>
        <c:majorTickMark val="none"/>
        <c:minorTickMark val="none"/>
        <c:tickLblPos val="nextTo"/>
        <c:crossAx val="525903592"/>
        <c:crosses val="autoZero"/>
        <c:crossBetween val="between"/>
      </c:valAx>
      <c:spPr>
        <a:noFill/>
        <a:ln>
          <a:noFill/>
        </a:ln>
        <a:effectLst/>
      </c:spPr>
    </c:plotArea>
    <c:legend>
      <c:legendPos val="t"/>
      <c:layout>
        <c:manualLayout>
          <c:xMode val="edge"/>
          <c:yMode val="edge"/>
          <c:x val="3.9440585353474715E-2"/>
          <c:y val="2.3934175364006771E-2"/>
          <c:w val="0.96055955988449859"/>
          <c:h val="0.2125081825158223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8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9.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9.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AB62363-497F-4B01-A5CA-6F1A47A5746A}" type="doc">
      <dgm:prSet loTypeId="urn:microsoft.com/office/officeart/2005/8/layout/hierarchy2" loCatId="hierarchy" qsTypeId="urn:microsoft.com/office/officeart/2005/8/quickstyle/3d3" qsCatId="3D" csTypeId="urn:microsoft.com/office/officeart/2005/8/colors/accent1_2" csCatId="accent1" phldr="1"/>
      <dgm:spPr/>
      <dgm:t>
        <a:bodyPr/>
        <a:lstStyle/>
        <a:p>
          <a:endParaRPr lang="en-US"/>
        </a:p>
      </dgm:t>
    </dgm:pt>
    <dgm:pt modelId="{A26B17B7-FE0C-4441-9A12-18847C75ED21}">
      <dgm:prSet phldrT="[Text]"/>
      <dgm:spPr/>
      <dgm:t>
        <a:bodyPr/>
        <a:lstStyle/>
        <a:p>
          <a:r>
            <a:rPr lang="en-SG" b="1">
              <a:solidFill>
                <a:schemeClr val="tx1"/>
              </a:solidFill>
            </a:rPr>
            <a:t>Never attended or dropped out of Primary</a:t>
          </a:r>
          <a:endParaRPr lang="en-US" b="1">
            <a:solidFill>
              <a:schemeClr val="tx1"/>
            </a:solidFill>
          </a:endParaRPr>
        </a:p>
      </dgm:t>
    </dgm:pt>
    <dgm:pt modelId="{B022F6AD-44DA-4CD1-BFEE-F8217AE5BF3A}" type="parTrans" cxnId="{F6B066E0-BF90-4B30-8736-D5BCEA43454B}">
      <dgm:prSet/>
      <dgm:spPr/>
      <dgm:t>
        <a:bodyPr/>
        <a:lstStyle/>
        <a:p>
          <a:endParaRPr lang="en-US"/>
        </a:p>
      </dgm:t>
    </dgm:pt>
    <dgm:pt modelId="{E9F2A342-C846-435B-9474-6E044D82E828}" type="sibTrans" cxnId="{F6B066E0-BF90-4B30-8736-D5BCEA43454B}">
      <dgm:prSet/>
      <dgm:spPr/>
      <dgm:t>
        <a:bodyPr/>
        <a:lstStyle/>
        <a:p>
          <a:endParaRPr lang="en-US"/>
        </a:p>
      </dgm:t>
    </dgm:pt>
    <dgm:pt modelId="{72CB4CC7-397D-469C-B51D-279A0775ED7E}">
      <dgm:prSet phldrT="[Text]"/>
      <dgm:spPr/>
      <dgm:t>
        <a:bodyPr/>
        <a:lstStyle/>
        <a:p>
          <a:r>
            <a:rPr lang="en-US" b="1">
              <a:solidFill>
                <a:schemeClr val="tx1"/>
              </a:solidFill>
            </a:rPr>
            <a:t>Primary</a:t>
          </a:r>
        </a:p>
      </dgm:t>
    </dgm:pt>
    <dgm:pt modelId="{40CCA32C-74A7-4B89-8C6C-3C7A08A927A8}" type="parTrans" cxnId="{DAC48571-6526-4C4F-AB16-FEDE1E99FE68}">
      <dgm:prSet/>
      <dgm:spPr/>
      <dgm:t>
        <a:bodyPr/>
        <a:lstStyle/>
        <a:p>
          <a:endParaRPr lang="en-US"/>
        </a:p>
      </dgm:t>
    </dgm:pt>
    <dgm:pt modelId="{DB599D48-A806-4F29-A965-0A3002C8790D}" type="sibTrans" cxnId="{DAC48571-6526-4C4F-AB16-FEDE1E99FE68}">
      <dgm:prSet/>
      <dgm:spPr/>
      <dgm:t>
        <a:bodyPr/>
        <a:lstStyle/>
        <a:p>
          <a:endParaRPr lang="en-US"/>
        </a:p>
      </dgm:t>
    </dgm:pt>
    <dgm:pt modelId="{981CB4E6-8D12-44F8-ACB2-9ED104A3A9D7}">
      <dgm:prSet phldrT="[Text]"/>
      <dgm:spPr/>
      <dgm:t>
        <a:bodyPr/>
        <a:lstStyle/>
        <a:p>
          <a:r>
            <a:rPr lang="en-US" b="1">
              <a:solidFill>
                <a:schemeClr val="tx1"/>
              </a:solidFill>
            </a:rPr>
            <a:t>Lower secondary dropout</a:t>
          </a:r>
        </a:p>
      </dgm:t>
    </dgm:pt>
    <dgm:pt modelId="{3872D3DD-CC61-4C58-9226-7C8F4CB88429}" type="parTrans" cxnId="{4F3DAAFF-66C3-4441-8FD1-B0D0239ABFC6}">
      <dgm:prSet/>
      <dgm:spPr/>
      <dgm:t>
        <a:bodyPr/>
        <a:lstStyle/>
        <a:p>
          <a:endParaRPr lang="en-US"/>
        </a:p>
      </dgm:t>
    </dgm:pt>
    <dgm:pt modelId="{76F12C4E-9AF1-493D-8D07-69C33A3A8842}" type="sibTrans" cxnId="{4F3DAAFF-66C3-4441-8FD1-B0D0239ABFC6}">
      <dgm:prSet/>
      <dgm:spPr/>
      <dgm:t>
        <a:bodyPr/>
        <a:lstStyle/>
        <a:p>
          <a:endParaRPr lang="en-US"/>
        </a:p>
      </dgm:t>
    </dgm:pt>
    <dgm:pt modelId="{58ED4326-A01E-4B0B-A63E-16E2A5B10CEC}">
      <dgm:prSet phldrT="[Text]"/>
      <dgm:spPr/>
      <dgm:t>
        <a:bodyPr/>
        <a:lstStyle/>
        <a:p>
          <a:r>
            <a:rPr lang="en-US" b="1">
              <a:solidFill>
                <a:schemeClr val="tx1"/>
              </a:solidFill>
            </a:rPr>
            <a:t>Exit</a:t>
          </a:r>
        </a:p>
      </dgm:t>
    </dgm:pt>
    <dgm:pt modelId="{9759F4D1-77E3-420E-AB03-884193371DC6}" type="parTrans" cxnId="{5CA98DF4-7D32-424E-A41A-C3A1611E293D}">
      <dgm:prSet/>
      <dgm:spPr/>
      <dgm:t>
        <a:bodyPr/>
        <a:lstStyle/>
        <a:p>
          <a:endParaRPr lang="en-US"/>
        </a:p>
      </dgm:t>
    </dgm:pt>
    <dgm:pt modelId="{69D02E9D-4775-4B58-91EC-37790BC20B84}" type="sibTrans" cxnId="{5CA98DF4-7D32-424E-A41A-C3A1611E293D}">
      <dgm:prSet/>
      <dgm:spPr/>
      <dgm:t>
        <a:bodyPr/>
        <a:lstStyle/>
        <a:p>
          <a:endParaRPr lang="en-US"/>
        </a:p>
      </dgm:t>
    </dgm:pt>
    <dgm:pt modelId="{81523C6E-60B6-43B5-8934-BA5D5A62A227}">
      <dgm:prSet phldrT="[Text]"/>
      <dgm:spPr/>
      <dgm:t>
        <a:bodyPr/>
        <a:lstStyle/>
        <a:p>
          <a:r>
            <a:rPr lang="en-US" b="1">
              <a:solidFill>
                <a:schemeClr val="tx1"/>
              </a:solidFill>
            </a:rPr>
            <a:t>Exit</a:t>
          </a:r>
        </a:p>
      </dgm:t>
    </dgm:pt>
    <dgm:pt modelId="{D3A7E095-743E-47D3-B499-1E112506F20C}" type="parTrans" cxnId="{812D8C13-F466-4906-82C3-EBACD99ACC46}">
      <dgm:prSet/>
      <dgm:spPr/>
      <dgm:t>
        <a:bodyPr/>
        <a:lstStyle/>
        <a:p>
          <a:endParaRPr lang="en-US"/>
        </a:p>
      </dgm:t>
    </dgm:pt>
    <dgm:pt modelId="{BF5764D7-7F34-49B9-87E5-F75C91EAC54E}" type="sibTrans" cxnId="{812D8C13-F466-4906-82C3-EBACD99ACC46}">
      <dgm:prSet/>
      <dgm:spPr/>
      <dgm:t>
        <a:bodyPr/>
        <a:lstStyle/>
        <a:p>
          <a:endParaRPr lang="en-US"/>
        </a:p>
      </dgm:t>
    </dgm:pt>
    <dgm:pt modelId="{5E153D41-A323-4AFD-A045-8EBE9B36A0C2}">
      <dgm:prSet phldrT="[Text]"/>
      <dgm:spPr/>
      <dgm:t>
        <a:bodyPr/>
        <a:lstStyle/>
        <a:p>
          <a:r>
            <a:rPr lang="en-US" b="1">
              <a:solidFill>
                <a:schemeClr val="tx1"/>
              </a:solidFill>
            </a:rPr>
            <a:t>Still in lower secondary</a:t>
          </a:r>
        </a:p>
      </dgm:t>
    </dgm:pt>
    <dgm:pt modelId="{571D35CF-37B0-4F0B-BA0B-D80F6C80D41D}" type="parTrans" cxnId="{C577EA4E-BF20-4CBF-BB0C-6E974F99DEA6}">
      <dgm:prSet/>
      <dgm:spPr/>
      <dgm:t>
        <a:bodyPr/>
        <a:lstStyle/>
        <a:p>
          <a:endParaRPr lang="en-US"/>
        </a:p>
      </dgm:t>
    </dgm:pt>
    <dgm:pt modelId="{7211B9C2-AF15-4727-ADBE-F6A5E7362D51}" type="sibTrans" cxnId="{C577EA4E-BF20-4CBF-BB0C-6E974F99DEA6}">
      <dgm:prSet/>
      <dgm:spPr/>
      <dgm:t>
        <a:bodyPr/>
        <a:lstStyle/>
        <a:p>
          <a:endParaRPr lang="en-US"/>
        </a:p>
      </dgm:t>
    </dgm:pt>
    <dgm:pt modelId="{256695E1-1185-4132-9813-7F450200301D}">
      <dgm:prSet phldrT="[Text]"/>
      <dgm:spPr/>
      <dgm:t>
        <a:bodyPr/>
        <a:lstStyle/>
        <a:p>
          <a:r>
            <a:rPr lang="en-US" b="1">
              <a:solidFill>
                <a:schemeClr val="tx1"/>
              </a:solidFill>
            </a:rPr>
            <a:t>Exit</a:t>
          </a:r>
        </a:p>
      </dgm:t>
    </dgm:pt>
    <dgm:pt modelId="{95E98948-7AF7-4EEC-928A-F97C9EDA939B}" type="parTrans" cxnId="{B6F88820-9E39-4570-9E0E-8FC8FF655D5C}">
      <dgm:prSet/>
      <dgm:spPr/>
      <dgm:t>
        <a:bodyPr/>
        <a:lstStyle/>
        <a:p>
          <a:endParaRPr lang="en-US"/>
        </a:p>
      </dgm:t>
    </dgm:pt>
    <dgm:pt modelId="{84AE262D-3DAE-4BE9-B8E1-6099FE2A4705}" type="sibTrans" cxnId="{B6F88820-9E39-4570-9E0E-8FC8FF655D5C}">
      <dgm:prSet/>
      <dgm:spPr/>
      <dgm:t>
        <a:bodyPr/>
        <a:lstStyle/>
        <a:p>
          <a:endParaRPr lang="en-US"/>
        </a:p>
      </dgm:t>
    </dgm:pt>
    <dgm:pt modelId="{8FDF5AFF-764F-41C1-B2C3-EBDE528CC872}">
      <dgm:prSet phldrT="[Text]"/>
      <dgm:spPr/>
      <dgm:t>
        <a:bodyPr/>
        <a:lstStyle/>
        <a:p>
          <a:r>
            <a:rPr lang="en-US" b="1">
              <a:solidFill>
                <a:schemeClr val="tx1"/>
              </a:solidFill>
            </a:rPr>
            <a:t>Upper secondary dropout </a:t>
          </a:r>
        </a:p>
      </dgm:t>
    </dgm:pt>
    <dgm:pt modelId="{39A9A887-7BC5-4422-935A-621C0FDB3D75}" type="parTrans" cxnId="{B0663BF4-C12D-42A7-B72C-884D2614D8A1}">
      <dgm:prSet/>
      <dgm:spPr/>
      <dgm:t>
        <a:bodyPr/>
        <a:lstStyle/>
        <a:p>
          <a:endParaRPr lang="en-US"/>
        </a:p>
      </dgm:t>
    </dgm:pt>
    <dgm:pt modelId="{F7B8A247-7735-4F4C-A474-2D1235B648AC}" type="sibTrans" cxnId="{B0663BF4-C12D-42A7-B72C-884D2614D8A1}">
      <dgm:prSet/>
      <dgm:spPr/>
      <dgm:t>
        <a:bodyPr/>
        <a:lstStyle/>
        <a:p>
          <a:endParaRPr lang="en-US"/>
        </a:p>
      </dgm:t>
    </dgm:pt>
    <dgm:pt modelId="{1CC6B9DF-FD08-446B-8144-7E90CB55F72D}">
      <dgm:prSet phldrT="[Text]"/>
      <dgm:spPr/>
      <dgm:t>
        <a:bodyPr/>
        <a:lstStyle/>
        <a:p>
          <a:r>
            <a:rPr lang="en-US" b="1">
              <a:solidFill>
                <a:schemeClr val="tx1"/>
              </a:solidFill>
            </a:rPr>
            <a:t>Exit</a:t>
          </a:r>
        </a:p>
      </dgm:t>
    </dgm:pt>
    <dgm:pt modelId="{D9983775-F7A0-4BE9-AA15-86DE0CA38EEE}" type="parTrans" cxnId="{5B9293E5-304B-49E7-9FA7-4C564D282899}">
      <dgm:prSet/>
      <dgm:spPr/>
      <dgm:t>
        <a:bodyPr/>
        <a:lstStyle/>
        <a:p>
          <a:endParaRPr lang="en-US"/>
        </a:p>
      </dgm:t>
    </dgm:pt>
    <dgm:pt modelId="{54508276-9D75-4B88-B3A7-97057F80ED3F}" type="sibTrans" cxnId="{5B9293E5-304B-49E7-9FA7-4C564D282899}">
      <dgm:prSet/>
      <dgm:spPr/>
      <dgm:t>
        <a:bodyPr/>
        <a:lstStyle/>
        <a:p>
          <a:endParaRPr lang="en-US"/>
        </a:p>
      </dgm:t>
    </dgm:pt>
    <dgm:pt modelId="{F3495754-5C4C-4187-B449-177F960825B9}">
      <dgm:prSet phldrT="[Text]"/>
      <dgm:spPr/>
      <dgm:t>
        <a:bodyPr/>
        <a:lstStyle/>
        <a:p>
          <a:r>
            <a:rPr lang="en-US" b="1">
              <a:solidFill>
                <a:schemeClr val="tx1"/>
              </a:solidFill>
            </a:rPr>
            <a:t>Still in or completed upper secondary</a:t>
          </a:r>
        </a:p>
      </dgm:t>
    </dgm:pt>
    <dgm:pt modelId="{0611967A-44C3-474D-8886-781C8765171C}" type="parTrans" cxnId="{7DA050E3-258E-48BC-BC52-E7EECF2D8219}">
      <dgm:prSet/>
      <dgm:spPr/>
      <dgm:t>
        <a:bodyPr/>
        <a:lstStyle/>
        <a:p>
          <a:endParaRPr lang="en-US"/>
        </a:p>
      </dgm:t>
    </dgm:pt>
    <dgm:pt modelId="{84099DFF-B12F-411E-887D-4E17CDE2E164}" type="sibTrans" cxnId="{7DA050E3-258E-48BC-BC52-E7EECF2D8219}">
      <dgm:prSet/>
      <dgm:spPr/>
      <dgm:t>
        <a:bodyPr/>
        <a:lstStyle/>
        <a:p>
          <a:endParaRPr lang="en-US"/>
        </a:p>
      </dgm:t>
    </dgm:pt>
    <dgm:pt modelId="{04A65C72-BAA1-4694-AB86-73388AB85276}">
      <dgm:prSet phldrT="[Text]"/>
      <dgm:spPr/>
      <dgm:t>
        <a:bodyPr/>
        <a:lstStyle/>
        <a:p>
          <a:r>
            <a:rPr lang="en-US" b="1">
              <a:solidFill>
                <a:schemeClr val="tx1"/>
              </a:solidFill>
            </a:rPr>
            <a:t>Did not complete upper secondary by age 24</a:t>
          </a:r>
        </a:p>
      </dgm:t>
    </dgm:pt>
    <dgm:pt modelId="{EEC7C899-4994-484F-A3B4-7C5B36A26D6B}" type="parTrans" cxnId="{DB130195-417D-4B20-B4C4-F8569B0164DC}">
      <dgm:prSet/>
      <dgm:spPr/>
      <dgm:t>
        <a:bodyPr/>
        <a:lstStyle/>
        <a:p>
          <a:endParaRPr lang="en-US"/>
        </a:p>
      </dgm:t>
    </dgm:pt>
    <dgm:pt modelId="{7443CB42-95D5-4B46-AFA1-B65E15F7F6C9}" type="sibTrans" cxnId="{DB130195-417D-4B20-B4C4-F8569B0164DC}">
      <dgm:prSet/>
      <dgm:spPr/>
      <dgm:t>
        <a:bodyPr/>
        <a:lstStyle/>
        <a:p>
          <a:endParaRPr lang="en-US"/>
        </a:p>
      </dgm:t>
    </dgm:pt>
    <dgm:pt modelId="{EB055E45-DFE3-4CCF-82EA-3B97716629EC}" type="pres">
      <dgm:prSet presAssocID="{CAB62363-497F-4B01-A5CA-6F1A47A5746A}" presName="diagram" presStyleCnt="0">
        <dgm:presLayoutVars>
          <dgm:chPref val="1"/>
          <dgm:dir/>
          <dgm:animOne val="branch"/>
          <dgm:animLvl val="lvl"/>
          <dgm:resizeHandles val="exact"/>
        </dgm:presLayoutVars>
      </dgm:prSet>
      <dgm:spPr/>
    </dgm:pt>
    <dgm:pt modelId="{0531836B-4DC7-4C58-B7B9-70A4DAE913EB}" type="pres">
      <dgm:prSet presAssocID="{A26B17B7-FE0C-4441-9A12-18847C75ED21}" presName="root1" presStyleCnt="0"/>
      <dgm:spPr/>
    </dgm:pt>
    <dgm:pt modelId="{987BD562-6107-4301-A453-3A1E8C0709A6}" type="pres">
      <dgm:prSet presAssocID="{A26B17B7-FE0C-4441-9A12-18847C75ED21}" presName="LevelOneTextNode" presStyleLbl="node0" presStyleIdx="0" presStyleCnt="1">
        <dgm:presLayoutVars>
          <dgm:chPref val="3"/>
        </dgm:presLayoutVars>
      </dgm:prSet>
      <dgm:spPr/>
    </dgm:pt>
    <dgm:pt modelId="{20B99735-6DAF-4DF3-A783-475C306BF406}" type="pres">
      <dgm:prSet presAssocID="{A26B17B7-FE0C-4441-9A12-18847C75ED21}" presName="level2hierChild" presStyleCnt="0"/>
      <dgm:spPr/>
    </dgm:pt>
    <dgm:pt modelId="{378D9B30-D85E-4198-989C-3980DA855570}" type="pres">
      <dgm:prSet presAssocID="{40CCA32C-74A7-4B89-8C6C-3C7A08A927A8}" presName="conn2-1" presStyleLbl="parChTrans1D2" presStyleIdx="0" presStyleCnt="2"/>
      <dgm:spPr/>
    </dgm:pt>
    <dgm:pt modelId="{73359DBB-95E6-406A-9B6D-501E6D1DA907}" type="pres">
      <dgm:prSet presAssocID="{40CCA32C-74A7-4B89-8C6C-3C7A08A927A8}" presName="connTx" presStyleLbl="parChTrans1D2" presStyleIdx="0" presStyleCnt="2"/>
      <dgm:spPr/>
    </dgm:pt>
    <dgm:pt modelId="{7B07B0E5-BE60-469E-8F55-B21A1BBE152C}" type="pres">
      <dgm:prSet presAssocID="{72CB4CC7-397D-469C-B51D-279A0775ED7E}" presName="root2" presStyleCnt="0"/>
      <dgm:spPr/>
    </dgm:pt>
    <dgm:pt modelId="{D6F2E32E-DB86-4758-B1F8-D47D960E98B3}" type="pres">
      <dgm:prSet presAssocID="{72CB4CC7-397D-469C-B51D-279A0775ED7E}" presName="LevelTwoTextNode" presStyleLbl="node2" presStyleIdx="0" presStyleCnt="2">
        <dgm:presLayoutVars>
          <dgm:chPref val="3"/>
        </dgm:presLayoutVars>
      </dgm:prSet>
      <dgm:spPr/>
    </dgm:pt>
    <dgm:pt modelId="{D0F5CD09-137B-4175-9228-C48E8E2FBF7B}" type="pres">
      <dgm:prSet presAssocID="{72CB4CC7-397D-469C-B51D-279A0775ED7E}" presName="level3hierChild" presStyleCnt="0"/>
      <dgm:spPr/>
    </dgm:pt>
    <dgm:pt modelId="{B1D178D3-C511-4104-912C-DF1F5E1A452F}" type="pres">
      <dgm:prSet presAssocID="{3872D3DD-CC61-4C58-9226-7C8F4CB88429}" presName="conn2-1" presStyleLbl="parChTrans1D3" presStyleIdx="0" presStyleCnt="2"/>
      <dgm:spPr/>
    </dgm:pt>
    <dgm:pt modelId="{53674C1D-FA01-4656-AA2A-2CEF2629CECA}" type="pres">
      <dgm:prSet presAssocID="{3872D3DD-CC61-4C58-9226-7C8F4CB88429}" presName="connTx" presStyleLbl="parChTrans1D3" presStyleIdx="0" presStyleCnt="2"/>
      <dgm:spPr/>
    </dgm:pt>
    <dgm:pt modelId="{DB40DE5D-D776-446F-9DA3-6BDE4C66A3E2}" type="pres">
      <dgm:prSet presAssocID="{981CB4E6-8D12-44F8-ACB2-9ED104A3A9D7}" presName="root2" presStyleCnt="0"/>
      <dgm:spPr/>
    </dgm:pt>
    <dgm:pt modelId="{A9BEF756-895F-4A5C-B989-61B428433B69}" type="pres">
      <dgm:prSet presAssocID="{981CB4E6-8D12-44F8-ACB2-9ED104A3A9D7}" presName="LevelTwoTextNode" presStyleLbl="node3" presStyleIdx="0" presStyleCnt="2">
        <dgm:presLayoutVars>
          <dgm:chPref val="3"/>
        </dgm:presLayoutVars>
      </dgm:prSet>
      <dgm:spPr/>
    </dgm:pt>
    <dgm:pt modelId="{E5055B35-E14D-4522-95CE-6450D4511C87}" type="pres">
      <dgm:prSet presAssocID="{981CB4E6-8D12-44F8-ACB2-9ED104A3A9D7}" presName="level3hierChild" presStyleCnt="0"/>
      <dgm:spPr/>
    </dgm:pt>
    <dgm:pt modelId="{2EB3AB5A-01A7-4904-92C8-AC304EC7B174}" type="pres">
      <dgm:prSet presAssocID="{571D35CF-37B0-4F0B-BA0B-D80F6C80D41D}" presName="conn2-1" presStyleLbl="parChTrans1D4" presStyleIdx="0" presStyleCnt="6"/>
      <dgm:spPr/>
    </dgm:pt>
    <dgm:pt modelId="{784DB2B3-58C9-41E3-A12E-3D483CE83171}" type="pres">
      <dgm:prSet presAssocID="{571D35CF-37B0-4F0B-BA0B-D80F6C80D41D}" presName="connTx" presStyleLbl="parChTrans1D4" presStyleIdx="0" presStyleCnt="6"/>
      <dgm:spPr/>
    </dgm:pt>
    <dgm:pt modelId="{1F58FF5A-1F8C-4AE3-8CCD-8D1868C86FD8}" type="pres">
      <dgm:prSet presAssocID="{5E153D41-A323-4AFD-A045-8EBE9B36A0C2}" presName="root2" presStyleCnt="0"/>
      <dgm:spPr/>
    </dgm:pt>
    <dgm:pt modelId="{AF30E00C-B95C-460D-B03E-45D9A4DA3374}" type="pres">
      <dgm:prSet presAssocID="{5E153D41-A323-4AFD-A045-8EBE9B36A0C2}" presName="LevelTwoTextNode" presStyleLbl="node4" presStyleIdx="0" presStyleCnt="6">
        <dgm:presLayoutVars>
          <dgm:chPref val="3"/>
        </dgm:presLayoutVars>
      </dgm:prSet>
      <dgm:spPr/>
    </dgm:pt>
    <dgm:pt modelId="{98BDBF57-AAEE-4F29-9B18-75C7738F2118}" type="pres">
      <dgm:prSet presAssocID="{5E153D41-A323-4AFD-A045-8EBE9B36A0C2}" presName="level3hierChild" presStyleCnt="0"/>
      <dgm:spPr/>
    </dgm:pt>
    <dgm:pt modelId="{6319E295-ED65-4B95-9B9D-D65C2B10E286}" type="pres">
      <dgm:prSet presAssocID="{39A9A887-7BC5-4422-935A-621C0FDB3D75}" presName="conn2-1" presStyleLbl="parChTrans1D4" presStyleIdx="1" presStyleCnt="6"/>
      <dgm:spPr/>
    </dgm:pt>
    <dgm:pt modelId="{7C8BBB28-7272-44CF-89F9-7D7CAE7F7BD7}" type="pres">
      <dgm:prSet presAssocID="{39A9A887-7BC5-4422-935A-621C0FDB3D75}" presName="connTx" presStyleLbl="parChTrans1D4" presStyleIdx="1" presStyleCnt="6"/>
      <dgm:spPr/>
    </dgm:pt>
    <dgm:pt modelId="{E233E920-1A67-4517-8346-1D7C7E088138}" type="pres">
      <dgm:prSet presAssocID="{8FDF5AFF-764F-41C1-B2C3-EBDE528CC872}" presName="root2" presStyleCnt="0"/>
      <dgm:spPr/>
    </dgm:pt>
    <dgm:pt modelId="{865AD09B-D4B2-46F4-A31C-AC452F7D58F2}" type="pres">
      <dgm:prSet presAssocID="{8FDF5AFF-764F-41C1-B2C3-EBDE528CC872}" presName="LevelTwoTextNode" presStyleLbl="node4" presStyleIdx="1" presStyleCnt="6">
        <dgm:presLayoutVars>
          <dgm:chPref val="3"/>
        </dgm:presLayoutVars>
      </dgm:prSet>
      <dgm:spPr/>
    </dgm:pt>
    <dgm:pt modelId="{F85F11E1-9B3F-47B8-A446-283D7F3578DB}" type="pres">
      <dgm:prSet presAssocID="{8FDF5AFF-764F-41C1-B2C3-EBDE528CC872}" presName="level3hierChild" presStyleCnt="0"/>
      <dgm:spPr/>
    </dgm:pt>
    <dgm:pt modelId="{E54E49E2-FE8A-4B95-AE31-4816ACF35A78}" type="pres">
      <dgm:prSet presAssocID="{0611967A-44C3-474D-8886-781C8765171C}" presName="conn2-1" presStyleLbl="parChTrans1D4" presStyleIdx="2" presStyleCnt="6"/>
      <dgm:spPr/>
    </dgm:pt>
    <dgm:pt modelId="{4FBAF275-04CD-4190-836B-8C18027752BB}" type="pres">
      <dgm:prSet presAssocID="{0611967A-44C3-474D-8886-781C8765171C}" presName="connTx" presStyleLbl="parChTrans1D4" presStyleIdx="2" presStyleCnt="6"/>
      <dgm:spPr/>
    </dgm:pt>
    <dgm:pt modelId="{1A511425-DAC2-4062-B24B-8A5D8C3416FD}" type="pres">
      <dgm:prSet presAssocID="{F3495754-5C4C-4187-B449-177F960825B9}" presName="root2" presStyleCnt="0"/>
      <dgm:spPr/>
    </dgm:pt>
    <dgm:pt modelId="{FB30F86C-DB0C-4CEA-9FAB-333D712D743F}" type="pres">
      <dgm:prSet presAssocID="{F3495754-5C4C-4187-B449-177F960825B9}" presName="LevelTwoTextNode" presStyleLbl="node4" presStyleIdx="2" presStyleCnt="6">
        <dgm:presLayoutVars>
          <dgm:chPref val="3"/>
        </dgm:presLayoutVars>
      </dgm:prSet>
      <dgm:spPr/>
    </dgm:pt>
    <dgm:pt modelId="{9FB7CBA1-D70C-4DF8-99E1-84E3E14686A9}" type="pres">
      <dgm:prSet presAssocID="{F3495754-5C4C-4187-B449-177F960825B9}" presName="level3hierChild" presStyleCnt="0"/>
      <dgm:spPr/>
    </dgm:pt>
    <dgm:pt modelId="{FB2503E5-864D-4FC9-AF26-1E7CE853E462}" type="pres">
      <dgm:prSet presAssocID="{EEC7C899-4994-484F-A3B4-7C5B36A26D6B}" presName="conn2-1" presStyleLbl="parChTrans1D4" presStyleIdx="3" presStyleCnt="6"/>
      <dgm:spPr/>
    </dgm:pt>
    <dgm:pt modelId="{81D4110E-D32A-459F-94E5-00A6EB25930A}" type="pres">
      <dgm:prSet presAssocID="{EEC7C899-4994-484F-A3B4-7C5B36A26D6B}" presName="connTx" presStyleLbl="parChTrans1D4" presStyleIdx="3" presStyleCnt="6"/>
      <dgm:spPr/>
    </dgm:pt>
    <dgm:pt modelId="{996FA63F-530A-4CEA-893C-BE4CF0E1FABD}" type="pres">
      <dgm:prSet presAssocID="{04A65C72-BAA1-4694-AB86-73388AB85276}" presName="root2" presStyleCnt="0"/>
      <dgm:spPr/>
    </dgm:pt>
    <dgm:pt modelId="{42C08B72-5ADA-4D82-A265-6748F2DA3343}" type="pres">
      <dgm:prSet presAssocID="{04A65C72-BAA1-4694-AB86-73388AB85276}" presName="LevelTwoTextNode" presStyleLbl="node4" presStyleIdx="3" presStyleCnt="6">
        <dgm:presLayoutVars>
          <dgm:chPref val="3"/>
        </dgm:presLayoutVars>
      </dgm:prSet>
      <dgm:spPr/>
    </dgm:pt>
    <dgm:pt modelId="{AA022DD4-AA9F-4CF2-A97B-0654FB4BB1D9}" type="pres">
      <dgm:prSet presAssocID="{04A65C72-BAA1-4694-AB86-73388AB85276}" presName="level3hierChild" presStyleCnt="0"/>
      <dgm:spPr/>
    </dgm:pt>
    <dgm:pt modelId="{B1A57E00-30E0-4E29-B2DF-A3CF34E672AF}" type="pres">
      <dgm:prSet presAssocID="{D9983775-F7A0-4BE9-AA15-86DE0CA38EEE}" presName="conn2-1" presStyleLbl="parChTrans1D4" presStyleIdx="4" presStyleCnt="6"/>
      <dgm:spPr/>
    </dgm:pt>
    <dgm:pt modelId="{92ECDF4D-8841-4D76-87EE-9E086B1E40D8}" type="pres">
      <dgm:prSet presAssocID="{D9983775-F7A0-4BE9-AA15-86DE0CA38EEE}" presName="connTx" presStyleLbl="parChTrans1D4" presStyleIdx="4" presStyleCnt="6"/>
      <dgm:spPr/>
    </dgm:pt>
    <dgm:pt modelId="{3F57831A-8793-44B6-B72A-3B1707A56EE9}" type="pres">
      <dgm:prSet presAssocID="{1CC6B9DF-FD08-446B-8144-7E90CB55F72D}" presName="root2" presStyleCnt="0"/>
      <dgm:spPr/>
    </dgm:pt>
    <dgm:pt modelId="{076DA378-10AF-4C52-9C1B-9A282B559629}" type="pres">
      <dgm:prSet presAssocID="{1CC6B9DF-FD08-446B-8144-7E90CB55F72D}" presName="LevelTwoTextNode" presStyleLbl="node4" presStyleIdx="4" presStyleCnt="6" custScaleX="42197" custScaleY="80129">
        <dgm:presLayoutVars>
          <dgm:chPref val="3"/>
        </dgm:presLayoutVars>
      </dgm:prSet>
      <dgm:spPr/>
    </dgm:pt>
    <dgm:pt modelId="{FFC5E87F-1962-4F7B-A39C-EF5AFEEA9F17}" type="pres">
      <dgm:prSet presAssocID="{1CC6B9DF-FD08-446B-8144-7E90CB55F72D}" presName="level3hierChild" presStyleCnt="0"/>
      <dgm:spPr/>
    </dgm:pt>
    <dgm:pt modelId="{2E53035C-606B-4534-8FCC-8F1C4079D992}" type="pres">
      <dgm:prSet presAssocID="{95E98948-7AF7-4EEC-928A-F97C9EDA939B}" presName="conn2-1" presStyleLbl="parChTrans1D4" presStyleIdx="5" presStyleCnt="6"/>
      <dgm:spPr/>
    </dgm:pt>
    <dgm:pt modelId="{2D20E7B3-471C-4789-B129-97A016CA77DD}" type="pres">
      <dgm:prSet presAssocID="{95E98948-7AF7-4EEC-928A-F97C9EDA939B}" presName="connTx" presStyleLbl="parChTrans1D4" presStyleIdx="5" presStyleCnt="6"/>
      <dgm:spPr/>
    </dgm:pt>
    <dgm:pt modelId="{ED4B4DEA-4E87-4C19-AC2E-7E4B862D65D8}" type="pres">
      <dgm:prSet presAssocID="{256695E1-1185-4132-9813-7F450200301D}" presName="root2" presStyleCnt="0"/>
      <dgm:spPr/>
    </dgm:pt>
    <dgm:pt modelId="{3430A81E-5677-4206-B829-AF183F47915B}" type="pres">
      <dgm:prSet presAssocID="{256695E1-1185-4132-9813-7F450200301D}" presName="LevelTwoTextNode" presStyleLbl="node4" presStyleIdx="5" presStyleCnt="6" custScaleX="43949" custScaleY="75760">
        <dgm:presLayoutVars>
          <dgm:chPref val="3"/>
        </dgm:presLayoutVars>
      </dgm:prSet>
      <dgm:spPr/>
    </dgm:pt>
    <dgm:pt modelId="{C4EC2BEE-00C4-4A24-80EF-2C9303398D04}" type="pres">
      <dgm:prSet presAssocID="{256695E1-1185-4132-9813-7F450200301D}" presName="level3hierChild" presStyleCnt="0"/>
      <dgm:spPr/>
    </dgm:pt>
    <dgm:pt modelId="{B740EFFD-D983-4ADF-9559-C0CD729B7FA4}" type="pres">
      <dgm:prSet presAssocID="{9759F4D1-77E3-420E-AB03-884193371DC6}" presName="conn2-1" presStyleLbl="parChTrans1D3" presStyleIdx="1" presStyleCnt="2"/>
      <dgm:spPr/>
    </dgm:pt>
    <dgm:pt modelId="{81585C79-F40B-43C8-82B8-DF213AB672B0}" type="pres">
      <dgm:prSet presAssocID="{9759F4D1-77E3-420E-AB03-884193371DC6}" presName="connTx" presStyleLbl="parChTrans1D3" presStyleIdx="1" presStyleCnt="2"/>
      <dgm:spPr/>
    </dgm:pt>
    <dgm:pt modelId="{10ADA76E-7EB3-4585-BF0D-6A77C6738BC4}" type="pres">
      <dgm:prSet presAssocID="{58ED4326-A01E-4B0B-A63E-16E2A5B10CEC}" presName="root2" presStyleCnt="0"/>
      <dgm:spPr/>
    </dgm:pt>
    <dgm:pt modelId="{17078B8A-B4B6-4EDB-87F8-927EF12A8A5A}" type="pres">
      <dgm:prSet presAssocID="{58ED4326-A01E-4B0B-A63E-16E2A5B10CEC}" presName="LevelTwoTextNode" presStyleLbl="node3" presStyleIdx="1" presStyleCnt="2" custScaleX="43949" custScaleY="72262">
        <dgm:presLayoutVars>
          <dgm:chPref val="3"/>
        </dgm:presLayoutVars>
      </dgm:prSet>
      <dgm:spPr/>
    </dgm:pt>
    <dgm:pt modelId="{2BD67FE2-47BB-4BEC-A33C-326F032195CD}" type="pres">
      <dgm:prSet presAssocID="{58ED4326-A01E-4B0B-A63E-16E2A5B10CEC}" presName="level3hierChild" presStyleCnt="0"/>
      <dgm:spPr/>
    </dgm:pt>
    <dgm:pt modelId="{E6E3CE37-2AAE-4BC0-BF30-E12658BC0EEA}" type="pres">
      <dgm:prSet presAssocID="{D3A7E095-743E-47D3-B499-1E112506F20C}" presName="conn2-1" presStyleLbl="parChTrans1D2" presStyleIdx="1" presStyleCnt="2"/>
      <dgm:spPr/>
    </dgm:pt>
    <dgm:pt modelId="{F0B43C3B-4FFE-41C1-813C-AD8EE17CB80D}" type="pres">
      <dgm:prSet presAssocID="{D3A7E095-743E-47D3-B499-1E112506F20C}" presName="connTx" presStyleLbl="parChTrans1D2" presStyleIdx="1" presStyleCnt="2"/>
      <dgm:spPr/>
    </dgm:pt>
    <dgm:pt modelId="{848325DA-3064-4E3B-8E43-2A988A32F48F}" type="pres">
      <dgm:prSet presAssocID="{81523C6E-60B6-43B5-8934-BA5D5A62A227}" presName="root2" presStyleCnt="0"/>
      <dgm:spPr/>
    </dgm:pt>
    <dgm:pt modelId="{CC8D2DAF-170C-49C2-BA70-63B3E8555210}" type="pres">
      <dgm:prSet presAssocID="{81523C6E-60B6-43B5-8934-BA5D5A62A227}" presName="LevelTwoTextNode" presStyleLbl="node2" presStyleIdx="1" presStyleCnt="2" custScaleX="43948" custScaleY="78807" custLinFactNeighborX="4215" custLinFactNeighborY="-1405">
        <dgm:presLayoutVars>
          <dgm:chPref val="3"/>
        </dgm:presLayoutVars>
      </dgm:prSet>
      <dgm:spPr/>
    </dgm:pt>
    <dgm:pt modelId="{8EE14D6B-6651-47A9-BB17-0AA9EE51813B}" type="pres">
      <dgm:prSet presAssocID="{81523C6E-60B6-43B5-8934-BA5D5A62A227}" presName="level3hierChild" presStyleCnt="0"/>
      <dgm:spPr/>
    </dgm:pt>
  </dgm:ptLst>
  <dgm:cxnLst>
    <dgm:cxn modelId="{B4BAB901-4258-4E46-9CC5-CFD3EC0CFE6B}" type="presOf" srcId="{95E98948-7AF7-4EEC-928A-F97C9EDA939B}" destId="{2E53035C-606B-4534-8FCC-8F1C4079D992}" srcOrd="0" destOrd="0" presId="urn:microsoft.com/office/officeart/2005/8/layout/hierarchy2"/>
    <dgm:cxn modelId="{713E3607-F369-4231-B4DC-DDC2F8D29BCE}" type="presOf" srcId="{571D35CF-37B0-4F0B-BA0B-D80F6C80D41D}" destId="{784DB2B3-58C9-41E3-A12E-3D483CE83171}" srcOrd="1" destOrd="0" presId="urn:microsoft.com/office/officeart/2005/8/layout/hierarchy2"/>
    <dgm:cxn modelId="{12B8900B-93D9-44CE-8C89-DD40FEEA750A}" type="presOf" srcId="{D9983775-F7A0-4BE9-AA15-86DE0CA38EEE}" destId="{92ECDF4D-8841-4D76-87EE-9E086B1E40D8}" srcOrd="1" destOrd="0" presId="urn:microsoft.com/office/officeart/2005/8/layout/hierarchy2"/>
    <dgm:cxn modelId="{D2976C0F-3EE8-4662-B38F-4AB7D77BA6C7}" type="presOf" srcId="{40CCA32C-74A7-4B89-8C6C-3C7A08A927A8}" destId="{378D9B30-D85E-4198-989C-3980DA855570}" srcOrd="0" destOrd="0" presId="urn:microsoft.com/office/officeart/2005/8/layout/hierarchy2"/>
    <dgm:cxn modelId="{812D8C13-F466-4906-82C3-EBACD99ACC46}" srcId="{A26B17B7-FE0C-4441-9A12-18847C75ED21}" destId="{81523C6E-60B6-43B5-8934-BA5D5A62A227}" srcOrd="1" destOrd="0" parTransId="{D3A7E095-743E-47D3-B499-1E112506F20C}" sibTransId="{BF5764D7-7F34-49B9-87E5-F75C91EAC54E}"/>
    <dgm:cxn modelId="{52F0771C-F0EC-4D26-BC89-D035FC4AB452}" type="presOf" srcId="{39A9A887-7BC5-4422-935A-621C0FDB3D75}" destId="{7C8BBB28-7272-44CF-89F9-7D7CAE7F7BD7}" srcOrd="1" destOrd="0" presId="urn:microsoft.com/office/officeart/2005/8/layout/hierarchy2"/>
    <dgm:cxn modelId="{B6F88820-9E39-4570-9E0E-8FC8FF655D5C}" srcId="{981CB4E6-8D12-44F8-ACB2-9ED104A3A9D7}" destId="{256695E1-1185-4132-9813-7F450200301D}" srcOrd="1" destOrd="0" parTransId="{95E98948-7AF7-4EEC-928A-F97C9EDA939B}" sibTransId="{84AE262D-3DAE-4BE9-B8E1-6099FE2A4705}"/>
    <dgm:cxn modelId="{C5F59A2C-FEF3-4235-AD88-2DC33DEB9F7B}" type="presOf" srcId="{EEC7C899-4994-484F-A3B4-7C5B36A26D6B}" destId="{81D4110E-D32A-459F-94E5-00A6EB25930A}" srcOrd="1" destOrd="0" presId="urn:microsoft.com/office/officeart/2005/8/layout/hierarchy2"/>
    <dgm:cxn modelId="{02833130-D273-4929-B64E-13B6CEB62BBB}" type="presOf" srcId="{04A65C72-BAA1-4694-AB86-73388AB85276}" destId="{42C08B72-5ADA-4D82-A265-6748F2DA3343}" srcOrd="0" destOrd="0" presId="urn:microsoft.com/office/officeart/2005/8/layout/hierarchy2"/>
    <dgm:cxn modelId="{554CDA35-B255-401F-BE8F-16E47F21385A}" type="presOf" srcId="{95E98948-7AF7-4EEC-928A-F97C9EDA939B}" destId="{2D20E7B3-471C-4789-B129-97A016CA77DD}" srcOrd="1" destOrd="0" presId="urn:microsoft.com/office/officeart/2005/8/layout/hierarchy2"/>
    <dgm:cxn modelId="{003E4E3D-58E9-449B-9958-F946099E7E01}" type="presOf" srcId="{A26B17B7-FE0C-4441-9A12-18847C75ED21}" destId="{987BD562-6107-4301-A453-3A1E8C0709A6}" srcOrd="0" destOrd="0" presId="urn:microsoft.com/office/officeart/2005/8/layout/hierarchy2"/>
    <dgm:cxn modelId="{5341B93D-16A5-4210-8A44-AF56EA23D6D1}" type="presOf" srcId="{0611967A-44C3-474D-8886-781C8765171C}" destId="{E54E49E2-FE8A-4B95-AE31-4816ACF35A78}" srcOrd="0" destOrd="0" presId="urn:microsoft.com/office/officeart/2005/8/layout/hierarchy2"/>
    <dgm:cxn modelId="{6ABA6763-2686-4C5B-AB9D-953C5EC120FE}" type="presOf" srcId="{9759F4D1-77E3-420E-AB03-884193371DC6}" destId="{B740EFFD-D983-4ADF-9559-C0CD729B7FA4}" srcOrd="0" destOrd="0" presId="urn:microsoft.com/office/officeart/2005/8/layout/hierarchy2"/>
    <dgm:cxn modelId="{5B5E5A63-619A-44E4-B716-4CD0922A94E5}" type="presOf" srcId="{1CC6B9DF-FD08-446B-8144-7E90CB55F72D}" destId="{076DA378-10AF-4C52-9C1B-9A282B559629}" srcOrd="0" destOrd="0" presId="urn:microsoft.com/office/officeart/2005/8/layout/hierarchy2"/>
    <dgm:cxn modelId="{139A0B66-1994-49E3-81A2-2CB7C3D7152E}" type="presOf" srcId="{81523C6E-60B6-43B5-8934-BA5D5A62A227}" destId="{CC8D2DAF-170C-49C2-BA70-63B3E8555210}" srcOrd="0" destOrd="0" presId="urn:microsoft.com/office/officeart/2005/8/layout/hierarchy2"/>
    <dgm:cxn modelId="{421AC947-519B-4B3D-BFD7-FE019DE9D8F7}" type="presOf" srcId="{D3A7E095-743E-47D3-B499-1E112506F20C}" destId="{E6E3CE37-2AAE-4BC0-BF30-E12658BC0EEA}" srcOrd="0" destOrd="0" presId="urn:microsoft.com/office/officeart/2005/8/layout/hierarchy2"/>
    <dgm:cxn modelId="{C577EA4E-BF20-4CBF-BB0C-6E974F99DEA6}" srcId="{981CB4E6-8D12-44F8-ACB2-9ED104A3A9D7}" destId="{5E153D41-A323-4AFD-A045-8EBE9B36A0C2}" srcOrd="0" destOrd="0" parTransId="{571D35CF-37B0-4F0B-BA0B-D80F6C80D41D}" sibTransId="{7211B9C2-AF15-4727-ADBE-F6A5E7362D51}"/>
    <dgm:cxn modelId="{DF34216F-C152-4EAD-BA91-49E9839DECDC}" type="presOf" srcId="{5E153D41-A323-4AFD-A045-8EBE9B36A0C2}" destId="{AF30E00C-B95C-460D-B03E-45D9A4DA3374}" srcOrd="0" destOrd="0" presId="urn:microsoft.com/office/officeart/2005/8/layout/hierarchy2"/>
    <dgm:cxn modelId="{DAC48571-6526-4C4F-AB16-FEDE1E99FE68}" srcId="{A26B17B7-FE0C-4441-9A12-18847C75ED21}" destId="{72CB4CC7-397D-469C-B51D-279A0775ED7E}" srcOrd="0" destOrd="0" parTransId="{40CCA32C-74A7-4B89-8C6C-3C7A08A927A8}" sibTransId="{DB599D48-A806-4F29-A965-0A3002C8790D}"/>
    <dgm:cxn modelId="{DB8A6C56-3EFC-43AC-9594-222065FCCABC}" type="presOf" srcId="{CAB62363-497F-4B01-A5CA-6F1A47A5746A}" destId="{EB055E45-DFE3-4CCF-82EA-3B97716629EC}" srcOrd="0" destOrd="0" presId="urn:microsoft.com/office/officeart/2005/8/layout/hierarchy2"/>
    <dgm:cxn modelId="{76321B77-5056-4674-8A10-D2ADE49914CD}" type="presOf" srcId="{981CB4E6-8D12-44F8-ACB2-9ED104A3A9D7}" destId="{A9BEF756-895F-4A5C-B989-61B428433B69}" srcOrd="0" destOrd="0" presId="urn:microsoft.com/office/officeart/2005/8/layout/hierarchy2"/>
    <dgm:cxn modelId="{4CBB3B58-C280-4055-B5DF-BEF9998139D6}" type="presOf" srcId="{EEC7C899-4994-484F-A3B4-7C5B36A26D6B}" destId="{FB2503E5-864D-4FC9-AF26-1E7CE853E462}" srcOrd="0" destOrd="0" presId="urn:microsoft.com/office/officeart/2005/8/layout/hierarchy2"/>
    <dgm:cxn modelId="{6E9FD18E-7C08-401E-897D-A514FE0D7E7E}" type="presOf" srcId="{3872D3DD-CC61-4C58-9226-7C8F4CB88429}" destId="{B1D178D3-C511-4104-912C-DF1F5E1A452F}" srcOrd="0" destOrd="0" presId="urn:microsoft.com/office/officeart/2005/8/layout/hierarchy2"/>
    <dgm:cxn modelId="{DB130195-417D-4B20-B4C4-F8569B0164DC}" srcId="{8FDF5AFF-764F-41C1-B2C3-EBDE528CC872}" destId="{04A65C72-BAA1-4694-AB86-73388AB85276}" srcOrd="1" destOrd="0" parTransId="{EEC7C899-4994-484F-A3B4-7C5B36A26D6B}" sibTransId="{7443CB42-95D5-4B46-AFA1-B65E15F7F6C9}"/>
    <dgm:cxn modelId="{C63D0B97-A825-4196-A0F0-1176909093AA}" type="presOf" srcId="{D3A7E095-743E-47D3-B499-1E112506F20C}" destId="{F0B43C3B-4FFE-41C1-813C-AD8EE17CB80D}" srcOrd="1" destOrd="0" presId="urn:microsoft.com/office/officeart/2005/8/layout/hierarchy2"/>
    <dgm:cxn modelId="{000D75A3-DB08-494C-AFBF-0C3E4D4E5F57}" type="presOf" srcId="{F3495754-5C4C-4187-B449-177F960825B9}" destId="{FB30F86C-DB0C-4CEA-9FAB-333D712D743F}" srcOrd="0" destOrd="0" presId="urn:microsoft.com/office/officeart/2005/8/layout/hierarchy2"/>
    <dgm:cxn modelId="{18AE18A5-486B-4A0E-A658-D7E25B39B4DD}" type="presOf" srcId="{D9983775-F7A0-4BE9-AA15-86DE0CA38EEE}" destId="{B1A57E00-30E0-4E29-B2DF-A3CF34E672AF}" srcOrd="0" destOrd="0" presId="urn:microsoft.com/office/officeart/2005/8/layout/hierarchy2"/>
    <dgm:cxn modelId="{2D2C8FA7-2AC6-4DDA-8666-0F2AB5C3967D}" type="presOf" srcId="{256695E1-1185-4132-9813-7F450200301D}" destId="{3430A81E-5677-4206-B829-AF183F47915B}" srcOrd="0" destOrd="0" presId="urn:microsoft.com/office/officeart/2005/8/layout/hierarchy2"/>
    <dgm:cxn modelId="{B1F580B2-4F04-4EC5-9A44-9533E662DE59}" type="presOf" srcId="{571D35CF-37B0-4F0B-BA0B-D80F6C80D41D}" destId="{2EB3AB5A-01A7-4904-92C8-AC304EC7B174}" srcOrd="0" destOrd="0" presId="urn:microsoft.com/office/officeart/2005/8/layout/hierarchy2"/>
    <dgm:cxn modelId="{E8C23EC1-3D0C-4AD5-BE75-F7A08FCB649F}" type="presOf" srcId="{39A9A887-7BC5-4422-935A-621C0FDB3D75}" destId="{6319E295-ED65-4B95-9B9D-D65C2B10E286}" srcOrd="0" destOrd="0" presId="urn:microsoft.com/office/officeart/2005/8/layout/hierarchy2"/>
    <dgm:cxn modelId="{057C2BCB-34CD-4D25-9C7A-A5EA39B2B695}" type="presOf" srcId="{0611967A-44C3-474D-8886-781C8765171C}" destId="{4FBAF275-04CD-4190-836B-8C18027752BB}" srcOrd="1" destOrd="0" presId="urn:microsoft.com/office/officeart/2005/8/layout/hierarchy2"/>
    <dgm:cxn modelId="{C0CC66CE-1329-4CB7-8D96-2698CC998A70}" type="presOf" srcId="{3872D3DD-CC61-4C58-9226-7C8F4CB88429}" destId="{53674C1D-FA01-4656-AA2A-2CEF2629CECA}" srcOrd="1" destOrd="0" presId="urn:microsoft.com/office/officeart/2005/8/layout/hierarchy2"/>
    <dgm:cxn modelId="{91DEDFDC-7B28-4F83-9D3F-707BC8BE9416}" type="presOf" srcId="{58ED4326-A01E-4B0B-A63E-16E2A5B10CEC}" destId="{17078B8A-B4B6-4EDB-87F8-927EF12A8A5A}" srcOrd="0" destOrd="0" presId="urn:microsoft.com/office/officeart/2005/8/layout/hierarchy2"/>
    <dgm:cxn modelId="{06E61DDE-97F2-4837-8B2F-8DE91E23C656}" type="presOf" srcId="{9759F4D1-77E3-420E-AB03-884193371DC6}" destId="{81585C79-F40B-43C8-82B8-DF213AB672B0}" srcOrd="1" destOrd="0" presId="urn:microsoft.com/office/officeart/2005/8/layout/hierarchy2"/>
    <dgm:cxn modelId="{F6B066E0-BF90-4B30-8736-D5BCEA43454B}" srcId="{CAB62363-497F-4B01-A5CA-6F1A47A5746A}" destId="{A26B17B7-FE0C-4441-9A12-18847C75ED21}" srcOrd="0" destOrd="0" parTransId="{B022F6AD-44DA-4CD1-BFEE-F8217AE5BF3A}" sibTransId="{E9F2A342-C846-435B-9474-6E044D82E828}"/>
    <dgm:cxn modelId="{7DA050E3-258E-48BC-BC52-E7EECF2D8219}" srcId="{8FDF5AFF-764F-41C1-B2C3-EBDE528CC872}" destId="{F3495754-5C4C-4187-B449-177F960825B9}" srcOrd="0" destOrd="0" parTransId="{0611967A-44C3-474D-8886-781C8765171C}" sibTransId="{84099DFF-B12F-411E-887D-4E17CDE2E164}"/>
    <dgm:cxn modelId="{5B9293E5-304B-49E7-9FA7-4C564D282899}" srcId="{5E153D41-A323-4AFD-A045-8EBE9B36A0C2}" destId="{1CC6B9DF-FD08-446B-8144-7E90CB55F72D}" srcOrd="1" destOrd="0" parTransId="{D9983775-F7A0-4BE9-AA15-86DE0CA38EEE}" sibTransId="{54508276-9D75-4B88-B3A7-97057F80ED3F}"/>
    <dgm:cxn modelId="{159CCAE7-8BCB-4C47-8D1F-DA236CF5CF24}" type="presOf" srcId="{8FDF5AFF-764F-41C1-B2C3-EBDE528CC872}" destId="{865AD09B-D4B2-46F4-A31C-AC452F7D58F2}" srcOrd="0" destOrd="0" presId="urn:microsoft.com/office/officeart/2005/8/layout/hierarchy2"/>
    <dgm:cxn modelId="{B0663BF4-C12D-42A7-B72C-884D2614D8A1}" srcId="{5E153D41-A323-4AFD-A045-8EBE9B36A0C2}" destId="{8FDF5AFF-764F-41C1-B2C3-EBDE528CC872}" srcOrd="0" destOrd="0" parTransId="{39A9A887-7BC5-4422-935A-621C0FDB3D75}" sibTransId="{F7B8A247-7735-4F4C-A474-2D1235B648AC}"/>
    <dgm:cxn modelId="{5CA98DF4-7D32-424E-A41A-C3A1611E293D}" srcId="{72CB4CC7-397D-469C-B51D-279A0775ED7E}" destId="{58ED4326-A01E-4B0B-A63E-16E2A5B10CEC}" srcOrd="1" destOrd="0" parTransId="{9759F4D1-77E3-420E-AB03-884193371DC6}" sibTransId="{69D02E9D-4775-4B58-91EC-37790BC20B84}"/>
    <dgm:cxn modelId="{C98F68FA-2009-4D49-B229-BE29B7708092}" type="presOf" srcId="{40CCA32C-74A7-4B89-8C6C-3C7A08A927A8}" destId="{73359DBB-95E6-406A-9B6D-501E6D1DA907}" srcOrd="1" destOrd="0" presId="urn:microsoft.com/office/officeart/2005/8/layout/hierarchy2"/>
    <dgm:cxn modelId="{E97A7FFD-FBDC-4DC5-AC87-865BCC600D4A}" type="presOf" srcId="{72CB4CC7-397D-469C-B51D-279A0775ED7E}" destId="{D6F2E32E-DB86-4758-B1F8-D47D960E98B3}" srcOrd="0" destOrd="0" presId="urn:microsoft.com/office/officeart/2005/8/layout/hierarchy2"/>
    <dgm:cxn modelId="{4F3DAAFF-66C3-4441-8FD1-B0D0239ABFC6}" srcId="{72CB4CC7-397D-469C-B51D-279A0775ED7E}" destId="{981CB4E6-8D12-44F8-ACB2-9ED104A3A9D7}" srcOrd="0" destOrd="0" parTransId="{3872D3DD-CC61-4C58-9226-7C8F4CB88429}" sibTransId="{76F12C4E-9AF1-493D-8D07-69C33A3A8842}"/>
    <dgm:cxn modelId="{26C30702-9D51-430A-B5D7-2EEFBF6856D0}" type="presParOf" srcId="{EB055E45-DFE3-4CCF-82EA-3B97716629EC}" destId="{0531836B-4DC7-4C58-B7B9-70A4DAE913EB}" srcOrd="0" destOrd="0" presId="urn:microsoft.com/office/officeart/2005/8/layout/hierarchy2"/>
    <dgm:cxn modelId="{EA6DFF58-0079-4952-AB03-716032897F94}" type="presParOf" srcId="{0531836B-4DC7-4C58-B7B9-70A4DAE913EB}" destId="{987BD562-6107-4301-A453-3A1E8C0709A6}" srcOrd="0" destOrd="0" presId="urn:microsoft.com/office/officeart/2005/8/layout/hierarchy2"/>
    <dgm:cxn modelId="{DA685603-2371-4836-97A3-3B70EAD7A64F}" type="presParOf" srcId="{0531836B-4DC7-4C58-B7B9-70A4DAE913EB}" destId="{20B99735-6DAF-4DF3-A783-475C306BF406}" srcOrd="1" destOrd="0" presId="urn:microsoft.com/office/officeart/2005/8/layout/hierarchy2"/>
    <dgm:cxn modelId="{C8AD17E4-789E-41D5-AD58-5FF8007256D6}" type="presParOf" srcId="{20B99735-6DAF-4DF3-A783-475C306BF406}" destId="{378D9B30-D85E-4198-989C-3980DA855570}" srcOrd="0" destOrd="0" presId="urn:microsoft.com/office/officeart/2005/8/layout/hierarchy2"/>
    <dgm:cxn modelId="{4ACC7548-2B2E-4179-B82B-BB66A66788EA}" type="presParOf" srcId="{378D9B30-D85E-4198-989C-3980DA855570}" destId="{73359DBB-95E6-406A-9B6D-501E6D1DA907}" srcOrd="0" destOrd="0" presId="urn:microsoft.com/office/officeart/2005/8/layout/hierarchy2"/>
    <dgm:cxn modelId="{49FD631E-1E22-4893-9C91-52B6F4E8A32B}" type="presParOf" srcId="{20B99735-6DAF-4DF3-A783-475C306BF406}" destId="{7B07B0E5-BE60-469E-8F55-B21A1BBE152C}" srcOrd="1" destOrd="0" presId="urn:microsoft.com/office/officeart/2005/8/layout/hierarchy2"/>
    <dgm:cxn modelId="{DEBFD18D-BACE-4C48-8E5B-FDB0299A3B34}" type="presParOf" srcId="{7B07B0E5-BE60-469E-8F55-B21A1BBE152C}" destId="{D6F2E32E-DB86-4758-B1F8-D47D960E98B3}" srcOrd="0" destOrd="0" presId="urn:microsoft.com/office/officeart/2005/8/layout/hierarchy2"/>
    <dgm:cxn modelId="{03B28531-4905-444C-B1F5-C25471439DF8}" type="presParOf" srcId="{7B07B0E5-BE60-469E-8F55-B21A1BBE152C}" destId="{D0F5CD09-137B-4175-9228-C48E8E2FBF7B}" srcOrd="1" destOrd="0" presId="urn:microsoft.com/office/officeart/2005/8/layout/hierarchy2"/>
    <dgm:cxn modelId="{B477DF89-1A19-4AAF-B730-27243B3C2484}" type="presParOf" srcId="{D0F5CD09-137B-4175-9228-C48E8E2FBF7B}" destId="{B1D178D3-C511-4104-912C-DF1F5E1A452F}" srcOrd="0" destOrd="0" presId="urn:microsoft.com/office/officeart/2005/8/layout/hierarchy2"/>
    <dgm:cxn modelId="{1BF129A7-7EDF-4EFD-A5C2-455497E60F42}" type="presParOf" srcId="{B1D178D3-C511-4104-912C-DF1F5E1A452F}" destId="{53674C1D-FA01-4656-AA2A-2CEF2629CECA}" srcOrd="0" destOrd="0" presId="urn:microsoft.com/office/officeart/2005/8/layout/hierarchy2"/>
    <dgm:cxn modelId="{6C3D6780-3FD8-4C72-BB5F-758742303943}" type="presParOf" srcId="{D0F5CD09-137B-4175-9228-C48E8E2FBF7B}" destId="{DB40DE5D-D776-446F-9DA3-6BDE4C66A3E2}" srcOrd="1" destOrd="0" presId="urn:microsoft.com/office/officeart/2005/8/layout/hierarchy2"/>
    <dgm:cxn modelId="{395A0380-FCD8-47BD-8678-D464801341B4}" type="presParOf" srcId="{DB40DE5D-D776-446F-9DA3-6BDE4C66A3E2}" destId="{A9BEF756-895F-4A5C-B989-61B428433B69}" srcOrd="0" destOrd="0" presId="urn:microsoft.com/office/officeart/2005/8/layout/hierarchy2"/>
    <dgm:cxn modelId="{831B222C-E3A0-4ADF-8711-8FF7E239F500}" type="presParOf" srcId="{DB40DE5D-D776-446F-9DA3-6BDE4C66A3E2}" destId="{E5055B35-E14D-4522-95CE-6450D4511C87}" srcOrd="1" destOrd="0" presId="urn:microsoft.com/office/officeart/2005/8/layout/hierarchy2"/>
    <dgm:cxn modelId="{E7D22AEE-E553-44EB-B743-48F4D8E90DDD}" type="presParOf" srcId="{E5055B35-E14D-4522-95CE-6450D4511C87}" destId="{2EB3AB5A-01A7-4904-92C8-AC304EC7B174}" srcOrd="0" destOrd="0" presId="urn:microsoft.com/office/officeart/2005/8/layout/hierarchy2"/>
    <dgm:cxn modelId="{30C7855B-FDE3-4A5D-9434-B52ADA4FAD0C}" type="presParOf" srcId="{2EB3AB5A-01A7-4904-92C8-AC304EC7B174}" destId="{784DB2B3-58C9-41E3-A12E-3D483CE83171}" srcOrd="0" destOrd="0" presId="urn:microsoft.com/office/officeart/2005/8/layout/hierarchy2"/>
    <dgm:cxn modelId="{DCF59FAB-4E12-41BF-99DC-D5182AB3E171}" type="presParOf" srcId="{E5055B35-E14D-4522-95CE-6450D4511C87}" destId="{1F58FF5A-1F8C-4AE3-8CCD-8D1868C86FD8}" srcOrd="1" destOrd="0" presId="urn:microsoft.com/office/officeart/2005/8/layout/hierarchy2"/>
    <dgm:cxn modelId="{306651AE-E919-4E46-92F3-B52BD5955257}" type="presParOf" srcId="{1F58FF5A-1F8C-4AE3-8CCD-8D1868C86FD8}" destId="{AF30E00C-B95C-460D-B03E-45D9A4DA3374}" srcOrd="0" destOrd="0" presId="urn:microsoft.com/office/officeart/2005/8/layout/hierarchy2"/>
    <dgm:cxn modelId="{654F34B6-7B18-4B01-A7A5-DAC202F0C88A}" type="presParOf" srcId="{1F58FF5A-1F8C-4AE3-8CCD-8D1868C86FD8}" destId="{98BDBF57-AAEE-4F29-9B18-75C7738F2118}" srcOrd="1" destOrd="0" presId="urn:microsoft.com/office/officeart/2005/8/layout/hierarchy2"/>
    <dgm:cxn modelId="{A9BC165A-55E6-49B1-A12D-FEA879FF43BF}" type="presParOf" srcId="{98BDBF57-AAEE-4F29-9B18-75C7738F2118}" destId="{6319E295-ED65-4B95-9B9D-D65C2B10E286}" srcOrd="0" destOrd="0" presId="urn:microsoft.com/office/officeart/2005/8/layout/hierarchy2"/>
    <dgm:cxn modelId="{FCC2D53E-2E33-40B8-A8CE-0EEB505E7B05}" type="presParOf" srcId="{6319E295-ED65-4B95-9B9D-D65C2B10E286}" destId="{7C8BBB28-7272-44CF-89F9-7D7CAE7F7BD7}" srcOrd="0" destOrd="0" presId="urn:microsoft.com/office/officeart/2005/8/layout/hierarchy2"/>
    <dgm:cxn modelId="{4E9A893F-C4BB-45BE-B146-B2033609D8EA}" type="presParOf" srcId="{98BDBF57-AAEE-4F29-9B18-75C7738F2118}" destId="{E233E920-1A67-4517-8346-1D7C7E088138}" srcOrd="1" destOrd="0" presId="urn:microsoft.com/office/officeart/2005/8/layout/hierarchy2"/>
    <dgm:cxn modelId="{07DB1430-DDFC-41B2-812D-33611D449DB0}" type="presParOf" srcId="{E233E920-1A67-4517-8346-1D7C7E088138}" destId="{865AD09B-D4B2-46F4-A31C-AC452F7D58F2}" srcOrd="0" destOrd="0" presId="urn:microsoft.com/office/officeart/2005/8/layout/hierarchy2"/>
    <dgm:cxn modelId="{FEDB3A6B-5760-4055-B057-EF38A5DEF907}" type="presParOf" srcId="{E233E920-1A67-4517-8346-1D7C7E088138}" destId="{F85F11E1-9B3F-47B8-A446-283D7F3578DB}" srcOrd="1" destOrd="0" presId="urn:microsoft.com/office/officeart/2005/8/layout/hierarchy2"/>
    <dgm:cxn modelId="{C6A720A6-6711-4C62-A59B-9FA58B5566A7}" type="presParOf" srcId="{F85F11E1-9B3F-47B8-A446-283D7F3578DB}" destId="{E54E49E2-FE8A-4B95-AE31-4816ACF35A78}" srcOrd="0" destOrd="0" presId="urn:microsoft.com/office/officeart/2005/8/layout/hierarchy2"/>
    <dgm:cxn modelId="{9DDEB611-F582-4BCB-AC2D-5C04BFAD0978}" type="presParOf" srcId="{E54E49E2-FE8A-4B95-AE31-4816ACF35A78}" destId="{4FBAF275-04CD-4190-836B-8C18027752BB}" srcOrd="0" destOrd="0" presId="urn:microsoft.com/office/officeart/2005/8/layout/hierarchy2"/>
    <dgm:cxn modelId="{094E264D-7C31-4883-9E67-2ED5C4395A4F}" type="presParOf" srcId="{F85F11E1-9B3F-47B8-A446-283D7F3578DB}" destId="{1A511425-DAC2-4062-B24B-8A5D8C3416FD}" srcOrd="1" destOrd="0" presId="urn:microsoft.com/office/officeart/2005/8/layout/hierarchy2"/>
    <dgm:cxn modelId="{B6216DD1-E338-481E-85B8-D009D222BBA9}" type="presParOf" srcId="{1A511425-DAC2-4062-B24B-8A5D8C3416FD}" destId="{FB30F86C-DB0C-4CEA-9FAB-333D712D743F}" srcOrd="0" destOrd="0" presId="urn:microsoft.com/office/officeart/2005/8/layout/hierarchy2"/>
    <dgm:cxn modelId="{A9CC3CDA-0741-49D6-8D52-B8E0341C359F}" type="presParOf" srcId="{1A511425-DAC2-4062-B24B-8A5D8C3416FD}" destId="{9FB7CBA1-D70C-4DF8-99E1-84E3E14686A9}" srcOrd="1" destOrd="0" presId="urn:microsoft.com/office/officeart/2005/8/layout/hierarchy2"/>
    <dgm:cxn modelId="{1D1B31A4-9736-4BB0-B22C-17495C774494}" type="presParOf" srcId="{F85F11E1-9B3F-47B8-A446-283D7F3578DB}" destId="{FB2503E5-864D-4FC9-AF26-1E7CE853E462}" srcOrd="2" destOrd="0" presId="urn:microsoft.com/office/officeart/2005/8/layout/hierarchy2"/>
    <dgm:cxn modelId="{DBF96915-696A-4607-8219-38EA46AECCD9}" type="presParOf" srcId="{FB2503E5-864D-4FC9-AF26-1E7CE853E462}" destId="{81D4110E-D32A-459F-94E5-00A6EB25930A}" srcOrd="0" destOrd="0" presId="urn:microsoft.com/office/officeart/2005/8/layout/hierarchy2"/>
    <dgm:cxn modelId="{A0A13930-D575-47B8-8D87-113C767AA9A3}" type="presParOf" srcId="{F85F11E1-9B3F-47B8-A446-283D7F3578DB}" destId="{996FA63F-530A-4CEA-893C-BE4CF0E1FABD}" srcOrd="3" destOrd="0" presId="urn:microsoft.com/office/officeart/2005/8/layout/hierarchy2"/>
    <dgm:cxn modelId="{379BD449-6FE3-49B8-BB0D-6B3386309F64}" type="presParOf" srcId="{996FA63F-530A-4CEA-893C-BE4CF0E1FABD}" destId="{42C08B72-5ADA-4D82-A265-6748F2DA3343}" srcOrd="0" destOrd="0" presId="urn:microsoft.com/office/officeart/2005/8/layout/hierarchy2"/>
    <dgm:cxn modelId="{7A922B18-D0ED-46AC-A968-55F44F11C708}" type="presParOf" srcId="{996FA63F-530A-4CEA-893C-BE4CF0E1FABD}" destId="{AA022DD4-AA9F-4CF2-A97B-0654FB4BB1D9}" srcOrd="1" destOrd="0" presId="urn:microsoft.com/office/officeart/2005/8/layout/hierarchy2"/>
    <dgm:cxn modelId="{5F665953-E486-4F33-9B9A-34075A32B163}" type="presParOf" srcId="{98BDBF57-AAEE-4F29-9B18-75C7738F2118}" destId="{B1A57E00-30E0-4E29-B2DF-A3CF34E672AF}" srcOrd="2" destOrd="0" presId="urn:microsoft.com/office/officeart/2005/8/layout/hierarchy2"/>
    <dgm:cxn modelId="{9DFC8D5D-EA6E-4AA0-BAA4-FFEFE159DFDF}" type="presParOf" srcId="{B1A57E00-30E0-4E29-B2DF-A3CF34E672AF}" destId="{92ECDF4D-8841-4D76-87EE-9E086B1E40D8}" srcOrd="0" destOrd="0" presId="urn:microsoft.com/office/officeart/2005/8/layout/hierarchy2"/>
    <dgm:cxn modelId="{22B1AC5F-85B4-40D7-A430-CE177CEDED48}" type="presParOf" srcId="{98BDBF57-AAEE-4F29-9B18-75C7738F2118}" destId="{3F57831A-8793-44B6-B72A-3B1707A56EE9}" srcOrd="3" destOrd="0" presId="urn:microsoft.com/office/officeart/2005/8/layout/hierarchy2"/>
    <dgm:cxn modelId="{25A80309-354E-440F-9ACE-CA205CDDE2D3}" type="presParOf" srcId="{3F57831A-8793-44B6-B72A-3B1707A56EE9}" destId="{076DA378-10AF-4C52-9C1B-9A282B559629}" srcOrd="0" destOrd="0" presId="urn:microsoft.com/office/officeart/2005/8/layout/hierarchy2"/>
    <dgm:cxn modelId="{8DB846AF-661A-45FF-8553-31FA72F1A3F3}" type="presParOf" srcId="{3F57831A-8793-44B6-B72A-3B1707A56EE9}" destId="{FFC5E87F-1962-4F7B-A39C-EF5AFEEA9F17}" srcOrd="1" destOrd="0" presId="urn:microsoft.com/office/officeart/2005/8/layout/hierarchy2"/>
    <dgm:cxn modelId="{BC38D380-CD15-4E1C-9B2D-9E5A8C822ED6}" type="presParOf" srcId="{E5055B35-E14D-4522-95CE-6450D4511C87}" destId="{2E53035C-606B-4534-8FCC-8F1C4079D992}" srcOrd="2" destOrd="0" presId="urn:microsoft.com/office/officeart/2005/8/layout/hierarchy2"/>
    <dgm:cxn modelId="{5328908A-33E3-4C91-ABC3-2827F21745B0}" type="presParOf" srcId="{2E53035C-606B-4534-8FCC-8F1C4079D992}" destId="{2D20E7B3-471C-4789-B129-97A016CA77DD}" srcOrd="0" destOrd="0" presId="urn:microsoft.com/office/officeart/2005/8/layout/hierarchy2"/>
    <dgm:cxn modelId="{6719687A-6EF6-4DCB-A1FF-9F523130E0E8}" type="presParOf" srcId="{E5055B35-E14D-4522-95CE-6450D4511C87}" destId="{ED4B4DEA-4E87-4C19-AC2E-7E4B862D65D8}" srcOrd="3" destOrd="0" presId="urn:microsoft.com/office/officeart/2005/8/layout/hierarchy2"/>
    <dgm:cxn modelId="{12DDF8A7-1740-4EBC-A0E6-828A46CAC059}" type="presParOf" srcId="{ED4B4DEA-4E87-4C19-AC2E-7E4B862D65D8}" destId="{3430A81E-5677-4206-B829-AF183F47915B}" srcOrd="0" destOrd="0" presId="urn:microsoft.com/office/officeart/2005/8/layout/hierarchy2"/>
    <dgm:cxn modelId="{5FA06B0D-D235-433A-B0BA-790E56C947FD}" type="presParOf" srcId="{ED4B4DEA-4E87-4C19-AC2E-7E4B862D65D8}" destId="{C4EC2BEE-00C4-4A24-80EF-2C9303398D04}" srcOrd="1" destOrd="0" presId="urn:microsoft.com/office/officeart/2005/8/layout/hierarchy2"/>
    <dgm:cxn modelId="{FC543928-89E2-4D04-A73B-AA19C0A404DB}" type="presParOf" srcId="{D0F5CD09-137B-4175-9228-C48E8E2FBF7B}" destId="{B740EFFD-D983-4ADF-9559-C0CD729B7FA4}" srcOrd="2" destOrd="0" presId="urn:microsoft.com/office/officeart/2005/8/layout/hierarchy2"/>
    <dgm:cxn modelId="{1CC0E415-EE76-4776-B9C2-57AFDB9B68E0}" type="presParOf" srcId="{B740EFFD-D983-4ADF-9559-C0CD729B7FA4}" destId="{81585C79-F40B-43C8-82B8-DF213AB672B0}" srcOrd="0" destOrd="0" presId="urn:microsoft.com/office/officeart/2005/8/layout/hierarchy2"/>
    <dgm:cxn modelId="{A58476BB-BB62-4600-8B85-9BF61A6CE1F4}" type="presParOf" srcId="{D0F5CD09-137B-4175-9228-C48E8E2FBF7B}" destId="{10ADA76E-7EB3-4585-BF0D-6A77C6738BC4}" srcOrd="3" destOrd="0" presId="urn:microsoft.com/office/officeart/2005/8/layout/hierarchy2"/>
    <dgm:cxn modelId="{B36C526F-8822-45B8-B5AD-F98DB866FCAE}" type="presParOf" srcId="{10ADA76E-7EB3-4585-BF0D-6A77C6738BC4}" destId="{17078B8A-B4B6-4EDB-87F8-927EF12A8A5A}" srcOrd="0" destOrd="0" presId="urn:microsoft.com/office/officeart/2005/8/layout/hierarchy2"/>
    <dgm:cxn modelId="{A699F6EB-DCAB-4F6A-98EB-BBAB2556ACB5}" type="presParOf" srcId="{10ADA76E-7EB3-4585-BF0D-6A77C6738BC4}" destId="{2BD67FE2-47BB-4BEC-A33C-326F032195CD}" srcOrd="1" destOrd="0" presId="urn:microsoft.com/office/officeart/2005/8/layout/hierarchy2"/>
    <dgm:cxn modelId="{E26C3ECD-45B7-4BB2-971C-DED850F853DF}" type="presParOf" srcId="{20B99735-6DAF-4DF3-A783-475C306BF406}" destId="{E6E3CE37-2AAE-4BC0-BF30-E12658BC0EEA}" srcOrd="2" destOrd="0" presId="urn:microsoft.com/office/officeart/2005/8/layout/hierarchy2"/>
    <dgm:cxn modelId="{9E62D322-51C5-4BBE-A15B-A7788722EBEE}" type="presParOf" srcId="{E6E3CE37-2AAE-4BC0-BF30-E12658BC0EEA}" destId="{F0B43C3B-4FFE-41C1-813C-AD8EE17CB80D}" srcOrd="0" destOrd="0" presId="urn:microsoft.com/office/officeart/2005/8/layout/hierarchy2"/>
    <dgm:cxn modelId="{DEEE4E92-3C32-4434-8BEE-CC6E3CCA1111}" type="presParOf" srcId="{20B99735-6DAF-4DF3-A783-475C306BF406}" destId="{848325DA-3064-4E3B-8E43-2A988A32F48F}" srcOrd="3" destOrd="0" presId="urn:microsoft.com/office/officeart/2005/8/layout/hierarchy2"/>
    <dgm:cxn modelId="{3B39F6DD-A3E9-42DC-8EB2-6B03352E9E79}" type="presParOf" srcId="{848325DA-3064-4E3B-8E43-2A988A32F48F}" destId="{CC8D2DAF-170C-49C2-BA70-63B3E8555210}" srcOrd="0" destOrd="0" presId="urn:microsoft.com/office/officeart/2005/8/layout/hierarchy2"/>
    <dgm:cxn modelId="{963A9EA4-D3F6-4E50-AE7F-1655D5C1ADC7}" type="presParOf" srcId="{848325DA-3064-4E3B-8E43-2A988A32F48F}" destId="{8EE14D6B-6651-47A9-BB17-0AA9EE51813B}" srcOrd="1" destOrd="0" presId="urn:microsoft.com/office/officeart/2005/8/layout/hierarchy2"/>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7BD562-6107-4301-A453-3A1E8C0709A6}">
      <dsp:nvSpPr>
        <dsp:cNvPr id="0" name=""/>
        <dsp:cNvSpPr/>
      </dsp:nvSpPr>
      <dsp:spPr>
        <a:xfrm>
          <a:off x="1461" y="1424096"/>
          <a:ext cx="678012" cy="339006"/>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SG" sz="700" b="1" kern="1200">
              <a:solidFill>
                <a:schemeClr val="tx1"/>
              </a:solidFill>
            </a:rPr>
            <a:t>Never attended or dropped out of Primary</a:t>
          </a:r>
          <a:endParaRPr lang="en-US" sz="700" b="1" kern="1200">
            <a:solidFill>
              <a:schemeClr val="tx1"/>
            </a:solidFill>
          </a:endParaRPr>
        </a:p>
      </dsp:txBody>
      <dsp:txXfrm>
        <a:off x="11390" y="1434025"/>
        <a:ext cx="658154" cy="319148"/>
      </dsp:txXfrm>
    </dsp:sp>
    <dsp:sp modelId="{378D9B30-D85E-4198-989C-3980DA855570}">
      <dsp:nvSpPr>
        <dsp:cNvPr id="0" name=""/>
        <dsp:cNvSpPr/>
      </dsp:nvSpPr>
      <dsp:spPr>
        <a:xfrm rot="19777030">
          <a:off x="657886" y="1502033"/>
          <a:ext cx="314380" cy="24125"/>
        </a:xfrm>
        <a:custGeom>
          <a:avLst/>
          <a:gdLst/>
          <a:ahLst/>
          <a:cxnLst/>
          <a:rect l="0" t="0" r="0" b="0"/>
          <a:pathLst>
            <a:path>
              <a:moveTo>
                <a:pt x="0" y="12062"/>
              </a:moveTo>
              <a:lnTo>
                <a:pt x="314380" y="12062"/>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807216" y="1506237"/>
        <a:ext cx="15719" cy="15719"/>
      </dsp:txXfrm>
    </dsp:sp>
    <dsp:sp modelId="{D6F2E32E-DB86-4758-B1F8-D47D960E98B3}">
      <dsp:nvSpPr>
        <dsp:cNvPr id="0" name=""/>
        <dsp:cNvSpPr/>
      </dsp:nvSpPr>
      <dsp:spPr>
        <a:xfrm>
          <a:off x="950678" y="1265090"/>
          <a:ext cx="678012" cy="339006"/>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kern="1200">
              <a:solidFill>
                <a:schemeClr val="tx1"/>
              </a:solidFill>
            </a:rPr>
            <a:t>Primary</a:t>
          </a:r>
        </a:p>
      </dsp:txBody>
      <dsp:txXfrm>
        <a:off x="960607" y="1275019"/>
        <a:ext cx="658154" cy="319148"/>
      </dsp:txXfrm>
    </dsp:sp>
    <dsp:sp modelId="{B1D178D3-C511-4104-912C-DF1F5E1A452F}">
      <dsp:nvSpPr>
        <dsp:cNvPr id="0" name=""/>
        <dsp:cNvSpPr/>
      </dsp:nvSpPr>
      <dsp:spPr>
        <a:xfrm rot="19883550">
          <a:off x="1609835" y="1348574"/>
          <a:ext cx="308917" cy="24125"/>
        </a:xfrm>
        <a:custGeom>
          <a:avLst/>
          <a:gdLst/>
          <a:ahLst/>
          <a:cxnLst/>
          <a:rect l="0" t="0" r="0" b="0"/>
          <a:pathLst>
            <a:path>
              <a:moveTo>
                <a:pt x="0" y="12062"/>
              </a:moveTo>
              <a:lnTo>
                <a:pt x="308917" y="1206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756570" y="1352914"/>
        <a:ext cx="15445" cy="15445"/>
      </dsp:txXfrm>
    </dsp:sp>
    <dsp:sp modelId="{A9BEF756-895F-4A5C-B989-61B428433B69}">
      <dsp:nvSpPr>
        <dsp:cNvPr id="0" name=""/>
        <dsp:cNvSpPr/>
      </dsp:nvSpPr>
      <dsp:spPr>
        <a:xfrm>
          <a:off x="1899896" y="1117178"/>
          <a:ext cx="678012" cy="339006"/>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kern="1200">
              <a:solidFill>
                <a:schemeClr val="tx1"/>
              </a:solidFill>
            </a:rPr>
            <a:t>Lower secondary dropout</a:t>
          </a:r>
        </a:p>
      </dsp:txBody>
      <dsp:txXfrm>
        <a:off x="1909825" y="1127107"/>
        <a:ext cx="658154" cy="319148"/>
      </dsp:txXfrm>
    </dsp:sp>
    <dsp:sp modelId="{2EB3AB5A-01A7-4904-92C8-AC304EC7B174}">
      <dsp:nvSpPr>
        <dsp:cNvPr id="0" name=""/>
        <dsp:cNvSpPr/>
      </dsp:nvSpPr>
      <dsp:spPr>
        <a:xfrm rot="19826156">
          <a:off x="2557611" y="1197698"/>
          <a:ext cx="311800" cy="24125"/>
        </a:xfrm>
        <a:custGeom>
          <a:avLst/>
          <a:gdLst/>
          <a:ahLst/>
          <a:cxnLst/>
          <a:rect l="0" t="0" r="0" b="0"/>
          <a:pathLst>
            <a:path>
              <a:moveTo>
                <a:pt x="0" y="12062"/>
              </a:moveTo>
              <a:lnTo>
                <a:pt x="311800" y="1206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05716" y="1201966"/>
        <a:ext cx="15590" cy="15590"/>
      </dsp:txXfrm>
    </dsp:sp>
    <dsp:sp modelId="{AF30E00C-B95C-460D-B03E-45D9A4DA3374}">
      <dsp:nvSpPr>
        <dsp:cNvPr id="0" name=""/>
        <dsp:cNvSpPr/>
      </dsp:nvSpPr>
      <dsp:spPr>
        <a:xfrm>
          <a:off x="2849114" y="963337"/>
          <a:ext cx="678012" cy="339006"/>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kern="1200">
              <a:solidFill>
                <a:schemeClr val="tx1"/>
              </a:solidFill>
            </a:rPr>
            <a:t>Still in lower secondary</a:t>
          </a:r>
        </a:p>
      </dsp:txBody>
      <dsp:txXfrm>
        <a:off x="2859043" y="973266"/>
        <a:ext cx="658154" cy="319148"/>
      </dsp:txXfrm>
    </dsp:sp>
    <dsp:sp modelId="{6319E295-ED65-4B95-9B9D-D65C2B10E286}">
      <dsp:nvSpPr>
        <dsp:cNvPr id="0" name=""/>
        <dsp:cNvSpPr/>
      </dsp:nvSpPr>
      <dsp:spPr>
        <a:xfrm rot="19755968">
          <a:off x="3504969" y="1040154"/>
          <a:ext cx="315519" cy="24125"/>
        </a:xfrm>
        <a:custGeom>
          <a:avLst/>
          <a:gdLst/>
          <a:ahLst/>
          <a:cxnLst/>
          <a:rect l="0" t="0" r="0" b="0"/>
          <a:pathLst>
            <a:path>
              <a:moveTo>
                <a:pt x="0" y="12062"/>
              </a:moveTo>
              <a:lnTo>
                <a:pt x="315519" y="1206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54841" y="1044329"/>
        <a:ext cx="15775" cy="15775"/>
      </dsp:txXfrm>
    </dsp:sp>
    <dsp:sp modelId="{865AD09B-D4B2-46F4-A31C-AC452F7D58F2}">
      <dsp:nvSpPr>
        <dsp:cNvPr id="0" name=""/>
        <dsp:cNvSpPr/>
      </dsp:nvSpPr>
      <dsp:spPr>
        <a:xfrm>
          <a:off x="3798331" y="802091"/>
          <a:ext cx="678012" cy="339006"/>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kern="1200">
              <a:solidFill>
                <a:schemeClr val="tx1"/>
              </a:solidFill>
            </a:rPr>
            <a:t>Upper secondary dropout </a:t>
          </a:r>
        </a:p>
      </dsp:txBody>
      <dsp:txXfrm>
        <a:off x="3808260" y="812020"/>
        <a:ext cx="658154" cy="319148"/>
      </dsp:txXfrm>
    </dsp:sp>
    <dsp:sp modelId="{E54E49E2-FE8A-4B95-AE31-4816ACF35A78}">
      <dsp:nvSpPr>
        <dsp:cNvPr id="0" name=""/>
        <dsp:cNvSpPr/>
      </dsp:nvSpPr>
      <dsp:spPr>
        <a:xfrm rot="19457599">
          <a:off x="4444951" y="862066"/>
          <a:ext cx="333990" cy="24125"/>
        </a:xfrm>
        <a:custGeom>
          <a:avLst/>
          <a:gdLst/>
          <a:ahLst/>
          <a:cxnLst/>
          <a:rect l="0" t="0" r="0" b="0"/>
          <a:pathLst>
            <a:path>
              <a:moveTo>
                <a:pt x="0" y="12062"/>
              </a:moveTo>
              <a:lnTo>
                <a:pt x="333990" y="1206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4603596" y="865780"/>
        <a:ext cx="16699" cy="16699"/>
      </dsp:txXfrm>
    </dsp:sp>
    <dsp:sp modelId="{FB30F86C-DB0C-4CEA-9FAB-333D712D743F}">
      <dsp:nvSpPr>
        <dsp:cNvPr id="0" name=""/>
        <dsp:cNvSpPr/>
      </dsp:nvSpPr>
      <dsp:spPr>
        <a:xfrm>
          <a:off x="4747549" y="607162"/>
          <a:ext cx="678012" cy="339006"/>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kern="1200">
              <a:solidFill>
                <a:schemeClr val="tx1"/>
              </a:solidFill>
            </a:rPr>
            <a:t>Still in or completed upper secondary</a:t>
          </a:r>
        </a:p>
      </dsp:txBody>
      <dsp:txXfrm>
        <a:off x="4757478" y="617091"/>
        <a:ext cx="658154" cy="319148"/>
      </dsp:txXfrm>
    </dsp:sp>
    <dsp:sp modelId="{FB2503E5-864D-4FC9-AF26-1E7CE853E462}">
      <dsp:nvSpPr>
        <dsp:cNvPr id="0" name=""/>
        <dsp:cNvSpPr/>
      </dsp:nvSpPr>
      <dsp:spPr>
        <a:xfrm rot="2142401">
          <a:off x="4444951" y="1056995"/>
          <a:ext cx="333990" cy="24125"/>
        </a:xfrm>
        <a:custGeom>
          <a:avLst/>
          <a:gdLst/>
          <a:ahLst/>
          <a:cxnLst/>
          <a:rect l="0" t="0" r="0" b="0"/>
          <a:pathLst>
            <a:path>
              <a:moveTo>
                <a:pt x="0" y="12062"/>
              </a:moveTo>
              <a:lnTo>
                <a:pt x="333990" y="1206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4603596" y="1060708"/>
        <a:ext cx="16699" cy="16699"/>
      </dsp:txXfrm>
    </dsp:sp>
    <dsp:sp modelId="{42C08B72-5ADA-4D82-A265-6748F2DA3343}">
      <dsp:nvSpPr>
        <dsp:cNvPr id="0" name=""/>
        <dsp:cNvSpPr/>
      </dsp:nvSpPr>
      <dsp:spPr>
        <a:xfrm>
          <a:off x="4747549" y="997019"/>
          <a:ext cx="678012" cy="339006"/>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kern="1200">
              <a:solidFill>
                <a:schemeClr val="tx1"/>
              </a:solidFill>
            </a:rPr>
            <a:t>Did not complete upper secondary by age 24</a:t>
          </a:r>
        </a:p>
      </dsp:txBody>
      <dsp:txXfrm>
        <a:off x="4757478" y="1006948"/>
        <a:ext cx="658154" cy="319148"/>
      </dsp:txXfrm>
    </dsp:sp>
    <dsp:sp modelId="{B1A57E00-30E0-4E29-B2DF-A3CF34E672AF}">
      <dsp:nvSpPr>
        <dsp:cNvPr id="0" name=""/>
        <dsp:cNvSpPr/>
      </dsp:nvSpPr>
      <dsp:spPr>
        <a:xfrm rot="2142401">
          <a:off x="3495734" y="1218242"/>
          <a:ext cx="333990" cy="24125"/>
        </a:xfrm>
        <a:custGeom>
          <a:avLst/>
          <a:gdLst/>
          <a:ahLst/>
          <a:cxnLst/>
          <a:rect l="0" t="0" r="0" b="0"/>
          <a:pathLst>
            <a:path>
              <a:moveTo>
                <a:pt x="0" y="12062"/>
              </a:moveTo>
              <a:lnTo>
                <a:pt x="333990" y="1206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54379" y="1221955"/>
        <a:ext cx="16699" cy="16699"/>
      </dsp:txXfrm>
    </dsp:sp>
    <dsp:sp modelId="{076DA378-10AF-4C52-9C1B-9A282B559629}">
      <dsp:nvSpPr>
        <dsp:cNvPr id="0" name=""/>
        <dsp:cNvSpPr/>
      </dsp:nvSpPr>
      <dsp:spPr>
        <a:xfrm>
          <a:off x="3798331" y="1191948"/>
          <a:ext cx="286100" cy="271642"/>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kern="1200">
              <a:solidFill>
                <a:schemeClr val="tx1"/>
              </a:solidFill>
            </a:rPr>
            <a:t>Exit</a:t>
          </a:r>
        </a:p>
      </dsp:txBody>
      <dsp:txXfrm>
        <a:off x="3806287" y="1199904"/>
        <a:ext cx="270188" cy="255730"/>
      </dsp:txXfrm>
    </dsp:sp>
    <dsp:sp modelId="{2E53035C-606B-4534-8FCC-8F1C4079D992}">
      <dsp:nvSpPr>
        <dsp:cNvPr id="0" name=""/>
        <dsp:cNvSpPr/>
      </dsp:nvSpPr>
      <dsp:spPr>
        <a:xfrm rot="2142401">
          <a:off x="2546516" y="1372083"/>
          <a:ext cx="333990" cy="24125"/>
        </a:xfrm>
        <a:custGeom>
          <a:avLst/>
          <a:gdLst/>
          <a:ahLst/>
          <a:cxnLst/>
          <a:rect l="0" t="0" r="0" b="0"/>
          <a:pathLst>
            <a:path>
              <a:moveTo>
                <a:pt x="0" y="12062"/>
              </a:moveTo>
              <a:lnTo>
                <a:pt x="333990" y="1206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05161" y="1375796"/>
        <a:ext cx="16699" cy="16699"/>
      </dsp:txXfrm>
    </dsp:sp>
    <dsp:sp modelId="{3430A81E-5677-4206-B829-AF183F47915B}">
      <dsp:nvSpPr>
        <dsp:cNvPr id="0" name=""/>
        <dsp:cNvSpPr/>
      </dsp:nvSpPr>
      <dsp:spPr>
        <a:xfrm>
          <a:off x="2849114" y="1353194"/>
          <a:ext cx="297979" cy="256831"/>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kern="1200">
              <a:solidFill>
                <a:schemeClr val="tx1"/>
              </a:solidFill>
            </a:rPr>
            <a:t>Exit</a:t>
          </a:r>
        </a:p>
      </dsp:txBody>
      <dsp:txXfrm>
        <a:off x="2856636" y="1360716"/>
        <a:ext cx="282935" cy="241787"/>
      </dsp:txXfrm>
    </dsp:sp>
    <dsp:sp modelId="{B740EFFD-D983-4ADF-9559-C0CD729B7FA4}">
      <dsp:nvSpPr>
        <dsp:cNvPr id="0" name=""/>
        <dsp:cNvSpPr/>
      </dsp:nvSpPr>
      <dsp:spPr>
        <a:xfrm rot="2142401">
          <a:off x="1597298" y="1519995"/>
          <a:ext cx="333990" cy="24125"/>
        </a:xfrm>
        <a:custGeom>
          <a:avLst/>
          <a:gdLst/>
          <a:ahLst/>
          <a:cxnLst/>
          <a:rect l="0" t="0" r="0" b="0"/>
          <a:pathLst>
            <a:path>
              <a:moveTo>
                <a:pt x="0" y="12062"/>
              </a:moveTo>
              <a:lnTo>
                <a:pt x="333990" y="1206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755944" y="1523708"/>
        <a:ext cx="16699" cy="16699"/>
      </dsp:txXfrm>
    </dsp:sp>
    <dsp:sp modelId="{17078B8A-B4B6-4EDB-87F8-927EF12A8A5A}">
      <dsp:nvSpPr>
        <dsp:cNvPr id="0" name=""/>
        <dsp:cNvSpPr/>
      </dsp:nvSpPr>
      <dsp:spPr>
        <a:xfrm>
          <a:off x="1899896" y="1507036"/>
          <a:ext cx="297979" cy="244972"/>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kern="1200">
              <a:solidFill>
                <a:schemeClr val="tx1"/>
              </a:solidFill>
            </a:rPr>
            <a:t>Exit</a:t>
          </a:r>
        </a:p>
      </dsp:txBody>
      <dsp:txXfrm>
        <a:off x="1907071" y="1514211"/>
        <a:ext cx="283629" cy="230622"/>
      </dsp:txXfrm>
    </dsp:sp>
    <dsp:sp modelId="{E6E3CE37-2AAE-4BC0-BF30-E12658BC0EEA}">
      <dsp:nvSpPr>
        <dsp:cNvPr id="0" name=""/>
        <dsp:cNvSpPr/>
      </dsp:nvSpPr>
      <dsp:spPr>
        <a:xfrm rot="1943324">
          <a:off x="651859" y="1676619"/>
          <a:ext cx="355011" cy="24125"/>
        </a:xfrm>
        <a:custGeom>
          <a:avLst/>
          <a:gdLst/>
          <a:ahLst/>
          <a:cxnLst/>
          <a:rect l="0" t="0" r="0" b="0"/>
          <a:pathLst>
            <a:path>
              <a:moveTo>
                <a:pt x="0" y="12062"/>
              </a:moveTo>
              <a:lnTo>
                <a:pt x="355011" y="12062"/>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820490" y="1679807"/>
        <a:ext cx="17750" cy="17750"/>
      </dsp:txXfrm>
    </dsp:sp>
    <dsp:sp modelId="{CC8D2DAF-170C-49C2-BA70-63B3E8555210}">
      <dsp:nvSpPr>
        <dsp:cNvPr id="0" name=""/>
        <dsp:cNvSpPr/>
      </dsp:nvSpPr>
      <dsp:spPr>
        <a:xfrm>
          <a:off x="979257" y="1650184"/>
          <a:ext cx="297972" cy="26716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b="1" kern="1200">
              <a:solidFill>
                <a:schemeClr val="tx1"/>
              </a:solidFill>
            </a:rPr>
            <a:t>Exit</a:t>
          </a:r>
        </a:p>
      </dsp:txBody>
      <dsp:txXfrm>
        <a:off x="987082" y="1658009"/>
        <a:ext cx="282322" cy="25151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0.01325</cdr:x>
      <cdr:y>0</cdr:y>
    </cdr:from>
    <cdr:to>
      <cdr:x>0.49649</cdr:x>
      <cdr:y>0.09012</cdr:y>
    </cdr:to>
    <cdr:sp macro="" textlink="">
      <cdr:nvSpPr>
        <cdr:cNvPr id="2" name="TextBox 1"/>
        <cdr:cNvSpPr txBox="1"/>
      </cdr:nvSpPr>
      <cdr:spPr>
        <a:xfrm xmlns:a="http://schemas.openxmlformats.org/drawingml/2006/main">
          <a:off x="38669" y="0"/>
          <a:ext cx="1410303" cy="25321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0">
              <a:solidFill>
                <a:schemeClr val="bg1">
                  <a:lumMod val="50000"/>
                </a:schemeClr>
              </a:solidFill>
            </a:rPr>
            <a:t>A. In Millions of US$</a:t>
          </a:r>
        </a:p>
      </cdr:txBody>
    </cdr:sp>
  </cdr:relSizeAnchor>
</c:userShapes>
</file>

<file path=word/drawings/drawing2.xml><?xml version="1.0" encoding="utf-8"?>
<c:userShapes xmlns:c="http://schemas.openxmlformats.org/drawingml/2006/chart">
  <cdr:relSizeAnchor xmlns:cdr="http://schemas.openxmlformats.org/drawingml/2006/chartDrawing">
    <cdr:from>
      <cdr:x>0.01325</cdr:x>
      <cdr:y>0</cdr:y>
    </cdr:from>
    <cdr:to>
      <cdr:x>0.49649</cdr:x>
      <cdr:y>0.09012</cdr:y>
    </cdr:to>
    <cdr:sp macro="" textlink="">
      <cdr:nvSpPr>
        <cdr:cNvPr id="2" name="TextBox 1"/>
        <cdr:cNvSpPr txBox="1"/>
      </cdr:nvSpPr>
      <cdr:spPr>
        <a:xfrm xmlns:a="http://schemas.openxmlformats.org/drawingml/2006/main">
          <a:off x="38669" y="0"/>
          <a:ext cx="1410303" cy="25321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0">
              <a:solidFill>
                <a:schemeClr val="bg1">
                  <a:lumMod val="50000"/>
                </a:schemeClr>
              </a:solidFill>
            </a:rPr>
            <a:t>A. In Millions of US$</a:t>
          </a:r>
        </a:p>
      </cdr:txBody>
    </cdr:sp>
  </cdr:relSizeAnchor>
</c:userShapes>
</file>

<file path=word/drawings/drawing3.xml><?xml version="1.0" encoding="utf-8"?>
<c:userShapes xmlns:c="http://schemas.openxmlformats.org/drawingml/2006/chart">
  <cdr:relSizeAnchor xmlns:cdr="http://schemas.openxmlformats.org/drawingml/2006/chartDrawing">
    <cdr:from>
      <cdr:x>0.03704</cdr:x>
      <cdr:y>0.05142</cdr:y>
    </cdr:from>
    <cdr:to>
      <cdr:x>0.46228</cdr:x>
      <cdr:y>0.15106</cdr:y>
    </cdr:to>
    <cdr:sp macro="" textlink="">
      <cdr:nvSpPr>
        <cdr:cNvPr id="2" name="TextBox 1"/>
        <cdr:cNvSpPr txBox="1"/>
      </cdr:nvSpPr>
      <cdr:spPr>
        <a:xfrm xmlns:a="http://schemas.openxmlformats.org/drawingml/2006/main">
          <a:off x="151280" y="144557"/>
          <a:ext cx="1736912" cy="28014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solidFill>
                <a:schemeClr val="bg1">
                  <a:lumMod val="50000"/>
                </a:schemeClr>
              </a:solidFill>
            </a:rPr>
            <a:t>B.</a:t>
          </a:r>
          <a:r>
            <a:rPr lang="en-US" sz="1100" baseline="0">
              <a:solidFill>
                <a:schemeClr val="bg1">
                  <a:lumMod val="50000"/>
                </a:schemeClr>
              </a:solidFill>
            </a:rPr>
            <a:t> Breakdown by level</a:t>
          </a:r>
          <a:endParaRPr lang="en-US" sz="1100">
            <a:solidFill>
              <a:schemeClr val="bg1">
                <a:lumMod val="50000"/>
              </a:schemeClr>
            </a:solidFill>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0.52023</cdr:x>
      <cdr:y>0.26675</cdr:y>
    </cdr:from>
    <cdr:to>
      <cdr:x>0.55578</cdr:x>
      <cdr:y>0.4842</cdr:y>
    </cdr:to>
    <cdr:sp macro="" textlink="">
      <cdr:nvSpPr>
        <cdr:cNvPr id="14" name="Right Brace 13"/>
        <cdr:cNvSpPr/>
      </cdr:nvSpPr>
      <cdr:spPr>
        <a:xfrm xmlns:a="http://schemas.openxmlformats.org/drawingml/2006/main">
          <a:off x="2442904" y="1004888"/>
          <a:ext cx="166945" cy="819150"/>
        </a:xfrm>
        <a:prstGeom xmlns:a="http://schemas.openxmlformats.org/drawingml/2006/main" prst="rightBrace">
          <a:avLst/>
        </a:prstGeom>
        <a:ln xmlns:a="http://schemas.openxmlformats.org/drawingml/2006/main" w="19050">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dirty="0"/>
        </a:p>
      </cdr:txBody>
    </cdr:sp>
  </cdr:relSizeAnchor>
  <cdr:relSizeAnchor xmlns:cdr="http://schemas.openxmlformats.org/drawingml/2006/chartDrawing">
    <cdr:from>
      <cdr:x>0.10652</cdr:x>
      <cdr:y>0.71176</cdr:y>
    </cdr:from>
    <cdr:to>
      <cdr:x>0.13777</cdr:x>
      <cdr:y>0.74463</cdr:y>
    </cdr:to>
    <cdr:sp macro="" textlink="">
      <cdr:nvSpPr>
        <cdr:cNvPr id="16" name="TextBox 15"/>
        <cdr:cNvSpPr txBox="1"/>
      </cdr:nvSpPr>
      <cdr:spPr>
        <a:xfrm xmlns:a="http://schemas.openxmlformats.org/drawingml/2006/main">
          <a:off x="500221" y="2681288"/>
          <a:ext cx="146745" cy="123825"/>
        </a:xfrm>
        <a:prstGeom xmlns:a="http://schemas.openxmlformats.org/drawingml/2006/main" prst="rect">
          <a:avLst/>
        </a:prstGeom>
      </cdr:spPr>
      <cdr:txBody>
        <a:bodyPr xmlns:a="http://schemas.openxmlformats.org/drawingml/2006/main" vertOverflow="clip" wrap="none" lIns="0" tIns="0" rIns="0" bIns="0" rtlCol="0"/>
        <a:lstStyle xmlns:a="http://schemas.openxmlformats.org/drawingml/2006/main"/>
        <a:p xmlns:a="http://schemas.openxmlformats.org/drawingml/2006/main">
          <a:r>
            <a:rPr lang="en-US" sz="1100" dirty="0"/>
            <a:t>A</a:t>
          </a:r>
        </a:p>
      </cdr:txBody>
    </cdr:sp>
  </cdr:relSizeAnchor>
  <cdr:relSizeAnchor xmlns:cdr="http://schemas.openxmlformats.org/drawingml/2006/chartDrawing">
    <cdr:from>
      <cdr:x>0.33326</cdr:x>
      <cdr:y>0.26633</cdr:y>
    </cdr:from>
    <cdr:to>
      <cdr:x>0.36243</cdr:x>
      <cdr:y>0.30931</cdr:y>
    </cdr:to>
    <cdr:sp macro="" textlink="">
      <cdr:nvSpPr>
        <cdr:cNvPr id="17" name="TextBox 1"/>
        <cdr:cNvSpPr txBox="1"/>
      </cdr:nvSpPr>
      <cdr:spPr>
        <a:xfrm xmlns:a="http://schemas.openxmlformats.org/drawingml/2006/main">
          <a:off x="1564924" y="1003300"/>
          <a:ext cx="136962" cy="161925"/>
        </a:xfrm>
        <a:prstGeom xmlns:a="http://schemas.openxmlformats.org/drawingml/2006/main" prst="rect">
          <a:avLst/>
        </a:prstGeom>
      </cdr:spPr>
      <cdr:txBody>
        <a:bodyPr xmlns:a="http://schemas.openxmlformats.org/drawingml/2006/main" wrap="non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dirty="0"/>
            <a:t>C</a:t>
          </a:r>
        </a:p>
      </cdr:txBody>
    </cdr:sp>
  </cdr:relSizeAnchor>
  <cdr:relSizeAnchor xmlns:cdr="http://schemas.openxmlformats.org/drawingml/2006/chartDrawing">
    <cdr:from>
      <cdr:x>0.18414</cdr:x>
      <cdr:y>0.45343</cdr:y>
    </cdr:from>
    <cdr:to>
      <cdr:x>0.2133</cdr:x>
      <cdr:y>0.49642</cdr:y>
    </cdr:to>
    <cdr:sp macro="" textlink="">
      <cdr:nvSpPr>
        <cdr:cNvPr id="18" name="TextBox 1"/>
        <cdr:cNvSpPr txBox="1"/>
      </cdr:nvSpPr>
      <cdr:spPr>
        <a:xfrm xmlns:a="http://schemas.openxmlformats.org/drawingml/2006/main">
          <a:off x="864678" y="1708150"/>
          <a:ext cx="136962" cy="161925"/>
        </a:xfrm>
        <a:prstGeom xmlns:a="http://schemas.openxmlformats.org/drawingml/2006/main" prst="rect">
          <a:avLst/>
        </a:prstGeom>
      </cdr:spPr>
      <cdr:txBody>
        <a:bodyPr xmlns:a="http://schemas.openxmlformats.org/drawingml/2006/main" wrap="non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dirty="0"/>
            <a:t>B</a:t>
          </a:r>
        </a:p>
      </cdr:txBody>
    </cdr:sp>
  </cdr:relSizeAnchor>
  <cdr:relSizeAnchor xmlns:cdr="http://schemas.openxmlformats.org/drawingml/2006/chartDrawing">
    <cdr:from>
      <cdr:x>0.69017</cdr:x>
      <cdr:y>0.0944</cdr:y>
    </cdr:from>
    <cdr:to>
      <cdr:x>0.71933</cdr:x>
      <cdr:y>0.13738</cdr:y>
    </cdr:to>
    <cdr:sp macro="" textlink="">
      <cdr:nvSpPr>
        <cdr:cNvPr id="19" name="TextBox 1"/>
        <cdr:cNvSpPr txBox="1"/>
      </cdr:nvSpPr>
      <cdr:spPr>
        <a:xfrm xmlns:a="http://schemas.openxmlformats.org/drawingml/2006/main">
          <a:off x="3240908" y="355600"/>
          <a:ext cx="136961" cy="161925"/>
        </a:xfrm>
        <a:prstGeom xmlns:a="http://schemas.openxmlformats.org/drawingml/2006/main" prst="rect">
          <a:avLst/>
        </a:prstGeom>
      </cdr:spPr>
      <cdr:txBody>
        <a:bodyPr xmlns:a="http://schemas.openxmlformats.org/drawingml/2006/main" wrap="non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dirty="0"/>
            <a:t>E</a:t>
          </a:r>
        </a:p>
      </cdr:txBody>
    </cdr:sp>
  </cdr:relSizeAnchor>
  <cdr:relSizeAnchor xmlns:cdr="http://schemas.openxmlformats.org/drawingml/2006/chartDrawing">
    <cdr:from>
      <cdr:x>0.45475</cdr:x>
      <cdr:y>0.19553</cdr:y>
    </cdr:from>
    <cdr:to>
      <cdr:x>0.48392</cdr:x>
      <cdr:y>0.23852</cdr:y>
    </cdr:to>
    <cdr:sp macro="" textlink="">
      <cdr:nvSpPr>
        <cdr:cNvPr id="20" name="TextBox 1"/>
        <cdr:cNvSpPr txBox="1"/>
      </cdr:nvSpPr>
      <cdr:spPr>
        <a:xfrm xmlns:a="http://schemas.openxmlformats.org/drawingml/2006/main">
          <a:off x="2135432" y="736600"/>
          <a:ext cx="136962" cy="161925"/>
        </a:xfrm>
        <a:prstGeom xmlns:a="http://schemas.openxmlformats.org/drawingml/2006/main" prst="rect">
          <a:avLst/>
        </a:prstGeom>
      </cdr:spPr>
      <cdr:txBody>
        <a:bodyPr xmlns:a="http://schemas.openxmlformats.org/drawingml/2006/main" wrap="non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dirty="0"/>
            <a:t>D</a:t>
          </a:r>
        </a:p>
      </cdr:txBody>
    </cdr:sp>
  </cdr:relSizeAnchor>
  <cdr:relSizeAnchor xmlns:cdr="http://schemas.openxmlformats.org/drawingml/2006/chartDrawing">
    <cdr:from>
      <cdr:x>0.87778</cdr:x>
      <cdr:y>0.11209</cdr:y>
    </cdr:from>
    <cdr:to>
      <cdr:x>0.90694</cdr:x>
      <cdr:y>0.15508</cdr:y>
    </cdr:to>
    <cdr:sp macro="" textlink="">
      <cdr:nvSpPr>
        <cdr:cNvPr id="21" name="TextBox 1"/>
        <cdr:cNvSpPr txBox="1"/>
      </cdr:nvSpPr>
      <cdr:spPr>
        <a:xfrm xmlns:a="http://schemas.openxmlformats.org/drawingml/2006/main">
          <a:off x="4013200" y="422275"/>
          <a:ext cx="133350" cy="161925"/>
        </a:xfrm>
        <a:prstGeom xmlns:a="http://schemas.openxmlformats.org/drawingml/2006/main" prst="rect">
          <a:avLst/>
        </a:prstGeom>
      </cdr:spPr>
      <cdr:txBody>
        <a:bodyPr xmlns:a="http://schemas.openxmlformats.org/drawingml/2006/main" wrap="non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dirty="0"/>
            <a:t>F</a:t>
          </a:r>
        </a:p>
      </cdr:txBody>
    </cdr:sp>
  </cdr:relSizeAnchor>
  <cdr:relSizeAnchor xmlns:cdr="http://schemas.openxmlformats.org/drawingml/2006/chartDrawing">
    <cdr:from>
      <cdr:x>0.51489</cdr:x>
      <cdr:y>0.51665</cdr:y>
    </cdr:from>
    <cdr:to>
      <cdr:x>0.54564</cdr:x>
      <cdr:y>0.58028</cdr:y>
    </cdr:to>
    <cdr:sp macro="" textlink="">
      <cdr:nvSpPr>
        <cdr:cNvPr id="22" name="TextBox 1"/>
        <cdr:cNvSpPr txBox="1"/>
      </cdr:nvSpPr>
      <cdr:spPr>
        <a:xfrm xmlns:a="http://schemas.openxmlformats.org/drawingml/2006/main">
          <a:off x="2417847" y="1946275"/>
          <a:ext cx="144377" cy="239713"/>
        </a:xfrm>
        <a:prstGeom xmlns:a="http://schemas.openxmlformats.org/drawingml/2006/main" prst="rect">
          <a:avLst/>
        </a:prstGeom>
      </cdr:spPr>
      <cdr:txBody>
        <a:bodyPr xmlns:a="http://schemas.openxmlformats.org/drawingml/2006/main" wrap="non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800" dirty="0"/>
            <a:t>I</a:t>
          </a:r>
        </a:p>
      </cdr:txBody>
    </cdr:sp>
  </cdr:relSizeAnchor>
  <cdr:relSizeAnchor xmlns:cdr="http://schemas.openxmlformats.org/drawingml/2006/chartDrawing">
    <cdr:from>
      <cdr:x>0.25943</cdr:x>
      <cdr:y>0.53224</cdr:y>
    </cdr:from>
    <cdr:to>
      <cdr:x>0.48755</cdr:x>
      <cdr:y>0.58534</cdr:y>
    </cdr:to>
    <cdr:sp macro="" textlink="">
      <cdr:nvSpPr>
        <cdr:cNvPr id="25" name="Left Brace 24"/>
        <cdr:cNvSpPr/>
      </cdr:nvSpPr>
      <cdr:spPr>
        <a:xfrm xmlns:a="http://schemas.openxmlformats.org/drawingml/2006/main" rot="16200000">
          <a:off x="1653832" y="1569408"/>
          <a:ext cx="200026" cy="1071234"/>
        </a:xfrm>
        <a:prstGeom xmlns:a="http://schemas.openxmlformats.org/drawingml/2006/main" prst="leftBrac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dirty="0"/>
        </a:p>
      </cdr:txBody>
    </cdr:sp>
  </cdr:relSizeAnchor>
  <cdr:relSizeAnchor xmlns:cdr="http://schemas.openxmlformats.org/drawingml/2006/chartDrawing">
    <cdr:from>
      <cdr:x>0.58411</cdr:x>
      <cdr:y>0.22353</cdr:y>
    </cdr:from>
    <cdr:to>
      <cdr:x>0.88996</cdr:x>
      <cdr:y>0.42786</cdr:y>
    </cdr:to>
    <cdr:sp macro="" textlink="">
      <cdr:nvSpPr>
        <cdr:cNvPr id="26" name="Oval Callout 25"/>
        <cdr:cNvSpPr/>
      </cdr:nvSpPr>
      <cdr:spPr>
        <a:xfrm xmlns:a="http://schemas.openxmlformats.org/drawingml/2006/main" rot="5213518">
          <a:off x="2984856" y="527761"/>
          <a:ext cx="769718" cy="1398354"/>
        </a:xfrm>
        <a:prstGeom xmlns:a="http://schemas.openxmlformats.org/drawingml/2006/main" prst="wedgeEllipseCallout">
          <a:avLst>
            <a:gd name="adj1" fmla="val 34771"/>
            <a:gd name="adj2" fmla="val 64162"/>
          </a:avLst>
        </a:prstGeom>
        <a:solidFill xmlns:a="http://schemas.openxmlformats.org/drawingml/2006/main">
          <a:srgbClr val="FFFF00"/>
        </a:solidFill>
        <a:ln xmlns:a="http://schemas.openxmlformats.org/drawingml/2006/main" w="0">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vert270" lIns="0" tIns="0" rIns="0" bIns="0"/>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sz="1100" dirty="0">
              <a:solidFill>
                <a:sysClr val="windowText" lastClr="000000"/>
              </a:solidFill>
              <a:effectLst/>
              <a:latin typeface="+mn-lt"/>
              <a:ea typeface="+mn-ea"/>
              <a:cs typeface="+mn-cs"/>
            </a:rPr>
            <a:t>Potential output increase </a:t>
          </a:r>
          <a:r>
            <a:rPr lang="en-US" dirty="0">
              <a:solidFill>
                <a:sysClr val="windowText" lastClr="000000"/>
              </a:solidFill>
            </a:rPr>
            <a:t>given </a:t>
          </a:r>
          <a:r>
            <a:rPr lang="en-US" sz="1100" dirty="0">
              <a:solidFill>
                <a:sysClr val="windowText" lastClr="000000"/>
              </a:solidFill>
              <a:effectLst/>
              <a:latin typeface="+mn-lt"/>
              <a:ea typeface="+mn-ea"/>
              <a:cs typeface="+mn-cs"/>
            </a:rPr>
            <a:t>the same input</a:t>
          </a:r>
        </a:p>
      </cdr:txBody>
    </cdr:sp>
  </cdr:relSizeAnchor>
  <cdr:relSizeAnchor xmlns:cdr="http://schemas.openxmlformats.org/drawingml/2006/chartDrawing">
    <cdr:from>
      <cdr:x>0.23914</cdr:x>
      <cdr:y>0.63161</cdr:y>
    </cdr:from>
    <cdr:to>
      <cdr:x>0.60192</cdr:x>
      <cdr:y>0.81723</cdr:y>
    </cdr:to>
    <cdr:sp macro="" textlink="">
      <cdr:nvSpPr>
        <cdr:cNvPr id="27" name="Oval Callout 26"/>
        <cdr:cNvSpPr/>
      </cdr:nvSpPr>
      <cdr:spPr>
        <a:xfrm xmlns:a="http://schemas.openxmlformats.org/drawingml/2006/main">
          <a:off x="1122963" y="2379376"/>
          <a:ext cx="1703540" cy="699227"/>
        </a:xfrm>
        <a:prstGeom xmlns:a="http://schemas.openxmlformats.org/drawingml/2006/main" prst="wedgeEllipseCallout">
          <a:avLst>
            <a:gd name="adj1" fmla="val -13612"/>
            <a:gd name="adj2" fmla="val -65367"/>
          </a:avLst>
        </a:prstGeom>
        <a:solidFill xmlns:a="http://schemas.openxmlformats.org/drawingml/2006/main">
          <a:srgbClr val="FFFF00"/>
        </a:solidFill>
        <a:ln xmlns:a="http://schemas.openxmlformats.org/drawingml/2006/main" w="0">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horz" lIns="0" tIns="0" rIns="0" bIns="0"/>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sz="1100" dirty="0">
              <a:solidFill>
                <a:sysClr val="windowText" lastClr="000000"/>
              </a:solidFill>
              <a:effectLst/>
              <a:latin typeface="+mn-lt"/>
              <a:ea typeface="+mn-ea"/>
              <a:cs typeface="+mn-cs"/>
            </a:rPr>
            <a:t>Same output can be achieved with less resources</a:t>
          </a:r>
        </a:p>
      </cdr:txBody>
    </cdr:sp>
  </cdr:relSizeAnchor>
  <cdr:relSizeAnchor xmlns:cdr="http://schemas.openxmlformats.org/drawingml/2006/chartDrawing">
    <cdr:from>
      <cdr:x>0.25225</cdr:x>
      <cdr:y>0.49431</cdr:y>
    </cdr:from>
    <cdr:to>
      <cdr:x>0.47667</cdr:x>
      <cdr:y>0.53729</cdr:y>
    </cdr:to>
    <cdr:sp macro="" textlink="">
      <cdr:nvSpPr>
        <cdr:cNvPr id="28" name="Right Arrow 27"/>
        <cdr:cNvSpPr/>
      </cdr:nvSpPr>
      <cdr:spPr>
        <a:xfrm xmlns:a="http://schemas.openxmlformats.org/drawingml/2006/main" flipH="1">
          <a:off x="1184511" y="1862138"/>
          <a:ext cx="1053863" cy="161925"/>
        </a:xfrm>
        <a:prstGeom xmlns:a="http://schemas.openxmlformats.org/drawingml/2006/main" prst="rightArrow">
          <a:avLst/>
        </a:prstGeom>
        <a:solidFill xmlns:a="http://schemas.openxmlformats.org/drawingml/2006/main">
          <a:srgbClr val="FF000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dirty="0"/>
        </a:p>
      </cdr:txBody>
    </cdr:sp>
  </cdr:relSizeAnchor>
  <cdr:relSizeAnchor xmlns:cdr="http://schemas.openxmlformats.org/drawingml/2006/chartDrawing">
    <cdr:from>
      <cdr:x>0.48661</cdr:x>
      <cdr:y>0.27544</cdr:y>
    </cdr:from>
    <cdr:to>
      <cdr:x>0.51927</cdr:x>
      <cdr:y>0.48925</cdr:y>
    </cdr:to>
    <cdr:sp macro="" textlink="">
      <cdr:nvSpPr>
        <cdr:cNvPr id="29" name="Right Arrow 28"/>
        <cdr:cNvSpPr/>
      </cdr:nvSpPr>
      <cdr:spPr>
        <a:xfrm xmlns:a="http://schemas.openxmlformats.org/drawingml/2006/main" rot="5400000" flipH="1" flipV="1">
          <a:off x="1958978" y="1363663"/>
          <a:ext cx="805465" cy="153383"/>
        </a:xfrm>
        <a:prstGeom xmlns:a="http://schemas.openxmlformats.org/drawingml/2006/main" prst="rightArrow">
          <a:avLst/>
        </a:prstGeom>
        <a:solidFill xmlns:a="http://schemas.openxmlformats.org/drawingml/2006/main">
          <a:srgbClr val="00B05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dirty="0"/>
        </a:p>
      </cdr:txBody>
    </cdr:sp>
  </cdr:relSizeAnchor>
  <cdr:relSizeAnchor xmlns:cdr="http://schemas.openxmlformats.org/drawingml/2006/chartDrawing">
    <cdr:from>
      <cdr:x>0.70453</cdr:x>
      <cdr:y>0.46355</cdr:y>
    </cdr:from>
    <cdr:to>
      <cdr:x>0.7337</cdr:x>
      <cdr:y>0.50653</cdr:y>
    </cdr:to>
    <cdr:sp macro="" textlink="">
      <cdr:nvSpPr>
        <cdr:cNvPr id="30" name="TextBox 1"/>
        <cdr:cNvSpPr txBox="1"/>
      </cdr:nvSpPr>
      <cdr:spPr>
        <a:xfrm xmlns:a="http://schemas.openxmlformats.org/drawingml/2006/main">
          <a:off x="3308350" y="1746250"/>
          <a:ext cx="136962" cy="161925"/>
        </a:xfrm>
        <a:prstGeom xmlns:a="http://schemas.openxmlformats.org/drawingml/2006/main" prst="rect">
          <a:avLst/>
        </a:prstGeom>
      </cdr:spPr>
      <cdr:txBody>
        <a:bodyPr xmlns:a="http://schemas.openxmlformats.org/drawingml/2006/main" wrap="non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dirty="0"/>
            <a:t>J</a:t>
          </a:r>
        </a:p>
      </cdr:txBody>
    </cdr:sp>
  </cdr:relSizeAnchor>
  <cdr:relSizeAnchor xmlns:cdr="http://schemas.openxmlformats.org/drawingml/2006/chartDrawing">
    <cdr:from>
      <cdr:x>0.38607</cdr:x>
      <cdr:y>0.41298</cdr:y>
    </cdr:from>
    <cdr:to>
      <cdr:x>0.41524</cdr:x>
      <cdr:y>0.45596</cdr:y>
    </cdr:to>
    <cdr:sp macro="" textlink="">
      <cdr:nvSpPr>
        <cdr:cNvPr id="31" name="TextBox 1"/>
        <cdr:cNvSpPr txBox="1"/>
      </cdr:nvSpPr>
      <cdr:spPr>
        <a:xfrm xmlns:a="http://schemas.openxmlformats.org/drawingml/2006/main">
          <a:off x="1812925" y="1555750"/>
          <a:ext cx="136962" cy="161925"/>
        </a:xfrm>
        <a:prstGeom xmlns:a="http://schemas.openxmlformats.org/drawingml/2006/main" prst="rect">
          <a:avLst/>
        </a:prstGeom>
      </cdr:spPr>
      <cdr:txBody>
        <a:bodyPr xmlns:a="http://schemas.openxmlformats.org/drawingml/2006/main" wrap="non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dirty="0"/>
            <a:t>H</a:t>
          </a:r>
        </a:p>
      </cdr:txBody>
    </cdr:sp>
  </cdr:relSizeAnchor>
  <cdr:relSizeAnchor xmlns:cdr="http://schemas.openxmlformats.org/drawingml/2006/chartDrawing">
    <cdr:from>
      <cdr:x>0.24814</cdr:x>
      <cdr:y>0.5748</cdr:y>
    </cdr:from>
    <cdr:to>
      <cdr:x>0.27731</cdr:x>
      <cdr:y>0.61778</cdr:y>
    </cdr:to>
    <cdr:sp macro="" textlink="">
      <cdr:nvSpPr>
        <cdr:cNvPr id="32" name="TextBox 1"/>
        <cdr:cNvSpPr txBox="1"/>
      </cdr:nvSpPr>
      <cdr:spPr>
        <a:xfrm xmlns:a="http://schemas.openxmlformats.org/drawingml/2006/main">
          <a:off x="1165225" y="2165350"/>
          <a:ext cx="136962" cy="161925"/>
        </a:xfrm>
        <a:prstGeom xmlns:a="http://schemas.openxmlformats.org/drawingml/2006/main" prst="rect">
          <a:avLst/>
        </a:prstGeom>
      </cdr:spPr>
      <cdr:txBody>
        <a:bodyPr xmlns:a="http://schemas.openxmlformats.org/drawingml/2006/main" wrap="non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dirty="0"/>
            <a:t>G</a:t>
          </a:r>
        </a:p>
      </cdr:txBody>
    </cdr:sp>
  </cdr:relSizeAnchor>
  <cdr:relSizeAnchor xmlns:cdr="http://schemas.openxmlformats.org/drawingml/2006/chartDrawing">
    <cdr:from>
      <cdr:x>0.90331</cdr:x>
      <cdr:y>0.46861</cdr:y>
    </cdr:from>
    <cdr:to>
      <cdr:x>0.93248</cdr:x>
      <cdr:y>0.51159</cdr:y>
    </cdr:to>
    <cdr:sp macro="" textlink="">
      <cdr:nvSpPr>
        <cdr:cNvPr id="33" name="TextBox 1"/>
        <cdr:cNvSpPr txBox="1"/>
      </cdr:nvSpPr>
      <cdr:spPr>
        <a:xfrm xmlns:a="http://schemas.openxmlformats.org/drawingml/2006/main">
          <a:off x="4241800" y="1765300"/>
          <a:ext cx="136962" cy="161925"/>
        </a:xfrm>
        <a:prstGeom xmlns:a="http://schemas.openxmlformats.org/drawingml/2006/main" prst="rect">
          <a:avLst/>
        </a:prstGeom>
      </cdr:spPr>
      <cdr:txBody>
        <a:bodyPr xmlns:a="http://schemas.openxmlformats.org/drawingml/2006/main" wrap="non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dirty="0"/>
            <a:t>K</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478CC12881F3D4FB16C7014AA843BF9" ma:contentTypeVersion="2" ma:contentTypeDescription="Create a new document." ma:contentTypeScope="" ma:versionID="d2fbdc9779ab3d94639e45bc765f0937">
  <xsd:schema xmlns:xsd="http://www.w3.org/2001/XMLSchema" xmlns:xs="http://www.w3.org/2001/XMLSchema" xmlns:p="http://schemas.microsoft.com/office/2006/metadata/properties" xmlns:ns2="bf45fa88-98c7-47bb-888f-84717ead0ae6" targetNamespace="http://schemas.microsoft.com/office/2006/metadata/properties" ma:root="true" ma:fieldsID="2e0ca4e7f36a92509c00cdfd76d58cbe" ns2:_="">
    <xsd:import namespace="bf45fa88-98c7-47bb-888f-84717ead0ae6"/>
    <xsd:element name="properties">
      <xsd:complexType>
        <xsd:sequence>
          <xsd:element name="documentManagement">
            <xsd:complexType>
              <xsd:all>
                <xsd:element ref="ns2:DSRServiceReque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45fa88-98c7-47bb-888f-84717ead0ae6" elementFormDefault="qualified">
    <xsd:import namespace="http://schemas.microsoft.com/office/2006/documentManagement/types"/>
    <xsd:import namespace="http://schemas.microsoft.com/office/infopath/2007/PartnerControls"/>
    <xsd:element name="DSRServiceRequestID" ma:index="8" nillable="true" ma:displayName="DSRServiceRequestID" ma:list="{f3ae5b33-8917-4057-9a6c-4074f6c415ad}" ma:internalName="DSRServiceRequestID" ma:showField="ID">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SRServiceRequestID xmlns="bf45fa88-98c7-47bb-888f-84717ead0ae6">1254</DSRServiceRequestID>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C7DC1B3-0645-44A9-B07B-5031FF9F57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45fa88-98c7-47bb-888f-84717ead0a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459A7E9-C66B-4D78-B13E-FB0AEEA0CCB9}">
  <ds:schemaRefs>
    <ds:schemaRef ds:uri="http://schemas.microsoft.com/sharepoint/v3/contenttype/forms"/>
  </ds:schemaRefs>
</ds:datastoreItem>
</file>

<file path=customXml/itemProps4.xml><?xml version="1.0" encoding="utf-8"?>
<ds:datastoreItem xmlns:ds="http://schemas.openxmlformats.org/officeDocument/2006/customXml" ds:itemID="{8EA103AC-DF05-4F7C-AC05-6E3723D58F70}">
  <ds:schemaRefs>
    <ds:schemaRef ds:uri="http://schemas.microsoft.com/office/2006/metadata/properties"/>
    <ds:schemaRef ds:uri="http://schemas.microsoft.com/office/infopath/2007/PartnerControls"/>
    <ds:schemaRef ds:uri="bf45fa88-98c7-47bb-888f-84717ead0ae6"/>
  </ds:schemaRefs>
</ds:datastoreItem>
</file>

<file path=customXml/itemProps5.xml><?xml version="1.0" encoding="utf-8"?>
<ds:datastoreItem xmlns:ds="http://schemas.openxmlformats.org/officeDocument/2006/customXml" ds:itemID="{A1CCF087-CC8A-47AD-A13D-0E843B0014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40197</Words>
  <Characters>229129</Characters>
  <Application>Microsoft Office Word</Application>
  <DocSecurity>0</DocSecurity>
  <Lines>1909</Lines>
  <Paragraphs>537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268789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Tanya June Savrimootoo</dc:creator>
  <cp:keywords/>
  <dc:description/>
  <cp:lastModifiedBy>Kebede Feda</cp:lastModifiedBy>
  <cp:revision>4</cp:revision>
  <cp:lastPrinted>2017-06-19T23:56:00Z</cp:lastPrinted>
  <dcterms:created xsi:type="dcterms:W3CDTF">2017-10-31T04:07:00Z</dcterms:created>
  <dcterms:modified xsi:type="dcterms:W3CDTF">2017-10-31T04:07:00Z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0x0101001478CC12881F3D4FB16C7014AA843BF9</vt:lpwstr>
  </property>
</Properties>
</file>