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3.xml" ContentType="application/vnd.openxmlformats-officedocument.drawingml.chartshapes+xml"/>
  <Override PartName="/word/charts/chart9.xml" ContentType="application/vnd.openxmlformats-officedocument.drawingml.chart+xml"/>
  <Override PartName="/word/drawings/drawing4.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0C8AE" w14:textId="77777777" w:rsidR="00463ED7" w:rsidRPr="00124DA6" w:rsidRDefault="0056660B" w:rsidP="004C6E5F">
      <w:pPr>
        <w:pStyle w:val="NoSpacing"/>
        <w:rPr>
          <w:lang w:val="en-US"/>
        </w:rPr>
      </w:pPr>
      <w:bookmarkStart w:id="0" w:name="_Hlk523912687"/>
      <w:bookmarkEnd w:id="0"/>
      <w:r w:rsidRPr="00124DA6">
        <w:rPr>
          <w:noProof/>
          <w:lang w:eastAsia="fr-FR"/>
        </w:rPr>
        <w:drawing>
          <wp:anchor distT="0" distB="0" distL="114300" distR="114300" simplePos="0" relativeHeight="251655680" behindDoc="1" locked="0" layoutInCell="1" allowOverlap="1" wp14:anchorId="5EC7BF2F" wp14:editId="347AB08D">
            <wp:simplePos x="0" y="0"/>
            <wp:positionH relativeFrom="page">
              <wp:posOffset>2300143</wp:posOffset>
            </wp:positionH>
            <wp:positionV relativeFrom="page">
              <wp:posOffset>914400</wp:posOffset>
            </wp:positionV>
            <wp:extent cx="3209925" cy="640080"/>
            <wp:effectExtent l="0" t="0" r="9525" b="762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G-FinanceMarkets-Horizontal-RGB-me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9925" cy="640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D7F8DA1" w14:textId="77777777" w:rsidR="00463ED7" w:rsidRPr="00124DA6" w:rsidRDefault="00463ED7" w:rsidP="004765FB">
      <w:pPr>
        <w:rPr>
          <w:lang w:val="en-US"/>
        </w:rPr>
      </w:pPr>
    </w:p>
    <w:p w14:paraId="01695234" w14:textId="77777777" w:rsidR="00463ED7" w:rsidRPr="00124DA6" w:rsidRDefault="00463ED7" w:rsidP="002A2427">
      <w:pPr>
        <w:rPr>
          <w:lang w:val="en-US"/>
        </w:rPr>
      </w:pPr>
    </w:p>
    <w:p w14:paraId="408339E8" w14:textId="77777777" w:rsidR="00A126FE" w:rsidRPr="00124DA6" w:rsidRDefault="00A126FE" w:rsidP="00A126FE">
      <w:pPr>
        <w:spacing w:line="100" w:lineRule="atLeast"/>
        <w:jc w:val="center"/>
        <w:rPr>
          <w:rFonts w:cs="Calibri"/>
          <w:b/>
          <w:sz w:val="36"/>
          <w:szCs w:val="36"/>
          <w:lang w:val="en-US"/>
        </w:rPr>
      </w:pPr>
    </w:p>
    <w:p w14:paraId="055148C9" w14:textId="77777777" w:rsidR="00A126FE" w:rsidRPr="00124DA6" w:rsidRDefault="00A126FE" w:rsidP="00A126FE">
      <w:pPr>
        <w:spacing w:line="100" w:lineRule="atLeast"/>
        <w:jc w:val="center"/>
        <w:rPr>
          <w:rFonts w:cs="Calibri"/>
          <w:b/>
          <w:sz w:val="36"/>
          <w:szCs w:val="36"/>
          <w:lang w:val="en-US"/>
        </w:rPr>
      </w:pPr>
    </w:p>
    <w:p w14:paraId="1A61FB3F" w14:textId="77777777" w:rsidR="00A126FE" w:rsidRPr="00124DA6" w:rsidRDefault="00A126FE" w:rsidP="00A126FE">
      <w:pPr>
        <w:spacing w:line="100" w:lineRule="atLeast"/>
        <w:jc w:val="center"/>
        <w:rPr>
          <w:rFonts w:cs="Calibri"/>
          <w:b/>
          <w:sz w:val="36"/>
          <w:szCs w:val="36"/>
          <w:lang w:val="en-US"/>
        </w:rPr>
      </w:pPr>
    </w:p>
    <w:p w14:paraId="3BF06A84" w14:textId="77777777" w:rsidR="00463ED7" w:rsidRPr="00124DA6" w:rsidRDefault="00BB0229" w:rsidP="00A126FE">
      <w:pPr>
        <w:spacing w:line="100" w:lineRule="atLeast"/>
        <w:jc w:val="center"/>
        <w:rPr>
          <w:rFonts w:cs="Calibri"/>
          <w:b/>
          <w:sz w:val="36"/>
          <w:szCs w:val="36"/>
          <w:lang w:val="en-US"/>
        </w:rPr>
      </w:pPr>
      <w:r w:rsidRPr="00124DA6">
        <w:rPr>
          <w:rFonts w:cs="Calibri"/>
          <w:b/>
          <w:sz w:val="36"/>
          <w:szCs w:val="36"/>
          <w:lang w:val="en-US"/>
        </w:rPr>
        <w:t>BENIN</w:t>
      </w:r>
      <w:r w:rsidR="00DF4801" w:rsidRPr="00124DA6">
        <w:rPr>
          <w:rFonts w:cs="Calibri"/>
          <w:b/>
          <w:sz w:val="36"/>
          <w:szCs w:val="36"/>
          <w:lang w:val="en-US"/>
        </w:rPr>
        <w:t xml:space="preserve"> </w:t>
      </w:r>
    </w:p>
    <w:p w14:paraId="11332080" w14:textId="77777777" w:rsidR="00463ED7" w:rsidRPr="00124DA6" w:rsidRDefault="00463ED7" w:rsidP="002A2427">
      <w:pPr>
        <w:rPr>
          <w:lang w:val="en-US"/>
        </w:rPr>
      </w:pPr>
    </w:p>
    <w:p w14:paraId="71727A1B" w14:textId="77777777" w:rsidR="00463ED7" w:rsidRPr="00124DA6" w:rsidRDefault="00463ED7" w:rsidP="00A126FE">
      <w:pPr>
        <w:jc w:val="center"/>
        <w:rPr>
          <w:sz w:val="36"/>
          <w:szCs w:val="36"/>
          <w:lang w:val="en-US"/>
        </w:rPr>
      </w:pPr>
    </w:p>
    <w:p w14:paraId="4FC35312" w14:textId="77777777" w:rsidR="00463ED7" w:rsidRPr="00124DA6" w:rsidRDefault="00463ED7" w:rsidP="00A126FE">
      <w:pPr>
        <w:jc w:val="center"/>
        <w:rPr>
          <w:sz w:val="36"/>
          <w:szCs w:val="36"/>
          <w:lang w:val="en-US"/>
        </w:rPr>
      </w:pPr>
    </w:p>
    <w:p w14:paraId="1356BDB9" w14:textId="77777777" w:rsidR="00B56EDF" w:rsidRPr="00124DA6" w:rsidRDefault="00DF4801" w:rsidP="002B7C55">
      <w:pPr>
        <w:jc w:val="center"/>
        <w:rPr>
          <w:b/>
          <w:sz w:val="36"/>
          <w:szCs w:val="36"/>
          <w:lang w:val="en-US"/>
        </w:rPr>
      </w:pPr>
      <w:r w:rsidRPr="00124DA6">
        <w:rPr>
          <w:b/>
          <w:sz w:val="36"/>
          <w:szCs w:val="36"/>
          <w:lang w:val="en-US"/>
        </w:rPr>
        <w:t>FINANCIAL SECTOR REVIEW</w:t>
      </w:r>
    </w:p>
    <w:p w14:paraId="01B91011" w14:textId="77777777" w:rsidR="006D2D08" w:rsidRPr="00124DA6" w:rsidRDefault="00B2628A" w:rsidP="002B7C55">
      <w:pPr>
        <w:jc w:val="center"/>
        <w:rPr>
          <w:b/>
          <w:sz w:val="36"/>
          <w:szCs w:val="36"/>
          <w:lang w:val="en-US"/>
        </w:rPr>
      </w:pPr>
      <w:r w:rsidRPr="00124DA6">
        <w:rPr>
          <w:b/>
          <w:sz w:val="36"/>
          <w:szCs w:val="36"/>
          <w:lang w:val="en-US"/>
        </w:rPr>
        <w:t xml:space="preserve">Stability for a </w:t>
      </w:r>
      <w:r w:rsidR="008D48BD" w:rsidRPr="00124DA6">
        <w:rPr>
          <w:b/>
          <w:sz w:val="36"/>
          <w:szCs w:val="36"/>
          <w:lang w:val="en-US"/>
        </w:rPr>
        <w:t>B</w:t>
      </w:r>
      <w:r w:rsidRPr="00124DA6">
        <w:rPr>
          <w:b/>
          <w:sz w:val="36"/>
          <w:szCs w:val="36"/>
          <w:lang w:val="en-US"/>
        </w:rPr>
        <w:t xml:space="preserve">etter </w:t>
      </w:r>
      <w:r w:rsidR="008D48BD" w:rsidRPr="00124DA6">
        <w:rPr>
          <w:b/>
          <w:sz w:val="36"/>
          <w:szCs w:val="36"/>
          <w:lang w:val="en-US"/>
        </w:rPr>
        <w:t>I</w:t>
      </w:r>
      <w:r w:rsidRPr="00124DA6">
        <w:rPr>
          <w:b/>
          <w:sz w:val="36"/>
          <w:szCs w:val="36"/>
          <w:lang w:val="en-US"/>
        </w:rPr>
        <w:t>nclusion</w:t>
      </w:r>
    </w:p>
    <w:p w14:paraId="33AA15F2" w14:textId="77777777" w:rsidR="00B2628A" w:rsidRPr="00124DA6" w:rsidRDefault="00B2628A" w:rsidP="00A126FE">
      <w:pPr>
        <w:jc w:val="center"/>
        <w:rPr>
          <w:b/>
          <w:sz w:val="28"/>
          <w:szCs w:val="28"/>
          <w:lang w:val="en-US"/>
        </w:rPr>
      </w:pPr>
    </w:p>
    <w:p w14:paraId="1F18C07B" w14:textId="77777777" w:rsidR="00B2628A" w:rsidRPr="00124DA6" w:rsidRDefault="00B2628A" w:rsidP="00A126FE">
      <w:pPr>
        <w:jc w:val="center"/>
        <w:rPr>
          <w:b/>
          <w:sz w:val="28"/>
          <w:szCs w:val="28"/>
          <w:lang w:val="en-US"/>
        </w:rPr>
      </w:pPr>
    </w:p>
    <w:p w14:paraId="139CF7D1" w14:textId="77777777" w:rsidR="00B2628A" w:rsidRPr="00124DA6" w:rsidRDefault="00B2628A" w:rsidP="00A126FE">
      <w:pPr>
        <w:jc w:val="center"/>
        <w:rPr>
          <w:b/>
          <w:sz w:val="28"/>
          <w:szCs w:val="28"/>
          <w:lang w:val="en-US"/>
        </w:rPr>
      </w:pPr>
    </w:p>
    <w:p w14:paraId="07DBCB32" w14:textId="77777777" w:rsidR="001167D7" w:rsidRDefault="001167D7" w:rsidP="001167D7">
      <w:pPr>
        <w:jc w:val="right"/>
        <w:rPr>
          <w:b/>
          <w:sz w:val="28"/>
          <w:szCs w:val="28"/>
          <w:lang w:val="en-US"/>
        </w:rPr>
      </w:pPr>
    </w:p>
    <w:p w14:paraId="160EEE78" w14:textId="77777777" w:rsidR="001167D7" w:rsidRDefault="001167D7" w:rsidP="001167D7">
      <w:pPr>
        <w:jc w:val="right"/>
        <w:rPr>
          <w:b/>
          <w:sz w:val="28"/>
          <w:szCs w:val="28"/>
          <w:lang w:val="en-US"/>
        </w:rPr>
      </w:pPr>
    </w:p>
    <w:p w14:paraId="55DF3900" w14:textId="77777777" w:rsidR="001167D7" w:rsidRDefault="001167D7" w:rsidP="001167D7">
      <w:pPr>
        <w:jc w:val="right"/>
        <w:rPr>
          <w:b/>
          <w:sz w:val="28"/>
          <w:szCs w:val="28"/>
          <w:lang w:val="en-US"/>
        </w:rPr>
      </w:pPr>
    </w:p>
    <w:p w14:paraId="6F9A92CF" w14:textId="77777777" w:rsidR="001167D7" w:rsidRDefault="001167D7" w:rsidP="001167D7">
      <w:pPr>
        <w:jc w:val="right"/>
        <w:rPr>
          <w:b/>
          <w:sz w:val="28"/>
          <w:szCs w:val="28"/>
          <w:lang w:val="en-US"/>
        </w:rPr>
      </w:pPr>
    </w:p>
    <w:p w14:paraId="17FEF8ED" w14:textId="77777777" w:rsidR="001167D7" w:rsidRDefault="001167D7" w:rsidP="001167D7">
      <w:pPr>
        <w:jc w:val="right"/>
        <w:rPr>
          <w:b/>
          <w:sz w:val="28"/>
          <w:szCs w:val="28"/>
          <w:lang w:val="en-US"/>
        </w:rPr>
      </w:pPr>
    </w:p>
    <w:p w14:paraId="41CE786B" w14:textId="1427C390" w:rsidR="00463ED7" w:rsidRPr="00124DA6" w:rsidRDefault="00DC637E" w:rsidP="001167D7">
      <w:pPr>
        <w:jc w:val="right"/>
        <w:rPr>
          <w:b/>
          <w:sz w:val="28"/>
          <w:szCs w:val="28"/>
          <w:lang w:val="en-US"/>
        </w:rPr>
      </w:pPr>
      <w:r>
        <w:rPr>
          <w:b/>
          <w:sz w:val="28"/>
          <w:szCs w:val="28"/>
          <w:lang w:val="en-US"/>
        </w:rPr>
        <w:t>Novem</w:t>
      </w:r>
      <w:r w:rsidR="00B83DB9">
        <w:rPr>
          <w:b/>
          <w:sz w:val="28"/>
          <w:szCs w:val="28"/>
          <w:lang w:val="en-US"/>
        </w:rPr>
        <w:t xml:space="preserve">ber </w:t>
      </w:r>
      <w:r w:rsidR="00B2628A" w:rsidRPr="00124DA6">
        <w:rPr>
          <w:b/>
          <w:sz w:val="28"/>
          <w:szCs w:val="28"/>
          <w:lang w:val="en-US"/>
        </w:rPr>
        <w:t>2018</w:t>
      </w:r>
    </w:p>
    <w:p w14:paraId="28EE6DAD" w14:textId="77777777" w:rsidR="000F7DA7" w:rsidRPr="00124DA6" w:rsidRDefault="000F7DA7" w:rsidP="00A126FE">
      <w:pPr>
        <w:jc w:val="center"/>
        <w:rPr>
          <w:b/>
          <w:sz w:val="28"/>
          <w:szCs w:val="28"/>
          <w:lang w:val="en-US"/>
        </w:rPr>
      </w:pPr>
    </w:p>
    <w:p w14:paraId="5DF2404A" w14:textId="77777777" w:rsidR="00C00E6D" w:rsidRPr="00124DA6" w:rsidRDefault="00C00E6D" w:rsidP="003615A5">
      <w:pPr>
        <w:jc w:val="both"/>
        <w:rPr>
          <w:lang w:val="en-US"/>
        </w:rPr>
        <w:sectPr w:rsidR="00C00E6D" w:rsidRPr="00124DA6" w:rsidSect="0056660B">
          <w:headerReference w:type="default" r:id="rId12"/>
          <w:footerReference w:type="default" r:id="rId13"/>
          <w:pgSz w:w="12240" w:h="15840" w:code="1"/>
          <w:pgMar w:top="1440" w:right="1440" w:bottom="1440" w:left="1440" w:header="708" w:footer="708" w:gutter="0"/>
          <w:cols w:space="708"/>
          <w:docGrid w:linePitch="360"/>
        </w:sectPr>
      </w:pPr>
    </w:p>
    <w:sdt>
      <w:sdtPr>
        <w:rPr>
          <w:rFonts w:asciiTheme="minorHAnsi" w:eastAsia="Times New Roman" w:hAnsi="Times New Roman" w:cs="Times New Roman"/>
          <w:color w:val="auto"/>
          <w:sz w:val="22"/>
          <w:szCs w:val="22"/>
          <w:lang w:val="fr-FR" w:eastAsia="fr-CA"/>
        </w:rPr>
        <w:id w:val="-2029095796"/>
        <w:docPartObj>
          <w:docPartGallery w:val="Table of Contents"/>
          <w:docPartUnique/>
        </w:docPartObj>
      </w:sdtPr>
      <w:sdtEndPr>
        <w:rPr>
          <w:rFonts w:eastAsiaTheme="minorHAnsi" w:hAnsiTheme="minorHAnsi" w:cstheme="minorBidi"/>
          <w:b/>
          <w:bCs/>
          <w:noProof/>
          <w:lang w:eastAsia="en-US"/>
        </w:rPr>
      </w:sdtEndPr>
      <w:sdtContent>
        <w:p w14:paraId="31994ACC" w14:textId="77777777" w:rsidR="007848E3" w:rsidRPr="00124DA6" w:rsidRDefault="001C472A" w:rsidP="001C472A">
          <w:pPr>
            <w:pStyle w:val="TOCHeading"/>
            <w:rPr>
              <w:rStyle w:val="Heading1Char"/>
              <w:b/>
            </w:rPr>
          </w:pPr>
          <w:r w:rsidRPr="00124DA6">
            <w:rPr>
              <w:rStyle w:val="Heading1Char"/>
              <w:b/>
            </w:rPr>
            <w:t>Table of contents</w:t>
          </w:r>
        </w:p>
        <w:p w14:paraId="2D327092" w14:textId="70B8CA2D" w:rsidR="00AA2582" w:rsidRPr="00160F31" w:rsidRDefault="00CC0842">
          <w:pPr>
            <w:pStyle w:val="TOC1"/>
            <w:tabs>
              <w:tab w:val="right" w:leader="dot" w:pos="9350"/>
            </w:tabs>
            <w:rPr>
              <w:rFonts w:eastAsiaTheme="minorEastAsia"/>
              <w:b/>
              <w:noProof/>
              <w:lang w:val="en-US"/>
            </w:rPr>
          </w:pPr>
          <w:r w:rsidRPr="00124DA6">
            <w:rPr>
              <w:lang w:val="en-US"/>
            </w:rPr>
            <w:fldChar w:fldCharType="begin"/>
          </w:r>
          <w:r w:rsidRPr="00124DA6">
            <w:rPr>
              <w:lang w:val="en-US"/>
            </w:rPr>
            <w:instrText xml:space="preserve"> TOC \o "1-3" \h \z \u </w:instrText>
          </w:r>
          <w:r w:rsidRPr="00124DA6">
            <w:rPr>
              <w:lang w:val="en-US"/>
            </w:rPr>
            <w:fldChar w:fldCharType="separate"/>
          </w:r>
          <w:hyperlink w:anchor="_Toc3975117" w:history="1">
            <w:r w:rsidR="00AA2582" w:rsidRPr="00160F31">
              <w:rPr>
                <w:rStyle w:val="Hyperlink"/>
                <w:b/>
                <w:noProof/>
              </w:rPr>
              <w:t>Abbreviations and Acronyms</w:t>
            </w:r>
            <w:r w:rsidR="00AA2582" w:rsidRPr="00160F31">
              <w:rPr>
                <w:b/>
                <w:noProof/>
                <w:webHidden/>
              </w:rPr>
              <w:tab/>
            </w:r>
            <w:r w:rsidR="00AA2582" w:rsidRPr="00160F31">
              <w:rPr>
                <w:b/>
                <w:noProof/>
                <w:webHidden/>
              </w:rPr>
              <w:fldChar w:fldCharType="begin"/>
            </w:r>
            <w:r w:rsidR="00AA2582" w:rsidRPr="00160F31">
              <w:rPr>
                <w:b/>
                <w:noProof/>
                <w:webHidden/>
              </w:rPr>
              <w:instrText xml:space="preserve"> PAGEREF _Toc3975117 \h </w:instrText>
            </w:r>
            <w:r w:rsidR="00AA2582" w:rsidRPr="00160F31">
              <w:rPr>
                <w:b/>
                <w:noProof/>
                <w:webHidden/>
              </w:rPr>
            </w:r>
            <w:r w:rsidR="00AA2582" w:rsidRPr="00160F31">
              <w:rPr>
                <w:b/>
                <w:noProof/>
                <w:webHidden/>
              </w:rPr>
              <w:fldChar w:fldCharType="separate"/>
            </w:r>
            <w:r w:rsidR="00AA2582" w:rsidRPr="00160F31">
              <w:rPr>
                <w:b/>
                <w:noProof/>
                <w:webHidden/>
              </w:rPr>
              <w:t>4</w:t>
            </w:r>
            <w:r w:rsidR="00AA2582" w:rsidRPr="00160F31">
              <w:rPr>
                <w:b/>
                <w:noProof/>
                <w:webHidden/>
              </w:rPr>
              <w:fldChar w:fldCharType="end"/>
            </w:r>
          </w:hyperlink>
        </w:p>
        <w:p w14:paraId="03154A83" w14:textId="091389C3" w:rsidR="00AA2582" w:rsidRPr="00160F31" w:rsidRDefault="00573D8B">
          <w:pPr>
            <w:pStyle w:val="TOC1"/>
            <w:tabs>
              <w:tab w:val="right" w:leader="dot" w:pos="9350"/>
            </w:tabs>
            <w:rPr>
              <w:rFonts w:eastAsiaTheme="minorEastAsia"/>
              <w:b/>
              <w:noProof/>
              <w:lang w:val="en-US"/>
            </w:rPr>
          </w:pPr>
          <w:hyperlink w:anchor="_Toc3975118" w:history="1">
            <w:r w:rsidR="00AA2582" w:rsidRPr="00160F31">
              <w:rPr>
                <w:rStyle w:val="Hyperlink"/>
                <w:b/>
                <w:noProof/>
              </w:rPr>
              <w:t>Acknowledgments</w:t>
            </w:r>
            <w:r w:rsidR="00AA2582" w:rsidRPr="00160F31">
              <w:rPr>
                <w:b/>
                <w:noProof/>
                <w:webHidden/>
              </w:rPr>
              <w:tab/>
            </w:r>
            <w:r w:rsidR="00AA2582" w:rsidRPr="00160F31">
              <w:rPr>
                <w:b/>
                <w:noProof/>
                <w:webHidden/>
              </w:rPr>
              <w:fldChar w:fldCharType="begin"/>
            </w:r>
            <w:r w:rsidR="00AA2582" w:rsidRPr="00160F31">
              <w:rPr>
                <w:b/>
                <w:noProof/>
                <w:webHidden/>
              </w:rPr>
              <w:instrText xml:space="preserve"> PAGEREF _Toc3975118 \h </w:instrText>
            </w:r>
            <w:r w:rsidR="00AA2582" w:rsidRPr="00160F31">
              <w:rPr>
                <w:b/>
                <w:noProof/>
                <w:webHidden/>
              </w:rPr>
            </w:r>
            <w:r w:rsidR="00AA2582" w:rsidRPr="00160F31">
              <w:rPr>
                <w:b/>
                <w:noProof/>
                <w:webHidden/>
              </w:rPr>
              <w:fldChar w:fldCharType="separate"/>
            </w:r>
            <w:r w:rsidR="00AA2582" w:rsidRPr="00160F31">
              <w:rPr>
                <w:b/>
                <w:noProof/>
                <w:webHidden/>
              </w:rPr>
              <w:t>6</w:t>
            </w:r>
            <w:r w:rsidR="00AA2582" w:rsidRPr="00160F31">
              <w:rPr>
                <w:b/>
                <w:noProof/>
                <w:webHidden/>
              </w:rPr>
              <w:fldChar w:fldCharType="end"/>
            </w:r>
          </w:hyperlink>
        </w:p>
        <w:p w14:paraId="62D84347" w14:textId="684DBA13" w:rsidR="00AA2582" w:rsidRPr="00160F31" w:rsidRDefault="00573D8B">
          <w:pPr>
            <w:pStyle w:val="TOC1"/>
            <w:tabs>
              <w:tab w:val="right" w:leader="dot" w:pos="9350"/>
            </w:tabs>
            <w:rPr>
              <w:rFonts w:eastAsiaTheme="minorEastAsia"/>
              <w:b/>
              <w:noProof/>
              <w:lang w:val="en-US"/>
            </w:rPr>
          </w:pPr>
          <w:hyperlink w:anchor="_Toc3975119" w:history="1">
            <w:r w:rsidR="00AA2582" w:rsidRPr="00160F31">
              <w:rPr>
                <w:rStyle w:val="Hyperlink"/>
                <w:b/>
                <w:noProof/>
              </w:rPr>
              <w:t>Executive Summary</w:t>
            </w:r>
            <w:r w:rsidR="00AA2582" w:rsidRPr="00160F31">
              <w:rPr>
                <w:b/>
                <w:noProof/>
                <w:webHidden/>
              </w:rPr>
              <w:tab/>
            </w:r>
            <w:r w:rsidR="00AA2582" w:rsidRPr="00160F31">
              <w:rPr>
                <w:b/>
                <w:noProof/>
                <w:webHidden/>
              </w:rPr>
              <w:fldChar w:fldCharType="begin"/>
            </w:r>
            <w:r w:rsidR="00AA2582" w:rsidRPr="00160F31">
              <w:rPr>
                <w:b/>
                <w:noProof/>
                <w:webHidden/>
              </w:rPr>
              <w:instrText xml:space="preserve"> PAGEREF _Toc3975119 \h </w:instrText>
            </w:r>
            <w:r w:rsidR="00AA2582" w:rsidRPr="00160F31">
              <w:rPr>
                <w:b/>
                <w:noProof/>
                <w:webHidden/>
              </w:rPr>
            </w:r>
            <w:r w:rsidR="00AA2582" w:rsidRPr="00160F31">
              <w:rPr>
                <w:b/>
                <w:noProof/>
                <w:webHidden/>
              </w:rPr>
              <w:fldChar w:fldCharType="separate"/>
            </w:r>
            <w:r w:rsidR="00AA2582" w:rsidRPr="00160F31">
              <w:rPr>
                <w:b/>
                <w:noProof/>
                <w:webHidden/>
              </w:rPr>
              <w:t>7</w:t>
            </w:r>
            <w:r w:rsidR="00AA2582" w:rsidRPr="00160F31">
              <w:rPr>
                <w:b/>
                <w:noProof/>
                <w:webHidden/>
              </w:rPr>
              <w:fldChar w:fldCharType="end"/>
            </w:r>
          </w:hyperlink>
        </w:p>
        <w:p w14:paraId="1D99E3C6" w14:textId="60B93A89" w:rsidR="00AA2582" w:rsidRPr="00160F31" w:rsidRDefault="00573D8B">
          <w:pPr>
            <w:pStyle w:val="TOC1"/>
            <w:tabs>
              <w:tab w:val="right" w:leader="dot" w:pos="9350"/>
            </w:tabs>
            <w:rPr>
              <w:rFonts w:eastAsiaTheme="minorEastAsia"/>
              <w:b/>
              <w:noProof/>
              <w:lang w:val="en-US"/>
            </w:rPr>
          </w:pPr>
          <w:hyperlink w:anchor="_Toc3975120" w:history="1">
            <w:r w:rsidR="00AA2582" w:rsidRPr="00160F31">
              <w:rPr>
                <w:rStyle w:val="Hyperlink"/>
                <w:b/>
                <w:noProof/>
              </w:rPr>
              <w:t>Introduction</w:t>
            </w:r>
            <w:r w:rsidR="00AA2582" w:rsidRPr="00160F31">
              <w:rPr>
                <w:b/>
                <w:noProof/>
                <w:webHidden/>
              </w:rPr>
              <w:tab/>
            </w:r>
            <w:r w:rsidR="00AA2582" w:rsidRPr="00160F31">
              <w:rPr>
                <w:b/>
                <w:noProof/>
                <w:webHidden/>
              </w:rPr>
              <w:fldChar w:fldCharType="begin"/>
            </w:r>
            <w:r w:rsidR="00AA2582" w:rsidRPr="00160F31">
              <w:rPr>
                <w:b/>
                <w:noProof/>
                <w:webHidden/>
              </w:rPr>
              <w:instrText xml:space="preserve"> PAGEREF _Toc3975120 \h </w:instrText>
            </w:r>
            <w:r w:rsidR="00AA2582" w:rsidRPr="00160F31">
              <w:rPr>
                <w:b/>
                <w:noProof/>
                <w:webHidden/>
              </w:rPr>
            </w:r>
            <w:r w:rsidR="00AA2582" w:rsidRPr="00160F31">
              <w:rPr>
                <w:b/>
                <w:noProof/>
                <w:webHidden/>
              </w:rPr>
              <w:fldChar w:fldCharType="separate"/>
            </w:r>
            <w:r w:rsidR="00AA2582" w:rsidRPr="00160F31">
              <w:rPr>
                <w:b/>
                <w:noProof/>
                <w:webHidden/>
              </w:rPr>
              <w:t>10</w:t>
            </w:r>
            <w:r w:rsidR="00AA2582" w:rsidRPr="00160F31">
              <w:rPr>
                <w:b/>
                <w:noProof/>
                <w:webHidden/>
              </w:rPr>
              <w:fldChar w:fldCharType="end"/>
            </w:r>
          </w:hyperlink>
        </w:p>
        <w:p w14:paraId="33C3D967" w14:textId="1936AE24" w:rsidR="00AA2582" w:rsidRPr="00160F31" w:rsidRDefault="00573D8B">
          <w:pPr>
            <w:pStyle w:val="TOC1"/>
            <w:tabs>
              <w:tab w:val="right" w:leader="dot" w:pos="9350"/>
            </w:tabs>
            <w:rPr>
              <w:rFonts w:eastAsiaTheme="minorEastAsia"/>
              <w:b/>
              <w:noProof/>
              <w:lang w:val="en-US"/>
            </w:rPr>
          </w:pPr>
          <w:hyperlink w:anchor="_Toc3975121" w:history="1">
            <w:r w:rsidR="00AA2582" w:rsidRPr="00160F31">
              <w:rPr>
                <w:rStyle w:val="Hyperlink"/>
                <w:b/>
                <w:noProof/>
              </w:rPr>
              <w:t>CHAPTER 1: Overview of the Banking sector in Benin</w:t>
            </w:r>
            <w:r w:rsidR="00AA2582" w:rsidRPr="00160F31">
              <w:rPr>
                <w:b/>
                <w:noProof/>
                <w:webHidden/>
              </w:rPr>
              <w:tab/>
            </w:r>
            <w:r w:rsidR="00AA2582" w:rsidRPr="00160F31">
              <w:rPr>
                <w:b/>
                <w:noProof/>
                <w:webHidden/>
              </w:rPr>
              <w:fldChar w:fldCharType="begin"/>
            </w:r>
            <w:r w:rsidR="00AA2582" w:rsidRPr="00160F31">
              <w:rPr>
                <w:b/>
                <w:noProof/>
                <w:webHidden/>
              </w:rPr>
              <w:instrText xml:space="preserve"> PAGEREF _Toc3975121 \h </w:instrText>
            </w:r>
            <w:r w:rsidR="00AA2582" w:rsidRPr="00160F31">
              <w:rPr>
                <w:b/>
                <w:noProof/>
                <w:webHidden/>
              </w:rPr>
            </w:r>
            <w:r w:rsidR="00AA2582" w:rsidRPr="00160F31">
              <w:rPr>
                <w:b/>
                <w:noProof/>
                <w:webHidden/>
              </w:rPr>
              <w:fldChar w:fldCharType="separate"/>
            </w:r>
            <w:r w:rsidR="00AA2582" w:rsidRPr="00160F31">
              <w:rPr>
                <w:b/>
                <w:noProof/>
                <w:webHidden/>
              </w:rPr>
              <w:t>11</w:t>
            </w:r>
            <w:r w:rsidR="00AA2582" w:rsidRPr="00160F31">
              <w:rPr>
                <w:b/>
                <w:noProof/>
                <w:webHidden/>
              </w:rPr>
              <w:fldChar w:fldCharType="end"/>
            </w:r>
          </w:hyperlink>
        </w:p>
        <w:p w14:paraId="7B782047" w14:textId="2D2C8B25" w:rsidR="00AA2582" w:rsidRDefault="00573D8B">
          <w:pPr>
            <w:pStyle w:val="TOC1"/>
            <w:tabs>
              <w:tab w:val="right" w:leader="dot" w:pos="9350"/>
            </w:tabs>
            <w:rPr>
              <w:rFonts w:eastAsiaTheme="minorEastAsia"/>
              <w:noProof/>
              <w:lang w:val="en-US"/>
            </w:rPr>
          </w:pPr>
          <w:hyperlink w:anchor="_Toc3975122" w:history="1">
            <w:r w:rsidR="00AA2582" w:rsidRPr="00160F31">
              <w:rPr>
                <w:rStyle w:val="Hyperlink"/>
                <w:b/>
                <w:noProof/>
              </w:rPr>
              <w:t>CHAPTER 2: State of the Microfinance Sector — Threats and Recommendations</w:t>
            </w:r>
            <w:r w:rsidR="00AA2582" w:rsidRPr="00160F31">
              <w:rPr>
                <w:b/>
                <w:noProof/>
                <w:webHidden/>
              </w:rPr>
              <w:tab/>
            </w:r>
            <w:r w:rsidR="00AA2582" w:rsidRPr="00160F31">
              <w:rPr>
                <w:b/>
                <w:noProof/>
                <w:webHidden/>
              </w:rPr>
              <w:fldChar w:fldCharType="begin"/>
            </w:r>
            <w:r w:rsidR="00AA2582" w:rsidRPr="00160F31">
              <w:rPr>
                <w:b/>
                <w:noProof/>
                <w:webHidden/>
              </w:rPr>
              <w:instrText xml:space="preserve"> PAGEREF _Toc3975122 \h </w:instrText>
            </w:r>
            <w:r w:rsidR="00AA2582" w:rsidRPr="00160F31">
              <w:rPr>
                <w:b/>
                <w:noProof/>
                <w:webHidden/>
              </w:rPr>
            </w:r>
            <w:r w:rsidR="00AA2582" w:rsidRPr="00160F31">
              <w:rPr>
                <w:b/>
                <w:noProof/>
                <w:webHidden/>
              </w:rPr>
              <w:fldChar w:fldCharType="separate"/>
            </w:r>
            <w:r w:rsidR="00AA2582" w:rsidRPr="00160F31">
              <w:rPr>
                <w:b/>
                <w:noProof/>
                <w:webHidden/>
              </w:rPr>
              <w:t>15</w:t>
            </w:r>
            <w:r w:rsidR="00AA2582" w:rsidRPr="00160F31">
              <w:rPr>
                <w:b/>
                <w:noProof/>
                <w:webHidden/>
              </w:rPr>
              <w:fldChar w:fldCharType="end"/>
            </w:r>
          </w:hyperlink>
        </w:p>
        <w:p w14:paraId="4A7B3828" w14:textId="4288FDFB" w:rsidR="00AA2582" w:rsidRDefault="00573D8B">
          <w:pPr>
            <w:pStyle w:val="TOC2"/>
            <w:tabs>
              <w:tab w:val="right" w:leader="dot" w:pos="9350"/>
            </w:tabs>
            <w:rPr>
              <w:rFonts w:eastAsiaTheme="minorEastAsia"/>
              <w:noProof/>
              <w:lang w:val="en-US"/>
            </w:rPr>
          </w:pPr>
          <w:hyperlink w:anchor="_Toc3975123" w:history="1">
            <w:r w:rsidR="00AA2582" w:rsidRPr="00B64F47">
              <w:rPr>
                <w:rStyle w:val="Hyperlink"/>
                <w:b/>
                <w:noProof/>
                <w:lang w:val="en-US"/>
              </w:rPr>
              <w:t>2.1 State of the Microfinance Sector in Benin</w:t>
            </w:r>
            <w:r w:rsidR="00AA2582">
              <w:rPr>
                <w:noProof/>
                <w:webHidden/>
              </w:rPr>
              <w:tab/>
            </w:r>
            <w:r w:rsidR="00AA2582">
              <w:rPr>
                <w:noProof/>
                <w:webHidden/>
              </w:rPr>
              <w:fldChar w:fldCharType="begin"/>
            </w:r>
            <w:r w:rsidR="00AA2582">
              <w:rPr>
                <w:noProof/>
                <w:webHidden/>
              </w:rPr>
              <w:instrText xml:space="preserve"> PAGEREF _Toc3975123 \h </w:instrText>
            </w:r>
            <w:r w:rsidR="00AA2582">
              <w:rPr>
                <w:noProof/>
                <w:webHidden/>
              </w:rPr>
            </w:r>
            <w:r w:rsidR="00AA2582">
              <w:rPr>
                <w:noProof/>
                <w:webHidden/>
              </w:rPr>
              <w:fldChar w:fldCharType="separate"/>
            </w:r>
            <w:r w:rsidR="00AA2582">
              <w:rPr>
                <w:noProof/>
                <w:webHidden/>
              </w:rPr>
              <w:t>15</w:t>
            </w:r>
            <w:r w:rsidR="00AA2582">
              <w:rPr>
                <w:noProof/>
                <w:webHidden/>
              </w:rPr>
              <w:fldChar w:fldCharType="end"/>
            </w:r>
          </w:hyperlink>
        </w:p>
        <w:p w14:paraId="742633D0" w14:textId="6DECA2F6" w:rsidR="00AA2582" w:rsidRDefault="00573D8B">
          <w:pPr>
            <w:pStyle w:val="TOC3"/>
            <w:tabs>
              <w:tab w:val="right" w:leader="dot" w:pos="9350"/>
            </w:tabs>
            <w:rPr>
              <w:rFonts w:asciiTheme="minorHAnsi" w:eastAsiaTheme="minorEastAsia" w:hAnsiTheme="minorHAnsi" w:cstheme="minorBidi"/>
              <w:noProof/>
            </w:rPr>
          </w:pPr>
          <w:hyperlink w:anchor="_Toc3975124" w:history="1">
            <w:r w:rsidR="00AA2582" w:rsidRPr="00B64F47">
              <w:rPr>
                <w:rStyle w:val="Hyperlink"/>
                <w:b/>
                <w:noProof/>
              </w:rPr>
              <w:t>2.1.1 Microfinance is a key sector for financial inclusion</w:t>
            </w:r>
            <w:r w:rsidR="00AA2582">
              <w:rPr>
                <w:noProof/>
                <w:webHidden/>
              </w:rPr>
              <w:tab/>
            </w:r>
            <w:r w:rsidR="00AA2582">
              <w:rPr>
                <w:noProof/>
                <w:webHidden/>
              </w:rPr>
              <w:fldChar w:fldCharType="begin"/>
            </w:r>
            <w:r w:rsidR="00AA2582">
              <w:rPr>
                <w:noProof/>
                <w:webHidden/>
              </w:rPr>
              <w:instrText xml:space="preserve"> PAGEREF _Toc3975124 \h </w:instrText>
            </w:r>
            <w:r w:rsidR="00AA2582">
              <w:rPr>
                <w:noProof/>
                <w:webHidden/>
              </w:rPr>
            </w:r>
            <w:r w:rsidR="00AA2582">
              <w:rPr>
                <w:noProof/>
                <w:webHidden/>
              </w:rPr>
              <w:fldChar w:fldCharType="separate"/>
            </w:r>
            <w:r w:rsidR="00AA2582">
              <w:rPr>
                <w:noProof/>
                <w:webHidden/>
              </w:rPr>
              <w:t>15</w:t>
            </w:r>
            <w:r w:rsidR="00AA2582">
              <w:rPr>
                <w:noProof/>
                <w:webHidden/>
              </w:rPr>
              <w:fldChar w:fldCharType="end"/>
            </w:r>
          </w:hyperlink>
        </w:p>
        <w:p w14:paraId="789EB83B" w14:textId="20D43742" w:rsidR="00AA2582" w:rsidRDefault="00573D8B">
          <w:pPr>
            <w:pStyle w:val="TOC3"/>
            <w:tabs>
              <w:tab w:val="left" w:pos="1320"/>
              <w:tab w:val="right" w:leader="dot" w:pos="9350"/>
            </w:tabs>
            <w:rPr>
              <w:rFonts w:asciiTheme="minorHAnsi" w:eastAsiaTheme="minorEastAsia" w:hAnsiTheme="minorHAnsi" w:cstheme="minorBidi"/>
              <w:noProof/>
            </w:rPr>
          </w:pPr>
          <w:hyperlink w:anchor="_Toc3975125" w:history="1">
            <w:r w:rsidR="00AA2582" w:rsidRPr="00B64F47">
              <w:rPr>
                <w:rStyle w:val="Hyperlink"/>
                <w:b/>
                <w:noProof/>
              </w:rPr>
              <w:t>2.1.1.1</w:t>
            </w:r>
            <w:r w:rsidR="00AA2582">
              <w:rPr>
                <w:rFonts w:asciiTheme="minorHAnsi" w:eastAsiaTheme="minorEastAsia" w:hAnsiTheme="minorHAnsi" w:cstheme="minorBidi"/>
                <w:noProof/>
              </w:rPr>
              <w:tab/>
            </w:r>
            <w:r w:rsidR="00AA2582" w:rsidRPr="00B64F47">
              <w:rPr>
                <w:rStyle w:val="Hyperlink"/>
                <w:b/>
                <w:noProof/>
              </w:rPr>
              <w:t>Offering a diverse range of financial services and products to individuals and MSMEs.</w:t>
            </w:r>
            <w:r w:rsidR="00AA2582">
              <w:rPr>
                <w:noProof/>
                <w:webHidden/>
              </w:rPr>
              <w:tab/>
            </w:r>
            <w:r w:rsidR="00AA2582">
              <w:rPr>
                <w:noProof/>
                <w:webHidden/>
              </w:rPr>
              <w:fldChar w:fldCharType="begin"/>
            </w:r>
            <w:r w:rsidR="00AA2582">
              <w:rPr>
                <w:noProof/>
                <w:webHidden/>
              </w:rPr>
              <w:instrText xml:space="preserve"> PAGEREF _Toc3975125 \h </w:instrText>
            </w:r>
            <w:r w:rsidR="00AA2582">
              <w:rPr>
                <w:noProof/>
                <w:webHidden/>
              </w:rPr>
            </w:r>
            <w:r w:rsidR="00AA2582">
              <w:rPr>
                <w:noProof/>
                <w:webHidden/>
              </w:rPr>
              <w:fldChar w:fldCharType="separate"/>
            </w:r>
            <w:r w:rsidR="00AA2582">
              <w:rPr>
                <w:noProof/>
                <w:webHidden/>
              </w:rPr>
              <w:t>17</w:t>
            </w:r>
            <w:r w:rsidR="00AA2582">
              <w:rPr>
                <w:noProof/>
                <w:webHidden/>
              </w:rPr>
              <w:fldChar w:fldCharType="end"/>
            </w:r>
          </w:hyperlink>
        </w:p>
        <w:p w14:paraId="7C0EB16E" w14:textId="0DE30D86" w:rsidR="00AA2582" w:rsidRDefault="00573D8B">
          <w:pPr>
            <w:pStyle w:val="TOC3"/>
            <w:tabs>
              <w:tab w:val="left" w:pos="1320"/>
              <w:tab w:val="right" w:leader="dot" w:pos="9350"/>
            </w:tabs>
            <w:rPr>
              <w:rFonts w:asciiTheme="minorHAnsi" w:eastAsiaTheme="minorEastAsia" w:hAnsiTheme="minorHAnsi" w:cstheme="minorBidi"/>
              <w:noProof/>
            </w:rPr>
          </w:pPr>
          <w:hyperlink w:anchor="_Toc3975126" w:history="1">
            <w:r w:rsidR="00AA2582" w:rsidRPr="00B64F47">
              <w:rPr>
                <w:rStyle w:val="Hyperlink"/>
                <w:b/>
                <w:noProof/>
              </w:rPr>
              <w:t>2.1.1.2</w:t>
            </w:r>
            <w:r w:rsidR="00AA2582">
              <w:rPr>
                <w:rFonts w:asciiTheme="minorHAnsi" w:eastAsiaTheme="minorEastAsia" w:hAnsiTheme="minorHAnsi" w:cstheme="minorBidi"/>
                <w:noProof/>
              </w:rPr>
              <w:tab/>
            </w:r>
            <w:r w:rsidR="00AA2582" w:rsidRPr="00B64F47">
              <w:rPr>
                <w:rStyle w:val="Hyperlink"/>
                <w:b/>
                <w:noProof/>
              </w:rPr>
              <w:t>In spite of promotion efforts and the enhance regulatory and supervisory framework</w:t>
            </w:r>
            <w:r w:rsidR="00AA2582">
              <w:rPr>
                <w:noProof/>
                <w:webHidden/>
              </w:rPr>
              <w:tab/>
            </w:r>
            <w:r w:rsidR="00AA2582">
              <w:rPr>
                <w:noProof/>
                <w:webHidden/>
              </w:rPr>
              <w:fldChar w:fldCharType="begin"/>
            </w:r>
            <w:r w:rsidR="00AA2582">
              <w:rPr>
                <w:noProof/>
                <w:webHidden/>
              </w:rPr>
              <w:instrText xml:space="preserve"> PAGEREF _Toc3975126 \h </w:instrText>
            </w:r>
            <w:r w:rsidR="00AA2582">
              <w:rPr>
                <w:noProof/>
                <w:webHidden/>
              </w:rPr>
            </w:r>
            <w:r w:rsidR="00AA2582">
              <w:rPr>
                <w:noProof/>
                <w:webHidden/>
              </w:rPr>
              <w:fldChar w:fldCharType="separate"/>
            </w:r>
            <w:r w:rsidR="00AA2582">
              <w:rPr>
                <w:noProof/>
                <w:webHidden/>
              </w:rPr>
              <w:t>20</w:t>
            </w:r>
            <w:r w:rsidR="00AA2582">
              <w:rPr>
                <w:noProof/>
                <w:webHidden/>
              </w:rPr>
              <w:fldChar w:fldCharType="end"/>
            </w:r>
          </w:hyperlink>
        </w:p>
        <w:p w14:paraId="5AB9CEDB" w14:textId="633249C6" w:rsidR="00AA2582" w:rsidRDefault="00573D8B">
          <w:pPr>
            <w:pStyle w:val="TOC3"/>
            <w:tabs>
              <w:tab w:val="left" w:pos="1320"/>
              <w:tab w:val="right" w:leader="dot" w:pos="9350"/>
            </w:tabs>
            <w:rPr>
              <w:rFonts w:asciiTheme="minorHAnsi" w:eastAsiaTheme="minorEastAsia" w:hAnsiTheme="minorHAnsi" w:cstheme="minorBidi"/>
              <w:noProof/>
            </w:rPr>
          </w:pPr>
          <w:hyperlink w:anchor="_Toc3975127" w:history="1">
            <w:r w:rsidR="00AA2582" w:rsidRPr="00B64F47">
              <w:rPr>
                <w:rStyle w:val="Hyperlink"/>
                <w:b/>
                <w:noProof/>
              </w:rPr>
              <w:t>2.1.1.3</w:t>
            </w:r>
            <w:r w:rsidR="00AA2582">
              <w:rPr>
                <w:rFonts w:asciiTheme="minorHAnsi" w:eastAsiaTheme="minorEastAsia" w:hAnsiTheme="minorHAnsi" w:cstheme="minorBidi"/>
                <w:noProof/>
              </w:rPr>
              <w:tab/>
            </w:r>
            <w:r w:rsidR="00AA2582" w:rsidRPr="00B64F47">
              <w:rPr>
                <w:rStyle w:val="Hyperlink"/>
                <w:b/>
                <w:noProof/>
              </w:rPr>
              <w:t>The sector remains relatively small and fragile.</w:t>
            </w:r>
            <w:r w:rsidR="00AA2582">
              <w:rPr>
                <w:noProof/>
                <w:webHidden/>
              </w:rPr>
              <w:tab/>
            </w:r>
            <w:r w:rsidR="00AA2582">
              <w:rPr>
                <w:noProof/>
                <w:webHidden/>
              </w:rPr>
              <w:fldChar w:fldCharType="begin"/>
            </w:r>
            <w:r w:rsidR="00AA2582">
              <w:rPr>
                <w:noProof/>
                <w:webHidden/>
              </w:rPr>
              <w:instrText xml:space="preserve"> PAGEREF _Toc3975127 \h </w:instrText>
            </w:r>
            <w:r w:rsidR="00AA2582">
              <w:rPr>
                <w:noProof/>
                <w:webHidden/>
              </w:rPr>
            </w:r>
            <w:r w:rsidR="00AA2582">
              <w:rPr>
                <w:noProof/>
                <w:webHidden/>
              </w:rPr>
              <w:fldChar w:fldCharType="separate"/>
            </w:r>
            <w:r w:rsidR="00AA2582">
              <w:rPr>
                <w:noProof/>
                <w:webHidden/>
              </w:rPr>
              <w:t>24</w:t>
            </w:r>
            <w:r w:rsidR="00AA2582">
              <w:rPr>
                <w:noProof/>
                <w:webHidden/>
              </w:rPr>
              <w:fldChar w:fldCharType="end"/>
            </w:r>
          </w:hyperlink>
        </w:p>
        <w:p w14:paraId="2541982E" w14:textId="340575F2" w:rsidR="00AA2582" w:rsidRDefault="00573D8B">
          <w:pPr>
            <w:pStyle w:val="TOC2"/>
            <w:tabs>
              <w:tab w:val="left" w:pos="880"/>
              <w:tab w:val="right" w:leader="dot" w:pos="9350"/>
            </w:tabs>
            <w:rPr>
              <w:rFonts w:eastAsiaTheme="minorEastAsia"/>
              <w:noProof/>
              <w:lang w:val="en-US"/>
            </w:rPr>
          </w:pPr>
          <w:hyperlink w:anchor="_Toc3975128" w:history="1">
            <w:r w:rsidR="00AA2582" w:rsidRPr="00B64F47">
              <w:rPr>
                <w:rStyle w:val="Hyperlink"/>
                <w:b/>
                <w:noProof/>
                <w:lang w:val="en-US"/>
              </w:rPr>
              <w:t>2.2</w:t>
            </w:r>
            <w:r w:rsidR="00AA2582">
              <w:rPr>
                <w:rFonts w:eastAsiaTheme="minorEastAsia"/>
                <w:noProof/>
                <w:lang w:val="en-US"/>
              </w:rPr>
              <w:tab/>
            </w:r>
            <w:r w:rsidR="00AA2582" w:rsidRPr="00B64F47">
              <w:rPr>
                <w:rStyle w:val="Hyperlink"/>
                <w:b/>
                <w:noProof/>
                <w:lang w:val="en-US"/>
              </w:rPr>
              <w:t>Threats to the Beninese microfinance sector</w:t>
            </w:r>
            <w:r w:rsidR="00AA2582">
              <w:rPr>
                <w:noProof/>
                <w:webHidden/>
              </w:rPr>
              <w:tab/>
            </w:r>
            <w:r w:rsidR="00AA2582">
              <w:rPr>
                <w:noProof/>
                <w:webHidden/>
              </w:rPr>
              <w:fldChar w:fldCharType="begin"/>
            </w:r>
            <w:r w:rsidR="00AA2582">
              <w:rPr>
                <w:noProof/>
                <w:webHidden/>
              </w:rPr>
              <w:instrText xml:space="preserve"> PAGEREF _Toc3975128 \h </w:instrText>
            </w:r>
            <w:r w:rsidR="00AA2582">
              <w:rPr>
                <w:noProof/>
                <w:webHidden/>
              </w:rPr>
            </w:r>
            <w:r w:rsidR="00AA2582">
              <w:rPr>
                <w:noProof/>
                <w:webHidden/>
              </w:rPr>
              <w:fldChar w:fldCharType="separate"/>
            </w:r>
            <w:r w:rsidR="00AA2582">
              <w:rPr>
                <w:noProof/>
                <w:webHidden/>
              </w:rPr>
              <w:t>30</w:t>
            </w:r>
            <w:r w:rsidR="00AA2582">
              <w:rPr>
                <w:noProof/>
                <w:webHidden/>
              </w:rPr>
              <w:fldChar w:fldCharType="end"/>
            </w:r>
          </w:hyperlink>
        </w:p>
        <w:p w14:paraId="6077D069" w14:textId="5F1B6C60" w:rsidR="00AA2582" w:rsidRDefault="00573D8B">
          <w:pPr>
            <w:pStyle w:val="TOC3"/>
            <w:tabs>
              <w:tab w:val="left" w:pos="1320"/>
              <w:tab w:val="right" w:leader="dot" w:pos="9350"/>
            </w:tabs>
            <w:rPr>
              <w:rFonts w:asciiTheme="minorHAnsi" w:eastAsiaTheme="minorEastAsia" w:hAnsiTheme="minorHAnsi" w:cstheme="minorBidi"/>
              <w:noProof/>
            </w:rPr>
          </w:pPr>
          <w:hyperlink w:anchor="_Toc3975129" w:history="1">
            <w:r w:rsidR="00AA2582" w:rsidRPr="00B64F47">
              <w:rPr>
                <w:rStyle w:val="Hyperlink"/>
                <w:b/>
                <w:noProof/>
              </w:rPr>
              <w:t>2.2.1</w:t>
            </w:r>
            <w:r w:rsidR="00AA2582">
              <w:rPr>
                <w:rFonts w:asciiTheme="minorHAnsi" w:eastAsiaTheme="minorEastAsia" w:hAnsiTheme="minorHAnsi" w:cstheme="minorBidi"/>
                <w:noProof/>
              </w:rPr>
              <w:tab/>
            </w:r>
            <w:r w:rsidR="00AA2582" w:rsidRPr="00B64F47">
              <w:rPr>
                <w:rStyle w:val="Hyperlink"/>
                <w:b/>
                <w:noProof/>
              </w:rPr>
              <w:t>Enduring challenges</w:t>
            </w:r>
            <w:r w:rsidR="00AA2582">
              <w:rPr>
                <w:noProof/>
                <w:webHidden/>
              </w:rPr>
              <w:tab/>
            </w:r>
            <w:r w:rsidR="00AA2582">
              <w:rPr>
                <w:noProof/>
                <w:webHidden/>
              </w:rPr>
              <w:fldChar w:fldCharType="begin"/>
            </w:r>
            <w:r w:rsidR="00AA2582">
              <w:rPr>
                <w:noProof/>
                <w:webHidden/>
              </w:rPr>
              <w:instrText xml:space="preserve"> PAGEREF _Toc3975129 \h </w:instrText>
            </w:r>
            <w:r w:rsidR="00AA2582">
              <w:rPr>
                <w:noProof/>
                <w:webHidden/>
              </w:rPr>
            </w:r>
            <w:r w:rsidR="00AA2582">
              <w:rPr>
                <w:noProof/>
                <w:webHidden/>
              </w:rPr>
              <w:fldChar w:fldCharType="separate"/>
            </w:r>
            <w:r w:rsidR="00AA2582">
              <w:rPr>
                <w:noProof/>
                <w:webHidden/>
              </w:rPr>
              <w:t>30</w:t>
            </w:r>
            <w:r w:rsidR="00AA2582">
              <w:rPr>
                <w:noProof/>
                <w:webHidden/>
              </w:rPr>
              <w:fldChar w:fldCharType="end"/>
            </w:r>
          </w:hyperlink>
        </w:p>
        <w:p w14:paraId="6F8332B8" w14:textId="53929E47" w:rsidR="00AA2582" w:rsidRDefault="00573D8B">
          <w:pPr>
            <w:pStyle w:val="TOC3"/>
            <w:tabs>
              <w:tab w:val="left" w:pos="1320"/>
              <w:tab w:val="right" w:leader="dot" w:pos="9350"/>
            </w:tabs>
            <w:rPr>
              <w:rFonts w:asciiTheme="minorHAnsi" w:eastAsiaTheme="minorEastAsia" w:hAnsiTheme="minorHAnsi" w:cstheme="minorBidi"/>
              <w:noProof/>
            </w:rPr>
          </w:pPr>
          <w:hyperlink w:anchor="_Toc3975130" w:history="1">
            <w:r w:rsidR="00AA2582" w:rsidRPr="00B64F47">
              <w:rPr>
                <w:rStyle w:val="Hyperlink"/>
                <w:b/>
                <w:noProof/>
              </w:rPr>
              <w:t>2.2.2</w:t>
            </w:r>
            <w:r w:rsidR="00AA2582">
              <w:rPr>
                <w:rFonts w:asciiTheme="minorHAnsi" w:eastAsiaTheme="minorEastAsia" w:hAnsiTheme="minorHAnsi" w:cstheme="minorBidi"/>
                <w:noProof/>
              </w:rPr>
              <w:tab/>
            </w:r>
            <w:r w:rsidR="00AA2582" w:rsidRPr="00B64F47">
              <w:rPr>
                <w:rStyle w:val="Hyperlink"/>
                <w:b/>
                <w:noProof/>
              </w:rPr>
              <w:t>Exposing the sector to risks that threaten its stability and could compromise its growth</w:t>
            </w:r>
            <w:r w:rsidR="00AA2582">
              <w:rPr>
                <w:noProof/>
                <w:webHidden/>
              </w:rPr>
              <w:tab/>
            </w:r>
            <w:r w:rsidR="00AA2582">
              <w:rPr>
                <w:noProof/>
                <w:webHidden/>
              </w:rPr>
              <w:fldChar w:fldCharType="begin"/>
            </w:r>
            <w:r w:rsidR="00AA2582">
              <w:rPr>
                <w:noProof/>
                <w:webHidden/>
              </w:rPr>
              <w:instrText xml:space="preserve"> PAGEREF _Toc3975130 \h </w:instrText>
            </w:r>
            <w:r w:rsidR="00AA2582">
              <w:rPr>
                <w:noProof/>
                <w:webHidden/>
              </w:rPr>
            </w:r>
            <w:r w:rsidR="00AA2582">
              <w:rPr>
                <w:noProof/>
                <w:webHidden/>
              </w:rPr>
              <w:fldChar w:fldCharType="separate"/>
            </w:r>
            <w:r w:rsidR="00AA2582">
              <w:rPr>
                <w:noProof/>
                <w:webHidden/>
              </w:rPr>
              <w:t>32</w:t>
            </w:r>
            <w:r w:rsidR="00AA2582">
              <w:rPr>
                <w:noProof/>
                <w:webHidden/>
              </w:rPr>
              <w:fldChar w:fldCharType="end"/>
            </w:r>
          </w:hyperlink>
        </w:p>
        <w:p w14:paraId="173DB03C" w14:textId="7CF5C95D" w:rsidR="00AA2582" w:rsidRDefault="00573D8B">
          <w:pPr>
            <w:pStyle w:val="TOC2"/>
            <w:tabs>
              <w:tab w:val="right" w:leader="dot" w:pos="9350"/>
            </w:tabs>
            <w:rPr>
              <w:rFonts w:eastAsiaTheme="minorEastAsia"/>
              <w:noProof/>
              <w:lang w:val="en-US"/>
            </w:rPr>
          </w:pPr>
          <w:hyperlink w:anchor="_Toc3975131" w:history="1">
            <w:r w:rsidR="00AA2582" w:rsidRPr="00B64F47">
              <w:rPr>
                <w:rStyle w:val="Hyperlink"/>
                <w:b/>
                <w:noProof/>
                <w:lang w:val="en-US"/>
              </w:rPr>
              <w:t>2.3 The Beninese microfinance, a strong asset in bringing financial services to poor and remote households and businesses, but require support to move forward</w:t>
            </w:r>
            <w:r w:rsidR="00AA2582">
              <w:rPr>
                <w:noProof/>
                <w:webHidden/>
              </w:rPr>
              <w:tab/>
            </w:r>
            <w:r w:rsidR="00AA2582">
              <w:rPr>
                <w:noProof/>
                <w:webHidden/>
              </w:rPr>
              <w:fldChar w:fldCharType="begin"/>
            </w:r>
            <w:r w:rsidR="00AA2582">
              <w:rPr>
                <w:noProof/>
                <w:webHidden/>
              </w:rPr>
              <w:instrText xml:space="preserve"> PAGEREF _Toc3975131 \h </w:instrText>
            </w:r>
            <w:r w:rsidR="00AA2582">
              <w:rPr>
                <w:noProof/>
                <w:webHidden/>
              </w:rPr>
            </w:r>
            <w:r w:rsidR="00AA2582">
              <w:rPr>
                <w:noProof/>
                <w:webHidden/>
              </w:rPr>
              <w:fldChar w:fldCharType="separate"/>
            </w:r>
            <w:r w:rsidR="00AA2582">
              <w:rPr>
                <w:noProof/>
                <w:webHidden/>
              </w:rPr>
              <w:t>34</w:t>
            </w:r>
            <w:r w:rsidR="00AA2582">
              <w:rPr>
                <w:noProof/>
                <w:webHidden/>
              </w:rPr>
              <w:fldChar w:fldCharType="end"/>
            </w:r>
          </w:hyperlink>
        </w:p>
        <w:p w14:paraId="349EBD26" w14:textId="5599183E" w:rsidR="00AA2582" w:rsidRDefault="00573D8B">
          <w:pPr>
            <w:pStyle w:val="TOC2"/>
            <w:tabs>
              <w:tab w:val="right" w:leader="dot" w:pos="9350"/>
            </w:tabs>
            <w:rPr>
              <w:rFonts w:eastAsiaTheme="minorEastAsia"/>
              <w:noProof/>
              <w:lang w:val="en-US"/>
            </w:rPr>
          </w:pPr>
          <w:hyperlink w:anchor="_Toc3975132" w:history="1">
            <w:r w:rsidR="00AA2582" w:rsidRPr="00B64F47">
              <w:rPr>
                <w:rStyle w:val="Hyperlink"/>
                <w:b/>
                <w:noProof/>
                <w:lang w:val="en-US"/>
              </w:rPr>
              <w:t>2.8 Annex</w:t>
            </w:r>
            <w:r w:rsidR="00AA2582">
              <w:rPr>
                <w:noProof/>
                <w:webHidden/>
              </w:rPr>
              <w:tab/>
            </w:r>
            <w:r w:rsidR="00AA2582">
              <w:rPr>
                <w:noProof/>
                <w:webHidden/>
              </w:rPr>
              <w:fldChar w:fldCharType="begin"/>
            </w:r>
            <w:r w:rsidR="00AA2582">
              <w:rPr>
                <w:noProof/>
                <w:webHidden/>
              </w:rPr>
              <w:instrText xml:space="preserve"> PAGEREF _Toc3975132 \h </w:instrText>
            </w:r>
            <w:r w:rsidR="00AA2582">
              <w:rPr>
                <w:noProof/>
                <w:webHidden/>
              </w:rPr>
            </w:r>
            <w:r w:rsidR="00AA2582">
              <w:rPr>
                <w:noProof/>
                <w:webHidden/>
              </w:rPr>
              <w:fldChar w:fldCharType="separate"/>
            </w:r>
            <w:r w:rsidR="00AA2582">
              <w:rPr>
                <w:noProof/>
                <w:webHidden/>
              </w:rPr>
              <w:t>37</w:t>
            </w:r>
            <w:r w:rsidR="00AA2582">
              <w:rPr>
                <w:noProof/>
                <w:webHidden/>
              </w:rPr>
              <w:fldChar w:fldCharType="end"/>
            </w:r>
          </w:hyperlink>
        </w:p>
        <w:p w14:paraId="48CB1BFE" w14:textId="305A614E" w:rsidR="00AA2582" w:rsidRDefault="00573D8B">
          <w:pPr>
            <w:pStyle w:val="TOC1"/>
            <w:tabs>
              <w:tab w:val="right" w:leader="dot" w:pos="9350"/>
            </w:tabs>
            <w:rPr>
              <w:rFonts w:eastAsiaTheme="minorEastAsia"/>
              <w:noProof/>
              <w:lang w:val="en-US"/>
            </w:rPr>
          </w:pPr>
          <w:hyperlink w:anchor="_Toc3975133" w:history="1">
            <w:r w:rsidR="00AA2582" w:rsidRPr="00B64F47">
              <w:rPr>
                <w:rStyle w:val="Hyperlink"/>
                <w:b/>
                <w:noProof/>
              </w:rPr>
              <w:t>CHAPTER 3: Payment System Diagnostic Key Findings</w:t>
            </w:r>
            <w:r w:rsidR="00AA2582">
              <w:rPr>
                <w:noProof/>
                <w:webHidden/>
              </w:rPr>
              <w:tab/>
            </w:r>
            <w:r w:rsidR="00AA2582">
              <w:rPr>
                <w:noProof/>
                <w:webHidden/>
              </w:rPr>
              <w:fldChar w:fldCharType="begin"/>
            </w:r>
            <w:r w:rsidR="00AA2582">
              <w:rPr>
                <w:noProof/>
                <w:webHidden/>
              </w:rPr>
              <w:instrText xml:space="preserve"> PAGEREF _Toc3975133 \h </w:instrText>
            </w:r>
            <w:r w:rsidR="00AA2582">
              <w:rPr>
                <w:noProof/>
                <w:webHidden/>
              </w:rPr>
            </w:r>
            <w:r w:rsidR="00AA2582">
              <w:rPr>
                <w:noProof/>
                <w:webHidden/>
              </w:rPr>
              <w:fldChar w:fldCharType="separate"/>
            </w:r>
            <w:r w:rsidR="00AA2582">
              <w:rPr>
                <w:noProof/>
                <w:webHidden/>
              </w:rPr>
              <w:t>39</w:t>
            </w:r>
            <w:r w:rsidR="00AA2582">
              <w:rPr>
                <w:noProof/>
                <w:webHidden/>
              </w:rPr>
              <w:fldChar w:fldCharType="end"/>
            </w:r>
          </w:hyperlink>
        </w:p>
        <w:p w14:paraId="32FDBA2A" w14:textId="34AB52B6" w:rsidR="00AA2582" w:rsidRDefault="00573D8B">
          <w:pPr>
            <w:pStyle w:val="TOC2"/>
            <w:tabs>
              <w:tab w:val="right" w:leader="dot" w:pos="9350"/>
            </w:tabs>
            <w:rPr>
              <w:rFonts w:eastAsiaTheme="minorEastAsia"/>
              <w:noProof/>
              <w:lang w:val="en-US"/>
            </w:rPr>
          </w:pPr>
          <w:hyperlink w:anchor="_Toc3975134" w:history="1">
            <w:r w:rsidR="00AA2582" w:rsidRPr="00B64F47">
              <w:rPr>
                <w:rStyle w:val="Hyperlink"/>
                <w:b/>
                <w:noProof/>
                <w:lang w:val="en-US"/>
              </w:rPr>
              <w:t>3.1 Context of the Study</w:t>
            </w:r>
            <w:r w:rsidR="00AA2582">
              <w:rPr>
                <w:noProof/>
                <w:webHidden/>
              </w:rPr>
              <w:tab/>
            </w:r>
            <w:r w:rsidR="00AA2582">
              <w:rPr>
                <w:noProof/>
                <w:webHidden/>
              </w:rPr>
              <w:fldChar w:fldCharType="begin"/>
            </w:r>
            <w:r w:rsidR="00AA2582">
              <w:rPr>
                <w:noProof/>
                <w:webHidden/>
              </w:rPr>
              <w:instrText xml:space="preserve"> PAGEREF _Toc3975134 \h </w:instrText>
            </w:r>
            <w:r w:rsidR="00AA2582">
              <w:rPr>
                <w:noProof/>
                <w:webHidden/>
              </w:rPr>
            </w:r>
            <w:r w:rsidR="00AA2582">
              <w:rPr>
                <w:noProof/>
                <w:webHidden/>
              </w:rPr>
              <w:fldChar w:fldCharType="separate"/>
            </w:r>
            <w:r w:rsidR="00AA2582">
              <w:rPr>
                <w:noProof/>
                <w:webHidden/>
              </w:rPr>
              <w:t>43</w:t>
            </w:r>
            <w:r w:rsidR="00AA2582">
              <w:rPr>
                <w:noProof/>
                <w:webHidden/>
              </w:rPr>
              <w:fldChar w:fldCharType="end"/>
            </w:r>
          </w:hyperlink>
        </w:p>
        <w:p w14:paraId="4ADB9D65" w14:textId="2A93C19A" w:rsidR="00AA2582" w:rsidRDefault="00573D8B">
          <w:pPr>
            <w:pStyle w:val="TOC3"/>
            <w:tabs>
              <w:tab w:val="right" w:leader="dot" w:pos="9350"/>
            </w:tabs>
            <w:rPr>
              <w:rFonts w:asciiTheme="minorHAnsi" w:eastAsiaTheme="minorEastAsia" w:hAnsiTheme="minorHAnsi" w:cstheme="minorBidi"/>
              <w:noProof/>
            </w:rPr>
          </w:pPr>
          <w:hyperlink w:anchor="_Toc3975135" w:history="1">
            <w:r w:rsidR="00AA2582" w:rsidRPr="00B64F47">
              <w:rPr>
                <w:rStyle w:val="Hyperlink"/>
                <w:b/>
                <w:noProof/>
              </w:rPr>
              <w:t>3.1.1 Methodology</w:t>
            </w:r>
            <w:r w:rsidR="00AA2582">
              <w:rPr>
                <w:noProof/>
                <w:webHidden/>
              </w:rPr>
              <w:tab/>
            </w:r>
            <w:r w:rsidR="00AA2582">
              <w:rPr>
                <w:noProof/>
                <w:webHidden/>
              </w:rPr>
              <w:fldChar w:fldCharType="begin"/>
            </w:r>
            <w:r w:rsidR="00AA2582">
              <w:rPr>
                <w:noProof/>
                <w:webHidden/>
              </w:rPr>
              <w:instrText xml:space="preserve"> PAGEREF _Toc3975135 \h </w:instrText>
            </w:r>
            <w:r w:rsidR="00AA2582">
              <w:rPr>
                <w:noProof/>
                <w:webHidden/>
              </w:rPr>
            </w:r>
            <w:r w:rsidR="00AA2582">
              <w:rPr>
                <w:noProof/>
                <w:webHidden/>
              </w:rPr>
              <w:fldChar w:fldCharType="separate"/>
            </w:r>
            <w:r w:rsidR="00AA2582">
              <w:rPr>
                <w:noProof/>
                <w:webHidden/>
              </w:rPr>
              <w:t>44</w:t>
            </w:r>
            <w:r w:rsidR="00AA2582">
              <w:rPr>
                <w:noProof/>
                <w:webHidden/>
              </w:rPr>
              <w:fldChar w:fldCharType="end"/>
            </w:r>
          </w:hyperlink>
        </w:p>
        <w:p w14:paraId="6632181C" w14:textId="41804DF2" w:rsidR="00AA2582" w:rsidRDefault="00573D8B">
          <w:pPr>
            <w:pStyle w:val="TOC2"/>
            <w:tabs>
              <w:tab w:val="right" w:leader="dot" w:pos="9350"/>
            </w:tabs>
            <w:rPr>
              <w:rFonts w:eastAsiaTheme="minorEastAsia"/>
              <w:noProof/>
              <w:lang w:val="en-US"/>
            </w:rPr>
          </w:pPr>
          <w:hyperlink w:anchor="_Toc3975136" w:history="1">
            <w:r w:rsidR="00AA2582" w:rsidRPr="00B64F47">
              <w:rPr>
                <w:rStyle w:val="Hyperlink"/>
                <w:b/>
                <w:noProof/>
                <w:lang w:val="en-US"/>
              </w:rPr>
              <w:t>3.2 Retail Payment Flows (G2P, P2G, P2P)</w:t>
            </w:r>
            <w:r w:rsidR="00AA2582">
              <w:rPr>
                <w:noProof/>
                <w:webHidden/>
              </w:rPr>
              <w:tab/>
            </w:r>
            <w:r w:rsidR="00AA2582">
              <w:rPr>
                <w:noProof/>
                <w:webHidden/>
              </w:rPr>
              <w:fldChar w:fldCharType="begin"/>
            </w:r>
            <w:r w:rsidR="00AA2582">
              <w:rPr>
                <w:noProof/>
                <w:webHidden/>
              </w:rPr>
              <w:instrText xml:space="preserve"> PAGEREF _Toc3975136 \h </w:instrText>
            </w:r>
            <w:r w:rsidR="00AA2582">
              <w:rPr>
                <w:noProof/>
                <w:webHidden/>
              </w:rPr>
            </w:r>
            <w:r w:rsidR="00AA2582">
              <w:rPr>
                <w:noProof/>
                <w:webHidden/>
              </w:rPr>
              <w:fldChar w:fldCharType="separate"/>
            </w:r>
            <w:r w:rsidR="00AA2582">
              <w:rPr>
                <w:noProof/>
                <w:webHidden/>
              </w:rPr>
              <w:t>46</w:t>
            </w:r>
            <w:r w:rsidR="00AA2582">
              <w:rPr>
                <w:noProof/>
                <w:webHidden/>
              </w:rPr>
              <w:fldChar w:fldCharType="end"/>
            </w:r>
          </w:hyperlink>
        </w:p>
        <w:p w14:paraId="2AD3E402" w14:textId="409888BA" w:rsidR="00AA2582" w:rsidRDefault="00573D8B">
          <w:pPr>
            <w:pStyle w:val="TOC2"/>
            <w:tabs>
              <w:tab w:val="right" w:leader="dot" w:pos="9350"/>
            </w:tabs>
            <w:rPr>
              <w:rFonts w:eastAsiaTheme="minorEastAsia"/>
              <w:noProof/>
              <w:lang w:val="en-US"/>
            </w:rPr>
          </w:pPr>
          <w:hyperlink w:anchor="_Toc3975137" w:history="1">
            <w:r w:rsidR="00AA2582" w:rsidRPr="00B64F47">
              <w:rPr>
                <w:rStyle w:val="Hyperlink"/>
                <w:b/>
                <w:noProof/>
                <w:lang w:val="en-US"/>
              </w:rPr>
              <w:t>3.3 Use of the Retail Payment Means</w:t>
            </w:r>
            <w:r w:rsidR="00AA2582">
              <w:rPr>
                <w:noProof/>
                <w:webHidden/>
              </w:rPr>
              <w:tab/>
            </w:r>
            <w:r w:rsidR="00AA2582">
              <w:rPr>
                <w:noProof/>
                <w:webHidden/>
              </w:rPr>
              <w:fldChar w:fldCharType="begin"/>
            </w:r>
            <w:r w:rsidR="00AA2582">
              <w:rPr>
                <w:noProof/>
                <w:webHidden/>
              </w:rPr>
              <w:instrText xml:space="preserve"> PAGEREF _Toc3975137 \h </w:instrText>
            </w:r>
            <w:r w:rsidR="00AA2582">
              <w:rPr>
                <w:noProof/>
                <w:webHidden/>
              </w:rPr>
            </w:r>
            <w:r w:rsidR="00AA2582">
              <w:rPr>
                <w:noProof/>
                <w:webHidden/>
              </w:rPr>
              <w:fldChar w:fldCharType="separate"/>
            </w:r>
            <w:r w:rsidR="00AA2582">
              <w:rPr>
                <w:noProof/>
                <w:webHidden/>
              </w:rPr>
              <w:t>47</w:t>
            </w:r>
            <w:r w:rsidR="00AA2582">
              <w:rPr>
                <w:noProof/>
                <w:webHidden/>
              </w:rPr>
              <w:fldChar w:fldCharType="end"/>
            </w:r>
          </w:hyperlink>
        </w:p>
        <w:p w14:paraId="1DDEE18B" w14:textId="005A9A9B" w:rsidR="00AA2582" w:rsidRDefault="00573D8B">
          <w:pPr>
            <w:pStyle w:val="TOC3"/>
            <w:tabs>
              <w:tab w:val="right" w:leader="dot" w:pos="9350"/>
            </w:tabs>
            <w:rPr>
              <w:rFonts w:asciiTheme="minorHAnsi" w:eastAsiaTheme="minorEastAsia" w:hAnsiTheme="minorHAnsi" w:cstheme="minorBidi"/>
              <w:noProof/>
            </w:rPr>
          </w:pPr>
          <w:hyperlink w:anchor="_Toc3975138" w:history="1">
            <w:r w:rsidR="00AA2582" w:rsidRPr="00B64F47">
              <w:rPr>
                <w:rStyle w:val="Hyperlink"/>
                <w:b/>
                <w:noProof/>
              </w:rPr>
              <w:t>3.3.1 Checks</w:t>
            </w:r>
            <w:r w:rsidR="00AA2582">
              <w:rPr>
                <w:noProof/>
                <w:webHidden/>
              </w:rPr>
              <w:tab/>
            </w:r>
            <w:r w:rsidR="00AA2582">
              <w:rPr>
                <w:noProof/>
                <w:webHidden/>
              </w:rPr>
              <w:fldChar w:fldCharType="begin"/>
            </w:r>
            <w:r w:rsidR="00AA2582">
              <w:rPr>
                <w:noProof/>
                <w:webHidden/>
              </w:rPr>
              <w:instrText xml:space="preserve"> PAGEREF _Toc3975138 \h </w:instrText>
            </w:r>
            <w:r w:rsidR="00AA2582">
              <w:rPr>
                <w:noProof/>
                <w:webHidden/>
              </w:rPr>
            </w:r>
            <w:r w:rsidR="00AA2582">
              <w:rPr>
                <w:noProof/>
                <w:webHidden/>
              </w:rPr>
              <w:fldChar w:fldCharType="separate"/>
            </w:r>
            <w:r w:rsidR="00AA2582">
              <w:rPr>
                <w:noProof/>
                <w:webHidden/>
              </w:rPr>
              <w:t>48</w:t>
            </w:r>
            <w:r w:rsidR="00AA2582">
              <w:rPr>
                <w:noProof/>
                <w:webHidden/>
              </w:rPr>
              <w:fldChar w:fldCharType="end"/>
            </w:r>
          </w:hyperlink>
        </w:p>
        <w:p w14:paraId="0A7F498C" w14:textId="731A2652" w:rsidR="00AA2582" w:rsidRDefault="00573D8B">
          <w:pPr>
            <w:pStyle w:val="TOC3"/>
            <w:tabs>
              <w:tab w:val="right" w:leader="dot" w:pos="9350"/>
            </w:tabs>
            <w:rPr>
              <w:rFonts w:asciiTheme="minorHAnsi" w:eastAsiaTheme="minorEastAsia" w:hAnsiTheme="minorHAnsi" w:cstheme="minorBidi"/>
              <w:noProof/>
            </w:rPr>
          </w:pPr>
          <w:hyperlink w:anchor="_Toc3975139" w:history="1">
            <w:r w:rsidR="00AA2582" w:rsidRPr="00B64F47">
              <w:rPr>
                <w:rStyle w:val="Hyperlink"/>
                <w:rFonts w:eastAsia="Times New Roman"/>
                <w:b/>
                <w:noProof/>
                <w:lang w:eastAsia="fr-FR"/>
              </w:rPr>
              <w:t>3.3.2 Cards</w:t>
            </w:r>
            <w:r w:rsidR="00AA2582">
              <w:rPr>
                <w:noProof/>
                <w:webHidden/>
              </w:rPr>
              <w:tab/>
            </w:r>
            <w:r w:rsidR="00AA2582">
              <w:rPr>
                <w:noProof/>
                <w:webHidden/>
              </w:rPr>
              <w:fldChar w:fldCharType="begin"/>
            </w:r>
            <w:r w:rsidR="00AA2582">
              <w:rPr>
                <w:noProof/>
                <w:webHidden/>
              </w:rPr>
              <w:instrText xml:space="preserve"> PAGEREF _Toc3975139 \h </w:instrText>
            </w:r>
            <w:r w:rsidR="00AA2582">
              <w:rPr>
                <w:noProof/>
                <w:webHidden/>
              </w:rPr>
            </w:r>
            <w:r w:rsidR="00AA2582">
              <w:rPr>
                <w:noProof/>
                <w:webHidden/>
              </w:rPr>
              <w:fldChar w:fldCharType="separate"/>
            </w:r>
            <w:r w:rsidR="00AA2582">
              <w:rPr>
                <w:noProof/>
                <w:webHidden/>
              </w:rPr>
              <w:t>48</w:t>
            </w:r>
            <w:r w:rsidR="00AA2582">
              <w:rPr>
                <w:noProof/>
                <w:webHidden/>
              </w:rPr>
              <w:fldChar w:fldCharType="end"/>
            </w:r>
          </w:hyperlink>
        </w:p>
        <w:p w14:paraId="50352E3D" w14:textId="39E820EA" w:rsidR="00AA2582" w:rsidRDefault="00573D8B">
          <w:pPr>
            <w:pStyle w:val="TOC3"/>
            <w:tabs>
              <w:tab w:val="right" w:leader="dot" w:pos="9350"/>
            </w:tabs>
            <w:rPr>
              <w:rFonts w:asciiTheme="minorHAnsi" w:eastAsiaTheme="minorEastAsia" w:hAnsiTheme="minorHAnsi" w:cstheme="minorBidi"/>
              <w:noProof/>
            </w:rPr>
          </w:pPr>
          <w:hyperlink w:anchor="_Toc3975140" w:history="1">
            <w:r w:rsidR="00AA2582" w:rsidRPr="00B64F47">
              <w:rPr>
                <w:rStyle w:val="Hyperlink"/>
                <w:b/>
                <w:noProof/>
              </w:rPr>
              <w:t>3.3.3 Electronic Money</w:t>
            </w:r>
            <w:r w:rsidR="00AA2582">
              <w:rPr>
                <w:noProof/>
                <w:webHidden/>
              </w:rPr>
              <w:tab/>
            </w:r>
            <w:r w:rsidR="00AA2582">
              <w:rPr>
                <w:noProof/>
                <w:webHidden/>
              </w:rPr>
              <w:fldChar w:fldCharType="begin"/>
            </w:r>
            <w:r w:rsidR="00AA2582">
              <w:rPr>
                <w:noProof/>
                <w:webHidden/>
              </w:rPr>
              <w:instrText xml:space="preserve"> PAGEREF _Toc3975140 \h </w:instrText>
            </w:r>
            <w:r w:rsidR="00AA2582">
              <w:rPr>
                <w:noProof/>
                <w:webHidden/>
              </w:rPr>
            </w:r>
            <w:r w:rsidR="00AA2582">
              <w:rPr>
                <w:noProof/>
                <w:webHidden/>
              </w:rPr>
              <w:fldChar w:fldCharType="separate"/>
            </w:r>
            <w:r w:rsidR="00AA2582">
              <w:rPr>
                <w:noProof/>
                <w:webHidden/>
              </w:rPr>
              <w:t>49</w:t>
            </w:r>
            <w:r w:rsidR="00AA2582">
              <w:rPr>
                <w:noProof/>
                <w:webHidden/>
              </w:rPr>
              <w:fldChar w:fldCharType="end"/>
            </w:r>
          </w:hyperlink>
        </w:p>
        <w:p w14:paraId="233BC4B6" w14:textId="03D4521A" w:rsidR="00AA2582" w:rsidRDefault="00573D8B">
          <w:pPr>
            <w:pStyle w:val="TOC2"/>
            <w:tabs>
              <w:tab w:val="right" w:leader="dot" w:pos="9350"/>
            </w:tabs>
            <w:rPr>
              <w:rFonts w:eastAsiaTheme="minorEastAsia"/>
              <w:noProof/>
              <w:lang w:val="en-US"/>
            </w:rPr>
          </w:pPr>
          <w:hyperlink w:anchor="_Toc3975141" w:history="1">
            <w:r w:rsidR="00AA2582" w:rsidRPr="00B64F47">
              <w:rPr>
                <w:rStyle w:val="Hyperlink"/>
                <w:b/>
                <w:noProof/>
                <w:lang w:val="en-US"/>
              </w:rPr>
              <w:t>3.4 Challenges and Recommendations for the Digitalization of Retail Payments</w:t>
            </w:r>
            <w:r w:rsidR="00AA2582">
              <w:rPr>
                <w:noProof/>
                <w:webHidden/>
              </w:rPr>
              <w:tab/>
            </w:r>
            <w:r w:rsidR="00AA2582">
              <w:rPr>
                <w:noProof/>
                <w:webHidden/>
              </w:rPr>
              <w:fldChar w:fldCharType="begin"/>
            </w:r>
            <w:r w:rsidR="00AA2582">
              <w:rPr>
                <w:noProof/>
                <w:webHidden/>
              </w:rPr>
              <w:instrText xml:space="preserve"> PAGEREF _Toc3975141 \h </w:instrText>
            </w:r>
            <w:r w:rsidR="00AA2582">
              <w:rPr>
                <w:noProof/>
                <w:webHidden/>
              </w:rPr>
            </w:r>
            <w:r w:rsidR="00AA2582">
              <w:rPr>
                <w:noProof/>
                <w:webHidden/>
              </w:rPr>
              <w:fldChar w:fldCharType="separate"/>
            </w:r>
            <w:r w:rsidR="00AA2582">
              <w:rPr>
                <w:noProof/>
                <w:webHidden/>
              </w:rPr>
              <w:t>51</w:t>
            </w:r>
            <w:r w:rsidR="00AA2582">
              <w:rPr>
                <w:noProof/>
                <w:webHidden/>
              </w:rPr>
              <w:fldChar w:fldCharType="end"/>
            </w:r>
          </w:hyperlink>
        </w:p>
        <w:p w14:paraId="46F638D5" w14:textId="6F45059D" w:rsidR="00AA2582" w:rsidRDefault="00573D8B">
          <w:pPr>
            <w:pStyle w:val="TOC3"/>
            <w:tabs>
              <w:tab w:val="right" w:leader="dot" w:pos="9350"/>
            </w:tabs>
            <w:rPr>
              <w:rFonts w:asciiTheme="minorHAnsi" w:eastAsiaTheme="minorEastAsia" w:hAnsiTheme="minorHAnsi" w:cstheme="minorBidi"/>
              <w:noProof/>
            </w:rPr>
          </w:pPr>
          <w:hyperlink w:anchor="_Toc3975142" w:history="1">
            <w:r w:rsidR="00AA2582" w:rsidRPr="00B64F47">
              <w:rPr>
                <w:rStyle w:val="Hyperlink"/>
                <w:b/>
                <w:noProof/>
              </w:rPr>
              <w:t>3.4.1 The Customers (Population)</w:t>
            </w:r>
            <w:r w:rsidR="00AA2582">
              <w:rPr>
                <w:noProof/>
                <w:webHidden/>
              </w:rPr>
              <w:tab/>
            </w:r>
            <w:r w:rsidR="00AA2582">
              <w:rPr>
                <w:noProof/>
                <w:webHidden/>
              </w:rPr>
              <w:fldChar w:fldCharType="begin"/>
            </w:r>
            <w:r w:rsidR="00AA2582">
              <w:rPr>
                <w:noProof/>
                <w:webHidden/>
              </w:rPr>
              <w:instrText xml:space="preserve"> PAGEREF _Toc3975142 \h </w:instrText>
            </w:r>
            <w:r w:rsidR="00AA2582">
              <w:rPr>
                <w:noProof/>
                <w:webHidden/>
              </w:rPr>
            </w:r>
            <w:r w:rsidR="00AA2582">
              <w:rPr>
                <w:noProof/>
                <w:webHidden/>
              </w:rPr>
              <w:fldChar w:fldCharType="separate"/>
            </w:r>
            <w:r w:rsidR="00AA2582">
              <w:rPr>
                <w:noProof/>
                <w:webHidden/>
              </w:rPr>
              <w:t>51</w:t>
            </w:r>
            <w:r w:rsidR="00AA2582">
              <w:rPr>
                <w:noProof/>
                <w:webHidden/>
              </w:rPr>
              <w:fldChar w:fldCharType="end"/>
            </w:r>
          </w:hyperlink>
        </w:p>
        <w:p w14:paraId="6EEF1E7D" w14:textId="31786424" w:rsidR="00AA2582" w:rsidRDefault="00573D8B">
          <w:pPr>
            <w:pStyle w:val="TOC3"/>
            <w:tabs>
              <w:tab w:val="right" w:leader="dot" w:pos="9350"/>
            </w:tabs>
            <w:rPr>
              <w:rFonts w:asciiTheme="minorHAnsi" w:eastAsiaTheme="minorEastAsia" w:hAnsiTheme="minorHAnsi" w:cstheme="minorBidi"/>
              <w:noProof/>
            </w:rPr>
          </w:pPr>
          <w:hyperlink w:anchor="_Toc3975143" w:history="1">
            <w:r w:rsidR="00AA2582" w:rsidRPr="00B64F47">
              <w:rPr>
                <w:rStyle w:val="Hyperlink"/>
                <w:b/>
                <w:noProof/>
              </w:rPr>
              <w:t>3.4.2 Financial Services Access Networks</w:t>
            </w:r>
            <w:r w:rsidR="00AA2582">
              <w:rPr>
                <w:noProof/>
                <w:webHidden/>
              </w:rPr>
              <w:tab/>
            </w:r>
            <w:r w:rsidR="00AA2582">
              <w:rPr>
                <w:noProof/>
                <w:webHidden/>
              </w:rPr>
              <w:fldChar w:fldCharType="begin"/>
            </w:r>
            <w:r w:rsidR="00AA2582">
              <w:rPr>
                <w:noProof/>
                <w:webHidden/>
              </w:rPr>
              <w:instrText xml:space="preserve"> PAGEREF _Toc3975143 \h </w:instrText>
            </w:r>
            <w:r w:rsidR="00AA2582">
              <w:rPr>
                <w:noProof/>
                <w:webHidden/>
              </w:rPr>
            </w:r>
            <w:r w:rsidR="00AA2582">
              <w:rPr>
                <w:noProof/>
                <w:webHidden/>
              </w:rPr>
              <w:fldChar w:fldCharType="separate"/>
            </w:r>
            <w:r w:rsidR="00AA2582">
              <w:rPr>
                <w:noProof/>
                <w:webHidden/>
              </w:rPr>
              <w:t>56</w:t>
            </w:r>
            <w:r w:rsidR="00AA2582">
              <w:rPr>
                <w:noProof/>
                <w:webHidden/>
              </w:rPr>
              <w:fldChar w:fldCharType="end"/>
            </w:r>
          </w:hyperlink>
        </w:p>
        <w:p w14:paraId="66719CD1" w14:textId="16269C70" w:rsidR="00AA2582" w:rsidRDefault="00573D8B">
          <w:pPr>
            <w:pStyle w:val="TOC3"/>
            <w:tabs>
              <w:tab w:val="right" w:leader="dot" w:pos="9350"/>
            </w:tabs>
            <w:rPr>
              <w:rFonts w:asciiTheme="minorHAnsi" w:eastAsiaTheme="minorEastAsia" w:hAnsiTheme="minorHAnsi" w:cstheme="minorBidi"/>
              <w:noProof/>
            </w:rPr>
          </w:pPr>
          <w:hyperlink w:anchor="_Toc3975144" w:history="1">
            <w:r w:rsidR="00AA2582" w:rsidRPr="00B64F47">
              <w:rPr>
                <w:rStyle w:val="Hyperlink"/>
                <w:b/>
                <w:noProof/>
              </w:rPr>
              <w:t>3.4.3 The Service Providers</w:t>
            </w:r>
            <w:r w:rsidR="00AA2582">
              <w:rPr>
                <w:noProof/>
                <w:webHidden/>
              </w:rPr>
              <w:tab/>
            </w:r>
            <w:r w:rsidR="00AA2582">
              <w:rPr>
                <w:noProof/>
                <w:webHidden/>
              </w:rPr>
              <w:fldChar w:fldCharType="begin"/>
            </w:r>
            <w:r w:rsidR="00AA2582">
              <w:rPr>
                <w:noProof/>
                <w:webHidden/>
              </w:rPr>
              <w:instrText xml:space="preserve"> PAGEREF _Toc3975144 \h </w:instrText>
            </w:r>
            <w:r w:rsidR="00AA2582">
              <w:rPr>
                <w:noProof/>
                <w:webHidden/>
              </w:rPr>
            </w:r>
            <w:r w:rsidR="00AA2582">
              <w:rPr>
                <w:noProof/>
                <w:webHidden/>
              </w:rPr>
              <w:fldChar w:fldCharType="separate"/>
            </w:r>
            <w:r w:rsidR="00AA2582">
              <w:rPr>
                <w:noProof/>
                <w:webHidden/>
              </w:rPr>
              <w:t>58</w:t>
            </w:r>
            <w:r w:rsidR="00AA2582">
              <w:rPr>
                <w:noProof/>
                <w:webHidden/>
              </w:rPr>
              <w:fldChar w:fldCharType="end"/>
            </w:r>
          </w:hyperlink>
        </w:p>
        <w:p w14:paraId="2F99DE0F" w14:textId="4963241F" w:rsidR="00AA2582" w:rsidRDefault="00573D8B">
          <w:pPr>
            <w:pStyle w:val="TOC3"/>
            <w:tabs>
              <w:tab w:val="right" w:leader="dot" w:pos="9350"/>
            </w:tabs>
            <w:rPr>
              <w:rFonts w:asciiTheme="minorHAnsi" w:eastAsiaTheme="minorEastAsia" w:hAnsiTheme="minorHAnsi" w:cstheme="minorBidi"/>
              <w:noProof/>
            </w:rPr>
          </w:pPr>
          <w:hyperlink w:anchor="_Toc3975145" w:history="1">
            <w:r w:rsidR="00AA2582" w:rsidRPr="00B64F47">
              <w:rPr>
                <w:rStyle w:val="Hyperlink"/>
                <w:b/>
                <w:noProof/>
              </w:rPr>
              <w:t>3.4.4 Main government billers</w:t>
            </w:r>
            <w:r w:rsidR="00AA2582">
              <w:rPr>
                <w:noProof/>
                <w:webHidden/>
              </w:rPr>
              <w:tab/>
            </w:r>
            <w:r w:rsidR="00AA2582">
              <w:rPr>
                <w:noProof/>
                <w:webHidden/>
              </w:rPr>
              <w:fldChar w:fldCharType="begin"/>
            </w:r>
            <w:r w:rsidR="00AA2582">
              <w:rPr>
                <w:noProof/>
                <w:webHidden/>
              </w:rPr>
              <w:instrText xml:space="preserve"> PAGEREF _Toc3975145 \h </w:instrText>
            </w:r>
            <w:r w:rsidR="00AA2582">
              <w:rPr>
                <w:noProof/>
                <w:webHidden/>
              </w:rPr>
            </w:r>
            <w:r w:rsidR="00AA2582">
              <w:rPr>
                <w:noProof/>
                <w:webHidden/>
              </w:rPr>
              <w:fldChar w:fldCharType="separate"/>
            </w:r>
            <w:r w:rsidR="00AA2582">
              <w:rPr>
                <w:noProof/>
                <w:webHidden/>
              </w:rPr>
              <w:t>62</w:t>
            </w:r>
            <w:r w:rsidR="00AA2582">
              <w:rPr>
                <w:noProof/>
                <w:webHidden/>
              </w:rPr>
              <w:fldChar w:fldCharType="end"/>
            </w:r>
          </w:hyperlink>
        </w:p>
        <w:p w14:paraId="3CE8C103" w14:textId="325E4F89" w:rsidR="00AA2582" w:rsidRDefault="00573D8B">
          <w:pPr>
            <w:pStyle w:val="TOC3"/>
            <w:tabs>
              <w:tab w:val="right" w:leader="dot" w:pos="9350"/>
            </w:tabs>
            <w:rPr>
              <w:rFonts w:asciiTheme="minorHAnsi" w:eastAsiaTheme="minorEastAsia" w:hAnsiTheme="minorHAnsi" w:cstheme="minorBidi"/>
              <w:noProof/>
            </w:rPr>
          </w:pPr>
          <w:hyperlink w:anchor="_Toc3975146" w:history="1">
            <w:r w:rsidR="00AA2582" w:rsidRPr="00B64F47">
              <w:rPr>
                <w:rStyle w:val="Hyperlink"/>
                <w:b/>
                <w:noProof/>
              </w:rPr>
              <w:t>3.4.5 Policy and Regulations</w:t>
            </w:r>
            <w:r w:rsidR="00AA2582">
              <w:rPr>
                <w:noProof/>
                <w:webHidden/>
              </w:rPr>
              <w:tab/>
            </w:r>
            <w:r w:rsidR="00AA2582">
              <w:rPr>
                <w:noProof/>
                <w:webHidden/>
              </w:rPr>
              <w:fldChar w:fldCharType="begin"/>
            </w:r>
            <w:r w:rsidR="00AA2582">
              <w:rPr>
                <w:noProof/>
                <w:webHidden/>
              </w:rPr>
              <w:instrText xml:space="preserve"> PAGEREF _Toc3975146 \h </w:instrText>
            </w:r>
            <w:r w:rsidR="00AA2582">
              <w:rPr>
                <w:noProof/>
                <w:webHidden/>
              </w:rPr>
            </w:r>
            <w:r w:rsidR="00AA2582">
              <w:rPr>
                <w:noProof/>
                <w:webHidden/>
              </w:rPr>
              <w:fldChar w:fldCharType="separate"/>
            </w:r>
            <w:r w:rsidR="00AA2582">
              <w:rPr>
                <w:noProof/>
                <w:webHidden/>
              </w:rPr>
              <w:t>62</w:t>
            </w:r>
            <w:r w:rsidR="00AA2582">
              <w:rPr>
                <w:noProof/>
                <w:webHidden/>
              </w:rPr>
              <w:fldChar w:fldCharType="end"/>
            </w:r>
          </w:hyperlink>
        </w:p>
        <w:p w14:paraId="48416894" w14:textId="6349E114" w:rsidR="00AA2582" w:rsidRDefault="00573D8B">
          <w:pPr>
            <w:pStyle w:val="TOC3"/>
            <w:tabs>
              <w:tab w:val="right" w:leader="dot" w:pos="9350"/>
            </w:tabs>
            <w:rPr>
              <w:rFonts w:asciiTheme="minorHAnsi" w:eastAsiaTheme="minorEastAsia" w:hAnsiTheme="minorHAnsi" w:cstheme="minorBidi"/>
              <w:noProof/>
            </w:rPr>
          </w:pPr>
          <w:hyperlink w:anchor="_Toc3975147" w:history="1">
            <w:r w:rsidR="00AA2582" w:rsidRPr="00B64F47">
              <w:rPr>
                <w:rStyle w:val="Hyperlink"/>
                <w:b/>
                <w:noProof/>
              </w:rPr>
              <w:t>3.4.6 Development of the Ecosystem</w:t>
            </w:r>
            <w:r w:rsidR="00AA2582">
              <w:rPr>
                <w:noProof/>
                <w:webHidden/>
              </w:rPr>
              <w:tab/>
            </w:r>
            <w:r w:rsidR="00AA2582">
              <w:rPr>
                <w:noProof/>
                <w:webHidden/>
              </w:rPr>
              <w:fldChar w:fldCharType="begin"/>
            </w:r>
            <w:r w:rsidR="00AA2582">
              <w:rPr>
                <w:noProof/>
                <w:webHidden/>
              </w:rPr>
              <w:instrText xml:space="preserve"> PAGEREF _Toc3975147 \h </w:instrText>
            </w:r>
            <w:r w:rsidR="00AA2582">
              <w:rPr>
                <w:noProof/>
                <w:webHidden/>
              </w:rPr>
            </w:r>
            <w:r w:rsidR="00AA2582">
              <w:rPr>
                <w:noProof/>
                <w:webHidden/>
              </w:rPr>
              <w:fldChar w:fldCharType="separate"/>
            </w:r>
            <w:r w:rsidR="00AA2582">
              <w:rPr>
                <w:noProof/>
                <w:webHidden/>
              </w:rPr>
              <w:t>63</w:t>
            </w:r>
            <w:r w:rsidR="00AA2582">
              <w:rPr>
                <w:noProof/>
                <w:webHidden/>
              </w:rPr>
              <w:fldChar w:fldCharType="end"/>
            </w:r>
          </w:hyperlink>
        </w:p>
        <w:p w14:paraId="1055E377" w14:textId="54B1EA13" w:rsidR="00AA2582" w:rsidRDefault="00573D8B">
          <w:pPr>
            <w:pStyle w:val="TOC2"/>
            <w:tabs>
              <w:tab w:val="right" w:leader="dot" w:pos="9350"/>
            </w:tabs>
            <w:rPr>
              <w:rFonts w:eastAsiaTheme="minorEastAsia"/>
              <w:noProof/>
              <w:lang w:val="en-US"/>
            </w:rPr>
          </w:pPr>
          <w:hyperlink w:anchor="_Toc3975148" w:history="1">
            <w:r w:rsidR="00AA2582" w:rsidRPr="00B64F47">
              <w:rPr>
                <w:rStyle w:val="Hyperlink"/>
                <w:b/>
                <w:noProof/>
                <w:lang w:val="en-US"/>
              </w:rPr>
              <w:t>3.5 Scenarios of Cash to Digital Migration</w:t>
            </w:r>
            <w:r w:rsidR="00AA2582">
              <w:rPr>
                <w:noProof/>
                <w:webHidden/>
              </w:rPr>
              <w:tab/>
            </w:r>
            <w:r w:rsidR="00AA2582">
              <w:rPr>
                <w:noProof/>
                <w:webHidden/>
              </w:rPr>
              <w:fldChar w:fldCharType="begin"/>
            </w:r>
            <w:r w:rsidR="00AA2582">
              <w:rPr>
                <w:noProof/>
                <w:webHidden/>
              </w:rPr>
              <w:instrText xml:space="preserve"> PAGEREF _Toc3975148 \h </w:instrText>
            </w:r>
            <w:r w:rsidR="00AA2582">
              <w:rPr>
                <w:noProof/>
                <w:webHidden/>
              </w:rPr>
            </w:r>
            <w:r w:rsidR="00AA2582">
              <w:rPr>
                <w:noProof/>
                <w:webHidden/>
              </w:rPr>
              <w:fldChar w:fldCharType="separate"/>
            </w:r>
            <w:r w:rsidR="00AA2582">
              <w:rPr>
                <w:noProof/>
                <w:webHidden/>
              </w:rPr>
              <w:t>64</w:t>
            </w:r>
            <w:r w:rsidR="00AA2582">
              <w:rPr>
                <w:noProof/>
                <w:webHidden/>
              </w:rPr>
              <w:fldChar w:fldCharType="end"/>
            </w:r>
          </w:hyperlink>
        </w:p>
        <w:p w14:paraId="4A03FCB5" w14:textId="3A33BEFA" w:rsidR="00AA2582" w:rsidRDefault="00573D8B">
          <w:pPr>
            <w:pStyle w:val="TOC2"/>
            <w:tabs>
              <w:tab w:val="right" w:leader="dot" w:pos="9350"/>
            </w:tabs>
            <w:rPr>
              <w:rFonts w:eastAsiaTheme="minorEastAsia"/>
              <w:noProof/>
              <w:lang w:val="en-US"/>
            </w:rPr>
          </w:pPr>
          <w:hyperlink w:anchor="_Toc3975149" w:history="1">
            <w:r w:rsidR="00AA2582" w:rsidRPr="00B64F47">
              <w:rPr>
                <w:rStyle w:val="Hyperlink"/>
                <w:b/>
                <w:noProof/>
                <w:lang w:val="en-US"/>
              </w:rPr>
              <w:t>3.6 Annexes</w:t>
            </w:r>
            <w:r w:rsidR="00AA2582">
              <w:rPr>
                <w:noProof/>
                <w:webHidden/>
              </w:rPr>
              <w:tab/>
            </w:r>
            <w:r w:rsidR="00AA2582">
              <w:rPr>
                <w:noProof/>
                <w:webHidden/>
              </w:rPr>
              <w:fldChar w:fldCharType="begin"/>
            </w:r>
            <w:r w:rsidR="00AA2582">
              <w:rPr>
                <w:noProof/>
                <w:webHidden/>
              </w:rPr>
              <w:instrText xml:space="preserve"> PAGEREF _Toc3975149 \h </w:instrText>
            </w:r>
            <w:r w:rsidR="00AA2582">
              <w:rPr>
                <w:noProof/>
                <w:webHidden/>
              </w:rPr>
            </w:r>
            <w:r w:rsidR="00AA2582">
              <w:rPr>
                <w:noProof/>
                <w:webHidden/>
              </w:rPr>
              <w:fldChar w:fldCharType="separate"/>
            </w:r>
            <w:r w:rsidR="00AA2582">
              <w:rPr>
                <w:noProof/>
                <w:webHidden/>
              </w:rPr>
              <w:t>65</w:t>
            </w:r>
            <w:r w:rsidR="00AA2582">
              <w:rPr>
                <w:noProof/>
                <w:webHidden/>
              </w:rPr>
              <w:fldChar w:fldCharType="end"/>
            </w:r>
          </w:hyperlink>
        </w:p>
        <w:p w14:paraId="1602999A" w14:textId="5C08F4A8" w:rsidR="00AA2582" w:rsidRDefault="00573D8B">
          <w:pPr>
            <w:pStyle w:val="TOC3"/>
            <w:tabs>
              <w:tab w:val="right" w:leader="dot" w:pos="9350"/>
            </w:tabs>
            <w:rPr>
              <w:rFonts w:asciiTheme="minorHAnsi" w:eastAsiaTheme="minorEastAsia" w:hAnsiTheme="minorHAnsi" w:cstheme="minorBidi"/>
              <w:noProof/>
            </w:rPr>
          </w:pPr>
          <w:hyperlink w:anchor="_Toc3975150" w:history="1">
            <w:r w:rsidR="00AA2582" w:rsidRPr="00B64F47">
              <w:rPr>
                <w:rStyle w:val="Hyperlink"/>
                <w:b/>
                <w:noProof/>
              </w:rPr>
              <w:t>Annex 1: List of countries</w:t>
            </w:r>
            <w:r w:rsidR="00AA2582">
              <w:rPr>
                <w:noProof/>
                <w:webHidden/>
              </w:rPr>
              <w:tab/>
            </w:r>
            <w:r w:rsidR="00AA2582">
              <w:rPr>
                <w:noProof/>
                <w:webHidden/>
              </w:rPr>
              <w:fldChar w:fldCharType="begin"/>
            </w:r>
            <w:r w:rsidR="00AA2582">
              <w:rPr>
                <w:noProof/>
                <w:webHidden/>
              </w:rPr>
              <w:instrText xml:space="preserve"> PAGEREF _Toc3975150 \h </w:instrText>
            </w:r>
            <w:r w:rsidR="00AA2582">
              <w:rPr>
                <w:noProof/>
                <w:webHidden/>
              </w:rPr>
            </w:r>
            <w:r w:rsidR="00AA2582">
              <w:rPr>
                <w:noProof/>
                <w:webHidden/>
              </w:rPr>
              <w:fldChar w:fldCharType="separate"/>
            </w:r>
            <w:r w:rsidR="00AA2582">
              <w:rPr>
                <w:noProof/>
                <w:webHidden/>
              </w:rPr>
              <w:t>65</w:t>
            </w:r>
            <w:r w:rsidR="00AA2582">
              <w:rPr>
                <w:noProof/>
                <w:webHidden/>
              </w:rPr>
              <w:fldChar w:fldCharType="end"/>
            </w:r>
          </w:hyperlink>
        </w:p>
        <w:p w14:paraId="7CCB675B" w14:textId="000E6F0D" w:rsidR="00AA2582" w:rsidRDefault="00573D8B">
          <w:pPr>
            <w:pStyle w:val="TOC3"/>
            <w:tabs>
              <w:tab w:val="right" w:leader="dot" w:pos="9350"/>
            </w:tabs>
            <w:rPr>
              <w:rFonts w:asciiTheme="minorHAnsi" w:eastAsiaTheme="minorEastAsia" w:hAnsiTheme="minorHAnsi" w:cstheme="minorBidi"/>
              <w:noProof/>
            </w:rPr>
          </w:pPr>
          <w:hyperlink w:anchor="_Toc3975151" w:history="1">
            <w:r w:rsidR="00AA2582" w:rsidRPr="00B64F47">
              <w:rPr>
                <w:rStyle w:val="Hyperlink"/>
                <w:b/>
                <w:noProof/>
              </w:rPr>
              <w:t>Annex 2: Population of Benin by province</w:t>
            </w:r>
            <w:r w:rsidR="00AA2582">
              <w:rPr>
                <w:noProof/>
                <w:webHidden/>
              </w:rPr>
              <w:tab/>
            </w:r>
            <w:r w:rsidR="00AA2582">
              <w:rPr>
                <w:noProof/>
                <w:webHidden/>
              </w:rPr>
              <w:fldChar w:fldCharType="begin"/>
            </w:r>
            <w:r w:rsidR="00AA2582">
              <w:rPr>
                <w:noProof/>
                <w:webHidden/>
              </w:rPr>
              <w:instrText xml:space="preserve"> PAGEREF _Toc3975151 \h </w:instrText>
            </w:r>
            <w:r w:rsidR="00AA2582">
              <w:rPr>
                <w:noProof/>
                <w:webHidden/>
              </w:rPr>
            </w:r>
            <w:r w:rsidR="00AA2582">
              <w:rPr>
                <w:noProof/>
                <w:webHidden/>
              </w:rPr>
              <w:fldChar w:fldCharType="separate"/>
            </w:r>
            <w:r w:rsidR="00AA2582">
              <w:rPr>
                <w:noProof/>
                <w:webHidden/>
              </w:rPr>
              <w:t>65</w:t>
            </w:r>
            <w:r w:rsidR="00AA2582">
              <w:rPr>
                <w:noProof/>
                <w:webHidden/>
              </w:rPr>
              <w:fldChar w:fldCharType="end"/>
            </w:r>
          </w:hyperlink>
        </w:p>
        <w:p w14:paraId="22491A07" w14:textId="582D76BF" w:rsidR="00AA2582" w:rsidRDefault="00573D8B">
          <w:pPr>
            <w:pStyle w:val="TOC1"/>
            <w:tabs>
              <w:tab w:val="right" w:leader="dot" w:pos="9350"/>
            </w:tabs>
            <w:rPr>
              <w:rFonts w:eastAsiaTheme="minorEastAsia"/>
              <w:noProof/>
              <w:lang w:val="en-US"/>
            </w:rPr>
          </w:pPr>
          <w:hyperlink w:anchor="_Toc3975152" w:history="1">
            <w:r w:rsidR="00AA2582" w:rsidRPr="00B64F47">
              <w:rPr>
                <w:rStyle w:val="Hyperlink"/>
                <w:b/>
                <w:noProof/>
              </w:rPr>
              <w:t>CHAPTER 4: Agriculture Finance Review Key Findings</w:t>
            </w:r>
            <w:r w:rsidR="00AA2582">
              <w:rPr>
                <w:noProof/>
                <w:webHidden/>
              </w:rPr>
              <w:tab/>
            </w:r>
            <w:r w:rsidR="00AA2582">
              <w:rPr>
                <w:noProof/>
                <w:webHidden/>
              </w:rPr>
              <w:fldChar w:fldCharType="begin"/>
            </w:r>
            <w:r w:rsidR="00AA2582">
              <w:rPr>
                <w:noProof/>
                <w:webHidden/>
              </w:rPr>
              <w:instrText xml:space="preserve"> PAGEREF _Toc3975152 \h </w:instrText>
            </w:r>
            <w:r w:rsidR="00AA2582">
              <w:rPr>
                <w:noProof/>
                <w:webHidden/>
              </w:rPr>
            </w:r>
            <w:r w:rsidR="00AA2582">
              <w:rPr>
                <w:noProof/>
                <w:webHidden/>
              </w:rPr>
              <w:fldChar w:fldCharType="separate"/>
            </w:r>
            <w:r w:rsidR="00AA2582">
              <w:rPr>
                <w:noProof/>
                <w:webHidden/>
              </w:rPr>
              <w:t>67</w:t>
            </w:r>
            <w:r w:rsidR="00AA2582">
              <w:rPr>
                <w:noProof/>
                <w:webHidden/>
              </w:rPr>
              <w:fldChar w:fldCharType="end"/>
            </w:r>
          </w:hyperlink>
        </w:p>
        <w:p w14:paraId="69783DB5" w14:textId="05CD7A9B" w:rsidR="00AA2582" w:rsidRDefault="00573D8B">
          <w:pPr>
            <w:pStyle w:val="TOC2"/>
            <w:tabs>
              <w:tab w:val="right" w:leader="dot" w:pos="9350"/>
            </w:tabs>
            <w:rPr>
              <w:rFonts w:eastAsiaTheme="minorEastAsia"/>
              <w:noProof/>
              <w:lang w:val="en-US"/>
            </w:rPr>
          </w:pPr>
          <w:hyperlink w:anchor="_Toc3975153" w:history="1">
            <w:r w:rsidR="00AA2582" w:rsidRPr="00B64F47">
              <w:rPr>
                <w:rStyle w:val="Hyperlink"/>
                <w:b/>
                <w:noProof/>
                <w:lang w:val="en-US"/>
              </w:rPr>
              <w:t>4.1 Agriculture sector a key pillar in Benin economy</w:t>
            </w:r>
            <w:r w:rsidR="00AA2582">
              <w:rPr>
                <w:noProof/>
                <w:webHidden/>
              </w:rPr>
              <w:tab/>
            </w:r>
            <w:r w:rsidR="00AA2582">
              <w:rPr>
                <w:noProof/>
                <w:webHidden/>
              </w:rPr>
              <w:fldChar w:fldCharType="begin"/>
            </w:r>
            <w:r w:rsidR="00AA2582">
              <w:rPr>
                <w:noProof/>
                <w:webHidden/>
              </w:rPr>
              <w:instrText xml:space="preserve"> PAGEREF _Toc3975153 \h </w:instrText>
            </w:r>
            <w:r w:rsidR="00AA2582">
              <w:rPr>
                <w:noProof/>
                <w:webHidden/>
              </w:rPr>
            </w:r>
            <w:r w:rsidR="00AA2582">
              <w:rPr>
                <w:noProof/>
                <w:webHidden/>
              </w:rPr>
              <w:fldChar w:fldCharType="separate"/>
            </w:r>
            <w:r w:rsidR="00AA2582">
              <w:rPr>
                <w:noProof/>
                <w:webHidden/>
              </w:rPr>
              <w:t>67</w:t>
            </w:r>
            <w:r w:rsidR="00AA2582">
              <w:rPr>
                <w:noProof/>
                <w:webHidden/>
              </w:rPr>
              <w:fldChar w:fldCharType="end"/>
            </w:r>
          </w:hyperlink>
        </w:p>
        <w:p w14:paraId="44E42750" w14:textId="67E748C6" w:rsidR="00AA2582" w:rsidRDefault="00573D8B">
          <w:pPr>
            <w:pStyle w:val="TOC3"/>
            <w:tabs>
              <w:tab w:val="right" w:leader="dot" w:pos="9350"/>
            </w:tabs>
            <w:rPr>
              <w:rFonts w:asciiTheme="minorHAnsi" w:eastAsiaTheme="minorEastAsia" w:hAnsiTheme="minorHAnsi" w:cstheme="minorBidi"/>
              <w:noProof/>
            </w:rPr>
          </w:pPr>
          <w:hyperlink w:anchor="_Toc3975154" w:history="1">
            <w:r w:rsidR="00AA2582" w:rsidRPr="00B64F47">
              <w:rPr>
                <w:rStyle w:val="Hyperlink"/>
                <w:b/>
                <w:noProof/>
              </w:rPr>
              <w:t>4.1.1 Receiving an increasingly attention from the authorities</w:t>
            </w:r>
            <w:r w:rsidR="00AA2582">
              <w:rPr>
                <w:noProof/>
                <w:webHidden/>
              </w:rPr>
              <w:tab/>
            </w:r>
            <w:r w:rsidR="00AA2582">
              <w:rPr>
                <w:noProof/>
                <w:webHidden/>
              </w:rPr>
              <w:fldChar w:fldCharType="begin"/>
            </w:r>
            <w:r w:rsidR="00AA2582">
              <w:rPr>
                <w:noProof/>
                <w:webHidden/>
              </w:rPr>
              <w:instrText xml:space="preserve"> PAGEREF _Toc3975154 \h </w:instrText>
            </w:r>
            <w:r w:rsidR="00AA2582">
              <w:rPr>
                <w:noProof/>
                <w:webHidden/>
              </w:rPr>
            </w:r>
            <w:r w:rsidR="00AA2582">
              <w:rPr>
                <w:noProof/>
                <w:webHidden/>
              </w:rPr>
              <w:fldChar w:fldCharType="separate"/>
            </w:r>
            <w:r w:rsidR="00AA2582">
              <w:rPr>
                <w:noProof/>
                <w:webHidden/>
              </w:rPr>
              <w:t>69</w:t>
            </w:r>
            <w:r w:rsidR="00AA2582">
              <w:rPr>
                <w:noProof/>
                <w:webHidden/>
              </w:rPr>
              <w:fldChar w:fldCharType="end"/>
            </w:r>
          </w:hyperlink>
        </w:p>
        <w:p w14:paraId="7FC50ABD" w14:textId="1CB077C2" w:rsidR="00AA2582" w:rsidRDefault="00573D8B">
          <w:pPr>
            <w:pStyle w:val="TOC2"/>
            <w:tabs>
              <w:tab w:val="right" w:leader="dot" w:pos="9350"/>
            </w:tabs>
            <w:rPr>
              <w:rFonts w:eastAsiaTheme="minorEastAsia"/>
              <w:noProof/>
              <w:lang w:val="en-US"/>
            </w:rPr>
          </w:pPr>
          <w:hyperlink w:anchor="_Toc3975155" w:history="1">
            <w:r w:rsidR="00AA2582" w:rsidRPr="00B64F47">
              <w:rPr>
                <w:rStyle w:val="Hyperlink"/>
                <w:b/>
                <w:noProof/>
                <w:lang w:val="en-US"/>
              </w:rPr>
              <w:t>4.2 Despite such public supports, financial services remain a challenge in the agriculture sector</w:t>
            </w:r>
            <w:r w:rsidR="00AA2582">
              <w:rPr>
                <w:noProof/>
                <w:webHidden/>
              </w:rPr>
              <w:tab/>
            </w:r>
            <w:r w:rsidR="00AA2582">
              <w:rPr>
                <w:noProof/>
                <w:webHidden/>
              </w:rPr>
              <w:fldChar w:fldCharType="begin"/>
            </w:r>
            <w:r w:rsidR="00AA2582">
              <w:rPr>
                <w:noProof/>
                <w:webHidden/>
              </w:rPr>
              <w:instrText xml:space="preserve"> PAGEREF _Toc3975155 \h </w:instrText>
            </w:r>
            <w:r w:rsidR="00AA2582">
              <w:rPr>
                <w:noProof/>
                <w:webHidden/>
              </w:rPr>
            </w:r>
            <w:r w:rsidR="00AA2582">
              <w:rPr>
                <w:noProof/>
                <w:webHidden/>
              </w:rPr>
              <w:fldChar w:fldCharType="separate"/>
            </w:r>
            <w:r w:rsidR="00AA2582">
              <w:rPr>
                <w:noProof/>
                <w:webHidden/>
              </w:rPr>
              <w:t>72</w:t>
            </w:r>
            <w:r w:rsidR="00AA2582">
              <w:rPr>
                <w:noProof/>
                <w:webHidden/>
              </w:rPr>
              <w:fldChar w:fldCharType="end"/>
            </w:r>
          </w:hyperlink>
        </w:p>
        <w:p w14:paraId="4539FD54" w14:textId="09311DC2" w:rsidR="00AA2582" w:rsidRDefault="00573D8B">
          <w:pPr>
            <w:pStyle w:val="TOC3"/>
            <w:tabs>
              <w:tab w:val="right" w:leader="dot" w:pos="9350"/>
            </w:tabs>
            <w:rPr>
              <w:rFonts w:asciiTheme="minorHAnsi" w:eastAsiaTheme="minorEastAsia" w:hAnsiTheme="minorHAnsi" w:cstheme="minorBidi"/>
              <w:noProof/>
            </w:rPr>
          </w:pPr>
          <w:hyperlink w:anchor="_Toc3975156" w:history="1">
            <w:r w:rsidR="00AA2582" w:rsidRPr="00B64F47">
              <w:rPr>
                <w:rStyle w:val="Hyperlink"/>
                <w:b/>
                <w:noProof/>
              </w:rPr>
              <w:t xml:space="preserve">4.2.1 </w:t>
            </w:r>
            <w:r w:rsidR="00AA2582" w:rsidRPr="00B64F47">
              <w:rPr>
                <w:rStyle w:val="Hyperlink"/>
                <w:rFonts w:cstheme="minorHAnsi"/>
                <w:b/>
                <w:noProof/>
              </w:rPr>
              <w:t>Binding constraints hampering access of stakeholders to financial services</w:t>
            </w:r>
            <w:r w:rsidR="00AA2582">
              <w:rPr>
                <w:noProof/>
                <w:webHidden/>
              </w:rPr>
              <w:tab/>
            </w:r>
            <w:r w:rsidR="00AA2582">
              <w:rPr>
                <w:noProof/>
                <w:webHidden/>
              </w:rPr>
              <w:fldChar w:fldCharType="begin"/>
            </w:r>
            <w:r w:rsidR="00AA2582">
              <w:rPr>
                <w:noProof/>
                <w:webHidden/>
              </w:rPr>
              <w:instrText xml:space="preserve"> PAGEREF _Toc3975156 \h </w:instrText>
            </w:r>
            <w:r w:rsidR="00AA2582">
              <w:rPr>
                <w:noProof/>
                <w:webHidden/>
              </w:rPr>
            </w:r>
            <w:r w:rsidR="00AA2582">
              <w:rPr>
                <w:noProof/>
                <w:webHidden/>
              </w:rPr>
              <w:fldChar w:fldCharType="separate"/>
            </w:r>
            <w:r w:rsidR="00AA2582">
              <w:rPr>
                <w:noProof/>
                <w:webHidden/>
              </w:rPr>
              <w:t>72</w:t>
            </w:r>
            <w:r w:rsidR="00AA2582">
              <w:rPr>
                <w:noProof/>
                <w:webHidden/>
              </w:rPr>
              <w:fldChar w:fldCharType="end"/>
            </w:r>
          </w:hyperlink>
        </w:p>
        <w:p w14:paraId="5CB86557" w14:textId="1998EF3D" w:rsidR="00AA2582" w:rsidRDefault="00573D8B">
          <w:pPr>
            <w:pStyle w:val="TOC3"/>
            <w:tabs>
              <w:tab w:val="right" w:leader="dot" w:pos="9350"/>
            </w:tabs>
            <w:rPr>
              <w:rFonts w:asciiTheme="minorHAnsi" w:eastAsiaTheme="minorEastAsia" w:hAnsiTheme="minorHAnsi" w:cstheme="minorBidi"/>
              <w:noProof/>
            </w:rPr>
          </w:pPr>
          <w:hyperlink w:anchor="_Toc3975157" w:history="1">
            <w:r w:rsidR="00AA2582" w:rsidRPr="00B64F47">
              <w:rPr>
                <w:rStyle w:val="Hyperlink"/>
                <w:b/>
                <w:noProof/>
              </w:rPr>
              <w:t>4.2.2 Enduring constraints in the Supply of Agriculture Finance Limiting its Attractiveness</w:t>
            </w:r>
            <w:r w:rsidR="00AA2582">
              <w:rPr>
                <w:noProof/>
                <w:webHidden/>
              </w:rPr>
              <w:tab/>
            </w:r>
            <w:r w:rsidR="00AA2582">
              <w:rPr>
                <w:noProof/>
                <w:webHidden/>
              </w:rPr>
              <w:fldChar w:fldCharType="begin"/>
            </w:r>
            <w:r w:rsidR="00AA2582">
              <w:rPr>
                <w:noProof/>
                <w:webHidden/>
              </w:rPr>
              <w:instrText xml:space="preserve"> PAGEREF _Toc3975157 \h </w:instrText>
            </w:r>
            <w:r w:rsidR="00AA2582">
              <w:rPr>
                <w:noProof/>
                <w:webHidden/>
              </w:rPr>
            </w:r>
            <w:r w:rsidR="00AA2582">
              <w:rPr>
                <w:noProof/>
                <w:webHidden/>
              </w:rPr>
              <w:fldChar w:fldCharType="separate"/>
            </w:r>
            <w:r w:rsidR="00AA2582">
              <w:rPr>
                <w:noProof/>
                <w:webHidden/>
              </w:rPr>
              <w:t>74</w:t>
            </w:r>
            <w:r w:rsidR="00AA2582">
              <w:rPr>
                <w:noProof/>
                <w:webHidden/>
              </w:rPr>
              <w:fldChar w:fldCharType="end"/>
            </w:r>
          </w:hyperlink>
        </w:p>
        <w:p w14:paraId="2914B50A" w14:textId="76550EF1" w:rsidR="00AA2582" w:rsidRDefault="00573D8B">
          <w:pPr>
            <w:pStyle w:val="TOC2"/>
            <w:tabs>
              <w:tab w:val="right" w:leader="dot" w:pos="9350"/>
            </w:tabs>
            <w:rPr>
              <w:rFonts w:eastAsiaTheme="minorEastAsia"/>
              <w:noProof/>
              <w:lang w:val="en-US"/>
            </w:rPr>
          </w:pPr>
          <w:hyperlink w:anchor="_Toc3975158" w:history="1">
            <w:r w:rsidR="00AA2582" w:rsidRPr="00B64F47">
              <w:rPr>
                <w:rStyle w:val="Hyperlink"/>
                <w:b/>
                <w:noProof/>
                <w:lang w:val="en-US"/>
              </w:rPr>
              <w:t>4.3 Opportunities are emerging</w:t>
            </w:r>
            <w:r w:rsidR="00AA2582">
              <w:rPr>
                <w:noProof/>
                <w:webHidden/>
              </w:rPr>
              <w:tab/>
            </w:r>
            <w:r w:rsidR="00AA2582">
              <w:rPr>
                <w:noProof/>
                <w:webHidden/>
              </w:rPr>
              <w:fldChar w:fldCharType="begin"/>
            </w:r>
            <w:r w:rsidR="00AA2582">
              <w:rPr>
                <w:noProof/>
                <w:webHidden/>
              </w:rPr>
              <w:instrText xml:space="preserve"> PAGEREF _Toc3975158 \h </w:instrText>
            </w:r>
            <w:r w:rsidR="00AA2582">
              <w:rPr>
                <w:noProof/>
                <w:webHidden/>
              </w:rPr>
            </w:r>
            <w:r w:rsidR="00AA2582">
              <w:rPr>
                <w:noProof/>
                <w:webHidden/>
              </w:rPr>
              <w:fldChar w:fldCharType="separate"/>
            </w:r>
            <w:r w:rsidR="00AA2582">
              <w:rPr>
                <w:noProof/>
                <w:webHidden/>
              </w:rPr>
              <w:t>75</w:t>
            </w:r>
            <w:r w:rsidR="00AA2582">
              <w:rPr>
                <w:noProof/>
                <w:webHidden/>
              </w:rPr>
              <w:fldChar w:fldCharType="end"/>
            </w:r>
          </w:hyperlink>
        </w:p>
        <w:p w14:paraId="1A7212D5" w14:textId="7E7FA69C" w:rsidR="00AA2582" w:rsidRDefault="00573D8B">
          <w:pPr>
            <w:pStyle w:val="TOC2"/>
            <w:tabs>
              <w:tab w:val="right" w:leader="dot" w:pos="9350"/>
            </w:tabs>
            <w:rPr>
              <w:rFonts w:eastAsiaTheme="minorEastAsia"/>
              <w:noProof/>
              <w:lang w:val="en-US"/>
            </w:rPr>
          </w:pPr>
          <w:hyperlink w:anchor="_Toc3975159" w:history="1">
            <w:r w:rsidR="00AA2582" w:rsidRPr="00B64F47">
              <w:rPr>
                <w:rStyle w:val="Hyperlink"/>
                <w:rFonts w:eastAsia="Times New Roman"/>
                <w:b/>
                <w:noProof/>
                <w:lang w:val="en-US" w:eastAsia="fr-CA"/>
              </w:rPr>
              <w:t>4.8 Annex</w:t>
            </w:r>
            <w:r w:rsidR="00AA2582">
              <w:rPr>
                <w:noProof/>
                <w:webHidden/>
              </w:rPr>
              <w:tab/>
            </w:r>
            <w:r w:rsidR="00AA2582">
              <w:rPr>
                <w:noProof/>
                <w:webHidden/>
              </w:rPr>
              <w:fldChar w:fldCharType="begin"/>
            </w:r>
            <w:r w:rsidR="00AA2582">
              <w:rPr>
                <w:noProof/>
                <w:webHidden/>
              </w:rPr>
              <w:instrText xml:space="preserve"> PAGEREF _Toc3975159 \h </w:instrText>
            </w:r>
            <w:r w:rsidR="00AA2582">
              <w:rPr>
                <w:noProof/>
                <w:webHidden/>
              </w:rPr>
            </w:r>
            <w:r w:rsidR="00AA2582">
              <w:rPr>
                <w:noProof/>
                <w:webHidden/>
              </w:rPr>
              <w:fldChar w:fldCharType="separate"/>
            </w:r>
            <w:r w:rsidR="00AA2582">
              <w:rPr>
                <w:noProof/>
                <w:webHidden/>
              </w:rPr>
              <w:t>81</w:t>
            </w:r>
            <w:r w:rsidR="00AA2582">
              <w:rPr>
                <w:noProof/>
                <w:webHidden/>
              </w:rPr>
              <w:fldChar w:fldCharType="end"/>
            </w:r>
          </w:hyperlink>
        </w:p>
        <w:p w14:paraId="254932D2" w14:textId="2074E424" w:rsidR="00AA2582" w:rsidRDefault="00573D8B">
          <w:pPr>
            <w:pStyle w:val="TOC1"/>
            <w:tabs>
              <w:tab w:val="right" w:leader="dot" w:pos="9350"/>
            </w:tabs>
            <w:rPr>
              <w:rFonts w:eastAsiaTheme="minorEastAsia"/>
              <w:noProof/>
              <w:lang w:val="en-US"/>
            </w:rPr>
          </w:pPr>
          <w:hyperlink w:anchor="_Toc3975160" w:history="1">
            <w:r w:rsidR="00AA2582" w:rsidRPr="00B64F47">
              <w:rPr>
                <w:rStyle w:val="Hyperlink"/>
                <w:b/>
                <w:noProof/>
              </w:rPr>
              <w:t>References</w:t>
            </w:r>
            <w:r w:rsidR="00AA2582">
              <w:rPr>
                <w:noProof/>
                <w:webHidden/>
              </w:rPr>
              <w:tab/>
            </w:r>
            <w:r w:rsidR="00AA2582">
              <w:rPr>
                <w:noProof/>
                <w:webHidden/>
              </w:rPr>
              <w:fldChar w:fldCharType="begin"/>
            </w:r>
            <w:r w:rsidR="00AA2582">
              <w:rPr>
                <w:noProof/>
                <w:webHidden/>
              </w:rPr>
              <w:instrText xml:space="preserve"> PAGEREF _Toc3975160 \h </w:instrText>
            </w:r>
            <w:r w:rsidR="00AA2582">
              <w:rPr>
                <w:noProof/>
                <w:webHidden/>
              </w:rPr>
            </w:r>
            <w:r w:rsidR="00AA2582">
              <w:rPr>
                <w:noProof/>
                <w:webHidden/>
              </w:rPr>
              <w:fldChar w:fldCharType="separate"/>
            </w:r>
            <w:r w:rsidR="00AA2582">
              <w:rPr>
                <w:noProof/>
                <w:webHidden/>
              </w:rPr>
              <w:t>82</w:t>
            </w:r>
            <w:r w:rsidR="00AA2582">
              <w:rPr>
                <w:noProof/>
                <w:webHidden/>
              </w:rPr>
              <w:fldChar w:fldCharType="end"/>
            </w:r>
          </w:hyperlink>
        </w:p>
        <w:p w14:paraId="042F7A09" w14:textId="01141B8B" w:rsidR="00AA2582" w:rsidRDefault="00573D8B">
          <w:pPr>
            <w:pStyle w:val="TOC1"/>
            <w:tabs>
              <w:tab w:val="right" w:leader="dot" w:pos="9350"/>
            </w:tabs>
            <w:rPr>
              <w:rFonts w:eastAsiaTheme="minorEastAsia"/>
              <w:noProof/>
              <w:lang w:val="en-US"/>
            </w:rPr>
          </w:pPr>
          <w:hyperlink w:anchor="_Toc3975161" w:history="1">
            <w:r w:rsidR="00AA2582" w:rsidRPr="00B64F47">
              <w:rPr>
                <w:rStyle w:val="Hyperlink"/>
                <w:b/>
                <w:noProof/>
              </w:rPr>
              <w:t>Map</w:t>
            </w:r>
            <w:r w:rsidR="00AA2582">
              <w:rPr>
                <w:noProof/>
                <w:webHidden/>
              </w:rPr>
              <w:tab/>
            </w:r>
            <w:r w:rsidR="00AA2582">
              <w:rPr>
                <w:noProof/>
                <w:webHidden/>
              </w:rPr>
              <w:fldChar w:fldCharType="begin"/>
            </w:r>
            <w:r w:rsidR="00AA2582">
              <w:rPr>
                <w:noProof/>
                <w:webHidden/>
              </w:rPr>
              <w:instrText xml:space="preserve"> PAGEREF _Toc3975161 \h </w:instrText>
            </w:r>
            <w:r w:rsidR="00AA2582">
              <w:rPr>
                <w:noProof/>
                <w:webHidden/>
              </w:rPr>
            </w:r>
            <w:r w:rsidR="00AA2582">
              <w:rPr>
                <w:noProof/>
                <w:webHidden/>
              </w:rPr>
              <w:fldChar w:fldCharType="separate"/>
            </w:r>
            <w:r w:rsidR="00AA2582">
              <w:rPr>
                <w:noProof/>
                <w:webHidden/>
              </w:rPr>
              <w:t>84</w:t>
            </w:r>
            <w:r w:rsidR="00AA2582">
              <w:rPr>
                <w:noProof/>
                <w:webHidden/>
              </w:rPr>
              <w:fldChar w:fldCharType="end"/>
            </w:r>
          </w:hyperlink>
        </w:p>
        <w:p w14:paraId="085AFCC7" w14:textId="39CBD1EC" w:rsidR="00CC0842" w:rsidRPr="00124DA6" w:rsidRDefault="00CC0842" w:rsidP="00CC0842">
          <w:pPr>
            <w:rPr>
              <w:lang w:val="en-US"/>
            </w:rPr>
          </w:pPr>
          <w:r w:rsidRPr="00124DA6">
            <w:rPr>
              <w:b/>
              <w:bCs/>
              <w:noProof/>
              <w:lang w:val="en-US"/>
            </w:rPr>
            <w:fldChar w:fldCharType="end"/>
          </w:r>
        </w:p>
      </w:sdtContent>
    </w:sdt>
    <w:p w14:paraId="25A01032" w14:textId="77777777" w:rsidR="009B7A48" w:rsidRPr="00124DA6" w:rsidRDefault="009B7A48" w:rsidP="001C472A">
      <w:pPr>
        <w:pStyle w:val="Heading2"/>
        <w:rPr>
          <w:rFonts w:asciiTheme="minorHAnsi" w:hAnsiTheme="minorHAnsi" w:cstheme="minorHAnsi"/>
          <w:b/>
          <w:lang w:val="en-US"/>
        </w:rPr>
        <w:sectPr w:rsidR="009B7A48" w:rsidRPr="00124DA6" w:rsidSect="0056660B">
          <w:pgSz w:w="12240" w:h="15840" w:code="1"/>
          <w:pgMar w:top="1440" w:right="1440" w:bottom="1440" w:left="1440" w:header="708" w:footer="708" w:gutter="0"/>
          <w:cols w:space="708"/>
          <w:docGrid w:linePitch="360"/>
        </w:sectPr>
      </w:pPr>
    </w:p>
    <w:p w14:paraId="089A26F5" w14:textId="77777777" w:rsidR="001C472A" w:rsidRPr="00DC48E7" w:rsidRDefault="001C472A" w:rsidP="000B138F">
      <w:pPr>
        <w:pStyle w:val="Heading1"/>
        <w:rPr>
          <w:b/>
        </w:rPr>
      </w:pPr>
      <w:bookmarkStart w:id="1" w:name="_Toc3975117"/>
      <w:r w:rsidRPr="00DC48E7">
        <w:rPr>
          <w:b/>
        </w:rPr>
        <w:t>Abbreviations and Acronyms</w:t>
      </w:r>
      <w:bookmarkEnd w:id="1"/>
    </w:p>
    <w:tbl>
      <w:tblP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7777"/>
      </w:tblGrid>
      <w:tr w:rsidR="009A0048" w:rsidRPr="00124DA6" w14:paraId="471768C8" w14:textId="77777777" w:rsidTr="006E6FAD">
        <w:trPr>
          <w:trHeight w:val="263"/>
        </w:trPr>
        <w:tc>
          <w:tcPr>
            <w:tcW w:w="1686" w:type="dxa"/>
          </w:tcPr>
          <w:p w14:paraId="1CD541D9" w14:textId="77777777" w:rsidR="009A0048" w:rsidRPr="00124DA6" w:rsidRDefault="009A0048" w:rsidP="00E1011D">
            <w:pPr>
              <w:spacing w:after="0" w:line="240" w:lineRule="auto"/>
              <w:rPr>
                <w:lang w:val="en-US"/>
              </w:rPr>
            </w:pPr>
            <w:r w:rsidRPr="00124DA6">
              <w:rPr>
                <w:lang w:val="en-US"/>
              </w:rPr>
              <w:t>ACFPI</w:t>
            </w:r>
          </w:p>
        </w:tc>
        <w:tc>
          <w:tcPr>
            <w:tcW w:w="7777" w:type="dxa"/>
          </w:tcPr>
          <w:p w14:paraId="3C4BE831" w14:textId="77777777" w:rsidR="009A0048" w:rsidRPr="00124DA6" w:rsidRDefault="009A0048" w:rsidP="00E1011D">
            <w:pPr>
              <w:spacing w:after="0" w:line="240" w:lineRule="auto"/>
              <w:rPr>
                <w:lang w:val="en-US"/>
              </w:rPr>
            </w:pPr>
            <w:r w:rsidRPr="00124DA6">
              <w:rPr>
                <w:lang w:val="en-US"/>
              </w:rPr>
              <w:t>Administrative Census for Population Identification</w:t>
            </w:r>
          </w:p>
        </w:tc>
      </w:tr>
      <w:tr w:rsidR="0091472B" w:rsidRPr="00124DA6" w14:paraId="1CC43E2F" w14:textId="77777777" w:rsidTr="006E6FAD">
        <w:trPr>
          <w:trHeight w:val="263"/>
        </w:trPr>
        <w:tc>
          <w:tcPr>
            <w:tcW w:w="1686" w:type="dxa"/>
          </w:tcPr>
          <w:p w14:paraId="681B9759" w14:textId="77777777" w:rsidR="001C472A" w:rsidRPr="00124DA6" w:rsidRDefault="00B75627" w:rsidP="00E1011D">
            <w:pPr>
              <w:spacing w:after="0" w:line="240" w:lineRule="auto"/>
              <w:rPr>
                <w:lang w:val="en-US"/>
              </w:rPr>
            </w:pPr>
            <w:r w:rsidRPr="00124DA6">
              <w:rPr>
                <w:lang w:val="en-US"/>
              </w:rPr>
              <w:t>AIC</w:t>
            </w:r>
          </w:p>
        </w:tc>
        <w:tc>
          <w:tcPr>
            <w:tcW w:w="7777" w:type="dxa"/>
          </w:tcPr>
          <w:p w14:paraId="058A113E" w14:textId="77777777" w:rsidR="001C472A" w:rsidRPr="00124DA6" w:rsidRDefault="00B75627" w:rsidP="00E1011D">
            <w:pPr>
              <w:spacing w:after="0" w:line="240" w:lineRule="auto"/>
              <w:rPr>
                <w:lang w:val="en-US"/>
              </w:rPr>
            </w:pPr>
            <w:r w:rsidRPr="00124DA6">
              <w:rPr>
                <w:lang w:val="en-US"/>
              </w:rPr>
              <w:t>Interprofessional Association of Cotton</w:t>
            </w:r>
          </w:p>
        </w:tc>
      </w:tr>
      <w:tr w:rsidR="0091472B" w:rsidRPr="00124DA6" w14:paraId="64EA4682" w14:textId="77777777" w:rsidTr="006E6FAD">
        <w:trPr>
          <w:trHeight w:val="263"/>
        </w:trPr>
        <w:tc>
          <w:tcPr>
            <w:tcW w:w="1686" w:type="dxa"/>
          </w:tcPr>
          <w:p w14:paraId="2F924F91" w14:textId="77777777" w:rsidR="00E16AE1" w:rsidRPr="00124DA6" w:rsidRDefault="00E16AE1" w:rsidP="00E1011D">
            <w:pPr>
              <w:spacing w:after="0" w:line="240" w:lineRule="auto"/>
              <w:rPr>
                <w:lang w:val="en-US"/>
              </w:rPr>
            </w:pPr>
            <w:r w:rsidRPr="00124DA6">
              <w:rPr>
                <w:lang w:val="en-US"/>
              </w:rPr>
              <w:t>AMAB</w:t>
            </w:r>
          </w:p>
        </w:tc>
        <w:tc>
          <w:tcPr>
            <w:tcW w:w="7777" w:type="dxa"/>
          </w:tcPr>
          <w:p w14:paraId="1B0333E3" w14:textId="77777777" w:rsidR="00E16AE1" w:rsidRPr="00124DA6" w:rsidRDefault="00E16AE1" w:rsidP="00E1011D">
            <w:pPr>
              <w:spacing w:after="0" w:line="240" w:lineRule="auto"/>
              <w:rPr>
                <w:lang w:val="en-US"/>
              </w:rPr>
            </w:pPr>
            <w:r w:rsidRPr="00124DA6">
              <w:rPr>
                <w:lang w:val="en-US"/>
              </w:rPr>
              <w:t xml:space="preserve">Mutual Agriculture </w:t>
            </w:r>
            <w:r w:rsidR="00ED3028" w:rsidRPr="00124DA6">
              <w:rPr>
                <w:lang w:val="en-US"/>
              </w:rPr>
              <w:t>I</w:t>
            </w:r>
            <w:r w:rsidRPr="00124DA6">
              <w:rPr>
                <w:lang w:val="en-US"/>
              </w:rPr>
              <w:t>nsurance of Benin</w:t>
            </w:r>
            <w:r w:rsidR="00ED3028" w:rsidRPr="00124DA6">
              <w:rPr>
                <w:lang w:val="en-US"/>
              </w:rPr>
              <w:t xml:space="preserve"> (</w:t>
            </w:r>
            <w:r w:rsidR="00ED3028" w:rsidRPr="00124DA6">
              <w:rPr>
                <w:rFonts w:cstheme="minorHAnsi"/>
                <w:i/>
                <w:lang w:val="en-US"/>
              </w:rPr>
              <w:t xml:space="preserve">Assurance </w:t>
            </w:r>
            <w:proofErr w:type="spellStart"/>
            <w:r w:rsidR="00ED3028" w:rsidRPr="00124DA6">
              <w:rPr>
                <w:rFonts w:cstheme="minorHAnsi"/>
                <w:i/>
                <w:lang w:val="en-US"/>
              </w:rPr>
              <w:t>Mutuelle</w:t>
            </w:r>
            <w:proofErr w:type="spellEnd"/>
            <w:r w:rsidR="00ED3028" w:rsidRPr="00124DA6">
              <w:rPr>
                <w:rFonts w:cstheme="minorHAnsi"/>
                <w:i/>
                <w:lang w:val="en-US"/>
              </w:rPr>
              <w:t xml:space="preserve"> Agricole du Benin)</w:t>
            </w:r>
          </w:p>
        </w:tc>
      </w:tr>
      <w:tr w:rsidR="00B75627" w:rsidRPr="00124DA6" w14:paraId="49AB62C9" w14:textId="77777777" w:rsidTr="006E6FAD">
        <w:trPr>
          <w:trHeight w:val="263"/>
        </w:trPr>
        <w:tc>
          <w:tcPr>
            <w:tcW w:w="1686" w:type="dxa"/>
          </w:tcPr>
          <w:p w14:paraId="0A9FC82A" w14:textId="77777777" w:rsidR="00B75627" w:rsidRPr="00124DA6" w:rsidRDefault="00B75627" w:rsidP="00E1011D">
            <w:pPr>
              <w:spacing w:after="0" w:line="240" w:lineRule="auto"/>
              <w:rPr>
                <w:rFonts w:cstheme="minorHAnsi"/>
                <w:lang w:val="en-US"/>
              </w:rPr>
            </w:pPr>
            <w:r w:rsidRPr="00124DA6">
              <w:rPr>
                <w:rFonts w:cstheme="minorHAnsi"/>
                <w:lang w:val="en-US"/>
              </w:rPr>
              <w:t>ANSSFD</w:t>
            </w:r>
          </w:p>
        </w:tc>
        <w:tc>
          <w:tcPr>
            <w:tcW w:w="7777" w:type="dxa"/>
          </w:tcPr>
          <w:p w14:paraId="2ECEAC0E" w14:textId="77777777" w:rsidR="00B75627" w:rsidRPr="00A549E7" w:rsidRDefault="00B75627" w:rsidP="00E1011D">
            <w:pPr>
              <w:spacing w:after="0" w:line="240" w:lineRule="auto"/>
              <w:rPr>
                <w:rFonts w:cstheme="minorHAnsi"/>
              </w:rPr>
            </w:pPr>
            <w:r w:rsidRPr="00A549E7">
              <w:rPr>
                <w:rFonts w:cstheme="minorHAnsi"/>
              </w:rPr>
              <w:t xml:space="preserve">National </w:t>
            </w:r>
            <w:r w:rsidR="004853EE" w:rsidRPr="00A549E7">
              <w:rPr>
                <w:rFonts w:cstheme="minorHAnsi"/>
              </w:rPr>
              <w:t>M</w:t>
            </w:r>
            <w:r w:rsidRPr="00A549E7">
              <w:rPr>
                <w:rFonts w:cstheme="minorHAnsi"/>
              </w:rPr>
              <w:t xml:space="preserve">icrofinance </w:t>
            </w:r>
            <w:r w:rsidR="004853EE" w:rsidRPr="00A549E7">
              <w:rPr>
                <w:rFonts w:cstheme="minorHAnsi"/>
              </w:rPr>
              <w:t>I</w:t>
            </w:r>
            <w:r w:rsidRPr="00A549E7">
              <w:rPr>
                <w:rFonts w:cstheme="minorHAnsi"/>
              </w:rPr>
              <w:t xml:space="preserve">nstitutions </w:t>
            </w:r>
            <w:proofErr w:type="spellStart"/>
            <w:r w:rsidR="004853EE" w:rsidRPr="00A549E7">
              <w:rPr>
                <w:rFonts w:cstheme="minorHAnsi"/>
              </w:rPr>
              <w:t>S</w:t>
            </w:r>
            <w:r w:rsidRPr="00A549E7">
              <w:rPr>
                <w:rFonts w:cstheme="minorHAnsi"/>
              </w:rPr>
              <w:t>upervisory</w:t>
            </w:r>
            <w:proofErr w:type="spellEnd"/>
            <w:r w:rsidRPr="00A549E7">
              <w:rPr>
                <w:rFonts w:cstheme="minorHAnsi"/>
              </w:rPr>
              <w:t xml:space="preserve"> </w:t>
            </w:r>
            <w:r w:rsidR="004853EE" w:rsidRPr="00A549E7">
              <w:rPr>
                <w:rFonts w:cstheme="minorHAnsi"/>
              </w:rPr>
              <w:t>A</w:t>
            </w:r>
            <w:r w:rsidRPr="00A549E7">
              <w:rPr>
                <w:rFonts w:cstheme="minorHAnsi"/>
              </w:rPr>
              <w:t>gency</w:t>
            </w:r>
            <w:r w:rsidR="00614F66" w:rsidRPr="00A549E7">
              <w:rPr>
                <w:rFonts w:cstheme="minorHAnsi"/>
              </w:rPr>
              <w:t xml:space="preserve"> (</w:t>
            </w:r>
            <w:r w:rsidR="00CA214A" w:rsidRPr="00A549E7">
              <w:rPr>
                <w:rFonts w:cstheme="minorHAnsi"/>
                <w:i/>
              </w:rPr>
              <w:t xml:space="preserve">Agence Nationale de supervision des </w:t>
            </w:r>
            <w:proofErr w:type="spellStart"/>
            <w:r w:rsidR="00CA214A" w:rsidRPr="00A549E7">
              <w:rPr>
                <w:rFonts w:cstheme="minorHAnsi"/>
                <w:i/>
              </w:rPr>
              <w:t>SFDs</w:t>
            </w:r>
            <w:proofErr w:type="spellEnd"/>
            <w:r w:rsidR="00CA214A" w:rsidRPr="00A549E7">
              <w:rPr>
                <w:rFonts w:cstheme="minorHAnsi"/>
                <w:i/>
              </w:rPr>
              <w:t xml:space="preserve"> du Bénin)</w:t>
            </w:r>
          </w:p>
        </w:tc>
      </w:tr>
      <w:tr w:rsidR="001C472A" w:rsidRPr="008A6E7B" w14:paraId="283BCD62" w14:textId="77777777" w:rsidTr="006E6FAD">
        <w:trPr>
          <w:trHeight w:val="263"/>
        </w:trPr>
        <w:tc>
          <w:tcPr>
            <w:tcW w:w="1686" w:type="dxa"/>
          </w:tcPr>
          <w:p w14:paraId="4EF9A0B8" w14:textId="77777777" w:rsidR="001C472A" w:rsidRPr="00124DA6" w:rsidRDefault="001C472A" w:rsidP="00E1011D">
            <w:pPr>
              <w:spacing w:after="0" w:line="240" w:lineRule="auto"/>
              <w:rPr>
                <w:lang w:val="en-US"/>
              </w:rPr>
            </w:pPr>
            <w:r w:rsidRPr="00124DA6">
              <w:rPr>
                <w:lang w:val="en-US"/>
              </w:rPr>
              <w:t>APSFD</w:t>
            </w:r>
          </w:p>
        </w:tc>
        <w:tc>
          <w:tcPr>
            <w:tcW w:w="7777" w:type="dxa"/>
          </w:tcPr>
          <w:p w14:paraId="59979BAB" w14:textId="77777777" w:rsidR="001C472A" w:rsidRPr="00124DA6" w:rsidRDefault="00B75627" w:rsidP="00E1011D">
            <w:pPr>
              <w:spacing w:after="0" w:line="240" w:lineRule="auto"/>
              <w:rPr>
                <w:lang w:val="en-US"/>
              </w:rPr>
            </w:pPr>
            <w:r w:rsidRPr="00124DA6">
              <w:rPr>
                <w:lang w:val="en-US"/>
              </w:rPr>
              <w:t xml:space="preserve">Professional </w:t>
            </w:r>
            <w:r w:rsidR="00D0026B" w:rsidRPr="00124DA6">
              <w:rPr>
                <w:lang w:val="en-US"/>
              </w:rPr>
              <w:t>A</w:t>
            </w:r>
            <w:r w:rsidRPr="00124DA6">
              <w:rPr>
                <w:lang w:val="en-US"/>
              </w:rPr>
              <w:t xml:space="preserve">ssociation of </w:t>
            </w:r>
            <w:r w:rsidR="00D0026B" w:rsidRPr="00124DA6">
              <w:rPr>
                <w:rFonts w:cstheme="minorHAnsi"/>
                <w:sz w:val="20"/>
                <w:szCs w:val="20"/>
                <w:lang w:val="en-US"/>
              </w:rPr>
              <w:t>Decentralized Financial Services</w:t>
            </w:r>
          </w:p>
        </w:tc>
      </w:tr>
      <w:tr w:rsidR="009A0048" w:rsidRPr="008A6E7B" w:rsidDel="00DA452E" w14:paraId="41B0D45E" w14:textId="77777777" w:rsidTr="006E6FAD">
        <w:trPr>
          <w:trHeight w:val="274"/>
        </w:trPr>
        <w:tc>
          <w:tcPr>
            <w:tcW w:w="1686" w:type="dxa"/>
          </w:tcPr>
          <w:p w14:paraId="1942EF69" w14:textId="77777777" w:rsidR="009A0048" w:rsidRPr="00124DA6" w:rsidDel="00DA452E" w:rsidRDefault="009A0048" w:rsidP="00E1011D">
            <w:pPr>
              <w:spacing w:after="0" w:line="240" w:lineRule="auto"/>
              <w:rPr>
                <w:lang w:val="en-US"/>
              </w:rPr>
            </w:pPr>
            <w:r w:rsidRPr="00124DA6">
              <w:rPr>
                <w:lang w:val="en-US"/>
              </w:rPr>
              <w:t>ASMAB</w:t>
            </w:r>
          </w:p>
        </w:tc>
        <w:tc>
          <w:tcPr>
            <w:tcW w:w="7777" w:type="dxa"/>
          </w:tcPr>
          <w:p w14:paraId="37E75B92" w14:textId="77777777" w:rsidR="009A0048" w:rsidRPr="00124DA6" w:rsidDel="00DA452E" w:rsidRDefault="009A0048" w:rsidP="00E1011D">
            <w:pPr>
              <w:spacing w:after="0" w:line="240" w:lineRule="auto"/>
              <w:rPr>
                <w:lang w:val="en-US"/>
              </w:rPr>
            </w:pPr>
            <w:r w:rsidRPr="00124DA6">
              <w:rPr>
                <w:lang w:val="en-US"/>
              </w:rPr>
              <w:t>Association for Market Solidarity of Benin</w:t>
            </w:r>
          </w:p>
        </w:tc>
      </w:tr>
      <w:tr w:rsidR="006E5249" w:rsidRPr="00124DA6" w14:paraId="7A87D161" w14:textId="77777777" w:rsidTr="006E6FAD">
        <w:trPr>
          <w:trHeight w:val="274"/>
        </w:trPr>
        <w:tc>
          <w:tcPr>
            <w:tcW w:w="1686" w:type="dxa"/>
          </w:tcPr>
          <w:p w14:paraId="37CFFC4E" w14:textId="77777777" w:rsidR="006E5249" w:rsidRPr="00124DA6" w:rsidRDefault="006E5249" w:rsidP="00E1011D">
            <w:pPr>
              <w:spacing w:after="0" w:line="240" w:lineRule="auto"/>
              <w:rPr>
                <w:lang w:val="en-US"/>
              </w:rPr>
            </w:pPr>
            <w:r w:rsidRPr="00124DA6">
              <w:rPr>
                <w:lang w:val="en-US"/>
              </w:rPr>
              <w:t>ATM</w:t>
            </w:r>
          </w:p>
        </w:tc>
        <w:tc>
          <w:tcPr>
            <w:tcW w:w="7777" w:type="dxa"/>
          </w:tcPr>
          <w:p w14:paraId="410F143A" w14:textId="77777777" w:rsidR="006E5249" w:rsidRPr="00124DA6" w:rsidRDefault="006E5249" w:rsidP="00E1011D">
            <w:pPr>
              <w:spacing w:after="0" w:line="240" w:lineRule="auto"/>
              <w:rPr>
                <w:lang w:val="en-US"/>
              </w:rPr>
            </w:pPr>
            <w:r w:rsidRPr="00124DA6">
              <w:rPr>
                <w:rStyle w:val="st1"/>
                <w:rFonts w:cs="Arial"/>
                <w:lang w:val="en-US"/>
              </w:rPr>
              <w:t xml:space="preserve">Automated </w:t>
            </w:r>
            <w:r w:rsidR="00DA452E" w:rsidRPr="00124DA6">
              <w:rPr>
                <w:rStyle w:val="st1"/>
                <w:rFonts w:cs="Arial"/>
                <w:lang w:val="en-US"/>
              </w:rPr>
              <w:t>T</w:t>
            </w:r>
            <w:r w:rsidRPr="00124DA6">
              <w:rPr>
                <w:rStyle w:val="st1"/>
                <w:rFonts w:cs="Arial"/>
                <w:lang w:val="en-US"/>
              </w:rPr>
              <w:t xml:space="preserve">eller </w:t>
            </w:r>
            <w:r w:rsidR="00DA452E" w:rsidRPr="00124DA6">
              <w:rPr>
                <w:rStyle w:val="st1"/>
                <w:rFonts w:cs="Arial"/>
                <w:lang w:val="en-US"/>
              </w:rPr>
              <w:t>M</w:t>
            </w:r>
            <w:r w:rsidRPr="00124DA6">
              <w:rPr>
                <w:rStyle w:val="st1"/>
                <w:rFonts w:cs="Arial"/>
                <w:lang w:val="en-US"/>
              </w:rPr>
              <w:t>achine</w:t>
            </w:r>
          </w:p>
        </w:tc>
      </w:tr>
      <w:tr w:rsidR="002F02E4" w:rsidRPr="00124DA6" w14:paraId="375E84B7" w14:textId="77777777" w:rsidTr="006E6FAD">
        <w:trPr>
          <w:trHeight w:val="263"/>
        </w:trPr>
        <w:tc>
          <w:tcPr>
            <w:tcW w:w="1686" w:type="dxa"/>
          </w:tcPr>
          <w:p w14:paraId="47786E0C" w14:textId="77777777" w:rsidR="002F02E4" w:rsidRPr="00124DA6" w:rsidRDefault="002F02E4" w:rsidP="00E1011D">
            <w:pPr>
              <w:spacing w:after="0" w:line="240" w:lineRule="auto"/>
              <w:rPr>
                <w:lang w:val="en-US"/>
              </w:rPr>
            </w:pPr>
            <w:r w:rsidRPr="00124DA6">
              <w:rPr>
                <w:lang w:val="en-US"/>
              </w:rPr>
              <w:t>BABN</w:t>
            </w:r>
          </w:p>
        </w:tc>
        <w:tc>
          <w:tcPr>
            <w:tcW w:w="7777" w:type="dxa"/>
          </w:tcPr>
          <w:p w14:paraId="7222AD48" w14:textId="16264694" w:rsidR="002F02E4" w:rsidRPr="00124DA6" w:rsidRDefault="002F02E4" w:rsidP="00E1011D">
            <w:pPr>
              <w:spacing w:after="0" w:line="240" w:lineRule="auto"/>
              <w:rPr>
                <w:i/>
                <w:lang w:val="en-US"/>
              </w:rPr>
            </w:pPr>
            <w:r w:rsidRPr="00124DA6">
              <w:rPr>
                <w:i/>
                <w:lang w:val="en-US"/>
              </w:rPr>
              <w:t xml:space="preserve">Banque </w:t>
            </w:r>
            <w:proofErr w:type="spellStart"/>
            <w:r w:rsidRPr="00124DA6">
              <w:rPr>
                <w:i/>
                <w:lang w:val="en-US"/>
              </w:rPr>
              <w:t>Atlantique</w:t>
            </w:r>
            <w:proofErr w:type="spellEnd"/>
            <w:r w:rsidRPr="00124DA6">
              <w:rPr>
                <w:i/>
                <w:lang w:val="en-US"/>
              </w:rPr>
              <w:t xml:space="preserve"> </w:t>
            </w:r>
            <w:proofErr w:type="spellStart"/>
            <w:r w:rsidRPr="00124DA6">
              <w:rPr>
                <w:i/>
                <w:lang w:val="en-US"/>
              </w:rPr>
              <w:t>B</w:t>
            </w:r>
            <w:r w:rsidR="00141BD7">
              <w:rPr>
                <w:i/>
                <w:lang w:val="en-US"/>
              </w:rPr>
              <w:t>é</w:t>
            </w:r>
            <w:r w:rsidRPr="00124DA6">
              <w:rPr>
                <w:i/>
                <w:lang w:val="en-US"/>
              </w:rPr>
              <w:t>nin</w:t>
            </w:r>
            <w:proofErr w:type="spellEnd"/>
          </w:p>
        </w:tc>
      </w:tr>
      <w:tr w:rsidR="001C472A" w:rsidRPr="008A6E7B" w14:paraId="671AFD3F" w14:textId="77777777" w:rsidTr="006E6FAD">
        <w:trPr>
          <w:trHeight w:val="263"/>
        </w:trPr>
        <w:tc>
          <w:tcPr>
            <w:tcW w:w="1686" w:type="dxa"/>
          </w:tcPr>
          <w:p w14:paraId="40162723" w14:textId="77777777" w:rsidR="001C472A" w:rsidRPr="00124DA6" w:rsidRDefault="001C472A" w:rsidP="00E1011D">
            <w:pPr>
              <w:spacing w:after="0" w:line="240" w:lineRule="auto"/>
              <w:rPr>
                <w:lang w:val="en-US"/>
              </w:rPr>
            </w:pPr>
            <w:r w:rsidRPr="00124DA6">
              <w:rPr>
                <w:lang w:val="en-US"/>
              </w:rPr>
              <w:t>BCEAO</w:t>
            </w:r>
          </w:p>
        </w:tc>
        <w:tc>
          <w:tcPr>
            <w:tcW w:w="7777" w:type="dxa"/>
          </w:tcPr>
          <w:p w14:paraId="2CE84E92" w14:textId="77777777" w:rsidR="001C472A" w:rsidRPr="00124DA6" w:rsidRDefault="00B75627" w:rsidP="00E1011D">
            <w:pPr>
              <w:spacing w:after="0" w:line="240" w:lineRule="auto"/>
              <w:rPr>
                <w:lang w:val="en-US"/>
              </w:rPr>
            </w:pPr>
            <w:r w:rsidRPr="00124DA6">
              <w:rPr>
                <w:lang w:val="en-US"/>
              </w:rPr>
              <w:t>Central Bank of West Africa States</w:t>
            </w:r>
          </w:p>
        </w:tc>
      </w:tr>
      <w:tr w:rsidR="002F02E4" w:rsidRPr="00124DA6" w14:paraId="143D42DF" w14:textId="77777777" w:rsidTr="006E6FAD">
        <w:trPr>
          <w:trHeight w:val="263"/>
        </w:trPr>
        <w:tc>
          <w:tcPr>
            <w:tcW w:w="1686" w:type="dxa"/>
          </w:tcPr>
          <w:p w14:paraId="11723B4C" w14:textId="77777777" w:rsidR="002F02E4" w:rsidRPr="00124DA6" w:rsidRDefault="002F02E4" w:rsidP="00E1011D">
            <w:pPr>
              <w:spacing w:after="0" w:line="240" w:lineRule="auto"/>
              <w:rPr>
                <w:lang w:val="en-US"/>
              </w:rPr>
            </w:pPr>
            <w:r w:rsidRPr="00124DA6">
              <w:rPr>
                <w:lang w:val="en-US"/>
              </w:rPr>
              <w:t>BHB</w:t>
            </w:r>
          </w:p>
        </w:tc>
        <w:tc>
          <w:tcPr>
            <w:tcW w:w="7777" w:type="dxa"/>
          </w:tcPr>
          <w:p w14:paraId="66598B2E" w14:textId="556E4ABF" w:rsidR="002F02E4" w:rsidRPr="00A549E7" w:rsidRDefault="002F02E4" w:rsidP="00E1011D">
            <w:pPr>
              <w:spacing w:after="0" w:line="240" w:lineRule="auto"/>
              <w:rPr>
                <w:i/>
              </w:rPr>
            </w:pPr>
            <w:r w:rsidRPr="00A549E7">
              <w:rPr>
                <w:i/>
              </w:rPr>
              <w:t>Banque de l’Habitat du Benin</w:t>
            </w:r>
          </w:p>
        </w:tc>
      </w:tr>
      <w:tr w:rsidR="002F02E4" w:rsidRPr="00124DA6" w14:paraId="54D6D5C0" w14:textId="77777777" w:rsidTr="006E6FAD">
        <w:trPr>
          <w:trHeight w:val="263"/>
        </w:trPr>
        <w:tc>
          <w:tcPr>
            <w:tcW w:w="1686" w:type="dxa"/>
          </w:tcPr>
          <w:p w14:paraId="0D3B32B7" w14:textId="77777777" w:rsidR="002F02E4" w:rsidRPr="00124DA6" w:rsidRDefault="002F02E4" w:rsidP="00E1011D">
            <w:pPr>
              <w:spacing w:after="0" w:line="240" w:lineRule="auto"/>
              <w:rPr>
                <w:lang w:val="en-US"/>
              </w:rPr>
            </w:pPr>
            <w:r w:rsidRPr="00124DA6">
              <w:rPr>
                <w:lang w:val="en-US"/>
              </w:rPr>
              <w:t>BIBE</w:t>
            </w:r>
          </w:p>
        </w:tc>
        <w:tc>
          <w:tcPr>
            <w:tcW w:w="7777" w:type="dxa"/>
          </w:tcPr>
          <w:p w14:paraId="331557D2" w14:textId="77777777" w:rsidR="002F02E4" w:rsidRPr="00124DA6" w:rsidRDefault="002F02E4" w:rsidP="00E1011D">
            <w:pPr>
              <w:spacing w:after="0" w:line="240" w:lineRule="auto"/>
              <w:rPr>
                <w:i/>
                <w:lang w:val="en-US"/>
              </w:rPr>
            </w:pPr>
            <w:r w:rsidRPr="00124DA6">
              <w:rPr>
                <w:i/>
                <w:lang w:val="en-US"/>
              </w:rPr>
              <w:t xml:space="preserve">Banque </w:t>
            </w:r>
            <w:proofErr w:type="spellStart"/>
            <w:r w:rsidRPr="00124DA6">
              <w:rPr>
                <w:i/>
                <w:lang w:val="en-US"/>
              </w:rPr>
              <w:t>Internationale</w:t>
            </w:r>
            <w:proofErr w:type="spellEnd"/>
            <w:r w:rsidRPr="00124DA6">
              <w:rPr>
                <w:i/>
                <w:lang w:val="en-US"/>
              </w:rPr>
              <w:t xml:space="preserve"> du Benin</w:t>
            </w:r>
          </w:p>
        </w:tc>
      </w:tr>
      <w:tr w:rsidR="00B75627" w:rsidRPr="00124DA6" w14:paraId="60D2E5FB" w14:textId="77777777" w:rsidTr="006E6FAD">
        <w:trPr>
          <w:trHeight w:val="263"/>
        </w:trPr>
        <w:tc>
          <w:tcPr>
            <w:tcW w:w="1686" w:type="dxa"/>
          </w:tcPr>
          <w:p w14:paraId="50D30502" w14:textId="77777777" w:rsidR="00B75627" w:rsidRPr="00124DA6" w:rsidRDefault="00B75627" w:rsidP="00E1011D">
            <w:pPr>
              <w:spacing w:after="0" w:line="240" w:lineRule="auto"/>
              <w:rPr>
                <w:lang w:val="en-US"/>
              </w:rPr>
            </w:pPr>
            <w:r w:rsidRPr="00124DA6">
              <w:rPr>
                <w:lang w:val="en-US"/>
              </w:rPr>
              <w:t>BOA</w:t>
            </w:r>
          </w:p>
        </w:tc>
        <w:tc>
          <w:tcPr>
            <w:tcW w:w="7777" w:type="dxa"/>
          </w:tcPr>
          <w:p w14:paraId="4A740AE6" w14:textId="77777777" w:rsidR="00B75627" w:rsidRPr="00124DA6" w:rsidRDefault="00B75627" w:rsidP="00E1011D">
            <w:pPr>
              <w:spacing w:after="0" w:line="240" w:lineRule="auto"/>
              <w:rPr>
                <w:lang w:val="en-US"/>
              </w:rPr>
            </w:pPr>
            <w:r w:rsidRPr="00124DA6">
              <w:rPr>
                <w:lang w:val="en-US"/>
              </w:rPr>
              <w:t>Bank of Africa</w:t>
            </w:r>
            <w:r w:rsidR="00576422" w:rsidRPr="00124DA6">
              <w:rPr>
                <w:lang w:val="en-US"/>
              </w:rPr>
              <w:t xml:space="preserve"> Benin</w:t>
            </w:r>
          </w:p>
        </w:tc>
      </w:tr>
      <w:tr w:rsidR="002F02E4" w:rsidRPr="00124DA6" w14:paraId="1255D048" w14:textId="77777777" w:rsidTr="006E6FAD">
        <w:trPr>
          <w:trHeight w:val="263"/>
        </w:trPr>
        <w:tc>
          <w:tcPr>
            <w:tcW w:w="1686" w:type="dxa"/>
          </w:tcPr>
          <w:p w14:paraId="15CDB284" w14:textId="77777777" w:rsidR="002F02E4" w:rsidRPr="00124DA6" w:rsidRDefault="002F02E4" w:rsidP="00E1011D">
            <w:pPr>
              <w:spacing w:after="0" w:line="240" w:lineRule="auto"/>
              <w:rPr>
                <w:lang w:val="en-US"/>
              </w:rPr>
            </w:pPr>
            <w:r w:rsidRPr="00124DA6">
              <w:rPr>
                <w:lang w:val="en-US"/>
              </w:rPr>
              <w:t>BSIC</w:t>
            </w:r>
          </w:p>
        </w:tc>
        <w:tc>
          <w:tcPr>
            <w:tcW w:w="7777" w:type="dxa"/>
          </w:tcPr>
          <w:p w14:paraId="0F462DC0" w14:textId="03366DF6" w:rsidR="002F02E4" w:rsidRPr="00A549E7" w:rsidRDefault="002F02E4" w:rsidP="00E1011D">
            <w:pPr>
              <w:spacing w:after="0" w:line="240" w:lineRule="auto"/>
              <w:rPr>
                <w:i/>
              </w:rPr>
            </w:pPr>
            <w:r w:rsidRPr="00A549E7">
              <w:rPr>
                <w:i/>
              </w:rPr>
              <w:t xml:space="preserve">Banque </w:t>
            </w:r>
            <w:proofErr w:type="spellStart"/>
            <w:r w:rsidRPr="00A549E7">
              <w:rPr>
                <w:i/>
              </w:rPr>
              <w:t>Sahelo</w:t>
            </w:r>
            <w:proofErr w:type="spellEnd"/>
            <w:r w:rsidRPr="00A549E7">
              <w:rPr>
                <w:i/>
              </w:rPr>
              <w:t>-Saharienne pour l’Investissement et le Commerce</w:t>
            </w:r>
          </w:p>
        </w:tc>
      </w:tr>
      <w:tr w:rsidR="00E16AE1" w:rsidRPr="008A6E7B" w14:paraId="66258176" w14:textId="77777777" w:rsidTr="006E6FAD">
        <w:trPr>
          <w:trHeight w:val="263"/>
        </w:trPr>
        <w:tc>
          <w:tcPr>
            <w:tcW w:w="1686" w:type="dxa"/>
          </w:tcPr>
          <w:p w14:paraId="0124101C" w14:textId="77777777" w:rsidR="00E16AE1" w:rsidRPr="00124DA6" w:rsidRDefault="00E16AE1" w:rsidP="00E1011D">
            <w:pPr>
              <w:spacing w:after="0" w:line="240" w:lineRule="auto"/>
              <w:rPr>
                <w:lang w:val="en-US"/>
              </w:rPr>
            </w:pPr>
            <w:r w:rsidRPr="00124DA6">
              <w:rPr>
                <w:lang w:val="en-US"/>
              </w:rPr>
              <w:t>CEFEPE</w:t>
            </w:r>
          </w:p>
        </w:tc>
        <w:tc>
          <w:tcPr>
            <w:tcW w:w="7777" w:type="dxa"/>
          </w:tcPr>
          <w:p w14:paraId="5F8AAD41" w14:textId="77777777" w:rsidR="00E16AE1" w:rsidRPr="00124DA6" w:rsidRDefault="00E16AE1" w:rsidP="00E1011D">
            <w:pPr>
              <w:spacing w:after="0" w:line="240" w:lineRule="auto"/>
              <w:rPr>
                <w:lang w:val="en-US"/>
              </w:rPr>
            </w:pPr>
            <w:r w:rsidRPr="00124DA6">
              <w:rPr>
                <w:rFonts w:cs="Arial"/>
                <w:lang w:val="en-US"/>
              </w:rPr>
              <w:t>Center for the Promotion and Assistance of Small and Medium Enterprises</w:t>
            </w:r>
          </w:p>
        </w:tc>
      </w:tr>
      <w:tr w:rsidR="00B75627" w:rsidRPr="008A6E7B" w14:paraId="091F752B" w14:textId="77777777" w:rsidTr="006E6FAD">
        <w:trPr>
          <w:trHeight w:val="263"/>
        </w:trPr>
        <w:tc>
          <w:tcPr>
            <w:tcW w:w="1686" w:type="dxa"/>
          </w:tcPr>
          <w:p w14:paraId="47E471EB" w14:textId="77777777" w:rsidR="00B75627" w:rsidRPr="00124DA6" w:rsidRDefault="00B75627" w:rsidP="00E1011D">
            <w:pPr>
              <w:spacing w:after="0" w:line="240" w:lineRule="auto"/>
              <w:rPr>
                <w:lang w:val="en-US"/>
              </w:rPr>
            </w:pPr>
            <w:r w:rsidRPr="00124DA6">
              <w:rPr>
                <w:lang w:val="en-US"/>
              </w:rPr>
              <w:t>CGAP</w:t>
            </w:r>
          </w:p>
        </w:tc>
        <w:tc>
          <w:tcPr>
            <w:tcW w:w="7777" w:type="dxa"/>
          </w:tcPr>
          <w:p w14:paraId="21F32D59" w14:textId="77777777" w:rsidR="00B75627" w:rsidRPr="00124DA6" w:rsidRDefault="00B75627" w:rsidP="00E1011D">
            <w:pPr>
              <w:spacing w:after="0" w:line="240" w:lineRule="auto"/>
              <w:rPr>
                <w:lang w:val="en-US"/>
              </w:rPr>
            </w:pPr>
            <w:r w:rsidRPr="00124DA6">
              <w:rPr>
                <w:lang w:val="en-US"/>
              </w:rPr>
              <w:t>Consultative Group of Assistance to the Poor</w:t>
            </w:r>
          </w:p>
        </w:tc>
      </w:tr>
      <w:tr w:rsidR="00082B8F" w:rsidRPr="00124DA6" w14:paraId="55A1A352" w14:textId="77777777" w:rsidTr="006E6FAD">
        <w:trPr>
          <w:trHeight w:val="263"/>
        </w:trPr>
        <w:tc>
          <w:tcPr>
            <w:tcW w:w="1686" w:type="dxa"/>
          </w:tcPr>
          <w:p w14:paraId="16DEB130" w14:textId="77777777" w:rsidR="00082B8F" w:rsidRPr="00124DA6" w:rsidRDefault="00082B8F" w:rsidP="00E1011D">
            <w:pPr>
              <w:spacing w:after="0" w:line="240" w:lineRule="auto"/>
              <w:rPr>
                <w:lang w:val="en-US"/>
              </w:rPr>
            </w:pPr>
            <w:r w:rsidRPr="00124DA6">
              <w:rPr>
                <w:lang w:val="en-US"/>
              </w:rPr>
              <w:t>CGS</w:t>
            </w:r>
          </w:p>
        </w:tc>
        <w:tc>
          <w:tcPr>
            <w:tcW w:w="7777" w:type="dxa"/>
          </w:tcPr>
          <w:p w14:paraId="78404B9C" w14:textId="77777777" w:rsidR="00082B8F" w:rsidRPr="00124DA6" w:rsidRDefault="00082B8F" w:rsidP="00E1011D">
            <w:pPr>
              <w:spacing w:after="0" w:line="240" w:lineRule="auto"/>
              <w:rPr>
                <w:lang w:val="en-US"/>
              </w:rPr>
            </w:pPr>
            <w:r w:rsidRPr="00124DA6">
              <w:rPr>
                <w:lang w:val="en-US"/>
              </w:rPr>
              <w:t>Credit Guarantee Scheme</w:t>
            </w:r>
          </w:p>
        </w:tc>
      </w:tr>
      <w:tr w:rsidR="00082B8F" w:rsidRPr="00124DA6" w14:paraId="12D92E32" w14:textId="77777777" w:rsidTr="006E6FAD">
        <w:trPr>
          <w:trHeight w:val="263"/>
        </w:trPr>
        <w:tc>
          <w:tcPr>
            <w:tcW w:w="1686" w:type="dxa"/>
          </w:tcPr>
          <w:p w14:paraId="3503602C" w14:textId="77777777" w:rsidR="00082B8F" w:rsidRPr="00124DA6" w:rsidRDefault="00082B8F" w:rsidP="00E1011D">
            <w:pPr>
              <w:spacing w:after="0" w:line="240" w:lineRule="auto"/>
              <w:rPr>
                <w:lang w:val="en-US"/>
              </w:rPr>
            </w:pPr>
            <w:r w:rsidRPr="00124DA6">
              <w:rPr>
                <w:lang w:val="en-US"/>
              </w:rPr>
              <w:t>CIMA</w:t>
            </w:r>
          </w:p>
        </w:tc>
        <w:tc>
          <w:tcPr>
            <w:tcW w:w="7777" w:type="dxa"/>
          </w:tcPr>
          <w:p w14:paraId="5D8D5A97" w14:textId="5A253169" w:rsidR="00082B8F" w:rsidRPr="00A549E7" w:rsidRDefault="00082B8F" w:rsidP="00E1011D">
            <w:pPr>
              <w:spacing w:after="0" w:line="240" w:lineRule="auto"/>
              <w:rPr>
                <w:rFonts w:cs="Arial"/>
                <w:i/>
              </w:rPr>
            </w:pPr>
            <w:r w:rsidRPr="00A549E7">
              <w:rPr>
                <w:rFonts w:cs="Arial"/>
                <w:i/>
              </w:rPr>
              <w:t>Conf</w:t>
            </w:r>
            <w:r w:rsidR="00141BD7">
              <w:rPr>
                <w:rFonts w:cs="Arial"/>
                <w:i/>
              </w:rPr>
              <w:t>é</w:t>
            </w:r>
            <w:r w:rsidRPr="00A549E7">
              <w:rPr>
                <w:rFonts w:cs="Arial"/>
                <w:i/>
              </w:rPr>
              <w:t>rence Interafricaine des Marchés de l’Assurance</w:t>
            </w:r>
          </w:p>
        </w:tc>
      </w:tr>
      <w:tr w:rsidR="002F02E4" w:rsidRPr="00124DA6" w14:paraId="50026F22" w14:textId="77777777" w:rsidTr="006E6FAD">
        <w:trPr>
          <w:trHeight w:val="263"/>
        </w:trPr>
        <w:tc>
          <w:tcPr>
            <w:tcW w:w="1686" w:type="dxa"/>
          </w:tcPr>
          <w:p w14:paraId="30CDF7C0" w14:textId="77777777" w:rsidR="002F02E4" w:rsidRPr="00124DA6" w:rsidRDefault="002F02E4" w:rsidP="00E1011D">
            <w:pPr>
              <w:spacing w:after="0" w:line="240" w:lineRule="auto"/>
              <w:rPr>
                <w:lang w:val="en-US"/>
              </w:rPr>
            </w:pPr>
            <w:r w:rsidRPr="00124DA6">
              <w:rPr>
                <w:lang w:val="en-US"/>
              </w:rPr>
              <w:t>CPCE</w:t>
            </w:r>
          </w:p>
        </w:tc>
        <w:tc>
          <w:tcPr>
            <w:tcW w:w="7777" w:type="dxa"/>
          </w:tcPr>
          <w:p w14:paraId="68A65471" w14:textId="7ED6BD6D" w:rsidR="002F02E4" w:rsidRPr="00A549E7" w:rsidRDefault="002F02E4" w:rsidP="00E1011D">
            <w:pPr>
              <w:spacing w:after="0" w:line="240" w:lineRule="auto"/>
              <w:rPr>
                <w:i/>
              </w:rPr>
            </w:pPr>
            <w:r w:rsidRPr="00A549E7">
              <w:rPr>
                <w:i/>
              </w:rPr>
              <w:t>Coopérative pour la Promotion de l</w:t>
            </w:r>
            <w:r w:rsidR="00141BD7">
              <w:rPr>
                <w:i/>
              </w:rPr>
              <w:t>’É</w:t>
            </w:r>
            <w:r w:rsidRPr="00A549E7">
              <w:rPr>
                <w:i/>
              </w:rPr>
              <w:t>pargne et du Crédit</w:t>
            </w:r>
          </w:p>
        </w:tc>
      </w:tr>
      <w:tr w:rsidR="00B75627" w:rsidRPr="00124DA6" w14:paraId="257208B8" w14:textId="77777777" w:rsidTr="006E6FAD">
        <w:trPr>
          <w:trHeight w:val="263"/>
        </w:trPr>
        <w:tc>
          <w:tcPr>
            <w:tcW w:w="1686" w:type="dxa"/>
          </w:tcPr>
          <w:p w14:paraId="086E3D67" w14:textId="77777777" w:rsidR="00B75627" w:rsidRPr="00124DA6" w:rsidRDefault="00B75627" w:rsidP="00E1011D">
            <w:pPr>
              <w:spacing w:after="0" w:line="240" w:lineRule="auto"/>
              <w:rPr>
                <w:lang w:val="en-US"/>
              </w:rPr>
            </w:pPr>
            <w:r w:rsidRPr="00124DA6">
              <w:rPr>
                <w:lang w:val="en-US"/>
              </w:rPr>
              <w:t>CTB</w:t>
            </w:r>
          </w:p>
        </w:tc>
        <w:tc>
          <w:tcPr>
            <w:tcW w:w="7777" w:type="dxa"/>
          </w:tcPr>
          <w:p w14:paraId="083647ED" w14:textId="77777777" w:rsidR="00B75627" w:rsidRPr="00124DA6" w:rsidRDefault="00B75627" w:rsidP="00E1011D">
            <w:pPr>
              <w:spacing w:after="0" w:line="240" w:lineRule="auto"/>
              <w:rPr>
                <w:lang w:val="en-US"/>
              </w:rPr>
            </w:pPr>
            <w:r w:rsidRPr="00124DA6">
              <w:rPr>
                <w:lang w:val="en-US"/>
              </w:rPr>
              <w:t>Belgium Technical Cooperation</w:t>
            </w:r>
          </w:p>
        </w:tc>
      </w:tr>
      <w:tr w:rsidR="006E5249" w:rsidRPr="008A6E7B" w14:paraId="3504D119" w14:textId="77777777" w:rsidTr="006E6FAD">
        <w:trPr>
          <w:trHeight w:val="263"/>
        </w:trPr>
        <w:tc>
          <w:tcPr>
            <w:tcW w:w="1686" w:type="dxa"/>
          </w:tcPr>
          <w:p w14:paraId="22C54879" w14:textId="77777777" w:rsidR="006E5249" w:rsidRPr="00124DA6" w:rsidRDefault="006E5249" w:rsidP="00E1011D">
            <w:pPr>
              <w:spacing w:after="0" w:line="240" w:lineRule="auto"/>
              <w:rPr>
                <w:lang w:val="en-US"/>
              </w:rPr>
            </w:pPr>
            <w:r w:rsidRPr="00124DA6">
              <w:rPr>
                <w:lang w:val="en-US"/>
              </w:rPr>
              <w:t>DIFAE</w:t>
            </w:r>
          </w:p>
        </w:tc>
        <w:tc>
          <w:tcPr>
            <w:tcW w:w="7777" w:type="dxa"/>
          </w:tcPr>
          <w:p w14:paraId="057A0454" w14:textId="77777777" w:rsidR="006E5249" w:rsidRPr="00124DA6" w:rsidRDefault="006E5249" w:rsidP="00E1011D">
            <w:pPr>
              <w:spacing w:after="0" w:line="240" w:lineRule="auto"/>
              <w:rPr>
                <w:lang w:val="en-US"/>
              </w:rPr>
            </w:pPr>
            <w:r w:rsidRPr="00124DA6">
              <w:rPr>
                <w:lang w:val="en-US"/>
              </w:rPr>
              <w:t xml:space="preserve">Directorate of </w:t>
            </w:r>
            <w:r w:rsidR="003C2FCF" w:rsidRPr="00124DA6">
              <w:rPr>
                <w:lang w:val="en-US"/>
              </w:rPr>
              <w:t>F</w:t>
            </w:r>
            <w:r w:rsidRPr="00124DA6">
              <w:rPr>
                <w:lang w:val="en-US"/>
              </w:rPr>
              <w:t xml:space="preserve">inancial </w:t>
            </w:r>
            <w:r w:rsidR="003C2FCF" w:rsidRPr="00124DA6">
              <w:rPr>
                <w:lang w:val="en-US"/>
              </w:rPr>
              <w:t>I</w:t>
            </w:r>
            <w:r w:rsidRPr="00124DA6">
              <w:rPr>
                <w:lang w:val="en-US"/>
              </w:rPr>
              <w:t xml:space="preserve">nclusion and </w:t>
            </w:r>
            <w:r w:rsidR="003C2FCF" w:rsidRPr="00124DA6">
              <w:rPr>
                <w:lang w:val="en-US"/>
              </w:rPr>
              <w:t>E</w:t>
            </w:r>
            <w:r w:rsidRPr="00124DA6">
              <w:rPr>
                <w:lang w:val="en-US"/>
              </w:rPr>
              <w:t xml:space="preserve">conomic </w:t>
            </w:r>
            <w:r w:rsidR="003C2FCF" w:rsidRPr="00124DA6">
              <w:rPr>
                <w:lang w:val="en-US"/>
              </w:rPr>
              <w:t>E</w:t>
            </w:r>
            <w:r w:rsidRPr="00124DA6">
              <w:rPr>
                <w:lang w:val="en-US"/>
              </w:rPr>
              <w:t>mpowerment</w:t>
            </w:r>
          </w:p>
        </w:tc>
      </w:tr>
      <w:tr w:rsidR="0091472B" w:rsidRPr="00124DA6" w14:paraId="5D114544" w14:textId="77777777" w:rsidTr="006E6FAD">
        <w:trPr>
          <w:trHeight w:val="263"/>
        </w:trPr>
        <w:tc>
          <w:tcPr>
            <w:tcW w:w="1686" w:type="dxa"/>
          </w:tcPr>
          <w:p w14:paraId="14D689F8" w14:textId="77777777" w:rsidR="00E16AE1" w:rsidRPr="00124DA6" w:rsidRDefault="00E16AE1" w:rsidP="00E1011D">
            <w:pPr>
              <w:spacing w:after="0" w:line="240" w:lineRule="auto"/>
              <w:rPr>
                <w:lang w:val="en-US"/>
              </w:rPr>
            </w:pPr>
            <w:r w:rsidRPr="00124DA6">
              <w:rPr>
                <w:lang w:val="en-US"/>
              </w:rPr>
              <w:t>FECECAM</w:t>
            </w:r>
          </w:p>
        </w:tc>
        <w:tc>
          <w:tcPr>
            <w:tcW w:w="7777" w:type="dxa"/>
          </w:tcPr>
          <w:p w14:paraId="0577B96D" w14:textId="0F2DE999" w:rsidR="00E16AE1" w:rsidRPr="00A549E7" w:rsidRDefault="00E16AE1" w:rsidP="00E1011D">
            <w:pPr>
              <w:spacing w:after="0" w:line="240" w:lineRule="auto"/>
              <w:rPr>
                <w:i/>
              </w:rPr>
            </w:pPr>
            <w:proofErr w:type="spellStart"/>
            <w:r w:rsidRPr="00A549E7">
              <w:rPr>
                <w:rStyle w:val="st1"/>
                <w:rFonts w:cs="Arial"/>
              </w:rPr>
              <w:t>Federation</w:t>
            </w:r>
            <w:proofErr w:type="spellEnd"/>
            <w:r w:rsidRPr="00A549E7">
              <w:rPr>
                <w:rStyle w:val="st1"/>
                <w:rFonts w:cs="Arial"/>
              </w:rPr>
              <w:t xml:space="preserve"> of </w:t>
            </w:r>
            <w:proofErr w:type="spellStart"/>
            <w:r w:rsidR="00B81441" w:rsidRPr="00A549E7">
              <w:rPr>
                <w:rStyle w:val="st1"/>
                <w:rFonts w:cs="Arial"/>
              </w:rPr>
              <w:t>S</w:t>
            </w:r>
            <w:r w:rsidRPr="00A549E7">
              <w:rPr>
                <w:rStyle w:val="st1"/>
                <w:rFonts w:cs="Arial"/>
              </w:rPr>
              <w:t>avings</w:t>
            </w:r>
            <w:proofErr w:type="spellEnd"/>
            <w:r w:rsidRPr="00A549E7">
              <w:rPr>
                <w:rStyle w:val="st1"/>
                <w:rFonts w:cs="Arial"/>
              </w:rPr>
              <w:t xml:space="preserve"> and </w:t>
            </w:r>
            <w:proofErr w:type="spellStart"/>
            <w:r w:rsidR="00B81441" w:rsidRPr="00A549E7">
              <w:rPr>
                <w:rStyle w:val="st1"/>
                <w:rFonts w:cs="Arial"/>
              </w:rPr>
              <w:t>C</w:t>
            </w:r>
            <w:r w:rsidRPr="00A549E7">
              <w:rPr>
                <w:rStyle w:val="st1"/>
                <w:rFonts w:cs="Arial"/>
              </w:rPr>
              <w:t>redit</w:t>
            </w:r>
            <w:proofErr w:type="spellEnd"/>
            <w:r w:rsidRPr="00A549E7">
              <w:rPr>
                <w:rStyle w:val="st1"/>
                <w:rFonts w:cs="Arial"/>
              </w:rPr>
              <w:t xml:space="preserve"> </w:t>
            </w:r>
            <w:r w:rsidR="00B81441" w:rsidRPr="00A549E7">
              <w:rPr>
                <w:rStyle w:val="st1"/>
                <w:rFonts w:cs="Arial"/>
              </w:rPr>
              <w:t>U</w:t>
            </w:r>
            <w:r w:rsidRPr="00A549E7">
              <w:rPr>
                <w:rStyle w:val="st1"/>
                <w:rFonts w:cs="Arial"/>
              </w:rPr>
              <w:t>nions</w:t>
            </w:r>
            <w:r w:rsidR="00B81441" w:rsidRPr="00A549E7">
              <w:rPr>
                <w:rStyle w:val="st1"/>
                <w:rFonts w:cs="Arial"/>
              </w:rPr>
              <w:t xml:space="preserve"> (</w:t>
            </w:r>
            <w:proofErr w:type="spellStart"/>
            <w:r w:rsidR="00B81441" w:rsidRPr="00A549E7">
              <w:rPr>
                <w:rStyle w:val="st1"/>
                <w:rFonts w:cs="Arial"/>
                <w:i/>
              </w:rPr>
              <w:t>Faitère</w:t>
            </w:r>
            <w:proofErr w:type="spellEnd"/>
            <w:r w:rsidR="00B81441" w:rsidRPr="00A549E7">
              <w:rPr>
                <w:rStyle w:val="st1"/>
                <w:rFonts w:cs="Arial"/>
                <w:i/>
              </w:rPr>
              <w:t xml:space="preserve"> des caisses d</w:t>
            </w:r>
            <w:r w:rsidR="00141BD7">
              <w:rPr>
                <w:rStyle w:val="st1"/>
                <w:rFonts w:cs="Arial"/>
                <w:i/>
              </w:rPr>
              <w:t>’</w:t>
            </w:r>
            <w:r w:rsidR="00B81441" w:rsidRPr="00A549E7">
              <w:rPr>
                <w:rStyle w:val="st1"/>
                <w:rFonts w:cs="Arial"/>
                <w:i/>
              </w:rPr>
              <w:t>épargne et de crédit agricole Mutuel</w:t>
            </w:r>
            <w:r w:rsidRPr="00A549E7">
              <w:rPr>
                <w:rStyle w:val="st1"/>
                <w:rFonts w:cs="Arial"/>
              </w:rPr>
              <w:t>)</w:t>
            </w:r>
          </w:p>
        </w:tc>
      </w:tr>
      <w:tr w:rsidR="00E16AE1" w:rsidRPr="00124DA6" w14:paraId="6A495D82" w14:textId="77777777" w:rsidTr="006E6FAD">
        <w:trPr>
          <w:trHeight w:val="263"/>
        </w:trPr>
        <w:tc>
          <w:tcPr>
            <w:tcW w:w="1686" w:type="dxa"/>
          </w:tcPr>
          <w:p w14:paraId="7A9B2428" w14:textId="77777777" w:rsidR="00E16AE1" w:rsidRPr="00124DA6" w:rsidRDefault="00E16AE1" w:rsidP="00E1011D">
            <w:pPr>
              <w:spacing w:after="0" w:line="240" w:lineRule="auto"/>
              <w:rPr>
                <w:lang w:val="en-US"/>
              </w:rPr>
            </w:pPr>
            <w:r w:rsidRPr="00124DA6">
              <w:rPr>
                <w:lang w:val="en-US"/>
              </w:rPr>
              <w:t>FI</w:t>
            </w:r>
          </w:p>
        </w:tc>
        <w:tc>
          <w:tcPr>
            <w:tcW w:w="7777" w:type="dxa"/>
          </w:tcPr>
          <w:p w14:paraId="2CC7064C" w14:textId="77777777" w:rsidR="00E16AE1" w:rsidRPr="00124DA6" w:rsidRDefault="00E16AE1" w:rsidP="00E1011D">
            <w:pPr>
              <w:spacing w:after="0" w:line="240" w:lineRule="auto"/>
              <w:rPr>
                <w:lang w:val="en-US"/>
              </w:rPr>
            </w:pPr>
            <w:r w:rsidRPr="00124DA6">
              <w:rPr>
                <w:lang w:val="en-US"/>
              </w:rPr>
              <w:t>Financial institutions</w:t>
            </w:r>
          </w:p>
        </w:tc>
      </w:tr>
      <w:tr w:rsidR="0091472B" w:rsidRPr="00124DA6" w14:paraId="53E4E721" w14:textId="77777777" w:rsidTr="006E6FAD">
        <w:trPr>
          <w:trHeight w:val="263"/>
        </w:trPr>
        <w:tc>
          <w:tcPr>
            <w:tcW w:w="1686" w:type="dxa"/>
          </w:tcPr>
          <w:p w14:paraId="1B954482" w14:textId="77777777" w:rsidR="00E16AE1" w:rsidRPr="00124DA6" w:rsidRDefault="00E16AE1" w:rsidP="00E1011D">
            <w:pPr>
              <w:spacing w:after="0" w:line="240" w:lineRule="auto"/>
              <w:rPr>
                <w:lang w:val="en-US"/>
              </w:rPr>
            </w:pPr>
            <w:r w:rsidRPr="00124DA6">
              <w:rPr>
                <w:lang w:val="en-US"/>
              </w:rPr>
              <w:t>FINAGRO</w:t>
            </w:r>
          </w:p>
        </w:tc>
        <w:tc>
          <w:tcPr>
            <w:tcW w:w="7777" w:type="dxa"/>
          </w:tcPr>
          <w:p w14:paraId="4871E181" w14:textId="77777777" w:rsidR="00E16AE1" w:rsidRPr="00124DA6" w:rsidRDefault="006E5249" w:rsidP="00E1011D">
            <w:pPr>
              <w:spacing w:after="0" w:line="240" w:lineRule="auto"/>
              <w:rPr>
                <w:lang w:val="en-US"/>
              </w:rPr>
            </w:pPr>
            <w:r w:rsidRPr="00124DA6">
              <w:rPr>
                <w:lang w:val="en-US"/>
              </w:rPr>
              <w:t xml:space="preserve">Private Guarantee and business development services for agriculture and </w:t>
            </w:r>
            <w:r w:rsidR="00DA452E" w:rsidRPr="00124DA6">
              <w:rPr>
                <w:lang w:val="en-US"/>
              </w:rPr>
              <w:t>agribusiness (</w:t>
            </w:r>
            <w:r w:rsidR="00DA452E" w:rsidRPr="00124DA6">
              <w:rPr>
                <w:i/>
                <w:lang w:val="en-US"/>
              </w:rPr>
              <w:t xml:space="preserve">Financière de </w:t>
            </w:r>
            <w:proofErr w:type="spellStart"/>
            <w:r w:rsidR="00DA452E" w:rsidRPr="00124DA6">
              <w:rPr>
                <w:i/>
                <w:lang w:val="en-US"/>
              </w:rPr>
              <w:t>l’agriculture</w:t>
            </w:r>
            <w:proofErr w:type="spellEnd"/>
            <w:r w:rsidR="00DA452E" w:rsidRPr="00124DA6">
              <w:rPr>
                <w:i/>
                <w:lang w:val="en-US"/>
              </w:rPr>
              <w:t xml:space="preserve"> et de </w:t>
            </w:r>
            <w:proofErr w:type="spellStart"/>
            <w:r w:rsidR="00DA452E" w:rsidRPr="00124DA6">
              <w:rPr>
                <w:i/>
                <w:lang w:val="en-US"/>
              </w:rPr>
              <w:t>l’agro-industrie</w:t>
            </w:r>
            <w:proofErr w:type="spellEnd"/>
            <w:r w:rsidRPr="00124DA6">
              <w:rPr>
                <w:lang w:val="en-US"/>
              </w:rPr>
              <w:t>)</w:t>
            </w:r>
          </w:p>
        </w:tc>
      </w:tr>
      <w:tr w:rsidR="006E5249" w:rsidRPr="008A6E7B" w14:paraId="3DF759BF" w14:textId="77777777" w:rsidTr="006E6FAD">
        <w:trPr>
          <w:trHeight w:val="263"/>
        </w:trPr>
        <w:tc>
          <w:tcPr>
            <w:tcW w:w="1686" w:type="dxa"/>
          </w:tcPr>
          <w:p w14:paraId="0F83D1F4" w14:textId="77777777" w:rsidR="006E5249" w:rsidRPr="00124DA6" w:rsidRDefault="006E5249" w:rsidP="00E1011D">
            <w:pPr>
              <w:spacing w:after="0" w:line="240" w:lineRule="auto"/>
              <w:rPr>
                <w:lang w:val="en-US"/>
              </w:rPr>
            </w:pPr>
            <w:r w:rsidRPr="00124DA6">
              <w:rPr>
                <w:lang w:val="en-US"/>
              </w:rPr>
              <w:t>FNDA</w:t>
            </w:r>
          </w:p>
        </w:tc>
        <w:tc>
          <w:tcPr>
            <w:tcW w:w="7777" w:type="dxa"/>
          </w:tcPr>
          <w:p w14:paraId="4F1A45DF" w14:textId="77777777" w:rsidR="006E5249" w:rsidRPr="00124DA6" w:rsidRDefault="006E5249" w:rsidP="00E1011D">
            <w:pPr>
              <w:spacing w:after="0" w:line="240" w:lineRule="auto"/>
              <w:rPr>
                <w:lang w:val="en-US"/>
              </w:rPr>
            </w:pPr>
            <w:r w:rsidRPr="00124DA6">
              <w:rPr>
                <w:lang w:val="en-US"/>
              </w:rPr>
              <w:t>National Funds for Agriculture Development</w:t>
            </w:r>
          </w:p>
        </w:tc>
      </w:tr>
      <w:tr w:rsidR="006E5249" w:rsidRPr="00124DA6" w14:paraId="6D428366" w14:textId="77777777" w:rsidTr="006E6FAD">
        <w:trPr>
          <w:trHeight w:val="263"/>
        </w:trPr>
        <w:tc>
          <w:tcPr>
            <w:tcW w:w="1686" w:type="dxa"/>
          </w:tcPr>
          <w:p w14:paraId="553AD724" w14:textId="77777777" w:rsidR="006E5249" w:rsidRPr="00124DA6" w:rsidRDefault="006E5249" w:rsidP="00E1011D">
            <w:pPr>
              <w:spacing w:after="0" w:line="240" w:lineRule="auto"/>
              <w:rPr>
                <w:lang w:val="en-US"/>
              </w:rPr>
            </w:pPr>
            <w:r w:rsidRPr="00124DA6">
              <w:rPr>
                <w:lang w:val="en-US"/>
              </w:rPr>
              <w:t>FNM</w:t>
            </w:r>
          </w:p>
        </w:tc>
        <w:tc>
          <w:tcPr>
            <w:tcW w:w="7777" w:type="dxa"/>
          </w:tcPr>
          <w:p w14:paraId="4D5C695A" w14:textId="77777777" w:rsidR="006E5249" w:rsidRPr="00124DA6" w:rsidRDefault="006E5249" w:rsidP="00E1011D">
            <w:pPr>
              <w:spacing w:after="0" w:line="240" w:lineRule="auto"/>
              <w:rPr>
                <w:lang w:val="en-US"/>
              </w:rPr>
            </w:pPr>
            <w:r w:rsidRPr="00124DA6">
              <w:rPr>
                <w:lang w:val="en-US"/>
              </w:rPr>
              <w:t>National Microfinance Funds</w:t>
            </w:r>
          </w:p>
        </w:tc>
      </w:tr>
      <w:tr w:rsidR="006E5249" w:rsidRPr="00124DA6" w14:paraId="01377271" w14:textId="77777777" w:rsidTr="006E6FAD">
        <w:trPr>
          <w:trHeight w:val="263"/>
        </w:trPr>
        <w:tc>
          <w:tcPr>
            <w:tcW w:w="1686" w:type="dxa"/>
          </w:tcPr>
          <w:p w14:paraId="2BB7DADD" w14:textId="77777777" w:rsidR="006E5249" w:rsidRPr="00124DA6" w:rsidRDefault="006E5249" w:rsidP="00E1011D">
            <w:pPr>
              <w:spacing w:after="0" w:line="240" w:lineRule="auto"/>
              <w:rPr>
                <w:lang w:val="en-US"/>
              </w:rPr>
            </w:pPr>
            <w:r w:rsidRPr="00124DA6">
              <w:rPr>
                <w:lang w:val="en-US"/>
              </w:rPr>
              <w:t>FONAGA</w:t>
            </w:r>
          </w:p>
        </w:tc>
        <w:tc>
          <w:tcPr>
            <w:tcW w:w="7777" w:type="dxa"/>
          </w:tcPr>
          <w:p w14:paraId="47541F09" w14:textId="77777777" w:rsidR="006E5249" w:rsidRPr="00124DA6" w:rsidRDefault="006E5249" w:rsidP="00E1011D">
            <w:pPr>
              <w:spacing w:after="0" w:line="240" w:lineRule="auto"/>
              <w:rPr>
                <w:lang w:val="en-US"/>
              </w:rPr>
            </w:pPr>
            <w:r w:rsidRPr="00124DA6">
              <w:rPr>
                <w:lang w:val="en-US"/>
              </w:rPr>
              <w:t>National Guarantee Fund</w:t>
            </w:r>
          </w:p>
        </w:tc>
      </w:tr>
      <w:tr w:rsidR="00747326" w:rsidRPr="00124DA6" w14:paraId="38011BAD" w14:textId="77777777" w:rsidTr="006E6FAD">
        <w:trPr>
          <w:trHeight w:val="263"/>
        </w:trPr>
        <w:tc>
          <w:tcPr>
            <w:tcW w:w="1686" w:type="dxa"/>
          </w:tcPr>
          <w:p w14:paraId="472E082E" w14:textId="77777777" w:rsidR="00747326" w:rsidRPr="00124DA6" w:rsidRDefault="00747326" w:rsidP="00E1011D">
            <w:pPr>
              <w:spacing w:after="0" w:line="240" w:lineRule="auto"/>
              <w:rPr>
                <w:lang w:val="en-US"/>
              </w:rPr>
            </w:pPr>
            <w:r w:rsidRPr="00124DA6">
              <w:rPr>
                <w:lang w:val="en-US"/>
              </w:rPr>
              <w:t>GDP</w:t>
            </w:r>
          </w:p>
        </w:tc>
        <w:tc>
          <w:tcPr>
            <w:tcW w:w="7777" w:type="dxa"/>
          </w:tcPr>
          <w:p w14:paraId="4BFCB037" w14:textId="77777777" w:rsidR="00747326" w:rsidRPr="00124DA6" w:rsidRDefault="00747326" w:rsidP="00E1011D">
            <w:pPr>
              <w:spacing w:after="0" w:line="240" w:lineRule="auto"/>
              <w:rPr>
                <w:lang w:val="en-US"/>
              </w:rPr>
            </w:pPr>
            <w:r w:rsidRPr="00124DA6">
              <w:rPr>
                <w:lang w:val="en-US"/>
              </w:rPr>
              <w:t>Gross Domestic Product</w:t>
            </w:r>
          </w:p>
        </w:tc>
      </w:tr>
      <w:tr w:rsidR="001C472A" w:rsidRPr="00124DA6" w14:paraId="7063786F" w14:textId="77777777" w:rsidTr="006E6FAD">
        <w:trPr>
          <w:trHeight w:val="263"/>
        </w:trPr>
        <w:tc>
          <w:tcPr>
            <w:tcW w:w="1686" w:type="dxa"/>
          </w:tcPr>
          <w:p w14:paraId="1D8F92B1" w14:textId="77777777" w:rsidR="001C472A" w:rsidRPr="00124DA6" w:rsidRDefault="006E5249" w:rsidP="00E1011D">
            <w:pPr>
              <w:spacing w:after="0" w:line="240" w:lineRule="auto"/>
              <w:rPr>
                <w:lang w:val="en-US"/>
              </w:rPr>
            </w:pPr>
            <w:r w:rsidRPr="00124DA6">
              <w:rPr>
                <w:lang w:val="en-US"/>
              </w:rPr>
              <w:t>GIIF</w:t>
            </w:r>
          </w:p>
        </w:tc>
        <w:tc>
          <w:tcPr>
            <w:tcW w:w="7777" w:type="dxa"/>
          </w:tcPr>
          <w:p w14:paraId="27FB57C9" w14:textId="77777777" w:rsidR="001C472A" w:rsidRPr="00124DA6" w:rsidRDefault="006E5249" w:rsidP="00E1011D">
            <w:pPr>
              <w:spacing w:after="0" w:line="240" w:lineRule="auto"/>
              <w:rPr>
                <w:lang w:val="en-US"/>
              </w:rPr>
            </w:pPr>
            <w:r w:rsidRPr="00124DA6">
              <w:rPr>
                <w:lang w:val="en-US"/>
              </w:rPr>
              <w:t xml:space="preserve">Global </w:t>
            </w:r>
            <w:r w:rsidR="00DA452E" w:rsidRPr="00124DA6">
              <w:rPr>
                <w:lang w:val="en-US"/>
              </w:rPr>
              <w:t>I</w:t>
            </w:r>
            <w:r w:rsidRPr="00124DA6">
              <w:rPr>
                <w:lang w:val="en-US"/>
              </w:rPr>
              <w:t xml:space="preserve">ndex </w:t>
            </w:r>
            <w:r w:rsidR="00DA452E" w:rsidRPr="00124DA6">
              <w:rPr>
                <w:lang w:val="en-US"/>
              </w:rPr>
              <w:t>I</w:t>
            </w:r>
            <w:r w:rsidRPr="00124DA6">
              <w:rPr>
                <w:lang w:val="en-US"/>
              </w:rPr>
              <w:t xml:space="preserve">nsurance </w:t>
            </w:r>
            <w:r w:rsidR="00DA452E" w:rsidRPr="00124DA6">
              <w:rPr>
                <w:lang w:val="en-US"/>
              </w:rPr>
              <w:t>F</w:t>
            </w:r>
            <w:r w:rsidRPr="00124DA6">
              <w:rPr>
                <w:lang w:val="en-US"/>
              </w:rPr>
              <w:t>acility</w:t>
            </w:r>
          </w:p>
        </w:tc>
      </w:tr>
      <w:tr w:rsidR="001C472A" w:rsidRPr="008A6E7B" w14:paraId="4ADC54AF" w14:textId="77777777" w:rsidTr="006E6FAD">
        <w:trPr>
          <w:trHeight w:val="263"/>
        </w:trPr>
        <w:tc>
          <w:tcPr>
            <w:tcW w:w="1686" w:type="dxa"/>
          </w:tcPr>
          <w:p w14:paraId="33101FEE" w14:textId="77777777" w:rsidR="001C472A" w:rsidRPr="00124DA6" w:rsidRDefault="001C472A" w:rsidP="00E1011D">
            <w:pPr>
              <w:spacing w:after="0" w:line="240" w:lineRule="auto"/>
              <w:rPr>
                <w:lang w:val="en-US"/>
              </w:rPr>
            </w:pPr>
            <w:r w:rsidRPr="00124DA6">
              <w:rPr>
                <w:lang w:val="en-US"/>
              </w:rPr>
              <w:t>GIM-</w:t>
            </w:r>
            <w:r w:rsidR="0005379C" w:rsidRPr="00124DA6">
              <w:rPr>
                <w:lang w:val="en-US"/>
              </w:rPr>
              <w:t>WAEMU</w:t>
            </w:r>
          </w:p>
        </w:tc>
        <w:tc>
          <w:tcPr>
            <w:tcW w:w="7777" w:type="dxa"/>
          </w:tcPr>
          <w:p w14:paraId="0CA5ACA1" w14:textId="77777777" w:rsidR="001C472A" w:rsidRPr="00124DA6" w:rsidRDefault="006E5249" w:rsidP="00E1011D">
            <w:pPr>
              <w:spacing w:after="0" w:line="240" w:lineRule="auto"/>
              <w:rPr>
                <w:lang w:val="en-US"/>
              </w:rPr>
            </w:pPr>
            <w:r w:rsidRPr="00124DA6">
              <w:rPr>
                <w:rFonts w:cs="Arial"/>
                <w:lang w:val="en-US"/>
              </w:rPr>
              <w:t>Interbank Banking Group of the West African Economic and Monetary Union</w:t>
            </w:r>
          </w:p>
        </w:tc>
      </w:tr>
      <w:tr w:rsidR="006E5249" w:rsidRPr="008A6E7B" w14:paraId="37508033" w14:textId="77777777" w:rsidTr="006E6FAD">
        <w:trPr>
          <w:trHeight w:val="263"/>
        </w:trPr>
        <w:tc>
          <w:tcPr>
            <w:tcW w:w="1686" w:type="dxa"/>
          </w:tcPr>
          <w:p w14:paraId="01A9A042" w14:textId="77777777" w:rsidR="006E5249" w:rsidRPr="00124DA6" w:rsidRDefault="006E5249" w:rsidP="00E1011D">
            <w:pPr>
              <w:spacing w:after="0" w:line="240" w:lineRule="auto"/>
              <w:rPr>
                <w:lang w:val="en-US"/>
              </w:rPr>
            </w:pPr>
            <w:r w:rsidRPr="00124DA6">
              <w:rPr>
                <w:lang w:val="en-US"/>
              </w:rPr>
              <w:t>GIZ</w:t>
            </w:r>
          </w:p>
        </w:tc>
        <w:tc>
          <w:tcPr>
            <w:tcW w:w="7777" w:type="dxa"/>
          </w:tcPr>
          <w:p w14:paraId="6375BFEB" w14:textId="77777777" w:rsidR="006E5249" w:rsidRPr="00124DA6" w:rsidRDefault="006E5249" w:rsidP="00FF6F35">
            <w:pPr>
              <w:autoSpaceDE w:val="0"/>
              <w:autoSpaceDN w:val="0"/>
              <w:adjustRightInd w:val="0"/>
              <w:spacing w:after="0" w:line="240" w:lineRule="auto"/>
              <w:rPr>
                <w:rFonts w:cs="Arial"/>
                <w:lang w:val="en-US"/>
              </w:rPr>
            </w:pPr>
            <w:r w:rsidRPr="00124DA6">
              <w:rPr>
                <w:rFonts w:cs="Arial"/>
                <w:lang w:val="en-US"/>
              </w:rPr>
              <w:t xml:space="preserve">German </w:t>
            </w:r>
            <w:r w:rsidR="00FF6F35" w:rsidRPr="00124DA6">
              <w:rPr>
                <w:rFonts w:cs="Arial"/>
                <w:lang w:val="en-US"/>
              </w:rPr>
              <w:t xml:space="preserve">Agency for </w:t>
            </w:r>
            <w:r w:rsidR="00FF6F35" w:rsidRPr="00124DA6">
              <w:rPr>
                <w:rFonts w:cstheme="minorHAnsi"/>
                <w:lang w:val="en-US"/>
              </w:rPr>
              <w:t>I</w:t>
            </w:r>
            <w:r w:rsidRPr="00124DA6">
              <w:rPr>
                <w:rFonts w:cstheme="minorHAnsi"/>
                <w:lang w:val="en-US"/>
              </w:rPr>
              <w:t xml:space="preserve">nternational </w:t>
            </w:r>
            <w:r w:rsidR="00FF6F35" w:rsidRPr="00124DA6">
              <w:rPr>
                <w:rFonts w:cstheme="minorHAnsi"/>
                <w:lang w:val="en-US"/>
              </w:rPr>
              <w:t>C</w:t>
            </w:r>
            <w:r w:rsidRPr="00124DA6">
              <w:rPr>
                <w:rFonts w:cstheme="minorHAnsi"/>
                <w:lang w:val="en-US"/>
              </w:rPr>
              <w:t>ooperation</w:t>
            </w:r>
            <w:r w:rsidR="00FF6F35" w:rsidRPr="00124DA6">
              <w:rPr>
                <w:rFonts w:cstheme="minorHAnsi"/>
                <w:lang w:val="en-US"/>
              </w:rPr>
              <w:t xml:space="preserve"> (</w:t>
            </w:r>
            <w:r w:rsidR="00FF6F35" w:rsidRPr="00124DA6">
              <w:rPr>
                <w:rFonts w:eastAsia="Avenir-Book" w:cstheme="minorHAnsi"/>
                <w:i/>
                <w:lang w:val="en-US"/>
              </w:rPr>
              <w:t xml:space="preserve">Deutsche Gesellschaft fur </w:t>
            </w:r>
            <w:proofErr w:type="spellStart"/>
            <w:r w:rsidR="00FF6F35" w:rsidRPr="00124DA6">
              <w:rPr>
                <w:rFonts w:eastAsia="Avenir-Book" w:cstheme="minorHAnsi"/>
                <w:i/>
                <w:lang w:val="en-US"/>
              </w:rPr>
              <w:t>Internationale</w:t>
            </w:r>
            <w:proofErr w:type="spellEnd"/>
            <w:r w:rsidR="00FF6F35" w:rsidRPr="00124DA6">
              <w:rPr>
                <w:rFonts w:eastAsia="Avenir-Book" w:cstheme="minorHAnsi"/>
                <w:i/>
                <w:lang w:val="en-US"/>
              </w:rPr>
              <w:t xml:space="preserve"> </w:t>
            </w:r>
            <w:proofErr w:type="spellStart"/>
            <w:r w:rsidR="00FF6F35" w:rsidRPr="00124DA6">
              <w:rPr>
                <w:rFonts w:eastAsia="Avenir-Book" w:cstheme="minorHAnsi"/>
                <w:i/>
                <w:lang w:val="en-US"/>
              </w:rPr>
              <w:t>Zusammenarbeit</w:t>
            </w:r>
            <w:proofErr w:type="spellEnd"/>
            <w:r w:rsidR="00FF6F35" w:rsidRPr="00124DA6">
              <w:rPr>
                <w:rFonts w:eastAsia="Avenir-Book" w:cstheme="minorHAnsi"/>
                <w:lang w:val="en-US"/>
              </w:rPr>
              <w:t>)</w:t>
            </w:r>
          </w:p>
        </w:tc>
      </w:tr>
      <w:tr w:rsidR="006E5249" w:rsidRPr="00124DA6" w14:paraId="0DD31A5F" w14:textId="77777777" w:rsidTr="006E6FAD">
        <w:trPr>
          <w:trHeight w:val="263"/>
        </w:trPr>
        <w:tc>
          <w:tcPr>
            <w:tcW w:w="1686" w:type="dxa"/>
          </w:tcPr>
          <w:p w14:paraId="26530410" w14:textId="77777777" w:rsidR="006E5249" w:rsidRPr="00124DA6" w:rsidRDefault="006E5249" w:rsidP="00E1011D">
            <w:pPr>
              <w:spacing w:after="0" w:line="240" w:lineRule="auto"/>
              <w:rPr>
                <w:lang w:val="en-US"/>
              </w:rPr>
            </w:pPr>
            <w:proofErr w:type="spellStart"/>
            <w:r w:rsidRPr="00124DA6">
              <w:rPr>
                <w:lang w:val="en-US"/>
              </w:rPr>
              <w:t>GoB</w:t>
            </w:r>
            <w:proofErr w:type="spellEnd"/>
          </w:p>
        </w:tc>
        <w:tc>
          <w:tcPr>
            <w:tcW w:w="7777" w:type="dxa"/>
          </w:tcPr>
          <w:p w14:paraId="59CFA3FE" w14:textId="77777777" w:rsidR="006E5249" w:rsidRPr="00124DA6" w:rsidRDefault="006E5249" w:rsidP="00E1011D">
            <w:pPr>
              <w:spacing w:after="0" w:line="240" w:lineRule="auto"/>
              <w:rPr>
                <w:rFonts w:cs="Arial"/>
                <w:lang w:val="en-US"/>
              </w:rPr>
            </w:pPr>
            <w:r w:rsidRPr="00124DA6">
              <w:rPr>
                <w:rFonts w:cs="Arial"/>
                <w:lang w:val="en-US"/>
              </w:rPr>
              <w:t>Government of Benin</w:t>
            </w:r>
          </w:p>
        </w:tc>
      </w:tr>
      <w:tr w:rsidR="0091472B" w:rsidRPr="00124DA6" w14:paraId="0B3E56FF" w14:textId="77777777" w:rsidTr="006E6FAD">
        <w:trPr>
          <w:trHeight w:val="263"/>
        </w:trPr>
        <w:tc>
          <w:tcPr>
            <w:tcW w:w="1686" w:type="dxa"/>
          </w:tcPr>
          <w:p w14:paraId="76A772D8" w14:textId="77777777" w:rsidR="0091472B" w:rsidRPr="00124DA6" w:rsidRDefault="0091472B" w:rsidP="00E1011D">
            <w:pPr>
              <w:spacing w:after="0" w:line="240" w:lineRule="auto"/>
              <w:rPr>
                <w:lang w:val="en-US"/>
              </w:rPr>
            </w:pPr>
            <w:r w:rsidRPr="00124DA6">
              <w:rPr>
                <w:lang w:val="en-US"/>
              </w:rPr>
              <w:t>G2P</w:t>
            </w:r>
          </w:p>
        </w:tc>
        <w:tc>
          <w:tcPr>
            <w:tcW w:w="7777" w:type="dxa"/>
          </w:tcPr>
          <w:p w14:paraId="10EDBB7D" w14:textId="77777777" w:rsidR="0091472B" w:rsidRPr="00124DA6" w:rsidRDefault="0091472B" w:rsidP="00E1011D">
            <w:pPr>
              <w:spacing w:after="0" w:line="240" w:lineRule="auto"/>
              <w:rPr>
                <w:rFonts w:cs="Arial"/>
                <w:lang w:val="en-US"/>
              </w:rPr>
            </w:pPr>
            <w:r w:rsidRPr="00124DA6">
              <w:rPr>
                <w:rFonts w:cs="Arial"/>
                <w:lang w:val="en-US"/>
              </w:rPr>
              <w:t>Government-to-Person</w:t>
            </w:r>
          </w:p>
        </w:tc>
      </w:tr>
      <w:tr w:rsidR="00747326" w:rsidRPr="00124DA6" w14:paraId="1E6A9675" w14:textId="77777777" w:rsidTr="006E6FAD">
        <w:trPr>
          <w:trHeight w:val="263"/>
        </w:trPr>
        <w:tc>
          <w:tcPr>
            <w:tcW w:w="1686" w:type="dxa"/>
          </w:tcPr>
          <w:p w14:paraId="719C2B08" w14:textId="77777777" w:rsidR="00747326" w:rsidRPr="00124DA6" w:rsidRDefault="00747326" w:rsidP="00E1011D">
            <w:pPr>
              <w:spacing w:after="0" w:line="240" w:lineRule="auto"/>
              <w:rPr>
                <w:lang w:val="en-US"/>
              </w:rPr>
            </w:pPr>
            <w:r w:rsidRPr="00124DA6">
              <w:rPr>
                <w:lang w:val="en-US"/>
              </w:rPr>
              <w:t>ICC</w:t>
            </w:r>
          </w:p>
        </w:tc>
        <w:tc>
          <w:tcPr>
            <w:tcW w:w="7777" w:type="dxa"/>
          </w:tcPr>
          <w:p w14:paraId="0F2BCD2B" w14:textId="77777777" w:rsidR="00747326" w:rsidRPr="00124DA6" w:rsidRDefault="00747326" w:rsidP="00E1011D">
            <w:pPr>
              <w:spacing w:after="0" w:line="240" w:lineRule="auto"/>
              <w:rPr>
                <w:rFonts w:cs="Arial"/>
                <w:lang w:val="en-US"/>
              </w:rPr>
            </w:pPr>
            <w:r w:rsidRPr="00124DA6">
              <w:rPr>
                <w:rFonts w:cs="Arial"/>
                <w:lang w:val="en-US"/>
              </w:rPr>
              <w:t xml:space="preserve">Investment Consultancy and </w:t>
            </w:r>
            <w:proofErr w:type="spellStart"/>
            <w:r w:rsidRPr="00124DA6">
              <w:rPr>
                <w:rFonts w:cs="Arial"/>
                <w:lang w:val="en-US"/>
              </w:rPr>
              <w:t>Computering</w:t>
            </w:r>
            <w:proofErr w:type="spellEnd"/>
          </w:p>
        </w:tc>
      </w:tr>
      <w:tr w:rsidR="002F02E4" w:rsidRPr="00124DA6" w14:paraId="63F8E57B" w14:textId="77777777" w:rsidTr="006E6FAD">
        <w:trPr>
          <w:trHeight w:val="263"/>
        </w:trPr>
        <w:tc>
          <w:tcPr>
            <w:tcW w:w="1686" w:type="dxa"/>
          </w:tcPr>
          <w:p w14:paraId="7A1AC3F1" w14:textId="77777777" w:rsidR="002F02E4" w:rsidRPr="00124DA6" w:rsidRDefault="002F02E4" w:rsidP="00E1011D">
            <w:pPr>
              <w:spacing w:after="0" w:line="240" w:lineRule="auto"/>
              <w:rPr>
                <w:lang w:val="en-US"/>
              </w:rPr>
            </w:pPr>
            <w:r w:rsidRPr="00124DA6">
              <w:rPr>
                <w:lang w:val="en-US"/>
              </w:rPr>
              <w:t>ICT</w:t>
            </w:r>
          </w:p>
        </w:tc>
        <w:tc>
          <w:tcPr>
            <w:tcW w:w="7777" w:type="dxa"/>
          </w:tcPr>
          <w:p w14:paraId="6FDBF2A7" w14:textId="77777777" w:rsidR="002F02E4" w:rsidRPr="00124DA6" w:rsidRDefault="002F02E4" w:rsidP="00E1011D">
            <w:pPr>
              <w:spacing w:after="0" w:line="240" w:lineRule="auto"/>
              <w:rPr>
                <w:rFonts w:cs="Arial"/>
                <w:lang w:val="en-US"/>
              </w:rPr>
            </w:pPr>
            <w:r w:rsidRPr="00124DA6">
              <w:rPr>
                <w:rFonts w:cs="Arial"/>
                <w:lang w:val="en-US"/>
              </w:rPr>
              <w:t>Information and Communication Technology</w:t>
            </w:r>
          </w:p>
        </w:tc>
      </w:tr>
      <w:tr w:rsidR="001C472A" w:rsidRPr="00124DA6" w14:paraId="3AFBF307" w14:textId="77777777" w:rsidTr="006E6FAD">
        <w:trPr>
          <w:trHeight w:val="274"/>
        </w:trPr>
        <w:tc>
          <w:tcPr>
            <w:tcW w:w="1686" w:type="dxa"/>
          </w:tcPr>
          <w:p w14:paraId="5E88806A" w14:textId="77777777" w:rsidR="001C472A" w:rsidRPr="00124DA6" w:rsidRDefault="001C472A" w:rsidP="00E1011D">
            <w:pPr>
              <w:spacing w:after="0" w:line="240" w:lineRule="auto"/>
              <w:rPr>
                <w:lang w:val="en-US"/>
              </w:rPr>
            </w:pPr>
            <w:r w:rsidRPr="00124DA6">
              <w:rPr>
                <w:lang w:val="en-US"/>
              </w:rPr>
              <w:t>IMF</w:t>
            </w:r>
          </w:p>
        </w:tc>
        <w:tc>
          <w:tcPr>
            <w:tcW w:w="7777" w:type="dxa"/>
          </w:tcPr>
          <w:p w14:paraId="35B34F74" w14:textId="77777777" w:rsidR="001C472A" w:rsidRPr="00124DA6" w:rsidRDefault="00371BB6" w:rsidP="00E1011D">
            <w:pPr>
              <w:spacing w:after="0" w:line="240" w:lineRule="auto"/>
              <w:rPr>
                <w:lang w:val="en-US"/>
              </w:rPr>
            </w:pPr>
            <w:r w:rsidRPr="00124DA6">
              <w:rPr>
                <w:lang w:val="en-US"/>
              </w:rPr>
              <w:t>International Monetary Fund</w:t>
            </w:r>
          </w:p>
        </w:tc>
      </w:tr>
      <w:tr w:rsidR="001C472A" w:rsidRPr="008A6E7B" w14:paraId="3EC6E987" w14:textId="77777777" w:rsidTr="006E6FAD">
        <w:trPr>
          <w:trHeight w:val="263"/>
        </w:trPr>
        <w:tc>
          <w:tcPr>
            <w:tcW w:w="1686" w:type="dxa"/>
          </w:tcPr>
          <w:p w14:paraId="6EA71DDF" w14:textId="77777777" w:rsidR="001C472A" w:rsidRPr="00124DA6" w:rsidRDefault="001C472A" w:rsidP="00E1011D">
            <w:pPr>
              <w:spacing w:after="0" w:line="240" w:lineRule="auto"/>
              <w:rPr>
                <w:lang w:val="en-US"/>
              </w:rPr>
            </w:pPr>
            <w:r w:rsidRPr="00124DA6">
              <w:rPr>
                <w:lang w:val="en-US"/>
              </w:rPr>
              <w:t>INSAE</w:t>
            </w:r>
          </w:p>
        </w:tc>
        <w:tc>
          <w:tcPr>
            <w:tcW w:w="7777" w:type="dxa"/>
          </w:tcPr>
          <w:p w14:paraId="1C31D50C" w14:textId="6F6754BE" w:rsidR="001C472A" w:rsidRPr="00124DA6" w:rsidRDefault="001C472A" w:rsidP="00E1011D">
            <w:pPr>
              <w:spacing w:after="0" w:line="240" w:lineRule="auto"/>
              <w:rPr>
                <w:lang w:val="en-US"/>
              </w:rPr>
            </w:pPr>
            <w:r w:rsidRPr="00124DA6">
              <w:rPr>
                <w:lang w:val="en-US"/>
              </w:rPr>
              <w:t xml:space="preserve">National </w:t>
            </w:r>
            <w:r w:rsidR="00141BD7">
              <w:rPr>
                <w:lang w:val="en-US"/>
              </w:rPr>
              <w:t>I</w:t>
            </w:r>
            <w:r w:rsidR="00747326" w:rsidRPr="00124DA6">
              <w:rPr>
                <w:lang w:val="en-US"/>
              </w:rPr>
              <w:t>nstitute of Statistic and Economic Analysis</w:t>
            </w:r>
          </w:p>
        </w:tc>
      </w:tr>
      <w:tr w:rsidR="001C472A" w:rsidRPr="00124DA6" w14:paraId="46AD2760" w14:textId="77777777" w:rsidTr="006E6FAD">
        <w:trPr>
          <w:trHeight w:val="263"/>
        </w:trPr>
        <w:tc>
          <w:tcPr>
            <w:tcW w:w="1686" w:type="dxa"/>
          </w:tcPr>
          <w:p w14:paraId="6FF9B469" w14:textId="77777777" w:rsidR="001C472A" w:rsidRPr="00124DA6" w:rsidRDefault="001C472A" w:rsidP="00E1011D">
            <w:pPr>
              <w:spacing w:after="0" w:line="240" w:lineRule="auto"/>
              <w:rPr>
                <w:lang w:val="en-US"/>
              </w:rPr>
            </w:pPr>
            <w:r w:rsidRPr="00124DA6">
              <w:rPr>
                <w:lang w:val="en-US"/>
              </w:rPr>
              <w:t>KYC</w:t>
            </w:r>
          </w:p>
        </w:tc>
        <w:tc>
          <w:tcPr>
            <w:tcW w:w="7777" w:type="dxa"/>
          </w:tcPr>
          <w:p w14:paraId="598B0E37" w14:textId="77777777" w:rsidR="001C472A" w:rsidRPr="00124DA6" w:rsidRDefault="001C472A" w:rsidP="00E1011D">
            <w:pPr>
              <w:spacing w:after="0" w:line="240" w:lineRule="auto"/>
              <w:rPr>
                <w:lang w:val="en-US"/>
              </w:rPr>
            </w:pPr>
            <w:r w:rsidRPr="00124DA6">
              <w:rPr>
                <w:lang w:val="en-US"/>
              </w:rPr>
              <w:t>Know Your Customer</w:t>
            </w:r>
          </w:p>
        </w:tc>
      </w:tr>
      <w:tr w:rsidR="00747326" w:rsidRPr="00124DA6" w14:paraId="03CE3F58" w14:textId="77777777" w:rsidTr="006E6FAD">
        <w:trPr>
          <w:trHeight w:val="263"/>
        </w:trPr>
        <w:tc>
          <w:tcPr>
            <w:tcW w:w="1686" w:type="dxa"/>
          </w:tcPr>
          <w:p w14:paraId="7BCC6E14" w14:textId="77777777" w:rsidR="00747326" w:rsidRPr="00124DA6" w:rsidRDefault="00747326" w:rsidP="00E1011D">
            <w:pPr>
              <w:spacing w:after="0" w:line="240" w:lineRule="auto"/>
              <w:rPr>
                <w:lang w:val="en-US"/>
              </w:rPr>
            </w:pPr>
            <w:r w:rsidRPr="00124DA6">
              <w:rPr>
                <w:lang w:val="en-US"/>
              </w:rPr>
              <w:t>MFI</w:t>
            </w:r>
          </w:p>
        </w:tc>
        <w:tc>
          <w:tcPr>
            <w:tcW w:w="7777" w:type="dxa"/>
          </w:tcPr>
          <w:p w14:paraId="6CA7FE28" w14:textId="77777777" w:rsidR="00747326" w:rsidRPr="00124DA6" w:rsidRDefault="00747326" w:rsidP="00E1011D">
            <w:pPr>
              <w:spacing w:after="0" w:line="240" w:lineRule="auto"/>
              <w:rPr>
                <w:lang w:val="en-US"/>
              </w:rPr>
            </w:pPr>
            <w:r w:rsidRPr="00124DA6">
              <w:rPr>
                <w:lang w:val="en-US"/>
              </w:rPr>
              <w:t xml:space="preserve">Microfinance </w:t>
            </w:r>
            <w:r w:rsidR="009C2725" w:rsidRPr="00124DA6">
              <w:rPr>
                <w:lang w:val="en-US"/>
              </w:rPr>
              <w:t>I</w:t>
            </w:r>
            <w:r w:rsidRPr="00124DA6">
              <w:rPr>
                <w:lang w:val="en-US"/>
              </w:rPr>
              <w:t>nstitution</w:t>
            </w:r>
          </w:p>
        </w:tc>
      </w:tr>
      <w:tr w:rsidR="00747326" w:rsidRPr="00124DA6" w14:paraId="06AB4E91" w14:textId="77777777" w:rsidTr="006E6FAD">
        <w:trPr>
          <w:trHeight w:val="263"/>
        </w:trPr>
        <w:tc>
          <w:tcPr>
            <w:tcW w:w="1686" w:type="dxa"/>
          </w:tcPr>
          <w:p w14:paraId="1A60BB5C" w14:textId="77777777" w:rsidR="00747326" w:rsidRPr="00124DA6" w:rsidRDefault="00747326" w:rsidP="00E1011D">
            <w:pPr>
              <w:spacing w:after="0" w:line="240" w:lineRule="auto"/>
              <w:rPr>
                <w:lang w:val="en-US"/>
              </w:rPr>
            </w:pPr>
            <w:r w:rsidRPr="00124DA6">
              <w:rPr>
                <w:lang w:val="en-US"/>
              </w:rPr>
              <w:t>MIS</w:t>
            </w:r>
          </w:p>
        </w:tc>
        <w:tc>
          <w:tcPr>
            <w:tcW w:w="7777" w:type="dxa"/>
          </w:tcPr>
          <w:p w14:paraId="0C00683B" w14:textId="77777777" w:rsidR="00747326" w:rsidRPr="00124DA6" w:rsidRDefault="00747326" w:rsidP="00E1011D">
            <w:pPr>
              <w:spacing w:after="0" w:line="240" w:lineRule="auto"/>
              <w:rPr>
                <w:lang w:val="en-US"/>
              </w:rPr>
            </w:pPr>
            <w:r w:rsidRPr="00124DA6">
              <w:rPr>
                <w:lang w:val="en-US"/>
              </w:rPr>
              <w:t>Management Information System</w:t>
            </w:r>
          </w:p>
        </w:tc>
      </w:tr>
      <w:tr w:rsidR="002F02E4" w:rsidRPr="008A6E7B" w14:paraId="530CB677" w14:textId="77777777" w:rsidTr="006E6FAD">
        <w:trPr>
          <w:trHeight w:val="263"/>
        </w:trPr>
        <w:tc>
          <w:tcPr>
            <w:tcW w:w="1686" w:type="dxa"/>
          </w:tcPr>
          <w:p w14:paraId="74F1CDD0" w14:textId="77777777" w:rsidR="002F02E4" w:rsidRPr="00124DA6" w:rsidRDefault="002F02E4" w:rsidP="00E1011D">
            <w:pPr>
              <w:spacing w:after="0" w:line="240" w:lineRule="auto"/>
              <w:rPr>
                <w:lang w:val="en-US"/>
              </w:rPr>
            </w:pPr>
            <w:r w:rsidRPr="00124DA6">
              <w:rPr>
                <w:lang w:val="en-US"/>
              </w:rPr>
              <w:t>MM4P</w:t>
            </w:r>
          </w:p>
        </w:tc>
        <w:tc>
          <w:tcPr>
            <w:tcW w:w="7777" w:type="dxa"/>
          </w:tcPr>
          <w:p w14:paraId="7B71AD27" w14:textId="77777777" w:rsidR="002F02E4" w:rsidRPr="00124DA6" w:rsidRDefault="002F02E4" w:rsidP="00E1011D">
            <w:pPr>
              <w:spacing w:after="0" w:line="240" w:lineRule="auto"/>
              <w:rPr>
                <w:lang w:val="en-US"/>
              </w:rPr>
            </w:pPr>
            <w:r w:rsidRPr="00124DA6">
              <w:rPr>
                <w:lang w:val="en-US"/>
              </w:rPr>
              <w:t>Mobile Money for the Poor</w:t>
            </w:r>
          </w:p>
        </w:tc>
      </w:tr>
      <w:tr w:rsidR="001C472A" w:rsidRPr="00124DA6" w14:paraId="53D7A222" w14:textId="77777777" w:rsidTr="006E6FAD">
        <w:trPr>
          <w:trHeight w:val="263"/>
        </w:trPr>
        <w:tc>
          <w:tcPr>
            <w:tcW w:w="1686" w:type="dxa"/>
          </w:tcPr>
          <w:p w14:paraId="29C0D277" w14:textId="77777777" w:rsidR="001C472A" w:rsidRPr="00124DA6" w:rsidRDefault="001C472A" w:rsidP="00E1011D">
            <w:pPr>
              <w:spacing w:after="0" w:line="240" w:lineRule="auto"/>
              <w:rPr>
                <w:lang w:val="en-US"/>
              </w:rPr>
            </w:pPr>
            <w:r w:rsidRPr="00124DA6">
              <w:rPr>
                <w:lang w:val="en-US"/>
              </w:rPr>
              <w:t>MNO</w:t>
            </w:r>
          </w:p>
        </w:tc>
        <w:tc>
          <w:tcPr>
            <w:tcW w:w="7777" w:type="dxa"/>
          </w:tcPr>
          <w:p w14:paraId="6556F3E6" w14:textId="77777777" w:rsidR="001C472A" w:rsidRPr="00124DA6" w:rsidRDefault="001C472A" w:rsidP="00E1011D">
            <w:pPr>
              <w:spacing w:after="0" w:line="240" w:lineRule="auto"/>
              <w:rPr>
                <w:lang w:val="en-US"/>
              </w:rPr>
            </w:pPr>
            <w:r w:rsidRPr="00124DA6">
              <w:rPr>
                <w:lang w:val="en-US"/>
              </w:rPr>
              <w:t>Mobile Network Operator</w:t>
            </w:r>
          </w:p>
        </w:tc>
      </w:tr>
      <w:tr w:rsidR="0091472B" w:rsidRPr="008A6E7B" w14:paraId="6C71D7EE" w14:textId="77777777" w:rsidTr="006E6FAD">
        <w:trPr>
          <w:trHeight w:val="263"/>
        </w:trPr>
        <w:tc>
          <w:tcPr>
            <w:tcW w:w="1686" w:type="dxa"/>
          </w:tcPr>
          <w:p w14:paraId="1273DB8E" w14:textId="77777777" w:rsidR="00747326" w:rsidRPr="00124DA6" w:rsidRDefault="00747326" w:rsidP="00E1011D">
            <w:pPr>
              <w:spacing w:after="0" w:line="240" w:lineRule="auto"/>
              <w:rPr>
                <w:lang w:val="en-US"/>
              </w:rPr>
            </w:pPr>
            <w:r w:rsidRPr="00124DA6">
              <w:rPr>
                <w:lang w:val="en-US"/>
              </w:rPr>
              <w:t>MSME</w:t>
            </w:r>
          </w:p>
        </w:tc>
        <w:tc>
          <w:tcPr>
            <w:tcW w:w="7777" w:type="dxa"/>
          </w:tcPr>
          <w:p w14:paraId="01BA8AF7" w14:textId="77777777" w:rsidR="00747326" w:rsidRPr="00124DA6" w:rsidRDefault="00747326" w:rsidP="00E1011D">
            <w:pPr>
              <w:spacing w:after="0" w:line="240" w:lineRule="auto"/>
              <w:rPr>
                <w:lang w:val="en-US"/>
              </w:rPr>
            </w:pPr>
            <w:r w:rsidRPr="00124DA6">
              <w:rPr>
                <w:lang w:val="en-US"/>
              </w:rPr>
              <w:t>Micro, Small</w:t>
            </w:r>
            <w:r w:rsidR="00EA6E0E" w:rsidRPr="00124DA6">
              <w:rPr>
                <w:lang w:val="en-US"/>
              </w:rPr>
              <w:t>,</w:t>
            </w:r>
            <w:r w:rsidRPr="00124DA6">
              <w:rPr>
                <w:lang w:val="en-US"/>
              </w:rPr>
              <w:t xml:space="preserve"> and Medium Enterprises</w:t>
            </w:r>
          </w:p>
        </w:tc>
      </w:tr>
      <w:tr w:rsidR="001C472A" w:rsidRPr="00124DA6" w14:paraId="3428067C" w14:textId="77777777" w:rsidTr="006E6FAD">
        <w:trPr>
          <w:trHeight w:val="263"/>
        </w:trPr>
        <w:tc>
          <w:tcPr>
            <w:tcW w:w="1686" w:type="dxa"/>
          </w:tcPr>
          <w:p w14:paraId="6675BA20" w14:textId="77777777" w:rsidR="001C472A" w:rsidRPr="00124DA6" w:rsidRDefault="001C472A" w:rsidP="00E1011D">
            <w:pPr>
              <w:spacing w:after="0" w:line="240" w:lineRule="auto"/>
              <w:rPr>
                <w:lang w:val="en-US"/>
              </w:rPr>
            </w:pPr>
            <w:r w:rsidRPr="00124DA6">
              <w:rPr>
                <w:lang w:val="en-US"/>
              </w:rPr>
              <w:t>NFC</w:t>
            </w:r>
          </w:p>
        </w:tc>
        <w:tc>
          <w:tcPr>
            <w:tcW w:w="7777" w:type="dxa"/>
          </w:tcPr>
          <w:p w14:paraId="4D724759" w14:textId="77777777" w:rsidR="001C472A" w:rsidRPr="00A549E7" w:rsidRDefault="001C472A" w:rsidP="00E1011D">
            <w:pPr>
              <w:spacing w:after="0" w:line="240" w:lineRule="auto"/>
            </w:pPr>
            <w:r w:rsidRPr="00A549E7">
              <w:rPr>
                <w:rStyle w:val="Emphasis"/>
                <w:i w:val="0"/>
              </w:rPr>
              <w:t>Near Field Communication</w:t>
            </w:r>
            <w:r w:rsidRPr="00A549E7">
              <w:rPr>
                <w:rStyle w:val="st"/>
              </w:rPr>
              <w:t xml:space="preserve"> (</w:t>
            </w:r>
            <w:r w:rsidRPr="00A549E7">
              <w:rPr>
                <w:rStyle w:val="st"/>
                <w:i/>
              </w:rPr>
              <w:t>Communication dans un champ proche</w:t>
            </w:r>
            <w:r w:rsidRPr="00A549E7">
              <w:rPr>
                <w:rStyle w:val="st"/>
              </w:rPr>
              <w:t>)</w:t>
            </w:r>
          </w:p>
        </w:tc>
      </w:tr>
      <w:tr w:rsidR="00747326" w:rsidRPr="00124DA6" w14:paraId="1E76D214" w14:textId="77777777" w:rsidTr="006E6FAD">
        <w:trPr>
          <w:trHeight w:val="263"/>
        </w:trPr>
        <w:tc>
          <w:tcPr>
            <w:tcW w:w="1686" w:type="dxa"/>
          </w:tcPr>
          <w:p w14:paraId="7E8DA520" w14:textId="77777777" w:rsidR="00747326" w:rsidRPr="00124DA6" w:rsidRDefault="00747326" w:rsidP="00E1011D">
            <w:pPr>
              <w:spacing w:after="0" w:line="240" w:lineRule="auto"/>
              <w:rPr>
                <w:lang w:val="en-US"/>
              </w:rPr>
            </w:pPr>
            <w:r w:rsidRPr="00124DA6">
              <w:rPr>
                <w:lang w:val="en-US"/>
              </w:rPr>
              <w:t>NGO</w:t>
            </w:r>
          </w:p>
        </w:tc>
        <w:tc>
          <w:tcPr>
            <w:tcW w:w="7777" w:type="dxa"/>
          </w:tcPr>
          <w:p w14:paraId="1B04B3EA" w14:textId="77777777" w:rsidR="00747326" w:rsidRPr="00124DA6" w:rsidRDefault="00747326" w:rsidP="00E1011D">
            <w:pPr>
              <w:spacing w:after="0" w:line="240" w:lineRule="auto"/>
              <w:rPr>
                <w:rStyle w:val="Emphasis"/>
                <w:i w:val="0"/>
                <w:lang w:val="en-US"/>
              </w:rPr>
            </w:pPr>
            <w:proofErr w:type="spellStart"/>
            <w:r w:rsidRPr="00124DA6">
              <w:rPr>
                <w:rStyle w:val="Emphasis"/>
                <w:i w:val="0"/>
                <w:lang w:val="en-US"/>
              </w:rPr>
              <w:t>Non</w:t>
            </w:r>
            <w:r w:rsidR="00A36354" w:rsidRPr="00124DA6">
              <w:rPr>
                <w:rStyle w:val="Emphasis"/>
                <w:i w:val="0"/>
                <w:lang w:val="en-US"/>
              </w:rPr>
              <w:t>g</w:t>
            </w:r>
            <w:r w:rsidRPr="00124DA6">
              <w:rPr>
                <w:rStyle w:val="Emphasis"/>
                <w:i w:val="0"/>
                <w:lang w:val="en-US"/>
              </w:rPr>
              <w:t>overmental</w:t>
            </w:r>
            <w:proofErr w:type="spellEnd"/>
            <w:r w:rsidRPr="00124DA6">
              <w:rPr>
                <w:rStyle w:val="Emphasis"/>
                <w:i w:val="0"/>
                <w:lang w:val="en-US"/>
              </w:rPr>
              <w:t xml:space="preserve"> Organization</w:t>
            </w:r>
          </w:p>
        </w:tc>
      </w:tr>
      <w:tr w:rsidR="009A0048" w:rsidRPr="008A6E7B" w14:paraId="66E7A6DD" w14:textId="77777777" w:rsidTr="006E6FAD">
        <w:trPr>
          <w:trHeight w:val="263"/>
        </w:trPr>
        <w:tc>
          <w:tcPr>
            <w:tcW w:w="1686" w:type="dxa"/>
          </w:tcPr>
          <w:p w14:paraId="4F661A56" w14:textId="77777777" w:rsidR="009A0048" w:rsidRPr="00124DA6" w:rsidRDefault="009A0048" w:rsidP="00E1011D">
            <w:pPr>
              <w:spacing w:after="0" w:line="240" w:lineRule="auto"/>
              <w:rPr>
                <w:lang w:val="en-US"/>
              </w:rPr>
            </w:pPr>
            <w:r w:rsidRPr="00124DA6">
              <w:rPr>
                <w:lang w:val="en-US"/>
              </w:rPr>
              <w:t>NISEA</w:t>
            </w:r>
          </w:p>
        </w:tc>
        <w:tc>
          <w:tcPr>
            <w:tcW w:w="7777" w:type="dxa"/>
          </w:tcPr>
          <w:p w14:paraId="1B0D439D" w14:textId="77777777" w:rsidR="009A0048" w:rsidRPr="00124DA6" w:rsidRDefault="009A0048" w:rsidP="00E1011D">
            <w:pPr>
              <w:spacing w:after="0" w:line="240" w:lineRule="auto"/>
              <w:rPr>
                <w:rStyle w:val="Emphasis"/>
                <w:i w:val="0"/>
                <w:lang w:val="en-US"/>
              </w:rPr>
            </w:pPr>
            <w:r w:rsidRPr="00124DA6">
              <w:rPr>
                <w:rStyle w:val="Emphasis"/>
                <w:i w:val="0"/>
                <w:lang w:val="en-US"/>
              </w:rPr>
              <w:t>National Institute of Statistics and Economic Analysis</w:t>
            </w:r>
          </w:p>
        </w:tc>
      </w:tr>
      <w:tr w:rsidR="009A0048" w:rsidRPr="008A6E7B" w14:paraId="014FB4F4" w14:textId="77777777" w:rsidTr="006E6FAD">
        <w:trPr>
          <w:trHeight w:val="263"/>
        </w:trPr>
        <w:tc>
          <w:tcPr>
            <w:tcW w:w="1686" w:type="dxa"/>
          </w:tcPr>
          <w:p w14:paraId="5FF95B67" w14:textId="77777777" w:rsidR="009A0048" w:rsidRPr="00124DA6" w:rsidRDefault="009A0048" w:rsidP="00E1011D">
            <w:pPr>
              <w:spacing w:after="0" w:line="240" w:lineRule="auto"/>
              <w:rPr>
                <w:lang w:val="en-US"/>
              </w:rPr>
            </w:pPr>
            <w:r w:rsidRPr="00124DA6">
              <w:rPr>
                <w:lang w:val="en-US"/>
              </w:rPr>
              <w:t>NPFB</w:t>
            </w:r>
          </w:p>
        </w:tc>
        <w:tc>
          <w:tcPr>
            <w:tcW w:w="7777" w:type="dxa"/>
          </w:tcPr>
          <w:p w14:paraId="7C346691" w14:textId="77777777" w:rsidR="009A0048" w:rsidRPr="00124DA6" w:rsidRDefault="009A0048" w:rsidP="00E1011D">
            <w:pPr>
              <w:spacing w:after="0" w:line="240" w:lineRule="auto"/>
              <w:rPr>
                <w:rStyle w:val="Emphasis"/>
                <w:i w:val="0"/>
                <w:lang w:val="en-US"/>
              </w:rPr>
            </w:pPr>
            <w:r w:rsidRPr="00124DA6">
              <w:rPr>
                <w:rStyle w:val="Emphasis"/>
                <w:i w:val="0"/>
                <w:lang w:val="en-US"/>
              </w:rPr>
              <w:t>National Pension Fund of Benin</w:t>
            </w:r>
          </w:p>
        </w:tc>
      </w:tr>
      <w:tr w:rsidR="002F02E4" w:rsidRPr="00124DA6" w14:paraId="501A0F6A" w14:textId="77777777" w:rsidTr="006E6FAD">
        <w:trPr>
          <w:trHeight w:val="263"/>
        </w:trPr>
        <w:tc>
          <w:tcPr>
            <w:tcW w:w="1686" w:type="dxa"/>
          </w:tcPr>
          <w:p w14:paraId="69DD93E2" w14:textId="77777777" w:rsidR="002F02E4" w:rsidRPr="00124DA6" w:rsidRDefault="002F02E4" w:rsidP="00E1011D">
            <w:pPr>
              <w:spacing w:after="0" w:line="240" w:lineRule="auto"/>
              <w:rPr>
                <w:lang w:val="en-US"/>
              </w:rPr>
            </w:pPr>
            <w:r w:rsidRPr="00124DA6">
              <w:rPr>
                <w:lang w:val="en-US"/>
              </w:rPr>
              <w:t>NPL</w:t>
            </w:r>
          </w:p>
        </w:tc>
        <w:tc>
          <w:tcPr>
            <w:tcW w:w="7777" w:type="dxa"/>
          </w:tcPr>
          <w:p w14:paraId="747F3B7D" w14:textId="77777777" w:rsidR="002F02E4" w:rsidRPr="00124DA6" w:rsidRDefault="002F02E4" w:rsidP="00E1011D">
            <w:pPr>
              <w:spacing w:after="0" w:line="240" w:lineRule="auto"/>
              <w:rPr>
                <w:rStyle w:val="Emphasis"/>
                <w:i w:val="0"/>
                <w:lang w:val="en-US"/>
              </w:rPr>
            </w:pPr>
            <w:r w:rsidRPr="00124DA6">
              <w:rPr>
                <w:rStyle w:val="Emphasis"/>
                <w:i w:val="0"/>
                <w:lang w:val="en-US"/>
              </w:rPr>
              <w:t>Nonperforming Loan</w:t>
            </w:r>
          </w:p>
        </w:tc>
      </w:tr>
      <w:tr w:rsidR="002F02E4" w:rsidRPr="008A6E7B" w14:paraId="262BFF10" w14:textId="77777777" w:rsidTr="006E6FAD">
        <w:trPr>
          <w:trHeight w:val="263"/>
        </w:trPr>
        <w:tc>
          <w:tcPr>
            <w:tcW w:w="1686" w:type="dxa"/>
          </w:tcPr>
          <w:p w14:paraId="12CE29A8" w14:textId="77777777" w:rsidR="002F02E4" w:rsidRPr="00124DA6" w:rsidRDefault="002F02E4" w:rsidP="00E1011D">
            <w:pPr>
              <w:spacing w:after="0" w:line="240" w:lineRule="auto"/>
              <w:rPr>
                <w:lang w:val="en-US"/>
              </w:rPr>
            </w:pPr>
            <w:r w:rsidRPr="00124DA6">
              <w:rPr>
                <w:lang w:val="en-US"/>
              </w:rPr>
              <w:t>PABFI</w:t>
            </w:r>
          </w:p>
        </w:tc>
        <w:tc>
          <w:tcPr>
            <w:tcW w:w="7777" w:type="dxa"/>
          </w:tcPr>
          <w:p w14:paraId="0A20C4D6" w14:textId="77777777" w:rsidR="002F02E4" w:rsidRPr="00124DA6" w:rsidRDefault="002F02E4" w:rsidP="00E1011D">
            <w:pPr>
              <w:spacing w:after="0" w:line="240" w:lineRule="auto"/>
              <w:rPr>
                <w:rStyle w:val="Emphasis"/>
                <w:i w:val="0"/>
                <w:lang w:val="en-US"/>
              </w:rPr>
            </w:pPr>
            <w:r w:rsidRPr="00124DA6">
              <w:rPr>
                <w:rStyle w:val="Emphasis"/>
                <w:i w:val="0"/>
                <w:lang w:val="en-US"/>
              </w:rPr>
              <w:t>Professional Association of Banks and Financial Institutions</w:t>
            </w:r>
          </w:p>
        </w:tc>
      </w:tr>
      <w:tr w:rsidR="00747326" w:rsidRPr="00124DA6" w14:paraId="7A254982" w14:textId="77777777" w:rsidTr="006E6FAD">
        <w:trPr>
          <w:trHeight w:val="263"/>
        </w:trPr>
        <w:tc>
          <w:tcPr>
            <w:tcW w:w="1686" w:type="dxa"/>
          </w:tcPr>
          <w:p w14:paraId="00E4E0EF" w14:textId="77777777" w:rsidR="00747326" w:rsidRPr="00124DA6" w:rsidRDefault="00747326" w:rsidP="00E1011D">
            <w:pPr>
              <w:spacing w:after="0" w:line="240" w:lineRule="auto"/>
              <w:rPr>
                <w:lang w:val="en-US"/>
              </w:rPr>
            </w:pPr>
            <w:r w:rsidRPr="00124DA6">
              <w:rPr>
                <w:lang w:val="en-US"/>
              </w:rPr>
              <w:t>PADA</w:t>
            </w:r>
          </w:p>
        </w:tc>
        <w:tc>
          <w:tcPr>
            <w:tcW w:w="7777" w:type="dxa"/>
          </w:tcPr>
          <w:p w14:paraId="6795D550" w14:textId="77777777" w:rsidR="00747326" w:rsidRPr="00124DA6" w:rsidRDefault="00747326" w:rsidP="00E1011D">
            <w:pPr>
              <w:spacing w:after="0" w:line="240" w:lineRule="auto"/>
              <w:rPr>
                <w:rStyle w:val="Emphasis"/>
                <w:i w:val="0"/>
                <w:lang w:val="en-US"/>
              </w:rPr>
            </w:pPr>
            <w:r w:rsidRPr="00124DA6">
              <w:rPr>
                <w:rStyle w:val="Emphasis"/>
                <w:i w:val="0"/>
                <w:lang w:val="en-US"/>
              </w:rPr>
              <w:t>Agricultural Diversification Project</w:t>
            </w:r>
          </w:p>
        </w:tc>
      </w:tr>
      <w:tr w:rsidR="002F02E4" w:rsidRPr="00124DA6" w14:paraId="232173C7" w14:textId="77777777" w:rsidTr="006E6FAD">
        <w:trPr>
          <w:trHeight w:val="263"/>
        </w:trPr>
        <w:tc>
          <w:tcPr>
            <w:tcW w:w="1686" w:type="dxa"/>
          </w:tcPr>
          <w:p w14:paraId="0381F7AB" w14:textId="77777777" w:rsidR="002F02E4" w:rsidRPr="00124DA6" w:rsidRDefault="002F02E4" w:rsidP="00E1011D">
            <w:pPr>
              <w:spacing w:after="0" w:line="240" w:lineRule="auto"/>
              <w:rPr>
                <w:lang w:val="en-US"/>
              </w:rPr>
            </w:pPr>
            <w:r w:rsidRPr="00124DA6">
              <w:rPr>
                <w:lang w:val="en-US"/>
              </w:rPr>
              <w:t>PAG</w:t>
            </w:r>
          </w:p>
        </w:tc>
        <w:tc>
          <w:tcPr>
            <w:tcW w:w="7777" w:type="dxa"/>
          </w:tcPr>
          <w:p w14:paraId="2C06FCEA" w14:textId="77777777" w:rsidR="002F02E4" w:rsidRPr="00124DA6" w:rsidRDefault="002F02E4" w:rsidP="00E1011D">
            <w:pPr>
              <w:spacing w:after="0" w:line="240" w:lineRule="auto"/>
              <w:rPr>
                <w:rStyle w:val="Emphasis"/>
                <w:i w:val="0"/>
                <w:lang w:val="en-US"/>
              </w:rPr>
            </w:pPr>
            <w:r w:rsidRPr="00124DA6">
              <w:rPr>
                <w:rStyle w:val="Emphasis"/>
                <w:i w:val="0"/>
                <w:lang w:val="en-US"/>
              </w:rPr>
              <w:t>Government Action Plan</w:t>
            </w:r>
          </w:p>
        </w:tc>
      </w:tr>
      <w:tr w:rsidR="00747326" w:rsidRPr="00124DA6" w14:paraId="44503D86" w14:textId="77777777" w:rsidTr="006E6FAD">
        <w:trPr>
          <w:trHeight w:val="263"/>
        </w:trPr>
        <w:tc>
          <w:tcPr>
            <w:tcW w:w="1686" w:type="dxa"/>
          </w:tcPr>
          <w:p w14:paraId="556359CE" w14:textId="77777777" w:rsidR="00747326" w:rsidRPr="00124DA6" w:rsidRDefault="00747326" w:rsidP="00E1011D">
            <w:pPr>
              <w:spacing w:after="0" w:line="240" w:lineRule="auto"/>
              <w:rPr>
                <w:lang w:val="en-US"/>
              </w:rPr>
            </w:pPr>
            <w:r w:rsidRPr="00124DA6">
              <w:rPr>
                <w:lang w:val="en-US"/>
              </w:rPr>
              <w:t>PAR</w:t>
            </w:r>
          </w:p>
        </w:tc>
        <w:tc>
          <w:tcPr>
            <w:tcW w:w="7777" w:type="dxa"/>
          </w:tcPr>
          <w:p w14:paraId="5F791CBC" w14:textId="77777777" w:rsidR="00747326" w:rsidRPr="00124DA6" w:rsidRDefault="00747326" w:rsidP="00E1011D">
            <w:pPr>
              <w:spacing w:after="0" w:line="240" w:lineRule="auto"/>
              <w:rPr>
                <w:rStyle w:val="Emphasis"/>
                <w:i w:val="0"/>
                <w:lang w:val="en-US"/>
              </w:rPr>
            </w:pPr>
            <w:r w:rsidRPr="00124DA6">
              <w:rPr>
                <w:rStyle w:val="Emphasis"/>
                <w:i w:val="0"/>
                <w:lang w:val="en-US"/>
              </w:rPr>
              <w:t>Portfolio at Risk</w:t>
            </w:r>
          </w:p>
        </w:tc>
      </w:tr>
      <w:tr w:rsidR="00747326" w:rsidRPr="00124DA6" w14:paraId="3F122D1B" w14:textId="77777777" w:rsidTr="006E6FAD">
        <w:trPr>
          <w:trHeight w:val="263"/>
        </w:trPr>
        <w:tc>
          <w:tcPr>
            <w:tcW w:w="1686" w:type="dxa"/>
          </w:tcPr>
          <w:p w14:paraId="555526BA" w14:textId="77777777" w:rsidR="00747326" w:rsidRPr="00124DA6" w:rsidRDefault="00747326" w:rsidP="00E1011D">
            <w:pPr>
              <w:spacing w:after="0" w:line="240" w:lineRule="auto"/>
              <w:rPr>
                <w:lang w:val="en-US"/>
              </w:rPr>
            </w:pPr>
            <w:r w:rsidRPr="00124DA6">
              <w:rPr>
                <w:lang w:val="en-US"/>
              </w:rPr>
              <w:t>PCG</w:t>
            </w:r>
          </w:p>
        </w:tc>
        <w:tc>
          <w:tcPr>
            <w:tcW w:w="7777" w:type="dxa"/>
          </w:tcPr>
          <w:p w14:paraId="3EBBA0BC" w14:textId="77777777" w:rsidR="00747326" w:rsidRPr="00124DA6" w:rsidRDefault="00747326" w:rsidP="00E1011D">
            <w:pPr>
              <w:spacing w:after="0" w:line="240" w:lineRule="auto"/>
              <w:rPr>
                <w:rStyle w:val="Emphasis"/>
                <w:i w:val="0"/>
                <w:lang w:val="en-US"/>
              </w:rPr>
            </w:pPr>
            <w:r w:rsidRPr="00124DA6">
              <w:rPr>
                <w:rStyle w:val="Emphasis"/>
                <w:i w:val="0"/>
                <w:lang w:val="en-US"/>
              </w:rPr>
              <w:t>Partial Credit Guarantee</w:t>
            </w:r>
          </w:p>
        </w:tc>
      </w:tr>
      <w:tr w:rsidR="0091472B" w:rsidRPr="008A6E7B" w14:paraId="04E57525" w14:textId="77777777" w:rsidTr="006E6FAD">
        <w:trPr>
          <w:trHeight w:val="263"/>
        </w:trPr>
        <w:tc>
          <w:tcPr>
            <w:tcW w:w="1686" w:type="dxa"/>
          </w:tcPr>
          <w:p w14:paraId="3759325C" w14:textId="77777777" w:rsidR="00747326" w:rsidRPr="00124DA6" w:rsidRDefault="00747326" w:rsidP="00E1011D">
            <w:pPr>
              <w:spacing w:after="0" w:line="240" w:lineRule="auto"/>
              <w:rPr>
                <w:lang w:val="en-US"/>
              </w:rPr>
            </w:pPr>
            <w:r w:rsidRPr="00124DA6">
              <w:rPr>
                <w:lang w:val="en-US"/>
              </w:rPr>
              <w:t>PNOPPA</w:t>
            </w:r>
          </w:p>
        </w:tc>
        <w:tc>
          <w:tcPr>
            <w:tcW w:w="7777" w:type="dxa"/>
          </w:tcPr>
          <w:p w14:paraId="73EDCD2F" w14:textId="77777777" w:rsidR="00747326" w:rsidRPr="00124DA6" w:rsidRDefault="00747326" w:rsidP="00E1011D">
            <w:pPr>
              <w:spacing w:after="0" w:line="240" w:lineRule="auto"/>
              <w:rPr>
                <w:lang w:val="en-US"/>
              </w:rPr>
            </w:pPr>
            <w:r w:rsidRPr="00124DA6">
              <w:rPr>
                <w:lang w:val="en-US"/>
              </w:rPr>
              <w:t xml:space="preserve">National Platform of Agriculture </w:t>
            </w:r>
            <w:r w:rsidR="00205722" w:rsidRPr="00124DA6">
              <w:rPr>
                <w:lang w:val="en-US"/>
              </w:rPr>
              <w:t>P</w:t>
            </w:r>
            <w:r w:rsidRPr="00124DA6">
              <w:rPr>
                <w:lang w:val="en-US"/>
              </w:rPr>
              <w:t xml:space="preserve">roducers </w:t>
            </w:r>
          </w:p>
        </w:tc>
      </w:tr>
      <w:tr w:rsidR="00747326" w:rsidRPr="00124DA6" w14:paraId="6C9469EB" w14:textId="77777777" w:rsidTr="006E6FAD">
        <w:trPr>
          <w:trHeight w:val="263"/>
        </w:trPr>
        <w:tc>
          <w:tcPr>
            <w:tcW w:w="1686" w:type="dxa"/>
          </w:tcPr>
          <w:p w14:paraId="71CBC3A9" w14:textId="77777777" w:rsidR="00747326" w:rsidRPr="00124DA6" w:rsidRDefault="00747326" w:rsidP="00E1011D">
            <w:pPr>
              <w:spacing w:after="0" w:line="240" w:lineRule="auto"/>
              <w:rPr>
                <w:lang w:val="en-US"/>
              </w:rPr>
            </w:pPr>
            <w:r w:rsidRPr="00124DA6">
              <w:rPr>
                <w:lang w:val="en-US"/>
              </w:rPr>
              <w:t>PPCG</w:t>
            </w:r>
          </w:p>
        </w:tc>
        <w:tc>
          <w:tcPr>
            <w:tcW w:w="7777" w:type="dxa"/>
          </w:tcPr>
          <w:p w14:paraId="311E2594" w14:textId="77777777" w:rsidR="00747326" w:rsidRPr="00124DA6" w:rsidRDefault="00747326" w:rsidP="00E1011D">
            <w:pPr>
              <w:spacing w:after="0" w:line="240" w:lineRule="auto"/>
              <w:rPr>
                <w:lang w:val="en-US"/>
              </w:rPr>
            </w:pPr>
            <w:r w:rsidRPr="00124DA6">
              <w:rPr>
                <w:lang w:val="en-US"/>
              </w:rPr>
              <w:t>Partial Portfolio Credit Guarantee</w:t>
            </w:r>
          </w:p>
        </w:tc>
      </w:tr>
      <w:tr w:rsidR="001C472A" w:rsidRPr="00124DA6" w14:paraId="18A606A1" w14:textId="77777777" w:rsidTr="006E6FAD">
        <w:trPr>
          <w:trHeight w:val="263"/>
        </w:trPr>
        <w:tc>
          <w:tcPr>
            <w:tcW w:w="1686" w:type="dxa"/>
          </w:tcPr>
          <w:p w14:paraId="14B03D55" w14:textId="77777777" w:rsidR="001C472A" w:rsidRPr="00124DA6" w:rsidRDefault="00747326" w:rsidP="00E1011D">
            <w:pPr>
              <w:spacing w:after="0" w:line="240" w:lineRule="auto"/>
              <w:rPr>
                <w:lang w:val="en-US"/>
              </w:rPr>
            </w:pPr>
            <w:r w:rsidRPr="00124DA6">
              <w:rPr>
                <w:lang w:val="en-US"/>
              </w:rPr>
              <w:t>PO</w:t>
            </w:r>
          </w:p>
        </w:tc>
        <w:tc>
          <w:tcPr>
            <w:tcW w:w="7777" w:type="dxa"/>
          </w:tcPr>
          <w:p w14:paraId="482D9B27" w14:textId="77777777" w:rsidR="001C472A" w:rsidRPr="00124DA6" w:rsidRDefault="00747326" w:rsidP="00E1011D">
            <w:pPr>
              <w:spacing w:after="0" w:line="240" w:lineRule="auto"/>
              <w:rPr>
                <w:lang w:val="en-US"/>
              </w:rPr>
            </w:pPr>
            <w:r w:rsidRPr="00124DA6">
              <w:rPr>
                <w:lang w:val="en-US"/>
              </w:rPr>
              <w:t>Producers</w:t>
            </w:r>
            <w:r w:rsidR="006555D1" w:rsidRPr="00124DA6">
              <w:rPr>
                <w:lang w:val="en-US"/>
              </w:rPr>
              <w:t>’</w:t>
            </w:r>
            <w:r w:rsidRPr="00124DA6">
              <w:rPr>
                <w:lang w:val="en-US"/>
              </w:rPr>
              <w:t xml:space="preserve"> Organization</w:t>
            </w:r>
          </w:p>
        </w:tc>
      </w:tr>
      <w:tr w:rsidR="00205722" w:rsidRPr="00124DA6" w14:paraId="66364FD8" w14:textId="77777777" w:rsidTr="006E6FAD">
        <w:trPr>
          <w:trHeight w:val="263"/>
        </w:trPr>
        <w:tc>
          <w:tcPr>
            <w:tcW w:w="1686" w:type="dxa"/>
          </w:tcPr>
          <w:p w14:paraId="345911B3" w14:textId="77777777" w:rsidR="00205722" w:rsidRPr="00124DA6" w:rsidRDefault="00205722" w:rsidP="00E1011D">
            <w:pPr>
              <w:spacing w:after="0" w:line="240" w:lineRule="auto"/>
              <w:rPr>
                <w:lang w:val="en-US"/>
              </w:rPr>
            </w:pPr>
            <w:r w:rsidRPr="00124DA6">
              <w:rPr>
                <w:lang w:val="en-US"/>
              </w:rPr>
              <w:t>POS</w:t>
            </w:r>
          </w:p>
        </w:tc>
        <w:tc>
          <w:tcPr>
            <w:tcW w:w="7777" w:type="dxa"/>
          </w:tcPr>
          <w:p w14:paraId="5808D73E" w14:textId="77777777" w:rsidR="00205722" w:rsidRPr="00124DA6" w:rsidRDefault="00205722" w:rsidP="00E1011D">
            <w:pPr>
              <w:spacing w:after="0" w:line="240" w:lineRule="auto"/>
              <w:rPr>
                <w:lang w:val="en-US"/>
              </w:rPr>
            </w:pPr>
            <w:r w:rsidRPr="00124DA6">
              <w:rPr>
                <w:lang w:val="en-US"/>
              </w:rPr>
              <w:t>Point of Sale</w:t>
            </w:r>
          </w:p>
        </w:tc>
      </w:tr>
      <w:tr w:rsidR="0091472B" w:rsidRPr="00124DA6" w14:paraId="21F90D07" w14:textId="77777777" w:rsidTr="006E6FAD">
        <w:trPr>
          <w:trHeight w:val="263"/>
        </w:trPr>
        <w:tc>
          <w:tcPr>
            <w:tcW w:w="1686" w:type="dxa"/>
          </w:tcPr>
          <w:p w14:paraId="4CA20801" w14:textId="77777777" w:rsidR="0091472B" w:rsidRPr="00124DA6" w:rsidRDefault="0091472B" w:rsidP="00E1011D">
            <w:pPr>
              <w:spacing w:after="0" w:line="240" w:lineRule="auto"/>
              <w:rPr>
                <w:lang w:val="en-US"/>
              </w:rPr>
            </w:pPr>
            <w:r w:rsidRPr="00124DA6">
              <w:rPr>
                <w:lang w:val="en-US"/>
              </w:rPr>
              <w:t>PSDSA</w:t>
            </w:r>
          </w:p>
        </w:tc>
        <w:tc>
          <w:tcPr>
            <w:tcW w:w="7777" w:type="dxa"/>
          </w:tcPr>
          <w:p w14:paraId="7F19F5D6" w14:textId="77777777" w:rsidR="0091472B" w:rsidRPr="00124DA6" w:rsidRDefault="0091472B" w:rsidP="00E1011D">
            <w:pPr>
              <w:spacing w:after="0" w:line="240" w:lineRule="auto"/>
              <w:rPr>
                <w:lang w:val="en-US"/>
              </w:rPr>
            </w:pPr>
            <w:r w:rsidRPr="00124DA6">
              <w:rPr>
                <w:lang w:val="en-US"/>
              </w:rPr>
              <w:t xml:space="preserve">Strategic Plan for </w:t>
            </w:r>
            <w:r w:rsidR="00FF6F35" w:rsidRPr="00124DA6">
              <w:rPr>
                <w:lang w:val="en-US"/>
              </w:rPr>
              <w:t xml:space="preserve">the Development of the </w:t>
            </w:r>
            <w:r w:rsidRPr="00124DA6">
              <w:rPr>
                <w:lang w:val="en-US"/>
              </w:rPr>
              <w:t>Agriculture Sector</w:t>
            </w:r>
            <w:r w:rsidR="00FF6F35" w:rsidRPr="00124DA6">
              <w:rPr>
                <w:lang w:val="en-US"/>
              </w:rPr>
              <w:t xml:space="preserve"> (</w:t>
            </w:r>
            <w:r w:rsidR="00FF6F35" w:rsidRPr="00124DA6">
              <w:rPr>
                <w:rFonts w:cstheme="minorHAnsi"/>
                <w:i/>
                <w:lang w:val="en-US"/>
              </w:rPr>
              <w:t xml:space="preserve">Plan </w:t>
            </w:r>
            <w:proofErr w:type="spellStart"/>
            <w:r w:rsidR="00FF6F35" w:rsidRPr="00124DA6">
              <w:rPr>
                <w:rFonts w:cstheme="minorHAnsi"/>
                <w:i/>
                <w:lang w:val="en-US"/>
              </w:rPr>
              <w:t>Stratégique</w:t>
            </w:r>
            <w:proofErr w:type="spellEnd"/>
            <w:r w:rsidR="00FF6F35" w:rsidRPr="00124DA6">
              <w:rPr>
                <w:rFonts w:cstheme="minorHAnsi"/>
                <w:i/>
                <w:lang w:val="en-US"/>
              </w:rPr>
              <w:t xml:space="preserve"> de </w:t>
            </w:r>
            <w:proofErr w:type="spellStart"/>
            <w:r w:rsidR="00FF6F35" w:rsidRPr="00124DA6">
              <w:rPr>
                <w:rFonts w:cstheme="minorHAnsi"/>
                <w:i/>
                <w:lang w:val="en-US"/>
              </w:rPr>
              <w:t>Développement</w:t>
            </w:r>
            <w:proofErr w:type="spellEnd"/>
            <w:r w:rsidR="00FF6F35" w:rsidRPr="00124DA6">
              <w:rPr>
                <w:rFonts w:cstheme="minorHAnsi"/>
                <w:i/>
                <w:lang w:val="en-US"/>
              </w:rPr>
              <w:t xml:space="preserve"> du </w:t>
            </w:r>
            <w:proofErr w:type="spellStart"/>
            <w:r w:rsidR="00FF6F35" w:rsidRPr="00124DA6">
              <w:rPr>
                <w:rFonts w:cstheme="minorHAnsi"/>
                <w:i/>
                <w:lang w:val="en-US"/>
              </w:rPr>
              <w:t>Secteur</w:t>
            </w:r>
            <w:proofErr w:type="spellEnd"/>
            <w:r w:rsidR="00FF6F35" w:rsidRPr="00124DA6">
              <w:rPr>
                <w:rFonts w:cstheme="minorHAnsi"/>
                <w:i/>
                <w:lang w:val="en-US"/>
              </w:rPr>
              <w:t xml:space="preserve"> Agricole</w:t>
            </w:r>
            <w:r w:rsidR="00FF6F35" w:rsidRPr="00124DA6">
              <w:rPr>
                <w:rFonts w:cstheme="minorHAnsi"/>
                <w:lang w:val="en-US"/>
              </w:rPr>
              <w:t>)</w:t>
            </w:r>
          </w:p>
        </w:tc>
      </w:tr>
      <w:tr w:rsidR="0091472B" w:rsidRPr="00124DA6" w14:paraId="07C0EA50" w14:textId="77777777" w:rsidTr="006E6FAD">
        <w:trPr>
          <w:trHeight w:val="263"/>
        </w:trPr>
        <w:tc>
          <w:tcPr>
            <w:tcW w:w="1686" w:type="dxa"/>
          </w:tcPr>
          <w:p w14:paraId="6A7589CD" w14:textId="77777777" w:rsidR="0091472B" w:rsidRPr="00124DA6" w:rsidRDefault="0091472B" w:rsidP="00E1011D">
            <w:pPr>
              <w:spacing w:after="0" w:line="240" w:lineRule="auto"/>
              <w:rPr>
                <w:lang w:val="en-US"/>
              </w:rPr>
            </w:pPr>
            <w:r w:rsidRPr="00124DA6">
              <w:rPr>
                <w:lang w:val="en-US"/>
              </w:rPr>
              <w:t>P2P</w:t>
            </w:r>
          </w:p>
        </w:tc>
        <w:tc>
          <w:tcPr>
            <w:tcW w:w="7777" w:type="dxa"/>
          </w:tcPr>
          <w:p w14:paraId="3A346985" w14:textId="77777777" w:rsidR="0091472B" w:rsidRPr="00124DA6" w:rsidRDefault="0091472B" w:rsidP="00E1011D">
            <w:pPr>
              <w:spacing w:after="0" w:line="240" w:lineRule="auto"/>
              <w:rPr>
                <w:lang w:val="en-US"/>
              </w:rPr>
            </w:pPr>
            <w:r w:rsidRPr="00124DA6">
              <w:rPr>
                <w:rFonts w:cstheme="minorHAnsi"/>
                <w:lang w:val="en-US"/>
              </w:rPr>
              <w:t>Person-to-Person</w:t>
            </w:r>
          </w:p>
        </w:tc>
      </w:tr>
      <w:tr w:rsidR="0091472B" w:rsidRPr="00124DA6" w14:paraId="10DD35AE" w14:textId="77777777" w:rsidTr="006E6FAD">
        <w:trPr>
          <w:trHeight w:val="263"/>
        </w:trPr>
        <w:tc>
          <w:tcPr>
            <w:tcW w:w="1686" w:type="dxa"/>
          </w:tcPr>
          <w:p w14:paraId="0EE9AE1F" w14:textId="77777777" w:rsidR="0091472B" w:rsidRPr="00124DA6" w:rsidRDefault="0091472B" w:rsidP="00E1011D">
            <w:pPr>
              <w:spacing w:after="0" w:line="240" w:lineRule="auto"/>
              <w:rPr>
                <w:lang w:val="en-US"/>
              </w:rPr>
            </w:pPr>
            <w:r w:rsidRPr="00124DA6">
              <w:rPr>
                <w:lang w:val="en-US"/>
              </w:rPr>
              <w:t>P2G</w:t>
            </w:r>
          </w:p>
        </w:tc>
        <w:tc>
          <w:tcPr>
            <w:tcW w:w="7777" w:type="dxa"/>
          </w:tcPr>
          <w:p w14:paraId="35C99170" w14:textId="77777777" w:rsidR="0091472B" w:rsidRPr="00124DA6" w:rsidRDefault="0091472B" w:rsidP="00E1011D">
            <w:pPr>
              <w:spacing w:after="0" w:line="240" w:lineRule="auto"/>
              <w:rPr>
                <w:lang w:val="en-US"/>
              </w:rPr>
            </w:pPr>
            <w:r w:rsidRPr="00124DA6">
              <w:rPr>
                <w:lang w:val="en-US"/>
              </w:rPr>
              <w:t>Person-to-Government</w:t>
            </w:r>
          </w:p>
        </w:tc>
      </w:tr>
      <w:tr w:rsidR="0091472B" w:rsidRPr="00124DA6" w14:paraId="7F0E2B47" w14:textId="77777777" w:rsidTr="006E6FAD">
        <w:trPr>
          <w:trHeight w:val="263"/>
        </w:trPr>
        <w:tc>
          <w:tcPr>
            <w:tcW w:w="1686" w:type="dxa"/>
          </w:tcPr>
          <w:p w14:paraId="11610C56" w14:textId="77777777" w:rsidR="0091472B" w:rsidRPr="00124DA6" w:rsidRDefault="0091472B" w:rsidP="00E1011D">
            <w:pPr>
              <w:spacing w:after="0" w:line="240" w:lineRule="auto"/>
              <w:rPr>
                <w:lang w:val="en-US"/>
              </w:rPr>
            </w:pPr>
            <w:r w:rsidRPr="00124DA6">
              <w:rPr>
                <w:lang w:val="en-US"/>
              </w:rPr>
              <w:t>P2B</w:t>
            </w:r>
          </w:p>
        </w:tc>
        <w:tc>
          <w:tcPr>
            <w:tcW w:w="7777" w:type="dxa"/>
          </w:tcPr>
          <w:p w14:paraId="5322F497" w14:textId="77777777" w:rsidR="0091472B" w:rsidRPr="00124DA6" w:rsidRDefault="0091472B" w:rsidP="00E1011D">
            <w:pPr>
              <w:spacing w:after="0" w:line="240" w:lineRule="auto"/>
              <w:rPr>
                <w:lang w:val="en-US"/>
              </w:rPr>
            </w:pPr>
            <w:r w:rsidRPr="00124DA6">
              <w:rPr>
                <w:lang w:val="en-US"/>
              </w:rPr>
              <w:t>Person-to-Business</w:t>
            </w:r>
          </w:p>
        </w:tc>
      </w:tr>
      <w:tr w:rsidR="009A0048" w:rsidRPr="00124DA6" w14:paraId="283F46E2" w14:textId="77777777" w:rsidTr="006E6FAD">
        <w:trPr>
          <w:trHeight w:val="263"/>
        </w:trPr>
        <w:tc>
          <w:tcPr>
            <w:tcW w:w="1686" w:type="dxa"/>
          </w:tcPr>
          <w:p w14:paraId="5D9F4E9C" w14:textId="77777777" w:rsidR="009A0048" w:rsidRPr="00124DA6" w:rsidRDefault="009A0048" w:rsidP="00E1011D">
            <w:pPr>
              <w:spacing w:after="0" w:line="240" w:lineRule="auto"/>
              <w:rPr>
                <w:lang w:val="en-US"/>
              </w:rPr>
            </w:pPr>
            <w:r w:rsidRPr="00124DA6">
              <w:rPr>
                <w:lang w:val="en-US"/>
              </w:rPr>
              <w:t>PPP</w:t>
            </w:r>
          </w:p>
        </w:tc>
        <w:tc>
          <w:tcPr>
            <w:tcW w:w="7777" w:type="dxa"/>
          </w:tcPr>
          <w:p w14:paraId="43978E6A" w14:textId="77777777" w:rsidR="009A0048" w:rsidRPr="00124DA6" w:rsidRDefault="009A0048" w:rsidP="00E1011D">
            <w:pPr>
              <w:spacing w:after="0" w:line="240" w:lineRule="auto"/>
              <w:rPr>
                <w:lang w:val="en-US"/>
              </w:rPr>
            </w:pPr>
            <w:r w:rsidRPr="00124DA6">
              <w:rPr>
                <w:lang w:val="en-US"/>
              </w:rPr>
              <w:t>Purchasing Power Parity</w:t>
            </w:r>
          </w:p>
        </w:tc>
      </w:tr>
      <w:tr w:rsidR="009A0048" w:rsidRPr="008A6E7B" w14:paraId="2A7E7051" w14:textId="77777777" w:rsidTr="006E6FAD">
        <w:trPr>
          <w:trHeight w:val="263"/>
        </w:trPr>
        <w:tc>
          <w:tcPr>
            <w:tcW w:w="1686" w:type="dxa"/>
          </w:tcPr>
          <w:p w14:paraId="1E8F25CB" w14:textId="77777777" w:rsidR="009A0048" w:rsidRPr="00124DA6" w:rsidRDefault="009A0048" w:rsidP="00E1011D">
            <w:pPr>
              <w:spacing w:after="0" w:line="240" w:lineRule="auto"/>
              <w:rPr>
                <w:lang w:val="en-US"/>
              </w:rPr>
            </w:pPr>
            <w:r w:rsidRPr="00124DA6">
              <w:rPr>
                <w:lang w:val="en-US"/>
              </w:rPr>
              <w:t>RAECP</w:t>
            </w:r>
          </w:p>
        </w:tc>
        <w:tc>
          <w:tcPr>
            <w:tcW w:w="7777" w:type="dxa"/>
          </w:tcPr>
          <w:p w14:paraId="74A9A07A" w14:textId="77777777" w:rsidR="009A0048" w:rsidRPr="00124DA6" w:rsidRDefault="009A0048" w:rsidP="00E1011D">
            <w:pPr>
              <w:spacing w:after="0" w:line="240" w:lineRule="auto"/>
              <w:rPr>
                <w:lang w:val="en-US"/>
              </w:rPr>
            </w:pPr>
            <w:r w:rsidRPr="00124DA6">
              <w:rPr>
                <w:lang w:val="en-US"/>
              </w:rPr>
              <w:t>Regulatory Authority for Electronic Communications and Post</w:t>
            </w:r>
          </w:p>
        </w:tc>
      </w:tr>
      <w:tr w:rsidR="0091472B" w:rsidRPr="00124DA6" w14:paraId="2006F533" w14:textId="77777777" w:rsidTr="006E6FAD">
        <w:trPr>
          <w:trHeight w:val="263"/>
        </w:trPr>
        <w:tc>
          <w:tcPr>
            <w:tcW w:w="1686" w:type="dxa"/>
          </w:tcPr>
          <w:p w14:paraId="4FA7A0FA" w14:textId="77777777" w:rsidR="0091472B" w:rsidRPr="00124DA6" w:rsidRDefault="0091472B" w:rsidP="00E1011D">
            <w:pPr>
              <w:spacing w:after="0" w:line="240" w:lineRule="auto"/>
              <w:rPr>
                <w:lang w:val="en-US"/>
              </w:rPr>
            </w:pPr>
            <w:r w:rsidRPr="00124DA6">
              <w:rPr>
                <w:lang w:val="en-US"/>
              </w:rPr>
              <w:t>RGE</w:t>
            </w:r>
          </w:p>
        </w:tc>
        <w:tc>
          <w:tcPr>
            <w:tcW w:w="7777" w:type="dxa"/>
          </w:tcPr>
          <w:p w14:paraId="6CD77095" w14:textId="77777777" w:rsidR="0091472B" w:rsidRPr="00124DA6" w:rsidRDefault="0091472B" w:rsidP="00E1011D">
            <w:pPr>
              <w:spacing w:after="0" w:line="240" w:lineRule="auto"/>
              <w:rPr>
                <w:lang w:val="en-US"/>
              </w:rPr>
            </w:pPr>
            <w:r w:rsidRPr="00124DA6">
              <w:rPr>
                <w:lang w:val="en-US"/>
              </w:rPr>
              <w:t>General Enterprise Census</w:t>
            </w:r>
          </w:p>
        </w:tc>
      </w:tr>
      <w:tr w:rsidR="0091472B" w:rsidRPr="00124DA6" w14:paraId="53D0DA31" w14:textId="77777777" w:rsidTr="006E6FAD">
        <w:trPr>
          <w:trHeight w:val="263"/>
        </w:trPr>
        <w:tc>
          <w:tcPr>
            <w:tcW w:w="1686" w:type="dxa"/>
          </w:tcPr>
          <w:p w14:paraId="45F95CC0" w14:textId="77777777" w:rsidR="0091472B" w:rsidRPr="00124DA6" w:rsidRDefault="0091472B" w:rsidP="00E1011D">
            <w:pPr>
              <w:spacing w:after="0" w:line="240" w:lineRule="auto"/>
              <w:rPr>
                <w:lang w:val="en-US"/>
              </w:rPr>
            </w:pPr>
            <w:r w:rsidRPr="00124DA6">
              <w:rPr>
                <w:lang w:val="en-US"/>
              </w:rPr>
              <w:t>ROA</w:t>
            </w:r>
          </w:p>
        </w:tc>
        <w:tc>
          <w:tcPr>
            <w:tcW w:w="7777" w:type="dxa"/>
          </w:tcPr>
          <w:p w14:paraId="0A680693" w14:textId="77777777" w:rsidR="0091472B" w:rsidRPr="00124DA6" w:rsidRDefault="0091472B" w:rsidP="00E1011D">
            <w:pPr>
              <w:spacing w:after="0" w:line="240" w:lineRule="auto"/>
              <w:rPr>
                <w:lang w:val="en-US"/>
              </w:rPr>
            </w:pPr>
            <w:r w:rsidRPr="00124DA6">
              <w:rPr>
                <w:lang w:val="en-US"/>
              </w:rPr>
              <w:t>Return on Assets</w:t>
            </w:r>
          </w:p>
        </w:tc>
      </w:tr>
      <w:tr w:rsidR="0091472B" w:rsidRPr="00124DA6" w14:paraId="26372841" w14:textId="77777777" w:rsidTr="006E6FAD">
        <w:trPr>
          <w:trHeight w:val="263"/>
        </w:trPr>
        <w:tc>
          <w:tcPr>
            <w:tcW w:w="1686" w:type="dxa"/>
          </w:tcPr>
          <w:p w14:paraId="0E4F6AC3" w14:textId="77777777" w:rsidR="0091472B" w:rsidRPr="00124DA6" w:rsidRDefault="0091472B" w:rsidP="00E1011D">
            <w:pPr>
              <w:spacing w:after="0" w:line="240" w:lineRule="auto"/>
              <w:rPr>
                <w:lang w:val="en-US"/>
              </w:rPr>
            </w:pPr>
            <w:r w:rsidRPr="00124DA6">
              <w:rPr>
                <w:lang w:val="en-US"/>
              </w:rPr>
              <w:t>ROE</w:t>
            </w:r>
          </w:p>
        </w:tc>
        <w:tc>
          <w:tcPr>
            <w:tcW w:w="7777" w:type="dxa"/>
          </w:tcPr>
          <w:p w14:paraId="17BF6FF7" w14:textId="77777777" w:rsidR="0091472B" w:rsidRPr="00124DA6" w:rsidRDefault="0091472B" w:rsidP="00E1011D">
            <w:pPr>
              <w:spacing w:after="0" w:line="240" w:lineRule="auto"/>
              <w:rPr>
                <w:lang w:val="en-US"/>
              </w:rPr>
            </w:pPr>
            <w:r w:rsidRPr="00124DA6">
              <w:rPr>
                <w:lang w:val="en-US"/>
              </w:rPr>
              <w:t>Retu</w:t>
            </w:r>
            <w:r w:rsidR="00FA344B" w:rsidRPr="00124DA6">
              <w:rPr>
                <w:lang w:val="en-US"/>
              </w:rPr>
              <w:t>r</w:t>
            </w:r>
            <w:r w:rsidRPr="00124DA6">
              <w:rPr>
                <w:lang w:val="en-US"/>
              </w:rPr>
              <w:t>n on Equity</w:t>
            </w:r>
          </w:p>
        </w:tc>
      </w:tr>
      <w:tr w:rsidR="002F02E4" w:rsidRPr="00124DA6" w14:paraId="257277F2" w14:textId="77777777" w:rsidTr="006E6FAD">
        <w:trPr>
          <w:trHeight w:val="263"/>
        </w:trPr>
        <w:tc>
          <w:tcPr>
            <w:tcW w:w="1686" w:type="dxa"/>
          </w:tcPr>
          <w:p w14:paraId="2D101111" w14:textId="77777777" w:rsidR="002F02E4" w:rsidRPr="00124DA6" w:rsidRDefault="002F02E4" w:rsidP="00E1011D">
            <w:pPr>
              <w:spacing w:after="0" w:line="240" w:lineRule="auto"/>
              <w:rPr>
                <w:lang w:val="en-US"/>
              </w:rPr>
            </w:pPr>
            <w:r w:rsidRPr="00124DA6">
              <w:rPr>
                <w:lang w:val="en-US"/>
              </w:rPr>
              <w:t>SBEE</w:t>
            </w:r>
          </w:p>
        </w:tc>
        <w:tc>
          <w:tcPr>
            <w:tcW w:w="7777" w:type="dxa"/>
          </w:tcPr>
          <w:p w14:paraId="5C6B8FA4" w14:textId="77777777" w:rsidR="002F02E4" w:rsidRPr="00124DA6" w:rsidRDefault="002F02E4" w:rsidP="00E1011D">
            <w:pPr>
              <w:spacing w:after="0" w:line="240" w:lineRule="auto"/>
              <w:rPr>
                <w:lang w:val="en-US"/>
              </w:rPr>
            </w:pPr>
            <w:r w:rsidRPr="00124DA6">
              <w:rPr>
                <w:lang w:val="en-US"/>
              </w:rPr>
              <w:t>Beninese Electricity Company</w:t>
            </w:r>
          </w:p>
        </w:tc>
      </w:tr>
      <w:tr w:rsidR="002F02E4" w:rsidRPr="00124DA6" w14:paraId="7488155B" w14:textId="77777777" w:rsidTr="006E6FAD">
        <w:trPr>
          <w:trHeight w:val="263"/>
        </w:trPr>
        <w:tc>
          <w:tcPr>
            <w:tcW w:w="1686" w:type="dxa"/>
          </w:tcPr>
          <w:p w14:paraId="337051F0" w14:textId="77777777" w:rsidR="002F02E4" w:rsidRPr="00124DA6" w:rsidRDefault="002F02E4" w:rsidP="00E1011D">
            <w:pPr>
              <w:spacing w:after="0" w:line="240" w:lineRule="auto"/>
              <w:rPr>
                <w:lang w:val="en-US"/>
              </w:rPr>
            </w:pPr>
            <w:r w:rsidRPr="00124DA6">
              <w:rPr>
                <w:lang w:val="en-US"/>
              </w:rPr>
              <w:t>SICSS</w:t>
            </w:r>
          </w:p>
        </w:tc>
        <w:tc>
          <w:tcPr>
            <w:tcW w:w="7777" w:type="dxa"/>
          </w:tcPr>
          <w:p w14:paraId="7704218D" w14:textId="6A2AE5C5" w:rsidR="002F02E4" w:rsidRPr="00A549E7" w:rsidRDefault="002F02E4" w:rsidP="00E1011D">
            <w:pPr>
              <w:spacing w:after="0" w:line="240" w:lineRule="auto"/>
              <w:rPr>
                <w:i/>
              </w:rPr>
            </w:pPr>
            <w:r w:rsidRPr="00A549E7">
              <w:rPr>
                <w:i/>
              </w:rPr>
              <w:t>Syst</w:t>
            </w:r>
            <w:r w:rsidR="00141BD7">
              <w:rPr>
                <w:i/>
              </w:rPr>
              <w:t>è</w:t>
            </w:r>
            <w:r w:rsidRPr="00A549E7">
              <w:rPr>
                <w:i/>
              </w:rPr>
              <w:t xml:space="preserve">me d’information Centralise du Suivi des </w:t>
            </w:r>
            <w:proofErr w:type="spellStart"/>
            <w:r w:rsidRPr="00A549E7">
              <w:rPr>
                <w:i/>
              </w:rPr>
              <w:t>SFDs</w:t>
            </w:r>
            <w:proofErr w:type="spellEnd"/>
          </w:p>
        </w:tc>
      </w:tr>
      <w:tr w:rsidR="00082B8F" w:rsidRPr="00124DA6" w14:paraId="71EFC6D8" w14:textId="77777777" w:rsidTr="006E6FAD">
        <w:trPr>
          <w:trHeight w:val="263"/>
        </w:trPr>
        <w:tc>
          <w:tcPr>
            <w:tcW w:w="1686" w:type="dxa"/>
          </w:tcPr>
          <w:p w14:paraId="23A83D12" w14:textId="77777777" w:rsidR="00082B8F" w:rsidRPr="00124DA6" w:rsidRDefault="00082B8F" w:rsidP="00E1011D">
            <w:pPr>
              <w:spacing w:after="0" w:line="240" w:lineRule="auto"/>
              <w:rPr>
                <w:lang w:val="en-US"/>
              </w:rPr>
            </w:pPr>
            <w:r w:rsidRPr="00124DA6">
              <w:rPr>
                <w:lang w:val="en-US"/>
              </w:rPr>
              <w:t>SMEs</w:t>
            </w:r>
          </w:p>
        </w:tc>
        <w:tc>
          <w:tcPr>
            <w:tcW w:w="7777" w:type="dxa"/>
          </w:tcPr>
          <w:p w14:paraId="083B9C81" w14:textId="77777777" w:rsidR="00082B8F" w:rsidRPr="00124DA6" w:rsidRDefault="00082B8F" w:rsidP="00E1011D">
            <w:pPr>
              <w:spacing w:after="0" w:line="240" w:lineRule="auto"/>
              <w:rPr>
                <w:lang w:val="en-US"/>
              </w:rPr>
            </w:pPr>
            <w:r w:rsidRPr="00124DA6">
              <w:rPr>
                <w:lang w:val="en-US"/>
              </w:rPr>
              <w:t>Small and Medium Enterprises</w:t>
            </w:r>
          </w:p>
        </w:tc>
      </w:tr>
      <w:tr w:rsidR="002F02E4" w:rsidRPr="008A6E7B" w14:paraId="3B18FB41" w14:textId="77777777" w:rsidTr="006E6FAD">
        <w:trPr>
          <w:trHeight w:val="263"/>
        </w:trPr>
        <w:tc>
          <w:tcPr>
            <w:tcW w:w="1686" w:type="dxa"/>
          </w:tcPr>
          <w:p w14:paraId="16AC3F56" w14:textId="77777777" w:rsidR="002F02E4" w:rsidRPr="00124DA6" w:rsidRDefault="002F02E4" w:rsidP="00E1011D">
            <w:pPr>
              <w:spacing w:after="0" w:line="240" w:lineRule="auto"/>
              <w:rPr>
                <w:lang w:val="en-US"/>
              </w:rPr>
            </w:pPr>
            <w:r w:rsidRPr="00124DA6">
              <w:rPr>
                <w:lang w:val="en-US"/>
              </w:rPr>
              <w:t>SONEB</w:t>
            </w:r>
          </w:p>
        </w:tc>
        <w:tc>
          <w:tcPr>
            <w:tcW w:w="7777" w:type="dxa"/>
          </w:tcPr>
          <w:p w14:paraId="69068B40" w14:textId="77777777" w:rsidR="002F02E4" w:rsidRPr="00124DA6" w:rsidRDefault="002F02E4" w:rsidP="00E1011D">
            <w:pPr>
              <w:spacing w:after="0" w:line="240" w:lineRule="auto"/>
              <w:rPr>
                <w:lang w:val="en-US"/>
              </w:rPr>
            </w:pPr>
            <w:r w:rsidRPr="00124DA6">
              <w:rPr>
                <w:lang w:val="en-US"/>
              </w:rPr>
              <w:t>National Water Company of Benin</w:t>
            </w:r>
          </w:p>
        </w:tc>
      </w:tr>
      <w:tr w:rsidR="0091472B" w:rsidRPr="00124DA6" w14:paraId="5B9B9243" w14:textId="77777777" w:rsidTr="006E6FAD">
        <w:trPr>
          <w:trHeight w:val="263"/>
        </w:trPr>
        <w:tc>
          <w:tcPr>
            <w:tcW w:w="1686" w:type="dxa"/>
          </w:tcPr>
          <w:p w14:paraId="486BC0C2" w14:textId="77777777" w:rsidR="0091472B" w:rsidRPr="00124DA6" w:rsidRDefault="0091472B" w:rsidP="00E1011D">
            <w:pPr>
              <w:spacing w:after="0" w:line="240" w:lineRule="auto"/>
              <w:rPr>
                <w:lang w:val="en-US"/>
              </w:rPr>
            </w:pPr>
            <w:r w:rsidRPr="00124DA6">
              <w:rPr>
                <w:lang w:val="en-US"/>
              </w:rPr>
              <w:t>TEG</w:t>
            </w:r>
          </w:p>
        </w:tc>
        <w:tc>
          <w:tcPr>
            <w:tcW w:w="7777" w:type="dxa"/>
          </w:tcPr>
          <w:p w14:paraId="68CEABA4" w14:textId="2ABD7961" w:rsidR="0091472B" w:rsidRPr="00124DA6" w:rsidRDefault="002425E2" w:rsidP="00E1011D">
            <w:pPr>
              <w:spacing w:after="0" w:line="240" w:lineRule="auto"/>
              <w:rPr>
                <w:lang w:val="en-US"/>
              </w:rPr>
            </w:pPr>
            <w:r>
              <w:rPr>
                <w:lang w:val="en-US"/>
              </w:rPr>
              <w:t>Effective global</w:t>
            </w:r>
            <w:r w:rsidR="0091472B" w:rsidRPr="00124DA6">
              <w:rPr>
                <w:lang w:val="en-US"/>
              </w:rPr>
              <w:t xml:space="preserve"> </w:t>
            </w:r>
            <w:r w:rsidR="00672174" w:rsidRPr="00124DA6">
              <w:rPr>
                <w:lang w:val="en-US"/>
              </w:rPr>
              <w:t xml:space="preserve">Interest </w:t>
            </w:r>
            <w:r w:rsidR="0091472B" w:rsidRPr="00124DA6">
              <w:rPr>
                <w:lang w:val="en-US"/>
              </w:rPr>
              <w:t>Rate</w:t>
            </w:r>
          </w:p>
        </w:tc>
      </w:tr>
      <w:tr w:rsidR="002F02E4" w:rsidRPr="008A6E7B" w14:paraId="675C0194" w14:textId="77777777" w:rsidTr="006E6FAD">
        <w:trPr>
          <w:trHeight w:val="263"/>
        </w:trPr>
        <w:tc>
          <w:tcPr>
            <w:tcW w:w="1686" w:type="dxa"/>
          </w:tcPr>
          <w:p w14:paraId="7A46EC74" w14:textId="77777777" w:rsidR="002F02E4" w:rsidRPr="00124DA6" w:rsidRDefault="002F02E4" w:rsidP="00E1011D">
            <w:pPr>
              <w:spacing w:after="0" w:line="240" w:lineRule="auto"/>
              <w:rPr>
                <w:lang w:val="en-US"/>
              </w:rPr>
            </w:pPr>
            <w:r w:rsidRPr="00124DA6">
              <w:rPr>
                <w:lang w:val="en-US"/>
              </w:rPr>
              <w:t>UNCDF</w:t>
            </w:r>
          </w:p>
        </w:tc>
        <w:tc>
          <w:tcPr>
            <w:tcW w:w="7777" w:type="dxa"/>
          </w:tcPr>
          <w:p w14:paraId="0DEA0F5C" w14:textId="77777777" w:rsidR="002F02E4" w:rsidRPr="00124DA6" w:rsidRDefault="002F02E4" w:rsidP="00E1011D">
            <w:pPr>
              <w:spacing w:after="0" w:line="240" w:lineRule="auto"/>
              <w:rPr>
                <w:lang w:val="en-US"/>
              </w:rPr>
            </w:pPr>
            <w:r w:rsidRPr="00124DA6">
              <w:rPr>
                <w:lang w:val="en-US"/>
              </w:rPr>
              <w:t>United Nations Capital Development Fund</w:t>
            </w:r>
          </w:p>
        </w:tc>
      </w:tr>
      <w:tr w:rsidR="001C472A" w:rsidRPr="00124DA6" w14:paraId="3B508AF2" w14:textId="77777777" w:rsidTr="006E6FAD">
        <w:trPr>
          <w:trHeight w:val="263"/>
        </w:trPr>
        <w:tc>
          <w:tcPr>
            <w:tcW w:w="1686" w:type="dxa"/>
          </w:tcPr>
          <w:p w14:paraId="4FB57DB4" w14:textId="77777777" w:rsidR="001C472A" w:rsidRPr="00124DA6" w:rsidRDefault="0091472B" w:rsidP="00E1011D">
            <w:pPr>
              <w:spacing w:after="0" w:line="240" w:lineRule="auto"/>
              <w:rPr>
                <w:lang w:val="en-US"/>
              </w:rPr>
            </w:pPr>
            <w:r w:rsidRPr="00124DA6">
              <w:rPr>
                <w:lang w:val="en-US"/>
              </w:rPr>
              <w:t>UNDP</w:t>
            </w:r>
          </w:p>
        </w:tc>
        <w:tc>
          <w:tcPr>
            <w:tcW w:w="7777" w:type="dxa"/>
          </w:tcPr>
          <w:p w14:paraId="00A454A9" w14:textId="77777777" w:rsidR="001C472A" w:rsidRPr="00124DA6" w:rsidRDefault="0091472B" w:rsidP="00E1011D">
            <w:pPr>
              <w:spacing w:after="0" w:line="240" w:lineRule="auto"/>
              <w:rPr>
                <w:lang w:val="en-US"/>
              </w:rPr>
            </w:pPr>
            <w:r w:rsidRPr="00124DA6">
              <w:rPr>
                <w:lang w:val="en-US"/>
              </w:rPr>
              <w:t xml:space="preserve">United Nations Development </w:t>
            </w:r>
            <w:proofErr w:type="spellStart"/>
            <w:r w:rsidRPr="00124DA6">
              <w:rPr>
                <w:lang w:val="en-US"/>
              </w:rPr>
              <w:t>Program</w:t>
            </w:r>
            <w:r w:rsidR="006E6FAD" w:rsidRPr="00124DA6">
              <w:rPr>
                <w:lang w:val="en-US"/>
              </w:rPr>
              <w:t>me</w:t>
            </w:r>
            <w:proofErr w:type="spellEnd"/>
          </w:p>
        </w:tc>
      </w:tr>
      <w:tr w:rsidR="00082B8F" w:rsidRPr="00124DA6" w14:paraId="5A0F465F" w14:textId="77777777" w:rsidTr="006E6FAD">
        <w:trPr>
          <w:trHeight w:val="263"/>
        </w:trPr>
        <w:tc>
          <w:tcPr>
            <w:tcW w:w="1686" w:type="dxa"/>
          </w:tcPr>
          <w:p w14:paraId="1BEF3E8F" w14:textId="77777777" w:rsidR="00082B8F" w:rsidRPr="00124DA6" w:rsidRDefault="00082B8F" w:rsidP="00E1011D">
            <w:pPr>
              <w:spacing w:after="0" w:line="240" w:lineRule="auto"/>
              <w:rPr>
                <w:lang w:val="en-US"/>
              </w:rPr>
            </w:pPr>
            <w:r w:rsidRPr="00124DA6">
              <w:rPr>
                <w:lang w:val="en-US"/>
              </w:rPr>
              <w:t>VAT</w:t>
            </w:r>
          </w:p>
        </w:tc>
        <w:tc>
          <w:tcPr>
            <w:tcW w:w="7777" w:type="dxa"/>
          </w:tcPr>
          <w:p w14:paraId="443FAE52" w14:textId="77777777" w:rsidR="00082B8F" w:rsidRPr="00124DA6" w:rsidRDefault="00082B8F" w:rsidP="00E1011D">
            <w:pPr>
              <w:spacing w:after="0" w:line="240" w:lineRule="auto"/>
              <w:rPr>
                <w:lang w:val="en-US"/>
              </w:rPr>
            </w:pPr>
            <w:r w:rsidRPr="00124DA6">
              <w:rPr>
                <w:lang w:val="en-US"/>
              </w:rPr>
              <w:t>Value Added Tax</w:t>
            </w:r>
          </w:p>
        </w:tc>
      </w:tr>
      <w:tr w:rsidR="0091472B" w:rsidRPr="002C020A" w14:paraId="32963FA3" w14:textId="77777777" w:rsidTr="006E6FAD">
        <w:trPr>
          <w:trHeight w:val="263"/>
        </w:trPr>
        <w:tc>
          <w:tcPr>
            <w:tcW w:w="1686" w:type="dxa"/>
          </w:tcPr>
          <w:p w14:paraId="170B8866" w14:textId="77777777" w:rsidR="0091472B" w:rsidRPr="00124DA6" w:rsidRDefault="0091472B" w:rsidP="00E1011D">
            <w:pPr>
              <w:spacing w:after="0" w:line="240" w:lineRule="auto"/>
              <w:rPr>
                <w:lang w:val="en-US"/>
              </w:rPr>
            </w:pPr>
            <w:r w:rsidRPr="00124DA6">
              <w:rPr>
                <w:lang w:val="en-US"/>
              </w:rPr>
              <w:t>VSLA</w:t>
            </w:r>
          </w:p>
        </w:tc>
        <w:tc>
          <w:tcPr>
            <w:tcW w:w="7777" w:type="dxa"/>
          </w:tcPr>
          <w:p w14:paraId="307C7B63" w14:textId="77777777" w:rsidR="0091472B" w:rsidRPr="00124DA6" w:rsidRDefault="0091472B" w:rsidP="00E1011D">
            <w:pPr>
              <w:spacing w:after="0" w:line="240" w:lineRule="auto"/>
              <w:rPr>
                <w:rFonts w:cstheme="minorHAnsi"/>
                <w:lang w:val="en-US"/>
              </w:rPr>
            </w:pPr>
            <w:r w:rsidRPr="00124DA6">
              <w:rPr>
                <w:rFonts w:cstheme="minorHAnsi"/>
                <w:lang w:val="en-US"/>
              </w:rPr>
              <w:t xml:space="preserve">Village </w:t>
            </w:r>
            <w:r w:rsidR="009D5BDF" w:rsidRPr="00124DA6">
              <w:rPr>
                <w:rFonts w:cstheme="minorHAnsi"/>
                <w:lang w:val="en-US"/>
              </w:rPr>
              <w:t>S</w:t>
            </w:r>
            <w:r w:rsidRPr="00124DA6">
              <w:rPr>
                <w:rFonts w:cstheme="minorHAnsi"/>
                <w:lang w:val="en-US"/>
              </w:rPr>
              <w:t xml:space="preserve">aving and </w:t>
            </w:r>
            <w:r w:rsidR="009D5BDF" w:rsidRPr="00124DA6">
              <w:rPr>
                <w:rFonts w:cstheme="minorHAnsi"/>
                <w:lang w:val="en-US"/>
              </w:rPr>
              <w:t>L</w:t>
            </w:r>
            <w:r w:rsidRPr="00124DA6">
              <w:rPr>
                <w:rFonts w:cstheme="minorHAnsi"/>
                <w:lang w:val="en-US"/>
              </w:rPr>
              <w:t xml:space="preserve">oan </w:t>
            </w:r>
            <w:r w:rsidR="009D5BDF" w:rsidRPr="00124DA6">
              <w:rPr>
                <w:rFonts w:cstheme="minorHAnsi"/>
                <w:lang w:val="en-US"/>
              </w:rPr>
              <w:t>A</w:t>
            </w:r>
            <w:r w:rsidRPr="00124DA6">
              <w:rPr>
                <w:rFonts w:cstheme="minorHAnsi"/>
                <w:lang w:val="en-US"/>
              </w:rPr>
              <w:t>ssociations</w:t>
            </w:r>
          </w:p>
        </w:tc>
      </w:tr>
      <w:tr w:rsidR="0091472B" w:rsidRPr="002C020A" w14:paraId="3CF5B146" w14:textId="77777777" w:rsidTr="006E6FAD">
        <w:trPr>
          <w:trHeight w:val="263"/>
        </w:trPr>
        <w:tc>
          <w:tcPr>
            <w:tcW w:w="1686" w:type="dxa"/>
          </w:tcPr>
          <w:p w14:paraId="49140C4F" w14:textId="77777777" w:rsidR="0091472B" w:rsidRPr="00124DA6" w:rsidRDefault="0091472B" w:rsidP="00E1011D">
            <w:pPr>
              <w:spacing w:after="0" w:line="240" w:lineRule="auto"/>
              <w:rPr>
                <w:lang w:val="en-US"/>
              </w:rPr>
            </w:pPr>
            <w:r w:rsidRPr="00124DA6">
              <w:rPr>
                <w:rFonts w:cstheme="minorHAnsi"/>
                <w:lang w:val="en-US"/>
              </w:rPr>
              <w:t>WAEMU</w:t>
            </w:r>
          </w:p>
        </w:tc>
        <w:tc>
          <w:tcPr>
            <w:tcW w:w="7777" w:type="dxa"/>
          </w:tcPr>
          <w:p w14:paraId="2129001A" w14:textId="77777777" w:rsidR="0091472B" w:rsidRPr="00124DA6" w:rsidRDefault="0091472B" w:rsidP="00E1011D">
            <w:pPr>
              <w:spacing w:after="0" w:line="240" w:lineRule="auto"/>
              <w:rPr>
                <w:lang w:val="en-US"/>
              </w:rPr>
            </w:pPr>
            <w:r w:rsidRPr="00124DA6">
              <w:rPr>
                <w:rFonts w:cstheme="minorHAnsi"/>
                <w:lang w:val="en-US"/>
              </w:rPr>
              <w:t>West Africa Economic and Monetary Union</w:t>
            </w:r>
          </w:p>
        </w:tc>
      </w:tr>
      <w:tr w:rsidR="009A0048" w:rsidRPr="002C020A" w14:paraId="30D76A1C" w14:textId="77777777" w:rsidTr="006E6FAD">
        <w:trPr>
          <w:trHeight w:val="263"/>
        </w:trPr>
        <w:tc>
          <w:tcPr>
            <w:tcW w:w="1686" w:type="dxa"/>
          </w:tcPr>
          <w:p w14:paraId="389E9D60" w14:textId="77777777" w:rsidR="009A0048" w:rsidRPr="00124DA6" w:rsidRDefault="009A0048" w:rsidP="00E1011D">
            <w:pPr>
              <w:spacing w:after="0" w:line="240" w:lineRule="auto"/>
              <w:rPr>
                <w:rFonts w:cstheme="minorHAnsi"/>
                <w:lang w:val="en-US"/>
              </w:rPr>
            </w:pPr>
            <w:r w:rsidRPr="00124DA6">
              <w:rPr>
                <w:rFonts w:cstheme="minorHAnsi"/>
                <w:lang w:val="en-US"/>
              </w:rPr>
              <w:t>WAEMU-IACS</w:t>
            </w:r>
          </w:p>
        </w:tc>
        <w:tc>
          <w:tcPr>
            <w:tcW w:w="7777" w:type="dxa"/>
          </w:tcPr>
          <w:p w14:paraId="380848A3" w14:textId="77777777" w:rsidR="009A0048" w:rsidRPr="00124DA6" w:rsidRDefault="009A0048" w:rsidP="00E1011D">
            <w:pPr>
              <w:spacing w:after="0" w:line="240" w:lineRule="auto"/>
              <w:rPr>
                <w:rFonts w:cstheme="minorHAnsi"/>
                <w:lang w:val="en-US"/>
              </w:rPr>
            </w:pPr>
            <w:r w:rsidRPr="00124DA6">
              <w:rPr>
                <w:rFonts w:cstheme="minorHAnsi"/>
                <w:lang w:val="en-US"/>
              </w:rPr>
              <w:t>WAEMU Interbank Automated Compensation System</w:t>
            </w:r>
          </w:p>
        </w:tc>
      </w:tr>
      <w:tr w:rsidR="0091472B" w:rsidRPr="00124DA6" w14:paraId="7002A97D" w14:textId="77777777" w:rsidTr="006E6FAD">
        <w:trPr>
          <w:trHeight w:val="263"/>
        </w:trPr>
        <w:tc>
          <w:tcPr>
            <w:tcW w:w="1686" w:type="dxa"/>
          </w:tcPr>
          <w:p w14:paraId="530E864B" w14:textId="77777777" w:rsidR="0091472B" w:rsidRPr="00124DA6" w:rsidRDefault="0091472B" w:rsidP="00E1011D">
            <w:pPr>
              <w:spacing w:after="0" w:line="240" w:lineRule="auto"/>
              <w:rPr>
                <w:lang w:val="en-US"/>
              </w:rPr>
            </w:pPr>
            <w:r w:rsidRPr="00124DA6">
              <w:rPr>
                <w:lang w:val="en-US"/>
              </w:rPr>
              <w:t>WFP</w:t>
            </w:r>
          </w:p>
        </w:tc>
        <w:tc>
          <w:tcPr>
            <w:tcW w:w="7777" w:type="dxa"/>
          </w:tcPr>
          <w:p w14:paraId="6F42C814" w14:textId="77777777" w:rsidR="0091472B" w:rsidRPr="00124DA6" w:rsidRDefault="0091472B" w:rsidP="00E1011D">
            <w:pPr>
              <w:spacing w:after="0" w:line="240" w:lineRule="auto"/>
              <w:rPr>
                <w:lang w:val="en-US"/>
              </w:rPr>
            </w:pPr>
            <w:r w:rsidRPr="00124DA6">
              <w:rPr>
                <w:lang w:val="en-US"/>
              </w:rPr>
              <w:t>World Food Program</w:t>
            </w:r>
          </w:p>
        </w:tc>
      </w:tr>
      <w:tr w:rsidR="002F02E4" w:rsidRPr="00124DA6" w14:paraId="76946A11" w14:textId="77777777" w:rsidTr="006E6FAD">
        <w:trPr>
          <w:trHeight w:val="263"/>
        </w:trPr>
        <w:tc>
          <w:tcPr>
            <w:tcW w:w="1686" w:type="dxa"/>
          </w:tcPr>
          <w:p w14:paraId="312D14ED" w14:textId="77777777" w:rsidR="002F02E4" w:rsidRPr="00124DA6" w:rsidRDefault="002F02E4" w:rsidP="00E1011D">
            <w:pPr>
              <w:spacing w:after="0" w:line="240" w:lineRule="auto"/>
              <w:rPr>
                <w:lang w:val="en-US"/>
              </w:rPr>
            </w:pPr>
            <w:r w:rsidRPr="00124DA6">
              <w:rPr>
                <w:lang w:val="en-US"/>
              </w:rPr>
              <w:t>WRS</w:t>
            </w:r>
          </w:p>
        </w:tc>
        <w:tc>
          <w:tcPr>
            <w:tcW w:w="7777" w:type="dxa"/>
          </w:tcPr>
          <w:p w14:paraId="29888CF5" w14:textId="77777777" w:rsidR="002F02E4" w:rsidRPr="00124DA6" w:rsidRDefault="002F02E4" w:rsidP="00E1011D">
            <w:pPr>
              <w:spacing w:after="0" w:line="240" w:lineRule="auto"/>
              <w:rPr>
                <w:lang w:val="en-US"/>
              </w:rPr>
            </w:pPr>
            <w:r w:rsidRPr="00124DA6">
              <w:rPr>
                <w:lang w:val="en-US"/>
              </w:rPr>
              <w:t>Warehouse Receipt System</w:t>
            </w:r>
          </w:p>
        </w:tc>
      </w:tr>
    </w:tbl>
    <w:p w14:paraId="36B610ED" w14:textId="77777777" w:rsidR="001C472A" w:rsidRPr="00124DA6" w:rsidRDefault="001C472A" w:rsidP="001C472A">
      <w:pPr>
        <w:rPr>
          <w:b/>
          <w:color w:val="5B9BD5" w:themeColor="accent1"/>
          <w:lang w:val="en-US"/>
        </w:rPr>
      </w:pPr>
    </w:p>
    <w:p w14:paraId="01B42C98" w14:textId="77777777" w:rsidR="00F34A7E" w:rsidRPr="00124DA6" w:rsidRDefault="00F34A7E" w:rsidP="001C472A">
      <w:pPr>
        <w:rPr>
          <w:lang w:val="en-US"/>
        </w:rPr>
      </w:pPr>
      <w:r w:rsidRPr="00124DA6">
        <w:rPr>
          <w:lang w:val="en-US"/>
        </w:rPr>
        <w:br w:type="page"/>
      </w:r>
    </w:p>
    <w:p w14:paraId="781F642F" w14:textId="77777777" w:rsidR="001C472A" w:rsidRPr="00DC48E7" w:rsidRDefault="001C472A" w:rsidP="006B69E6">
      <w:pPr>
        <w:pStyle w:val="Heading1"/>
        <w:rPr>
          <w:b/>
        </w:rPr>
      </w:pPr>
      <w:bookmarkStart w:id="2" w:name="_Toc3975118"/>
      <w:r w:rsidRPr="00DC48E7">
        <w:rPr>
          <w:b/>
        </w:rPr>
        <w:t>Acknowledgments</w:t>
      </w:r>
      <w:bookmarkEnd w:id="2"/>
    </w:p>
    <w:p w14:paraId="67535C48" w14:textId="41E6420C" w:rsidR="00CB4CDF" w:rsidRPr="00124DA6" w:rsidRDefault="00CB4CDF" w:rsidP="00F34A7E">
      <w:pPr>
        <w:autoSpaceDE w:val="0"/>
        <w:autoSpaceDN w:val="0"/>
        <w:adjustRightInd w:val="0"/>
        <w:spacing w:after="240" w:line="240" w:lineRule="auto"/>
        <w:jc w:val="both"/>
        <w:rPr>
          <w:rFonts w:cs="Times New Roman"/>
          <w:lang w:val="en-US"/>
        </w:rPr>
      </w:pPr>
      <w:bookmarkStart w:id="3" w:name="_Hlk520816142"/>
      <w:r w:rsidRPr="00124DA6">
        <w:rPr>
          <w:rFonts w:cs="Times New Roman"/>
          <w:lang w:val="en-US"/>
        </w:rPr>
        <w:t>This report of the Benin Financial Sector Review</w:t>
      </w:r>
      <w:r w:rsidR="00165C4D" w:rsidRPr="00124DA6">
        <w:rPr>
          <w:rFonts w:cs="Times New Roman"/>
          <w:lang w:val="en-US"/>
        </w:rPr>
        <w:t xml:space="preserve"> </w:t>
      </w:r>
      <w:r w:rsidRPr="00124DA6">
        <w:rPr>
          <w:rFonts w:cs="Times New Roman"/>
          <w:lang w:val="en-US"/>
        </w:rPr>
        <w:t xml:space="preserve">provides a </w:t>
      </w:r>
      <w:r w:rsidR="002425E2">
        <w:rPr>
          <w:rFonts w:cs="Times New Roman"/>
          <w:lang w:val="en-US"/>
        </w:rPr>
        <w:t>diagnosis</w:t>
      </w:r>
      <w:r w:rsidR="002425E2" w:rsidRPr="00124DA6">
        <w:rPr>
          <w:rFonts w:cs="Times New Roman"/>
          <w:lang w:val="en-US"/>
        </w:rPr>
        <w:t xml:space="preserve"> </w:t>
      </w:r>
      <w:r w:rsidRPr="00124DA6">
        <w:rPr>
          <w:rFonts w:cs="Times New Roman"/>
          <w:lang w:val="en-US"/>
        </w:rPr>
        <w:t xml:space="preserve">of the financial system and </w:t>
      </w:r>
      <w:r w:rsidR="00950846" w:rsidRPr="00124DA6">
        <w:rPr>
          <w:rFonts w:cs="Times New Roman"/>
          <w:lang w:val="en-US"/>
        </w:rPr>
        <w:t xml:space="preserve">is </w:t>
      </w:r>
      <w:r w:rsidRPr="00124DA6">
        <w:rPr>
          <w:rFonts w:cs="Times New Roman"/>
          <w:lang w:val="en-US"/>
        </w:rPr>
        <w:t>focused on the state and perform</w:t>
      </w:r>
      <w:r w:rsidR="00CB701F" w:rsidRPr="00124DA6">
        <w:rPr>
          <w:rFonts w:cs="Times New Roman"/>
          <w:lang w:val="en-US"/>
        </w:rPr>
        <w:t>a</w:t>
      </w:r>
      <w:r w:rsidRPr="00124DA6">
        <w:rPr>
          <w:rFonts w:cs="Times New Roman"/>
          <w:lang w:val="en-US"/>
        </w:rPr>
        <w:t>nce of</w:t>
      </w:r>
      <w:r w:rsidRPr="00124DA6">
        <w:rPr>
          <w:rFonts w:cs="Times New Roman"/>
          <w:sz w:val="24"/>
          <w:szCs w:val="24"/>
          <w:lang w:val="en-US"/>
        </w:rPr>
        <w:t xml:space="preserve"> </w:t>
      </w:r>
      <w:r w:rsidRPr="00124DA6">
        <w:rPr>
          <w:rFonts w:cs="Times New Roman"/>
          <w:lang w:val="en-US"/>
        </w:rPr>
        <w:t>banks</w:t>
      </w:r>
      <w:r w:rsidR="00C01866">
        <w:rPr>
          <w:rFonts w:cs="Times New Roman"/>
          <w:lang w:val="en-US"/>
        </w:rPr>
        <w:t xml:space="preserve"> and </w:t>
      </w:r>
      <w:r w:rsidRPr="00124DA6">
        <w:rPr>
          <w:rFonts w:cs="Times New Roman"/>
          <w:lang w:val="en-US"/>
        </w:rPr>
        <w:t xml:space="preserve">microfinance institutions, </w:t>
      </w:r>
      <w:r w:rsidR="008F169D">
        <w:rPr>
          <w:rFonts w:cs="Times New Roman"/>
          <w:lang w:val="en-US"/>
        </w:rPr>
        <w:t>the</w:t>
      </w:r>
      <w:r w:rsidRPr="00124DA6">
        <w:rPr>
          <w:rFonts w:cs="Times New Roman"/>
          <w:lang w:val="en-US"/>
        </w:rPr>
        <w:t xml:space="preserve"> </w:t>
      </w:r>
      <w:r w:rsidR="00873B01">
        <w:rPr>
          <w:rFonts w:cs="Times New Roman"/>
          <w:lang w:val="en-US"/>
        </w:rPr>
        <w:t xml:space="preserve">digitalization of </w:t>
      </w:r>
      <w:r w:rsidR="00C01866">
        <w:rPr>
          <w:rFonts w:cs="Times New Roman"/>
          <w:lang w:val="en-US"/>
        </w:rPr>
        <w:t xml:space="preserve">retail </w:t>
      </w:r>
      <w:r w:rsidRPr="00124DA6">
        <w:rPr>
          <w:rFonts w:cs="Times New Roman"/>
          <w:lang w:val="en-US"/>
        </w:rPr>
        <w:t xml:space="preserve">payment </w:t>
      </w:r>
      <w:r w:rsidR="00C01866">
        <w:rPr>
          <w:rFonts w:cs="Times New Roman"/>
          <w:lang w:val="en-US"/>
        </w:rPr>
        <w:t xml:space="preserve">and </w:t>
      </w:r>
      <w:r w:rsidR="008F169D">
        <w:rPr>
          <w:rFonts w:cs="Times New Roman"/>
          <w:lang w:val="en-US"/>
        </w:rPr>
        <w:t xml:space="preserve">on </w:t>
      </w:r>
      <w:r w:rsidR="00C01866">
        <w:rPr>
          <w:rFonts w:cs="Times New Roman"/>
          <w:lang w:val="en-US"/>
        </w:rPr>
        <w:t xml:space="preserve">challenges faced by the </w:t>
      </w:r>
      <w:r w:rsidRPr="00124DA6">
        <w:rPr>
          <w:rFonts w:cs="Times New Roman"/>
          <w:lang w:val="en-US"/>
        </w:rPr>
        <w:t xml:space="preserve">agriculture </w:t>
      </w:r>
      <w:r w:rsidR="00C01866">
        <w:rPr>
          <w:rFonts w:cs="Times New Roman"/>
          <w:lang w:val="en-US"/>
        </w:rPr>
        <w:t xml:space="preserve">sector </w:t>
      </w:r>
      <w:r w:rsidRPr="00124DA6">
        <w:rPr>
          <w:rFonts w:cs="Times New Roman"/>
          <w:lang w:val="en-US"/>
        </w:rPr>
        <w:t>financ</w:t>
      </w:r>
      <w:r w:rsidR="00C01866">
        <w:rPr>
          <w:rFonts w:cs="Times New Roman"/>
          <w:lang w:val="en-US"/>
        </w:rPr>
        <w:t>ing</w:t>
      </w:r>
      <w:r w:rsidRPr="00124DA6">
        <w:rPr>
          <w:rFonts w:cs="Times New Roman"/>
          <w:lang w:val="en-US"/>
        </w:rPr>
        <w:t xml:space="preserve">. </w:t>
      </w:r>
    </w:p>
    <w:bookmarkEnd w:id="3"/>
    <w:p w14:paraId="040814A5" w14:textId="6102FBA7" w:rsidR="00CB4CDF" w:rsidRPr="00124DA6" w:rsidRDefault="001C472A" w:rsidP="00F34A7E">
      <w:pPr>
        <w:autoSpaceDE w:val="0"/>
        <w:autoSpaceDN w:val="0"/>
        <w:adjustRightInd w:val="0"/>
        <w:spacing w:after="240" w:line="240" w:lineRule="auto"/>
        <w:jc w:val="both"/>
        <w:rPr>
          <w:rFonts w:cs="Calibri"/>
          <w:lang w:val="en-US"/>
        </w:rPr>
      </w:pPr>
      <w:r w:rsidRPr="00124DA6">
        <w:rPr>
          <w:rFonts w:cs="Calibri"/>
          <w:lang w:val="en-US"/>
        </w:rPr>
        <w:t>This report was produced by a team</w:t>
      </w:r>
      <w:r w:rsidR="009331B1" w:rsidRPr="00124DA6">
        <w:rPr>
          <w:rFonts w:cs="Calibri"/>
          <w:lang w:val="en-US"/>
        </w:rPr>
        <w:t xml:space="preserve"> </w:t>
      </w:r>
      <w:r w:rsidR="00C702B4">
        <w:rPr>
          <w:rFonts w:cs="Calibri"/>
          <w:lang w:val="en-US"/>
        </w:rPr>
        <w:t xml:space="preserve">that was </w:t>
      </w:r>
      <w:r w:rsidRPr="00124DA6">
        <w:rPr>
          <w:rFonts w:cs="Calibri"/>
          <w:lang w:val="en-US"/>
        </w:rPr>
        <w:t xml:space="preserve">led by Philippe Marie Aguera (Senior Financial Sector Specialist, World Bank Group) </w:t>
      </w:r>
      <w:r w:rsidR="00C702B4">
        <w:rPr>
          <w:rFonts w:cs="Calibri"/>
          <w:lang w:val="en-US"/>
        </w:rPr>
        <w:t xml:space="preserve">and that </w:t>
      </w:r>
      <w:r w:rsidRPr="00124DA6">
        <w:rPr>
          <w:rFonts w:cs="Calibri"/>
          <w:lang w:val="en-US"/>
        </w:rPr>
        <w:t>includ</w:t>
      </w:r>
      <w:r w:rsidR="009331B1" w:rsidRPr="00124DA6">
        <w:rPr>
          <w:rFonts w:cs="Calibri"/>
          <w:lang w:val="en-US"/>
        </w:rPr>
        <w:t>ed</w:t>
      </w:r>
      <w:r w:rsidRPr="00124DA6">
        <w:rPr>
          <w:rFonts w:cs="Calibri"/>
          <w:lang w:val="en-US"/>
        </w:rPr>
        <w:t xml:space="preserve"> Tenin Fatimata Dicko (Young Professional, World Bank)</w:t>
      </w:r>
      <w:r w:rsidR="009331B1" w:rsidRPr="00124DA6">
        <w:rPr>
          <w:rFonts w:cs="Calibri"/>
          <w:lang w:val="en-US"/>
        </w:rPr>
        <w:t xml:space="preserve"> and</w:t>
      </w:r>
      <w:r w:rsidRPr="00124DA6">
        <w:rPr>
          <w:rFonts w:cs="Calibri"/>
          <w:lang w:val="en-US"/>
        </w:rPr>
        <w:t xml:space="preserve"> Omar Ndiaye (Consultant)</w:t>
      </w:r>
      <w:r w:rsidR="009331B1" w:rsidRPr="00124DA6">
        <w:rPr>
          <w:rFonts w:cs="Calibri"/>
          <w:lang w:val="en-US"/>
        </w:rPr>
        <w:t>,</w:t>
      </w:r>
      <w:r w:rsidRPr="00124DA6">
        <w:rPr>
          <w:rFonts w:cs="Calibri"/>
          <w:lang w:val="en-US"/>
        </w:rPr>
        <w:t xml:space="preserve"> </w:t>
      </w:r>
      <w:r w:rsidR="00CB4CDF" w:rsidRPr="00124DA6">
        <w:rPr>
          <w:color w:val="000000" w:themeColor="text1"/>
          <w:lang w:val="en-US"/>
        </w:rPr>
        <w:t xml:space="preserve">and </w:t>
      </w:r>
      <w:r w:rsidR="00CB701F" w:rsidRPr="00124DA6">
        <w:rPr>
          <w:color w:val="000000" w:themeColor="text1"/>
          <w:lang w:val="en-US"/>
        </w:rPr>
        <w:t xml:space="preserve">it also </w:t>
      </w:r>
      <w:r w:rsidR="00CB4CDF" w:rsidRPr="00124DA6">
        <w:rPr>
          <w:color w:val="000000" w:themeColor="text1"/>
          <w:lang w:val="en-US"/>
        </w:rPr>
        <w:t>benefitted from the</w:t>
      </w:r>
      <w:r w:rsidR="00CB4CDF" w:rsidRPr="00124DA6">
        <w:rPr>
          <w:rFonts w:cs="Calibri"/>
          <w:lang w:val="en-US"/>
        </w:rPr>
        <w:t xml:space="preserve"> </w:t>
      </w:r>
      <w:r w:rsidRPr="00124DA6">
        <w:rPr>
          <w:rFonts w:cs="Calibri"/>
          <w:lang w:val="en-US"/>
        </w:rPr>
        <w:t xml:space="preserve">contributions of Dorothee Delort (Senior Financial Specialist, World Bank Group) and Marco </w:t>
      </w:r>
      <w:r w:rsidRPr="00124DA6">
        <w:rPr>
          <w:rFonts w:cs="Times New Roman"/>
          <w:lang w:val="en-US"/>
        </w:rPr>
        <w:t>Traversa</w:t>
      </w:r>
      <w:r w:rsidRPr="00124DA6">
        <w:rPr>
          <w:rFonts w:cs="Calibri"/>
          <w:lang w:val="en-US"/>
        </w:rPr>
        <w:t xml:space="preserve"> (Financial Analyst, World Bank Group).</w:t>
      </w:r>
    </w:p>
    <w:p w14:paraId="450CB34A" w14:textId="4A7D2071" w:rsidR="00CB4CDF" w:rsidRPr="00124DA6" w:rsidRDefault="00CB4CDF" w:rsidP="00F34A7E">
      <w:pPr>
        <w:autoSpaceDE w:val="0"/>
        <w:autoSpaceDN w:val="0"/>
        <w:adjustRightInd w:val="0"/>
        <w:spacing w:after="240" w:line="240" w:lineRule="auto"/>
        <w:jc w:val="both"/>
        <w:rPr>
          <w:rFonts w:cs="Times New Roman"/>
          <w:lang w:val="en-US"/>
        </w:rPr>
      </w:pPr>
      <w:r w:rsidRPr="00124DA6">
        <w:rPr>
          <w:rFonts w:cs="Times New Roman"/>
          <w:lang w:val="en-US"/>
        </w:rPr>
        <w:t xml:space="preserve">The team would also like to express its gratitude to the authorities in Benin as well as to various stakeholders in Cotonou, including the Ministry of Finance, the </w:t>
      </w:r>
      <w:r w:rsidR="009F7295" w:rsidRPr="00124DA6">
        <w:rPr>
          <w:lang w:val="en-US"/>
        </w:rPr>
        <w:t>Central Bank of West Africa States</w:t>
      </w:r>
      <w:r w:rsidR="009F7295" w:rsidRPr="00124DA6">
        <w:rPr>
          <w:rFonts w:cs="Times New Roman"/>
          <w:lang w:val="en-US"/>
        </w:rPr>
        <w:t xml:space="preserve"> (</w:t>
      </w:r>
      <w:r w:rsidRPr="00124DA6">
        <w:rPr>
          <w:rFonts w:cs="Times New Roman"/>
          <w:lang w:val="en-US"/>
        </w:rPr>
        <w:t xml:space="preserve">BCEAO), </w:t>
      </w:r>
      <w:r w:rsidR="009F7295" w:rsidRPr="00124DA6">
        <w:rPr>
          <w:rFonts w:cstheme="minorHAnsi"/>
          <w:lang w:val="en-US"/>
        </w:rPr>
        <w:t xml:space="preserve">National </w:t>
      </w:r>
      <w:r w:rsidR="004853EE" w:rsidRPr="00124DA6">
        <w:rPr>
          <w:rFonts w:cstheme="minorHAnsi"/>
          <w:lang w:val="en-US"/>
        </w:rPr>
        <w:t>M</w:t>
      </w:r>
      <w:r w:rsidR="009F7295" w:rsidRPr="00124DA6">
        <w:rPr>
          <w:rFonts w:cstheme="minorHAnsi"/>
          <w:lang w:val="en-US"/>
        </w:rPr>
        <w:t>icrofinance Institutions Supervisory Agency</w:t>
      </w:r>
      <w:r w:rsidR="009F7295" w:rsidRPr="00124DA6">
        <w:rPr>
          <w:rFonts w:cs="Times New Roman"/>
          <w:lang w:val="en-US"/>
        </w:rPr>
        <w:t xml:space="preserve"> (</w:t>
      </w:r>
      <w:proofErr w:type="spellStart"/>
      <w:r w:rsidR="00351874" w:rsidRPr="00124DA6">
        <w:rPr>
          <w:rFonts w:cstheme="minorHAnsi"/>
          <w:i/>
          <w:lang w:val="en-US"/>
        </w:rPr>
        <w:t>Agence</w:t>
      </w:r>
      <w:proofErr w:type="spellEnd"/>
      <w:r w:rsidR="00351874" w:rsidRPr="00124DA6">
        <w:rPr>
          <w:rFonts w:cstheme="minorHAnsi"/>
          <w:i/>
          <w:lang w:val="en-US"/>
        </w:rPr>
        <w:t xml:space="preserve"> </w:t>
      </w:r>
      <w:proofErr w:type="spellStart"/>
      <w:r w:rsidR="00351874" w:rsidRPr="00124DA6">
        <w:rPr>
          <w:rFonts w:cstheme="minorHAnsi"/>
          <w:i/>
          <w:lang w:val="en-US"/>
        </w:rPr>
        <w:t>Nationale</w:t>
      </w:r>
      <w:proofErr w:type="spellEnd"/>
      <w:r w:rsidR="00351874" w:rsidRPr="00124DA6">
        <w:rPr>
          <w:rFonts w:cstheme="minorHAnsi"/>
          <w:i/>
          <w:lang w:val="en-US"/>
        </w:rPr>
        <w:t xml:space="preserve"> de supervision des SFDs du </w:t>
      </w:r>
      <w:proofErr w:type="spellStart"/>
      <w:r w:rsidR="00351874" w:rsidRPr="00124DA6">
        <w:rPr>
          <w:rFonts w:cstheme="minorHAnsi"/>
          <w:i/>
          <w:lang w:val="en-US"/>
        </w:rPr>
        <w:t>Bénin</w:t>
      </w:r>
      <w:proofErr w:type="spellEnd"/>
      <w:r w:rsidR="00351874" w:rsidRPr="003F7461">
        <w:rPr>
          <w:rFonts w:cstheme="minorHAnsi"/>
          <w:lang w:val="en-US"/>
        </w:rPr>
        <w:t>,</w:t>
      </w:r>
      <w:r w:rsidR="00351874" w:rsidRPr="00124DA6">
        <w:rPr>
          <w:rFonts w:cs="Times New Roman"/>
          <w:lang w:val="en-US"/>
        </w:rPr>
        <w:t xml:space="preserve"> </w:t>
      </w:r>
      <w:r w:rsidRPr="00124DA6">
        <w:rPr>
          <w:rFonts w:cs="Times New Roman"/>
          <w:lang w:val="en-US"/>
        </w:rPr>
        <w:t>ANSSFD</w:t>
      </w:r>
      <w:r w:rsidR="009F7295" w:rsidRPr="00124DA6">
        <w:rPr>
          <w:rFonts w:cs="Times New Roman"/>
          <w:lang w:val="en-US"/>
        </w:rPr>
        <w:t>)</w:t>
      </w:r>
      <w:r w:rsidRPr="00124DA6">
        <w:rPr>
          <w:rFonts w:cs="Times New Roman"/>
          <w:lang w:val="en-US"/>
        </w:rPr>
        <w:t xml:space="preserve">, </w:t>
      </w:r>
      <w:r w:rsidR="009F7295" w:rsidRPr="00124DA6">
        <w:rPr>
          <w:lang w:val="en-US"/>
        </w:rPr>
        <w:t>National Microfinance Funds</w:t>
      </w:r>
      <w:r w:rsidR="009F7295" w:rsidRPr="00124DA6">
        <w:rPr>
          <w:rFonts w:cs="Times New Roman"/>
          <w:lang w:val="en-US"/>
        </w:rPr>
        <w:t xml:space="preserve"> (</w:t>
      </w:r>
      <w:r w:rsidRPr="00124DA6">
        <w:rPr>
          <w:rFonts w:cs="Times New Roman"/>
          <w:lang w:val="en-US"/>
        </w:rPr>
        <w:t>FNM</w:t>
      </w:r>
      <w:r w:rsidR="009F7295" w:rsidRPr="00124DA6">
        <w:rPr>
          <w:rFonts w:cs="Times New Roman"/>
          <w:lang w:val="en-US"/>
        </w:rPr>
        <w:t>)</w:t>
      </w:r>
      <w:r w:rsidRPr="00124DA6">
        <w:rPr>
          <w:rFonts w:cs="Times New Roman"/>
          <w:lang w:val="en-US"/>
        </w:rPr>
        <w:t>, all commercial banks, microfinance institutions, mobile network operators, professional associations of banks</w:t>
      </w:r>
      <w:r w:rsidR="00950846" w:rsidRPr="00124DA6">
        <w:rPr>
          <w:rFonts w:cs="Times New Roman"/>
          <w:lang w:val="en-US"/>
        </w:rPr>
        <w:t>,</w:t>
      </w:r>
      <w:r w:rsidRPr="00124DA6">
        <w:rPr>
          <w:rFonts w:cs="Times New Roman"/>
          <w:lang w:val="en-US"/>
        </w:rPr>
        <w:t xml:space="preserve"> and microfinance institutions as well as insurance company</w:t>
      </w:r>
      <w:r w:rsidR="00ED3028" w:rsidRPr="00124DA6">
        <w:rPr>
          <w:rFonts w:cs="Times New Roman"/>
          <w:lang w:val="en-US"/>
        </w:rPr>
        <w:t>,</w:t>
      </w:r>
      <w:r w:rsidRPr="00124DA6">
        <w:rPr>
          <w:rFonts w:cs="Times New Roman"/>
          <w:lang w:val="en-US"/>
        </w:rPr>
        <w:t xml:space="preserve"> </w:t>
      </w:r>
      <w:r w:rsidR="009F7295" w:rsidRPr="00124DA6">
        <w:rPr>
          <w:lang w:val="en-US"/>
        </w:rPr>
        <w:t>Mutual Agriculture Insurance of Benin</w:t>
      </w:r>
      <w:r w:rsidR="009F7295" w:rsidRPr="00124DA6">
        <w:rPr>
          <w:rFonts w:cs="Times New Roman"/>
          <w:lang w:val="en-US"/>
        </w:rPr>
        <w:t xml:space="preserve"> (</w:t>
      </w:r>
      <w:r w:rsidR="00ED3028" w:rsidRPr="00124DA6">
        <w:rPr>
          <w:rFonts w:cstheme="minorHAnsi"/>
          <w:i/>
          <w:lang w:val="en-US"/>
        </w:rPr>
        <w:t xml:space="preserve">Assurance </w:t>
      </w:r>
      <w:proofErr w:type="spellStart"/>
      <w:r w:rsidR="00ED3028" w:rsidRPr="00124DA6">
        <w:rPr>
          <w:rFonts w:cstheme="minorHAnsi"/>
          <w:i/>
          <w:lang w:val="en-US"/>
        </w:rPr>
        <w:t>Mutuelle</w:t>
      </w:r>
      <w:proofErr w:type="spellEnd"/>
      <w:r w:rsidR="00ED3028" w:rsidRPr="00124DA6">
        <w:rPr>
          <w:rFonts w:cstheme="minorHAnsi"/>
          <w:i/>
          <w:lang w:val="en-US"/>
        </w:rPr>
        <w:t xml:space="preserve"> Agricole du </w:t>
      </w:r>
      <w:proofErr w:type="spellStart"/>
      <w:r w:rsidR="00ED3028" w:rsidRPr="00124DA6">
        <w:rPr>
          <w:rFonts w:cstheme="minorHAnsi"/>
          <w:i/>
          <w:lang w:val="en-US"/>
        </w:rPr>
        <w:t>B</w:t>
      </w:r>
      <w:r w:rsidR="00706F23">
        <w:rPr>
          <w:rFonts w:cstheme="minorHAnsi"/>
          <w:i/>
          <w:lang w:val="en-US"/>
        </w:rPr>
        <w:t>é</w:t>
      </w:r>
      <w:r w:rsidR="00ED3028" w:rsidRPr="00124DA6">
        <w:rPr>
          <w:rFonts w:cstheme="minorHAnsi"/>
          <w:i/>
          <w:lang w:val="en-US"/>
        </w:rPr>
        <w:t>nin</w:t>
      </w:r>
      <w:proofErr w:type="spellEnd"/>
      <w:r w:rsidR="00ED3028" w:rsidRPr="00124DA6">
        <w:rPr>
          <w:rFonts w:cstheme="minorHAnsi"/>
          <w:i/>
          <w:lang w:val="en-US"/>
        </w:rPr>
        <w:t>,</w:t>
      </w:r>
      <w:r w:rsidR="00ED3028" w:rsidRPr="00124DA6">
        <w:rPr>
          <w:rFonts w:cs="Times New Roman"/>
          <w:lang w:val="en-US"/>
        </w:rPr>
        <w:t xml:space="preserve"> </w:t>
      </w:r>
      <w:r w:rsidRPr="00124DA6">
        <w:rPr>
          <w:rFonts w:cs="Times New Roman"/>
          <w:lang w:val="en-US"/>
        </w:rPr>
        <w:t>AMAB</w:t>
      </w:r>
      <w:r w:rsidR="009F7295" w:rsidRPr="00124DA6">
        <w:rPr>
          <w:rFonts w:cs="Times New Roman"/>
          <w:lang w:val="en-US"/>
        </w:rPr>
        <w:t>)</w:t>
      </w:r>
      <w:r w:rsidR="00ED3028" w:rsidRPr="00124DA6">
        <w:rPr>
          <w:rFonts w:cs="Times New Roman"/>
          <w:lang w:val="en-US"/>
        </w:rPr>
        <w:t>,</w:t>
      </w:r>
      <w:r w:rsidRPr="00124DA6">
        <w:rPr>
          <w:rFonts w:cs="Times New Roman"/>
          <w:lang w:val="en-US"/>
        </w:rPr>
        <w:t xml:space="preserve"> and producers</w:t>
      </w:r>
      <w:r w:rsidR="00950846" w:rsidRPr="00124DA6">
        <w:rPr>
          <w:rFonts w:cs="Times New Roman"/>
          <w:lang w:val="en-US"/>
        </w:rPr>
        <w:t>’</w:t>
      </w:r>
      <w:r w:rsidRPr="00124DA6">
        <w:rPr>
          <w:rFonts w:cs="Times New Roman"/>
          <w:lang w:val="en-US"/>
        </w:rPr>
        <w:t xml:space="preserve"> organizations.</w:t>
      </w:r>
    </w:p>
    <w:p w14:paraId="13470450" w14:textId="6A5A7123" w:rsidR="00507974" w:rsidRDefault="00CB4CDF" w:rsidP="00F34A7E">
      <w:pPr>
        <w:autoSpaceDE w:val="0"/>
        <w:autoSpaceDN w:val="0"/>
        <w:adjustRightInd w:val="0"/>
        <w:spacing w:after="240" w:line="240" w:lineRule="auto"/>
        <w:jc w:val="both"/>
        <w:rPr>
          <w:rFonts w:cs="Times New Roman"/>
          <w:lang w:val="en-US"/>
        </w:rPr>
      </w:pPr>
      <w:r w:rsidRPr="00124DA6">
        <w:rPr>
          <w:rFonts w:cs="Times New Roman"/>
          <w:lang w:val="en-US"/>
        </w:rPr>
        <w:t xml:space="preserve">The team also wishes to acknowledge the invaluable support and contribution </w:t>
      </w:r>
      <w:r w:rsidR="00C01866" w:rsidRPr="00124DA6">
        <w:rPr>
          <w:rFonts w:cs="Times New Roman"/>
          <w:lang w:val="en-US"/>
        </w:rPr>
        <w:t>of Katrina</w:t>
      </w:r>
      <w:r w:rsidRPr="00124DA6">
        <w:rPr>
          <w:rFonts w:cs="Times New Roman"/>
          <w:lang w:val="en-US"/>
        </w:rPr>
        <w:t xml:space="preserve"> Shark</w:t>
      </w:r>
      <w:r w:rsidR="00A549E7">
        <w:rPr>
          <w:rFonts w:cs="Times New Roman"/>
          <w:lang w:val="en-US"/>
        </w:rPr>
        <w:t>e</w:t>
      </w:r>
      <w:r w:rsidRPr="00124DA6">
        <w:rPr>
          <w:rFonts w:cs="Times New Roman"/>
          <w:lang w:val="en-US"/>
        </w:rPr>
        <w:t xml:space="preserve">y (Country Manager, </w:t>
      </w:r>
      <w:r w:rsidR="00982421" w:rsidRPr="00124DA6">
        <w:rPr>
          <w:rFonts w:cs="Times New Roman"/>
          <w:lang w:val="en-US"/>
        </w:rPr>
        <w:t>World Bank</w:t>
      </w:r>
      <w:r w:rsidRPr="00124DA6">
        <w:rPr>
          <w:rFonts w:cs="Times New Roman"/>
          <w:lang w:val="en-US"/>
        </w:rPr>
        <w:t>) and her staff</w:t>
      </w:r>
      <w:r w:rsidR="00B61AED" w:rsidRPr="00124DA6">
        <w:rPr>
          <w:rFonts w:cs="Times New Roman"/>
          <w:lang w:val="en-US"/>
        </w:rPr>
        <w:t>.</w:t>
      </w:r>
    </w:p>
    <w:p w14:paraId="2AB33E6F" w14:textId="77777777" w:rsidR="00507974" w:rsidRDefault="00507974">
      <w:pPr>
        <w:rPr>
          <w:rFonts w:cs="Times New Roman"/>
          <w:lang w:val="en-US"/>
        </w:rPr>
      </w:pPr>
      <w:r>
        <w:rPr>
          <w:rFonts w:cs="Times New Roman"/>
          <w:lang w:val="en-US"/>
        </w:rPr>
        <w:br w:type="page"/>
      </w:r>
    </w:p>
    <w:p w14:paraId="2BAD1FC3" w14:textId="77777777" w:rsidR="009A254C" w:rsidRPr="004661BB" w:rsidRDefault="009A254C" w:rsidP="006B69E6">
      <w:pPr>
        <w:pStyle w:val="Heading1"/>
        <w:rPr>
          <w:b/>
        </w:rPr>
      </w:pPr>
      <w:bookmarkStart w:id="4" w:name="_Toc3975119"/>
      <w:r w:rsidRPr="004661BB">
        <w:rPr>
          <w:b/>
        </w:rPr>
        <w:t xml:space="preserve">Executive </w:t>
      </w:r>
      <w:r w:rsidR="00CB701F" w:rsidRPr="004661BB">
        <w:rPr>
          <w:b/>
        </w:rPr>
        <w:t>S</w:t>
      </w:r>
      <w:r w:rsidRPr="004661BB">
        <w:rPr>
          <w:b/>
        </w:rPr>
        <w:t>ummary</w:t>
      </w:r>
      <w:bookmarkEnd w:id="4"/>
    </w:p>
    <w:p w14:paraId="2BA83C48" w14:textId="1CA02F3D" w:rsidR="009A254C" w:rsidRPr="00124DA6" w:rsidRDefault="009A254C" w:rsidP="00E1011D">
      <w:pPr>
        <w:autoSpaceDE w:val="0"/>
        <w:autoSpaceDN w:val="0"/>
        <w:adjustRightInd w:val="0"/>
        <w:spacing w:after="240" w:line="240" w:lineRule="auto"/>
        <w:jc w:val="both"/>
        <w:rPr>
          <w:rFonts w:cstheme="minorHAnsi"/>
          <w:lang w:val="en-US"/>
        </w:rPr>
      </w:pPr>
      <w:r w:rsidRPr="00124DA6">
        <w:rPr>
          <w:rFonts w:cstheme="minorHAnsi"/>
          <w:b/>
          <w:lang w:val="en-US"/>
        </w:rPr>
        <w:t xml:space="preserve">Benin is a small West African country with a per capita income of </w:t>
      </w:r>
      <w:r w:rsidR="00141BD7">
        <w:rPr>
          <w:rFonts w:cstheme="minorHAnsi"/>
          <w:b/>
          <w:lang w:val="en-US"/>
        </w:rPr>
        <w:t>U.S.</w:t>
      </w:r>
      <w:r w:rsidR="003B0984">
        <w:rPr>
          <w:rFonts w:cstheme="minorHAnsi"/>
          <w:b/>
          <w:lang w:val="en-US"/>
        </w:rPr>
        <w:t xml:space="preserve"> </w:t>
      </w:r>
      <w:r w:rsidRPr="00124DA6">
        <w:rPr>
          <w:rFonts w:cstheme="minorHAnsi"/>
          <w:b/>
          <w:lang w:val="en-US"/>
        </w:rPr>
        <w:t>$840</w:t>
      </w:r>
      <w:r w:rsidRPr="00124DA6">
        <w:rPr>
          <w:rFonts w:cstheme="minorHAnsi"/>
          <w:lang w:val="en-US"/>
        </w:rPr>
        <w:t>. The total population is approximately 10</w:t>
      </w:r>
      <w:r w:rsidR="00C702B4">
        <w:rPr>
          <w:rFonts w:cstheme="minorHAnsi"/>
          <w:lang w:val="en-US"/>
        </w:rPr>
        <w:t> </w:t>
      </w:r>
      <w:r w:rsidRPr="00124DA6">
        <w:rPr>
          <w:rFonts w:cstheme="minorHAnsi"/>
          <w:lang w:val="en-US"/>
        </w:rPr>
        <w:t xml:space="preserve">million and is growing at a rapid rate of 3.5 percent annually. </w:t>
      </w:r>
      <w:r w:rsidR="0091687A" w:rsidRPr="00124DA6">
        <w:rPr>
          <w:rFonts w:cstheme="minorHAnsi"/>
          <w:lang w:val="en-US"/>
        </w:rPr>
        <w:t xml:space="preserve">About </w:t>
      </w:r>
      <w:r w:rsidRPr="00124DA6">
        <w:rPr>
          <w:rFonts w:cstheme="minorHAnsi"/>
          <w:lang w:val="en-US"/>
        </w:rPr>
        <w:t>52</w:t>
      </w:r>
      <w:r w:rsidR="0091687A" w:rsidRPr="00124DA6">
        <w:rPr>
          <w:rFonts w:cstheme="minorHAnsi"/>
          <w:lang w:val="en-US"/>
        </w:rPr>
        <w:t xml:space="preserve"> percent</w:t>
      </w:r>
      <w:r w:rsidRPr="00124DA6">
        <w:rPr>
          <w:rFonts w:cstheme="minorHAnsi"/>
          <w:lang w:val="en-US"/>
        </w:rPr>
        <w:t xml:space="preserve"> of its population lives in urban areas and </w:t>
      </w:r>
      <w:r w:rsidR="0091687A" w:rsidRPr="00124DA6">
        <w:rPr>
          <w:rFonts w:cstheme="minorHAnsi"/>
          <w:lang w:val="en-US"/>
        </w:rPr>
        <w:t xml:space="preserve">is </w:t>
      </w:r>
      <w:r w:rsidRPr="00124DA6">
        <w:rPr>
          <w:rFonts w:cstheme="minorHAnsi"/>
          <w:lang w:val="en-US"/>
        </w:rPr>
        <w:t>mostly concentrated on the southern parts of the country, near the sea and the biggest cities of Cotonou</w:t>
      </w:r>
      <w:r w:rsidR="0091687A" w:rsidRPr="00124DA6">
        <w:rPr>
          <w:rFonts w:cstheme="minorHAnsi"/>
          <w:lang w:val="en-US"/>
        </w:rPr>
        <w:t>—</w:t>
      </w:r>
      <w:r w:rsidRPr="00124DA6">
        <w:rPr>
          <w:rFonts w:cstheme="minorHAnsi"/>
          <w:lang w:val="en-US"/>
        </w:rPr>
        <w:t>the economic capital</w:t>
      </w:r>
      <w:r w:rsidR="0091687A" w:rsidRPr="00124DA6">
        <w:rPr>
          <w:rFonts w:cstheme="minorHAnsi"/>
          <w:lang w:val="en-US"/>
        </w:rPr>
        <w:t>—</w:t>
      </w:r>
      <w:r w:rsidRPr="00124DA6">
        <w:rPr>
          <w:rFonts w:cstheme="minorHAnsi"/>
          <w:lang w:val="en-US"/>
        </w:rPr>
        <w:t>and Porto-Novo</w:t>
      </w:r>
      <w:r w:rsidR="0091687A" w:rsidRPr="00124DA6">
        <w:rPr>
          <w:rFonts w:cstheme="minorHAnsi"/>
          <w:lang w:val="en-US"/>
        </w:rPr>
        <w:t>—</w:t>
      </w:r>
      <w:r w:rsidRPr="00124DA6">
        <w:rPr>
          <w:rFonts w:cstheme="minorHAnsi"/>
          <w:lang w:val="en-US"/>
        </w:rPr>
        <w:t xml:space="preserve">the political capital. Real </w:t>
      </w:r>
      <w:r w:rsidR="0091687A" w:rsidRPr="00124DA6">
        <w:rPr>
          <w:rFonts w:cstheme="minorHAnsi"/>
          <w:lang w:val="en-US"/>
        </w:rPr>
        <w:t>gross domestic product (</w:t>
      </w:r>
      <w:r w:rsidRPr="00124DA6">
        <w:rPr>
          <w:rFonts w:cstheme="minorHAnsi"/>
          <w:lang w:val="en-US"/>
        </w:rPr>
        <w:t>GDP</w:t>
      </w:r>
      <w:r w:rsidR="0091687A" w:rsidRPr="00124DA6">
        <w:rPr>
          <w:rFonts w:cstheme="minorHAnsi"/>
          <w:lang w:val="en-US"/>
        </w:rPr>
        <w:t>)</w:t>
      </w:r>
      <w:r w:rsidRPr="00124DA6">
        <w:rPr>
          <w:rFonts w:cstheme="minorHAnsi"/>
          <w:lang w:val="en-US"/>
        </w:rPr>
        <w:t xml:space="preserve"> grew on average by 4.3 percent annually during 2000</w:t>
      </w:r>
      <w:r w:rsidR="0091687A" w:rsidRPr="00124DA6">
        <w:rPr>
          <w:rFonts w:cstheme="minorHAnsi"/>
          <w:lang w:val="en-US"/>
        </w:rPr>
        <w:t>–</w:t>
      </w:r>
      <w:r w:rsidRPr="00124DA6">
        <w:rPr>
          <w:rFonts w:cstheme="minorHAnsi"/>
          <w:lang w:val="en-US"/>
        </w:rPr>
        <w:t>2015 and growth has accelerated slightly over the last five</w:t>
      </w:r>
      <w:r w:rsidR="0091687A" w:rsidRPr="00124DA6">
        <w:rPr>
          <w:rFonts w:cstheme="minorHAnsi"/>
          <w:lang w:val="en-US"/>
        </w:rPr>
        <w:t xml:space="preserve"> </w:t>
      </w:r>
      <w:r w:rsidRPr="00124DA6">
        <w:rPr>
          <w:rFonts w:cstheme="minorHAnsi"/>
          <w:lang w:val="en-US"/>
        </w:rPr>
        <w:t>year</w:t>
      </w:r>
      <w:r w:rsidR="0091687A" w:rsidRPr="00124DA6">
        <w:rPr>
          <w:rFonts w:cstheme="minorHAnsi"/>
          <w:lang w:val="en-US"/>
        </w:rPr>
        <w:t>s</w:t>
      </w:r>
      <w:r w:rsidRPr="00124DA6">
        <w:rPr>
          <w:rFonts w:cstheme="minorHAnsi"/>
          <w:lang w:val="en-US"/>
        </w:rPr>
        <w:t xml:space="preserve"> (2011</w:t>
      </w:r>
      <w:r w:rsidR="0091687A" w:rsidRPr="00124DA6">
        <w:rPr>
          <w:rFonts w:cstheme="minorHAnsi"/>
          <w:lang w:val="en-US"/>
        </w:rPr>
        <w:t>–</w:t>
      </w:r>
      <w:r w:rsidRPr="00124DA6">
        <w:rPr>
          <w:rFonts w:cstheme="minorHAnsi"/>
          <w:lang w:val="en-US"/>
        </w:rPr>
        <w:t>2015) to around 4.7 percent. Over the same period (2000</w:t>
      </w:r>
      <w:r w:rsidR="00E5219C" w:rsidRPr="00124DA6">
        <w:rPr>
          <w:rFonts w:cstheme="minorHAnsi"/>
          <w:lang w:val="en-US"/>
        </w:rPr>
        <w:t>–</w:t>
      </w:r>
      <w:r w:rsidRPr="00124DA6">
        <w:rPr>
          <w:rFonts w:cstheme="minorHAnsi"/>
          <w:lang w:val="en-US"/>
        </w:rPr>
        <w:t>2015)</w:t>
      </w:r>
      <w:r w:rsidR="00E5219C" w:rsidRPr="00124DA6">
        <w:rPr>
          <w:rFonts w:cstheme="minorHAnsi"/>
          <w:lang w:val="en-US"/>
        </w:rPr>
        <w:t>,</w:t>
      </w:r>
      <w:r w:rsidRPr="00124DA6">
        <w:rPr>
          <w:rFonts w:cstheme="minorHAnsi"/>
          <w:lang w:val="en-US"/>
        </w:rPr>
        <w:t xml:space="preserve"> the services sector was the primary driver of GDP growth with a share of GDP of 47 percent </w:t>
      </w:r>
      <w:r w:rsidR="00E5219C" w:rsidRPr="00124DA6">
        <w:rPr>
          <w:rFonts w:cstheme="minorHAnsi"/>
          <w:lang w:val="en-US"/>
        </w:rPr>
        <w:t>o</w:t>
      </w:r>
      <w:r w:rsidRPr="00124DA6">
        <w:rPr>
          <w:rFonts w:cstheme="minorHAnsi"/>
          <w:lang w:val="en-US"/>
        </w:rPr>
        <w:t xml:space="preserve">n average against 26 percent for both agriculture and industry. </w:t>
      </w:r>
    </w:p>
    <w:p w14:paraId="701D51B9" w14:textId="72F03763" w:rsidR="009A254C" w:rsidRPr="00124DA6" w:rsidRDefault="009A254C" w:rsidP="00E1011D">
      <w:pPr>
        <w:autoSpaceDE w:val="0"/>
        <w:autoSpaceDN w:val="0"/>
        <w:adjustRightInd w:val="0"/>
        <w:spacing w:after="240" w:line="240" w:lineRule="auto"/>
        <w:jc w:val="both"/>
        <w:rPr>
          <w:rFonts w:cstheme="minorHAnsi"/>
          <w:lang w:val="en-US"/>
        </w:rPr>
      </w:pPr>
      <w:r w:rsidRPr="00124DA6">
        <w:rPr>
          <w:rFonts w:cstheme="minorHAnsi"/>
          <w:b/>
          <w:lang w:val="en-US"/>
        </w:rPr>
        <w:t>Despite moderate GDP growth in 2000</w:t>
      </w:r>
      <w:r w:rsidR="00E5219C" w:rsidRPr="00124DA6">
        <w:rPr>
          <w:rFonts w:cstheme="minorHAnsi"/>
          <w:b/>
          <w:lang w:val="en-US"/>
        </w:rPr>
        <w:t>–</w:t>
      </w:r>
      <w:r w:rsidRPr="00124DA6">
        <w:rPr>
          <w:rFonts w:cstheme="minorHAnsi"/>
          <w:b/>
          <w:lang w:val="en-US"/>
        </w:rPr>
        <w:t xml:space="preserve">2015, poverty remains widespread. </w:t>
      </w:r>
      <w:r w:rsidRPr="00124DA6">
        <w:rPr>
          <w:rFonts w:cstheme="minorHAnsi"/>
          <w:lang w:val="en-US"/>
        </w:rPr>
        <w:t xml:space="preserve">Per the </w:t>
      </w:r>
      <w:r w:rsidR="00E5219C" w:rsidRPr="00124DA6">
        <w:rPr>
          <w:rFonts w:cstheme="minorHAnsi"/>
          <w:lang w:val="en-US"/>
        </w:rPr>
        <w:t xml:space="preserve">World </w:t>
      </w:r>
      <w:r w:rsidRPr="00124DA6">
        <w:rPr>
          <w:rFonts w:cstheme="minorHAnsi"/>
          <w:lang w:val="en-US"/>
        </w:rPr>
        <w:t xml:space="preserve">Bank estimates of the </w:t>
      </w:r>
      <w:r w:rsidR="00141BD7">
        <w:rPr>
          <w:rFonts w:cstheme="minorHAnsi"/>
          <w:lang w:val="en-US"/>
        </w:rPr>
        <w:t>U.S.</w:t>
      </w:r>
      <w:r w:rsidR="003B0984">
        <w:rPr>
          <w:rFonts w:cstheme="minorHAnsi"/>
          <w:lang w:val="en-US"/>
        </w:rPr>
        <w:t xml:space="preserve"> </w:t>
      </w:r>
      <w:r w:rsidRPr="00124DA6">
        <w:rPr>
          <w:rFonts w:cstheme="minorHAnsi"/>
          <w:lang w:val="en-US"/>
        </w:rPr>
        <w:t>$1.90 per day poverty line, the poverty rate was 61.4 percent</w:t>
      </w:r>
      <w:r w:rsidR="00E5219C" w:rsidRPr="00124DA6">
        <w:rPr>
          <w:rFonts w:cstheme="minorHAnsi"/>
          <w:lang w:val="en-US"/>
        </w:rPr>
        <w:t xml:space="preserve"> in 2006</w:t>
      </w:r>
      <w:r w:rsidRPr="00124DA6">
        <w:rPr>
          <w:rFonts w:cstheme="minorHAnsi"/>
          <w:lang w:val="en-US"/>
        </w:rPr>
        <w:t>, 48.5 percent in 2010</w:t>
      </w:r>
      <w:r w:rsidR="00E5219C" w:rsidRPr="00124DA6">
        <w:rPr>
          <w:rFonts w:cstheme="minorHAnsi"/>
          <w:lang w:val="en-US"/>
        </w:rPr>
        <w:t>,</w:t>
      </w:r>
      <w:r w:rsidRPr="00124DA6">
        <w:rPr>
          <w:rFonts w:cstheme="minorHAnsi"/>
          <w:lang w:val="en-US"/>
        </w:rPr>
        <w:t xml:space="preserve"> and 49.5 percent in 2015.</w:t>
      </w:r>
      <w:r w:rsidR="00165C4D" w:rsidRPr="00124DA6">
        <w:rPr>
          <w:rFonts w:cstheme="minorHAnsi"/>
          <w:lang w:val="en-US"/>
        </w:rPr>
        <w:t xml:space="preserve"> </w:t>
      </w:r>
      <w:r w:rsidRPr="00124DA6">
        <w:rPr>
          <w:rFonts w:cstheme="minorHAnsi"/>
          <w:lang w:val="en-US"/>
        </w:rPr>
        <w:t>In 2015, 60 percent of the rural population lived below poverty line</w:t>
      </w:r>
      <w:r w:rsidR="003B0984">
        <w:rPr>
          <w:rFonts w:cstheme="minorHAnsi"/>
          <w:lang w:val="en-US"/>
        </w:rPr>
        <w:t xml:space="preserve"> </w:t>
      </w:r>
      <w:r w:rsidRPr="00124DA6">
        <w:rPr>
          <w:rFonts w:cstheme="minorHAnsi"/>
          <w:lang w:val="en-US"/>
        </w:rPr>
        <w:t xml:space="preserve">while </w:t>
      </w:r>
      <w:r w:rsidR="003B0984">
        <w:rPr>
          <w:rFonts w:cstheme="minorHAnsi"/>
          <w:lang w:val="en-US"/>
        </w:rPr>
        <w:t>that was the case for only</w:t>
      </w:r>
      <w:r w:rsidR="003B0984" w:rsidRPr="00124DA6">
        <w:rPr>
          <w:rFonts w:cstheme="minorHAnsi"/>
          <w:lang w:val="en-US"/>
        </w:rPr>
        <w:t xml:space="preserve"> </w:t>
      </w:r>
      <w:r w:rsidRPr="00124DA6">
        <w:rPr>
          <w:rFonts w:cstheme="minorHAnsi"/>
          <w:lang w:val="en-US"/>
        </w:rPr>
        <w:t xml:space="preserve">36 percent </w:t>
      </w:r>
      <w:r w:rsidR="003B0984">
        <w:rPr>
          <w:rFonts w:cstheme="minorHAnsi"/>
          <w:lang w:val="en-US"/>
        </w:rPr>
        <w:t xml:space="preserve">of the population </w:t>
      </w:r>
      <w:r w:rsidRPr="00124DA6">
        <w:rPr>
          <w:rFonts w:cstheme="minorHAnsi"/>
          <w:lang w:val="en-US"/>
        </w:rPr>
        <w:t xml:space="preserve">in urban areas. The incidence of poverty is higher in the poles of the country, particularly in the extreme north region and the </w:t>
      </w:r>
      <w:r w:rsidR="003B0984">
        <w:rPr>
          <w:rFonts w:cstheme="minorHAnsi"/>
          <w:lang w:val="en-US"/>
        </w:rPr>
        <w:t>fishing area</w:t>
      </w:r>
      <w:r w:rsidRPr="00124DA6">
        <w:rPr>
          <w:rFonts w:cstheme="minorHAnsi"/>
          <w:lang w:val="en-US"/>
        </w:rPr>
        <w:t xml:space="preserve">. </w:t>
      </w:r>
      <w:r w:rsidR="00E67439">
        <w:rPr>
          <w:rFonts w:cstheme="minorHAnsi"/>
          <w:lang w:val="en-US"/>
        </w:rPr>
        <w:t xml:space="preserve">Agriculture remains the largest contributor to </w:t>
      </w:r>
      <w:r w:rsidRPr="00124DA6">
        <w:rPr>
          <w:rFonts w:cstheme="minorHAnsi"/>
          <w:lang w:val="en-US"/>
        </w:rPr>
        <w:t>livelihood in rural areas.</w:t>
      </w:r>
    </w:p>
    <w:p w14:paraId="2FD50F8F" w14:textId="67B97599" w:rsidR="009A254C" w:rsidRPr="00124DA6" w:rsidRDefault="009A254C" w:rsidP="00E1011D">
      <w:pPr>
        <w:autoSpaceDE w:val="0"/>
        <w:autoSpaceDN w:val="0"/>
        <w:adjustRightInd w:val="0"/>
        <w:spacing w:after="240" w:line="240" w:lineRule="auto"/>
        <w:jc w:val="both"/>
        <w:rPr>
          <w:rFonts w:cstheme="minorHAnsi"/>
          <w:lang w:val="en-US"/>
        </w:rPr>
      </w:pPr>
      <w:r w:rsidRPr="00124DA6">
        <w:rPr>
          <w:rFonts w:cstheme="minorHAnsi"/>
          <w:b/>
          <w:lang w:val="en-US"/>
        </w:rPr>
        <w:t>The informal sectors (agriculture and services) represent up to 70 percent of GDP and continue to dominate the economy</w:t>
      </w:r>
      <w:r w:rsidRPr="00124DA6">
        <w:rPr>
          <w:rFonts w:cstheme="minorHAnsi"/>
          <w:lang w:val="en-US"/>
        </w:rPr>
        <w:t xml:space="preserve"> </w:t>
      </w:r>
      <w:r w:rsidRPr="00124DA6">
        <w:rPr>
          <w:rFonts w:cstheme="minorHAnsi"/>
          <w:b/>
          <w:lang w:val="en-US"/>
        </w:rPr>
        <w:t xml:space="preserve">with approximately 90 percent of the labor force. </w:t>
      </w:r>
      <w:r w:rsidR="00E5219C" w:rsidRPr="00124DA6">
        <w:rPr>
          <w:rFonts w:cstheme="minorHAnsi"/>
          <w:lang w:val="en-US"/>
        </w:rPr>
        <w:t>The</w:t>
      </w:r>
      <w:r w:rsidR="00E5219C" w:rsidRPr="00124DA6">
        <w:rPr>
          <w:rFonts w:cstheme="minorHAnsi"/>
          <w:b/>
          <w:lang w:val="en-US"/>
        </w:rPr>
        <w:t xml:space="preserve"> </w:t>
      </w:r>
      <w:r w:rsidR="00E5219C" w:rsidRPr="00124DA6">
        <w:rPr>
          <w:rFonts w:cstheme="minorHAnsi"/>
          <w:lang w:val="en-US"/>
        </w:rPr>
        <w:t>a</w:t>
      </w:r>
      <w:r w:rsidRPr="00124DA6">
        <w:rPr>
          <w:rFonts w:cstheme="minorHAnsi"/>
          <w:lang w:val="en-US"/>
        </w:rPr>
        <w:t>gricultur</w:t>
      </w:r>
      <w:r w:rsidR="00FE2D7F">
        <w:rPr>
          <w:rFonts w:cstheme="minorHAnsi"/>
          <w:lang w:val="en-US"/>
        </w:rPr>
        <w:t>al</w:t>
      </w:r>
      <w:r w:rsidRPr="00124DA6">
        <w:rPr>
          <w:rFonts w:cstheme="minorHAnsi"/>
          <w:lang w:val="en-US"/>
        </w:rPr>
        <w:t xml:space="preserve"> sector </w:t>
      </w:r>
      <w:r w:rsidR="00E67439">
        <w:rPr>
          <w:rFonts w:cstheme="minorHAnsi"/>
          <w:lang w:val="en-US"/>
        </w:rPr>
        <w:t>employs</w:t>
      </w:r>
      <w:r w:rsidR="00E67439" w:rsidRPr="00124DA6">
        <w:rPr>
          <w:rFonts w:cstheme="minorHAnsi"/>
          <w:lang w:val="en-US"/>
        </w:rPr>
        <w:t xml:space="preserve"> </w:t>
      </w:r>
      <w:r w:rsidR="00E67439">
        <w:rPr>
          <w:rFonts w:cstheme="minorHAnsi"/>
          <w:lang w:val="en-US"/>
        </w:rPr>
        <w:t>approximately</w:t>
      </w:r>
      <w:r w:rsidR="00E67439" w:rsidRPr="00124DA6">
        <w:rPr>
          <w:rFonts w:cstheme="minorHAnsi"/>
          <w:lang w:val="en-US"/>
        </w:rPr>
        <w:t xml:space="preserve"> </w:t>
      </w:r>
      <w:r w:rsidRPr="00124DA6">
        <w:rPr>
          <w:rFonts w:cstheme="minorHAnsi"/>
          <w:lang w:val="en-US"/>
        </w:rPr>
        <w:t>50 percent of the labor force with cotton (typically responsible for 25</w:t>
      </w:r>
      <w:r w:rsidR="00E5219C" w:rsidRPr="00124DA6">
        <w:rPr>
          <w:rFonts w:cstheme="minorHAnsi"/>
          <w:lang w:val="en-US"/>
        </w:rPr>
        <w:t>–</w:t>
      </w:r>
      <w:r w:rsidRPr="00124DA6">
        <w:rPr>
          <w:rFonts w:cstheme="minorHAnsi"/>
          <w:lang w:val="en-US"/>
        </w:rPr>
        <w:t>40 percent of exports), cereals, starchy roots</w:t>
      </w:r>
      <w:r w:rsidR="00E5219C" w:rsidRPr="00124DA6">
        <w:rPr>
          <w:rFonts w:cstheme="minorHAnsi"/>
          <w:lang w:val="en-US"/>
        </w:rPr>
        <w:t>,</w:t>
      </w:r>
      <w:r w:rsidRPr="00124DA6">
        <w:rPr>
          <w:rFonts w:cstheme="minorHAnsi"/>
          <w:lang w:val="en-US"/>
        </w:rPr>
        <w:t xml:space="preserve"> and increasingly cashews, pineapples</w:t>
      </w:r>
      <w:r w:rsidR="00E5219C" w:rsidRPr="00124DA6">
        <w:rPr>
          <w:rFonts w:cstheme="minorHAnsi"/>
          <w:lang w:val="en-US"/>
        </w:rPr>
        <w:t>,</w:t>
      </w:r>
      <w:r w:rsidRPr="00124DA6">
        <w:rPr>
          <w:rFonts w:cstheme="minorHAnsi"/>
          <w:lang w:val="en-US"/>
        </w:rPr>
        <w:t xml:space="preserve"> and rice</w:t>
      </w:r>
      <w:r w:rsidR="00E67439">
        <w:rPr>
          <w:rFonts w:cstheme="minorHAnsi"/>
          <w:lang w:val="en-US"/>
        </w:rPr>
        <w:t xml:space="preserve"> as main agricultural crops.</w:t>
      </w:r>
      <w:r w:rsidRPr="00124DA6">
        <w:rPr>
          <w:rFonts w:cstheme="minorHAnsi"/>
          <w:lang w:val="en-US"/>
        </w:rPr>
        <w:t xml:space="preserve"> Benin is recording a shift from</w:t>
      </w:r>
      <w:r w:rsidR="00E67439">
        <w:rPr>
          <w:rFonts w:cstheme="minorHAnsi"/>
          <w:lang w:val="en-US"/>
        </w:rPr>
        <w:t xml:space="preserve"> the </w:t>
      </w:r>
      <w:r w:rsidR="00DB5A1A">
        <w:rPr>
          <w:rFonts w:cstheme="minorHAnsi"/>
          <w:lang w:val="en-US"/>
        </w:rPr>
        <w:t>value-added</w:t>
      </w:r>
      <w:r w:rsidR="00E67439">
        <w:rPr>
          <w:rFonts w:cstheme="minorHAnsi"/>
          <w:lang w:val="en-US"/>
        </w:rPr>
        <w:t xml:space="preserve"> industry in the</w:t>
      </w:r>
      <w:r w:rsidRPr="00124DA6">
        <w:rPr>
          <w:rFonts w:cstheme="minorHAnsi"/>
          <w:lang w:val="en-US"/>
        </w:rPr>
        <w:t xml:space="preserve"> informal </w:t>
      </w:r>
      <w:r w:rsidR="00E67439">
        <w:rPr>
          <w:rFonts w:cstheme="minorHAnsi"/>
          <w:lang w:val="en-US"/>
        </w:rPr>
        <w:t>sector</w:t>
      </w:r>
      <w:r w:rsidR="00E67439" w:rsidRPr="00124DA6">
        <w:rPr>
          <w:rFonts w:cstheme="minorHAnsi"/>
          <w:lang w:val="en-US"/>
        </w:rPr>
        <w:t xml:space="preserve"> </w:t>
      </w:r>
      <w:r w:rsidRPr="00124DA6">
        <w:rPr>
          <w:rFonts w:cstheme="minorHAnsi"/>
          <w:lang w:val="en-US"/>
        </w:rPr>
        <w:t xml:space="preserve">toward </w:t>
      </w:r>
      <w:r w:rsidR="00E67439">
        <w:rPr>
          <w:rFonts w:cstheme="minorHAnsi"/>
          <w:lang w:val="en-US"/>
        </w:rPr>
        <w:t>the</w:t>
      </w:r>
      <w:r w:rsidRPr="00124DA6">
        <w:rPr>
          <w:rFonts w:cstheme="minorHAnsi"/>
          <w:lang w:val="en-US"/>
        </w:rPr>
        <w:t xml:space="preserve"> </w:t>
      </w:r>
      <w:r w:rsidR="00DB5A1A" w:rsidRPr="00124DA6">
        <w:rPr>
          <w:rFonts w:cstheme="minorHAnsi"/>
          <w:lang w:val="en-US"/>
        </w:rPr>
        <w:t>value-added</w:t>
      </w:r>
      <w:r w:rsidR="00E67439">
        <w:rPr>
          <w:rFonts w:cstheme="minorHAnsi"/>
          <w:lang w:val="en-US"/>
        </w:rPr>
        <w:t xml:space="preserve"> industry in the service sector</w:t>
      </w:r>
      <w:r w:rsidRPr="00124DA6">
        <w:rPr>
          <w:rFonts w:cstheme="minorHAnsi"/>
          <w:lang w:val="en-US"/>
        </w:rPr>
        <w:t>. The formal economy employs approximately only 10 percent of the labor force. Indeed, the economy is characterized by a small number of very large formal firms, very few medium-size enterprises</w:t>
      </w:r>
      <w:r w:rsidR="00E5219C" w:rsidRPr="00124DA6">
        <w:rPr>
          <w:rFonts w:cstheme="minorHAnsi"/>
          <w:lang w:val="en-US"/>
        </w:rPr>
        <w:t>,</w:t>
      </w:r>
      <w:r w:rsidRPr="00124DA6">
        <w:rPr>
          <w:rFonts w:cstheme="minorHAnsi"/>
          <w:lang w:val="en-US"/>
        </w:rPr>
        <w:t xml:space="preserve"> and an extremely large number of informal small and microenterprises. </w:t>
      </w:r>
      <w:r w:rsidR="00E67439">
        <w:rPr>
          <w:rFonts w:cstheme="minorHAnsi"/>
          <w:lang w:val="en-US"/>
        </w:rPr>
        <w:t>I</w:t>
      </w:r>
      <w:r w:rsidRPr="00124DA6">
        <w:rPr>
          <w:rFonts w:cstheme="minorHAnsi"/>
          <w:lang w:val="en-US"/>
        </w:rPr>
        <w:t>nformality has contributed to the adoption by the financial sector of a cautious approach to lending in</w:t>
      </w:r>
      <w:r w:rsidR="00665AD7" w:rsidRPr="00124DA6">
        <w:rPr>
          <w:rFonts w:cstheme="minorHAnsi"/>
          <w:lang w:val="en-US"/>
        </w:rPr>
        <w:t>-</w:t>
      </w:r>
      <w:r w:rsidRPr="00124DA6">
        <w:rPr>
          <w:rFonts w:cstheme="minorHAnsi"/>
          <w:lang w:val="en-US"/>
        </w:rPr>
        <w:t>country.</w:t>
      </w:r>
      <w:r w:rsidRPr="00124DA6">
        <w:rPr>
          <w:rFonts w:cstheme="minorHAnsi"/>
          <w:b/>
          <w:lang w:val="en-US"/>
        </w:rPr>
        <w:t xml:space="preserve"> </w:t>
      </w:r>
    </w:p>
    <w:p w14:paraId="1BC2A36A" w14:textId="2C96DE55" w:rsidR="009A254C" w:rsidRPr="00124DA6" w:rsidRDefault="009A254C" w:rsidP="00E1011D">
      <w:pPr>
        <w:autoSpaceDE w:val="0"/>
        <w:autoSpaceDN w:val="0"/>
        <w:adjustRightInd w:val="0"/>
        <w:spacing w:after="240" w:line="240" w:lineRule="auto"/>
        <w:jc w:val="both"/>
        <w:rPr>
          <w:rFonts w:cstheme="minorHAnsi"/>
          <w:b/>
          <w:lang w:val="en-US"/>
        </w:rPr>
      </w:pPr>
      <w:r w:rsidRPr="00124DA6">
        <w:rPr>
          <w:rFonts w:cstheme="minorHAnsi"/>
          <w:b/>
          <w:color w:val="222222"/>
          <w:lang w:val="en-US"/>
        </w:rPr>
        <w:t xml:space="preserve">The Government of Benin adopted a five-year program </w:t>
      </w:r>
      <w:r w:rsidR="004E3333">
        <w:rPr>
          <w:rFonts w:cstheme="minorHAnsi"/>
          <w:b/>
          <w:color w:val="222222"/>
          <w:lang w:val="en-US"/>
        </w:rPr>
        <w:t>(</w:t>
      </w:r>
      <w:r w:rsidRPr="00124DA6">
        <w:rPr>
          <w:rFonts w:cstheme="minorHAnsi"/>
          <w:b/>
          <w:color w:val="222222"/>
          <w:lang w:val="en-US"/>
        </w:rPr>
        <w:t>2016</w:t>
      </w:r>
      <w:r w:rsidR="007E1911" w:rsidRPr="00124DA6">
        <w:rPr>
          <w:rFonts w:cstheme="minorHAnsi"/>
          <w:b/>
          <w:color w:val="222222"/>
          <w:lang w:val="en-US"/>
        </w:rPr>
        <w:t>–</w:t>
      </w:r>
      <w:r w:rsidRPr="00124DA6">
        <w:rPr>
          <w:rFonts w:cstheme="minorHAnsi"/>
          <w:b/>
          <w:color w:val="222222"/>
          <w:lang w:val="en-US"/>
        </w:rPr>
        <w:t>2021</w:t>
      </w:r>
      <w:r w:rsidR="004E3333">
        <w:rPr>
          <w:rFonts w:cstheme="minorHAnsi"/>
          <w:b/>
          <w:color w:val="222222"/>
          <w:lang w:val="en-US"/>
        </w:rPr>
        <w:t>)</w:t>
      </w:r>
      <w:r w:rsidRPr="00124DA6">
        <w:rPr>
          <w:rFonts w:cstheme="minorHAnsi"/>
          <w:b/>
          <w:color w:val="222222"/>
          <w:lang w:val="en-US"/>
        </w:rPr>
        <w:t xml:space="preserve"> for the economic and social development of </w:t>
      </w:r>
      <w:r w:rsidR="007E1911" w:rsidRPr="00124DA6">
        <w:rPr>
          <w:rFonts w:cstheme="minorHAnsi"/>
          <w:b/>
          <w:color w:val="222222"/>
          <w:lang w:val="en-US"/>
        </w:rPr>
        <w:t xml:space="preserve">the </w:t>
      </w:r>
      <w:r w:rsidRPr="00124DA6">
        <w:rPr>
          <w:rFonts w:cstheme="minorHAnsi"/>
          <w:b/>
          <w:color w:val="222222"/>
          <w:lang w:val="en-US"/>
        </w:rPr>
        <w:t>country.</w:t>
      </w:r>
      <w:r w:rsidRPr="00124DA6">
        <w:rPr>
          <w:rFonts w:cstheme="minorHAnsi"/>
          <w:color w:val="222222"/>
          <w:lang w:val="en-US"/>
        </w:rPr>
        <w:t xml:space="preserve"> This Government Action P</w:t>
      </w:r>
      <w:r w:rsidR="009C2725" w:rsidRPr="00124DA6">
        <w:rPr>
          <w:rFonts w:cstheme="minorHAnsi"/>
          <w:color w:val="222222"/>
          <w:lang w:val="en-US"/>
        </w:rPr>
        <w:t>lan</w:t>
      </w:r>
      <w:r w:rsidRPr="00124DA6">
        <w:rPr>
          <w:rFonts w:cstheme="minorHAnsi"/>
          <w:color w:val="222222"/>
          <w:lang w:val="en-US"/>
        </w:rPr>
        <w:t xml:space="preserve"> (PAG) </w:t>
      </w:r>
      <w:r w:rsidR="00E70548">
        <w:rPr>
          <w:rFonts w:cstheme="minorHAnsi"/>
          <w:color w:val="222222"/>
          <w:lang w:val="en-US"/>
        </w:rPr>
        <w:t>revolves around</w:t>
      </w:r>
      <w:r w:rsidR="00E70548" w:rsidRPr="00124DA6">
        <w:rPr>
          <w:rFonts w:cstheme="minorHAnsi"/>
          <w:color w:val="222222"/>
          <w:lang w:val="en-US"/>
        </w:rPr>
        <w:t xml:space="preserve"> </w:t>
      </w:r>
      <w:r w:rsidR="007E1911" w:rsidRPr="00124DA6">
        <w:rPr>
          <w:rFonts w:cstheme="minorHAnsi"/>
          <w:color w:val="222222"/>
          <w:lang w:val="en-US"/>
        </w:rPr>
        <w:t>three</w:t>
      </w:r>
      <w:r w:rsidRPr="00124DA6">
        <w:rPr>
          <w:rFonts w:cstheme="minorHAnsi"/>
          <w:color w:val="222222"/>
          <w:lang w:val="en-US"/>
        </w:rPr>
        <w:t xml:space="preserve"> pillars: </w:t>
      </w:r>
      <w:r w:rsidR="004E3333">
        <w:rPr>
          <w:rFonts w:cstheme="minorHAnsi"/>
          <w:color w:val="222222"/>
          <w:lang w:val="en-US"/>
        </w:rPr>
        <w:t xml:space="preserve">to </w:t>
      </w:r>
      <w:r w:rsidR="007E1911" w:rsidRPr="00124DA6">
        <w:rPr>
          <w:rFonts w:cstheme="minorHAnsi"/>
          <w:color w:val="222222"/>
          <w:lang w:val="en-US"/>
        </w:rPr>
        <w:t>c</w:t>
      </w:r>
      <w:r w:rsidRPr="00124DA6">
        <w:rPr>
          <w:rFonts w:cstheme="minorHAnsi"/>
          <w:color w:val="222222"/>
          <w:lang w:val="en-US"/>
        </w:rPr>
        <w:t>onsolidat</w:t>
      </w:r>
      <w:r w:rsidR="007E1911" w:rsidRPr="00124DA6">
        <w:rPr>
          <w:rFonts w:cstheme="minorHAnsi"/>
          <w:color w:val="222222"/>
          <w:lang w:val="en-US"/>
        </w:rPr>
        <w:t>e</w:t>
      </w:r>
      <w:r w:rsidRPr="00124DA6">
        <w:rPr>
          <w:rFonts w:cstheme="minorHAnsi"/>
          <w:color w:val="222222"/>
          <w:lang w:val="en-US"/>
        </w:rPr>
        <w:t xml:space="preserve"> democracy, the rule of law</w:t>
      </w:r>
      <w:r w:rsidR="007E1911" w:rsidRPr="00124DA6">
        <w:rPr>
          <w:rFonts w:cstheme="minorHAnsi"/>
          <w:color w:val="222222"/>
          <w:lang w:val="en-US"/>
        </w:rPr>
        <w:t>,</w:t>
      </w:r>
      <w:r w:rsidRPr="00124DA6">
        <w:rPr>
          <w:rFonts w:cstheme="minorHAnsi"/>
          <w:color w:val="222222"/>
          <w:lang w:val="en-US"/>
        </w:rPr>
        <w:t xml:space="preserve"> and good governance; </w:t>
      </w:r>
      <w:r w:rsidR="004E3333">
        <w:rPr>
          <w:rFonts w:cstheme="minorHAnsi"/>
          <w:color w:val="222222"/>
          <w:lang w:val="en-US"/>
        </w:rPr>
        <w:t xml:space="preserve">to </w:t>
      </w:r>
      <w:r w:rsidRPr="00124DA6">
        <w:rPr>
          <w:rFonts w:cstheme="minorHAnsi"/>
          <w:color w:val="222222"/>
          <w:lang w:val="en-US"/>
        </w:rPr>
        <w:t>engage the structural transformation of the economy</w:t>
      </w:r>
      <w:r w:rsidR="007E1911" w:rsidRPr="00124DA6">
        <w:rPr>
          <w:rFonts w:cstheme="minorHAnsi"/>
          <w:color w:val="222222"/>
          <w:lang w:val="en-US"/>
        </w:rPr>
        <w:t>;</w:t>
      </w:r>
      <w:r w:rsidRPr="00124DA6">
        <w:rPr>
          <w:rFonts w:cstheme="minorHAnsi"/>
          <w:color w:val="222222"/>
          <w:lang w:val="en-US"/>
        </w:rPr>
        <w:t xml:space="preserve"> </w:t>
      </w:r>
      <w:r w:rsidR="007E1911" w:rsidRPr="00124DA6">
        <w:rPr>
          <w:rFonts w:cstheme="minorHAnsi"/>
          <w:color w:val="222222"/>
          <w:lang w:val="en-US"/>
        </w:rPr>
        <w:t xml:space="preserve">and </w:t>
      </w:r>
      <w:r w:rsidR="004E3333">
        <w:rPr>
          <w:rFonts w:cstheme="minorHAnsi"/>
          <w:color w:val="222222"/>
          <w:lang w:val="en-US"/>
        </w:rPr>
        <w:t xml:space="preserve">to </w:t>
      </w:r>
      <w:r w:rsidRPr="00124DA6">
        <w:rPr>
          <w:rFonts w:cstheme="minorHAnsi"/>
          <w:color w:val="222222"/>
          <w:lang w:val="en-US"/>
        </w:rPr>
        <w:t xml:space="preserve">improve the living conditions of the population. </w:t>
      </w:r>
      <w:r w:rsidR="00E70548">
        <w:rPr>
          <w:rFonts w:cstheme="minorHAnsi"/>
          <w:color w:val="222222"/>
          <w:lang w:val="en-US"/>
        </w:rPr>
        <w:t>This plan</w:t>
      </w:r>
      <w:r w:rsidR="00E70548" w:rsidRPr="00124DA6">
        <w:rPr>
          <w:rFonts w:cstheme="minorHAnsi"/>
          <w:color w:val="222222"/>
          <w:lang w:val="en-US"/>
        </w:rPr>
        <w:t xml:space="preserve"> </w:t>
      </w:r>
      <w:r w:rsidRPr="00124DA6">
        <w:rPr>
          <w:rFonts w:cstheme="minorHAnsi"/>
          <w:color w:val="222222"/>
          <w:lang w:val="en-US"/>
        </w:rPr>
        <w:t xml:space="preserve">includes 45 projects and institutional reforms with an estimated budget of </w:t>
      </w:r>
      <w:r w:rsidR="007E1911" w:rsidRPr="00124DA6">
        <w:rPr>
          <w:rFonts w:cstheme="minorHAnsi"/>
          <w:color w:val="222222"/>
          <w:lang w:val="en-US"/>
        </w:rPr>
        <w:t>CFAF</w:t>
      </w:r>
      <w:r w:rsidR="00C702B4">
        <w:rPr>
          <w:rFonts w:cstheme="minorHAnsi"/>
          <w:color w:val="222222"/>
          <w:lang w:val="en-US"/>
        </w:rPr>
        <w:t> </w:t>
      </w:r>
      <w:r w:rsidRPr="00124DA6">
        <w:rPr>
          <w:rFonts w:cstheme="minorHAnsi"/>
          <w:color w:val="222222"/>
          <w:lang w:val="en-US"/>
        </w:rPr>
        <w:t>9</w:t>
      </w:r>
      <w:r w:rsidR="007E1911" w:rsidRPr="00124DA6">
        <w:rPr>
          <w:rFonts w:cstheme="minorHAnsi"/>
          <w:color w:val="222222"/>
          <w:lang w:val="en-US"/>
        </w:rPr>
        <w:t>,</w:t>
      </w:r>
      <w:r w:rsidRPr="00124DA6">
        <w:rPr>
          <w:rFonts w:cstheme="minorHAnsi"/>
          <w:color w:val="222222"/>
          <w:lang w:val="en-US"/>
        </w:rPr>
        <w:t>039</w:t>
      </w:r>
      <w:r w:rsidR="00C702B4">
        <w:rPr>
          <w:rFonts w:cstheme="minorHAnsi"/>
          <w:color w:val="222222"/>
          <w:lang w:val="en-US"/>
        </w:rPr>
        <w:t> </w:t>
      </w:r>
      <w:r w:rsidRPr="00124DA6">
        <w:rPr>
          <w:rFonts w:cstheme="minorHAnsi"/>
          <w:color w:val="222222"/>
          <w:lang w:val="en-US"/>
        </w:rPr>
        <w:t xml:space="preserve">billion for five years. To initiate the structural transformation of the economy, </w:t>
      </w:r>
      <w:r w:rsidR="007E1911" w:rsidRPr="00124DA6">
        <w:rPr>
          <w:rFonts w:cstheme="minorHAnsi"/>
          <w:color w:val="222222"/>
          <w:lang w:val="en-US"/>
        </w:rPr>
        <w:t xml:space="preserve">an investment of </w:t>
      </w:r>
      <w:r w:rsidRPr="00124DA6">
        <w:rPr>
          <w:rFonts w:cstheme="minorHAnsi"/>
          <w:color w:val="222222"/>
          <w:lang w:val="en-US"/>
        </w:rPr>
        <w:t xml:space="preserve">more than </w:t>
      </w:r>
      <w:r w:rsidR="007E1911" w:rsidRPr="00124DA6">
        <w:rPr>
          <w:rFonts w:cstheme="minorHAnsi"/>
          <w:color w:val="222222"/>
          <w:lang w:val="en-US"/>
        </w:rPr>
        <w:t>CFAF</w:t>
      </w:r>
      <w:r w:rsidR="00C702B4">
        <w:rPr>
          <w:rFonts w:cstheme="minorHAnsi"/>
          <w:color w:val="222222"/>
          <w:lang w:val="en-US"/>
        </w:rPr>
        <w:t> </w:t>
      </w:r>
      <w:r w:rsidRPr="00124DA6">
        <w:rPr>
          <w:rFonts w:cstheme="minorHAnsi"/>
          <w:color w:val="222222"/>
          <w:lang w:val="en-US"/>
        </w:rPr>
        <w:t>7</w:t>
      </w:r>
      <w:r w:rsidR="007E1911" w:rsidRPr="00124DA6">
        <w:rPr>
          <w:rFonts w:cstheme="minorHAnsi"/>
          <w:color w:val="222222"/>
          <w:lang w:val="en-US"/>
        </w:rPr>
        <w:t>,</w:t>
      </w:r>
      <w:r w:rsidRPr="00124DA6">
        <w:rPr>
          <w:rFonts w:cstheme="minorHAnsi"/>
          <w:color w:val="222222"/>
          <w:lang w:val="en-US"/>
        </w:rPr>
        <w:t>000</w:t>
      </w:r>
      <w:r w:rsidR="00C702B4">
        <w:rPr>
          <w:rFonts w:cstheme="minorHAnsi"/>
          <w:color w:val="222222"/>
          <w:lang w:val="en-US"/>
        </w:rPr>
        <w:t> </w:t>
      </w:r>
      <w:r w:rsidRPr="00124DA6">
        <w:rPr>
          <w:rFonts w:cstheme="minorHAnsi"/>
          <w:color w:val="222222"/>
          <w:lang w:val="en-US"/>
        </w:rPr>
        <w:t xml:space="preserve">billion </w:t>
      </w:r>
      <w:r w:rsidR="007E1911" w:rsidRPr="00124DA6">
        <w:rPr>
          <w:rFonts w:cstheme="minorHAnsi"/>
          <w:color w:val="222222"/>
          <w:lang w:val="en-US"/>
        </w:rPr>
        <w:t xml:space="preserve">is </w:t>
      </w:r>
      <w:r w:rsidRPr="00124DA6">
        <w:rPr>
          <w:rFonts w:cstheme="minorHAnsi"/>
          <w:color w:val="222222"/>
          <w:lang w:val="en-US"/>
        </w:rPr>
        <w:t xml:space="preserve">needed for projects in agriculture, tourism and culture, digital economy and </w:t>
      </w:r>
      <w:r w:rsidR="007E1911" w:rsidRPr="00124DA6">
        <w:rPr>
          <w:rFonts w:cstheme="minorHAnsi"/>
          <w:color w:val="222222"/>
          <w:lang w:val="en-US"/>
        </w:rPr>
        <w:t>information and communication technology (</w:t>
      </w:r>
      <w:r w:rsidRPr="00124DA6">
        <w:rPr>
          <w:rFonts w:cstheme="minorHAnsi"/>
          <w:color w:val="222222"/>
          <w:lang w:val="en-US"/>
        </w:rPr>
        <w:t>ICT</w:t>
      </w:r>
      <w:r w:rsidR="007E1911" w:rsidRPr="00124DA6">
        <w:rPr>
          <w:rFonts w:cstheme="minorHAnsi"/>
          <w:color w:val="222222"/>
          <w:lang w:val="en-US"/>
        </w:rPr>
        <w:t>)</w:t>
      </w:r>
      <w:r w:rsidRPr="00124DA6">
        <w:rPr>
          <w:rFonts w:cstheme="minorHAnsi"/>
          <w:color w:val="222222"/>
          <w:lang w:val="en-US"/>
        </w:rPr>
        <w:t xml:space="preserve">, </w:t>
      </w:r>
      <w:r w:rsidR="007E1911" w:rsidRPr="00124DA6">
        <w:rPr>
          <w:rFonts w:cstheme="minorHAnsi"/>
          <w:color w:val="222222"/>
          <w:lang w:val="en-US"/>
        </w:rPr>
        <w:t>e</w:t>
      </w:r>
      <w:r w:rsidRPr="00124DA6">
        <w:rPr>
          <w:rFonts w:cstheme="minorHAnsi"/>
          <w:color w:val="222222"/>
          <w:lang w:val="en-US"/>
        </w:rPr>
        <w:t xml:space="preserve">nergy, transport infrastructure and processing units, </w:t>
      </w:r>
      <w:r w:rsidR="007E1911" w:rsidRPr="00124DA6">
        <w:rPr>
          <w:rFonts w:cstheme="minorHAnsi"/>
          <w:color w:val="222222"/>
          <w:lang w:val="en-US"/>
        </w:rPr>
        <w:t>and so on</w:t>
      </w:r>
      <w:r w:rsidRPr="00124DA6">
        <w:rPr>
          <w:rFonts w:cstheme="minorHAnsi"/>
          <w:color w:val="222222"/>
          <w:lang w:val="en-US"/>
        </w:rPr>
        <w:t xml:space="preserve">. Approximately </w:t>
      </w:r>
      <w:r w:rsidR="007E1911" w:rsidRPr="00124DA6">
        <w:rPr>
          <w:rFonts w:cstheme="minorHAnsi"/>
          <w:color w:val="222222"/>
          <w:lang w:val="en-US"/>
        </w:rPr>
        <w:t>CFAF</w:t>
      </w:r>
      <w:r w:rsidR="00C702B4">
        <w:rPr>
          <w:rFonts w:cstheme="minorHAnsi"/>
          <w:color w:val="222222"/>
          <w:lang w:val="en-US"/>
        </w:rPr>
        <w:t> </w:t>
      </w:r>
      <w:r w:rsidRPr="00124DA6">
        <w:rPr>
          <w:rFonts w:cstheme="minorHAnsi"/>
          <w:color w:val="222222"/>
          <w:lang w:val="en-US"/>
        </w:rPr>
        <w:t>3</w:t>
      </w:r>
      <w:r w:rsidR="007E1911" w:rsidRPr="00124DA6">
        <w:rPr>
          <w:rFonts w:cstheme="minorHAnsi"/>
          <w:color w:val="222222"/>
          <w:lang w:val="en-US"/>
        </w:rPr>
        <w:t>,</w:t>
      </w:r>
      <w:r w:rsidRPr="00124DA6">
        <w:rPr>
          <w:rFonts w:cstheme="minorHAnsi"/>
          <w:color w:val="222222"/>
          <w:lang w:val="en-US"/>
        </w:rPr>
        <w:t>529</w:t>
      </w:r>
      <w:r w:rsidR="00C702B4">
        <w:rPr>
          <w:rFonts w:cstheme="minorHAnsi"/>
          <w:color w:val="222222"/>
          <w:lang w:val="en-US"/>
        </w:rPr>
        <w:t> </w:t>
      </w:r>
      <w:r w:rsidRPr="00124DA6">
        <w:rPr>
          <w:rFonts w:cstheme="minorHAnsi"/>
          <w:color w:val="222222"/>
          <w:lang w:val="en-US"/>
        </w:rPr>
        <w:t xml:space="preserve">billion is projected from public financing excluding </w:t>
      </w:r>
      <w:r w:rsidR="00B34B0C" w:rsidRPr="00124DA6">
        <w:rPr>
          <w:rFonts w:cstheme="minorHAnsi"/>
          <w:color w:val="222222"/>
          <w:lang w:val="en-US"/>
        </w:rPr>
        <w:t>public-private partnerships</w:t>
      </w:r>
      <w:r w:rsidRPr="00124DA6">
        <w:rPr>
          <w:rFonts w:cstheme="minorHAnsi"/>
          <w:color w:val="222222"/>
          <w:lang w:val="en-US"/>
        </w:rPr>
        <w:t xml:space="preserve"> and</w:t>
      </w:r>
      <w:r w:rsidR="007E1911" w:rsidRPr="00124DA6">
        <w:rPr>
          <w:rFonts w:cstheme="minorHAnsi"/>
          <w:color w:val="222222"/>
          <w:lang w:val="en-US"/>
        </w:rPr>
        <w:t xml:space="preserve"> CFAF</w:t>
      </w:r>
      <w:r w:rsidR="00C702B4">
        <w:rPr>
          <w:rFonts w:cstheme="minorHAnsi"/>
          <w:color w:val="222222"/>
          <w:lang w:val="en-US"/>
        </w:rPr>
        <w:t> </w:t>
      </w:r>
      <w:r w:rsidRPr="00124DA6">
        <w:rPr>
          <w:rFonts w:cstheme="minorHAnsi"/>
          <w:color w:val="222222"/>
          <w:lang w:val="en-US"/>
        </w:rPr>
        <w:t>5</w:t>
      </w:r>
      <w:r w:rsidR="007E1911" w:rsidRPr="00124DA6">
        <w:rPr>
          <w:rFonts w:cstheme="minorHAnsi"/>
          <w:color w:val="222222"/>
          <w:lang w:val="en-US"/>
        </w:rPr>
        <w:t>,</w:t>
      </w:r>
      <w:r w:rsidRPr="00124DA6">
        <w:rPr>
          <w:rFonts w:cstheme="minorHAnsi"/>
          <w:color w:val="222222"/>
          <w:lang w:val="en-US"/>
        </w:rPr>
        <w:t>510</w:t>
      </w:r>
      <w:r w:rsidR="00C702B4">
        <w:rPr>
          <w:rFonts w:cstheme="minorHAnsi"/>
          <w:color w:val="222222"/>
          <w:lang w:val="en-US"/>
        </w:rPr>
        <w:t> </w:t>
      </w:r>
      <w:r w:rsidRPr="00124DA6">
        <w:rPr>
          <w:rFonts w:cstheme="minorHAnsi"/>
          <w:color w:val="222222"/>
          <w:lang w:val="en-US"/>
        </w:rPr>
        <w:t>billion is expected from private financing. The financial sector will thereby play a key role in the program delivery.</w:t>
      </w:r>
    </w:p>
    <w:p w14:paraId="1503D168" w14:textId="0DE4E6F4" w:rsidR="009A254C" w:rsidRPr="00124DA6" w:rsidRDefault="009A254C" w:rsidP="003E25EA">
      <w:pPr>
        <w:autoSpaceDE w:val="0"/>
        <w:autoSpaceDN w:val="0"/>
        <w:adjustRightInd w:val="0"/>
        <w:spacing w:after="240" w:line="240" w:lineRule="auto"/>
        <w:jc w:val="both"/>
        <w:rPr>
          <w:rFonts w:cstheme="minorHAnsi"/>
          <w:lang w:val="en-US"/>
        </w:rPr>
      </w:pPr>
      <w:r w:rsidRPr="00124DA6">
        <w:rPr>
          <w:rFonts w:cstheme="minorHAnsi"/>
          <w:b/>
          <w:lang w:val="en-US"/>
        </w:rPr>
        <w:t xml:space="preserve">Benin’s financial sector is </w:t>
      </w:r>
      <w:r w:rsidR="00863BBA" w:rsidRPr="00124DA6">
        <w:rPr>
          <w:rFonts w:cstheme="minorHAnsi"/>
          <w:b/>
          <w:lang w:val="en-US"/>
        </w:rPr>
        <w:t xml:space="preserve">shallow and segmented, with </w:t>
      </w:r>
      <w:r w:rsidRPr="00124DA6">
        <w:rPr>
          <w:rFonts w:cstheme="minorHAnsi"/>
          <w:b/>
          <w:lang w:val="en-US"/>
        </w:rPr>
        <w:t xml:space="preserve">15 banks, over 600 </w:t>
      </w:r>
      <w:r w:rsidR="007C0B07" w:rsidRPr="00124DA6">
        <w:rPr>
          <w:rFonts w:cstheme="minorHAnsi"/>
          <w:b/>
          <w:lang w:val="en-US"/>
        </w:rPr>
        <w:t>microfinance institutions (</w:t>
      </w:r>
      <w:r w:rsidRPr="00124DA6">
        <w:rPr>
          <w:rFonts w:cstheme="minorHAnsi"/>
          <w:b/>
          <w:lang w:val="en-US"/>
        </w:rPr>
        <w:t>MFIs</w:t>
      </w:r>
      <w:r w:rsidR="007C0B07" w:rsidRPr="00124DA6">
        <w:rPr>
          <w:rFonts w:cstheme="minorHAnsi"/>
          <w:b/>
          <w:lang w:val="en-US"/>
        </w:rPr>
        <w:t>)</w:t>
      </w:r>
      <w:r w:rsidRPr="00124DA6">
        <w:rPr>
          <w:rStyle w:val="FootnoteReference"/>
          <w:rFonts w:cstheme="minorHAnsi"/>
          <w:b/>
          <w:lang w:val="en-US"/>
        </w:rPr>
        <w:footnoteReference w:id="1"/>
      </w:r>
      <w:r w:rsidR="007C0B07" w:rsidRPr="00124DA6">
        <w:rPr>
          <w:rFonts w:cstheme="minorHAnsi"/>
          <w:b/>
          <w:lang w:val="en-US"/>
        </w:rPr>
        <w:t xml:space="preserve"> </w:t>
      </w:r>
      <w:r w:rsidR="002425E2">
        <w:rPr>
          <w:rFonts w:cstheme="minorHAnsi"/>
          <w:b/>
          <w:lang w:val="en-US"/>
        </w:rPr>
        <w:t>—</w:t>
      </w:r>
      <w:r w:rsidRPr="00124DA6">
        <w:rPr>
          <w:rFonts w:cstheme="minorHAnsi"/>
          <w:b/>
          <w:lang w:val="en-US"/>
        </w:rPr>
        <w:t xml:space="preserve">of </w:t>
      </w:r>
      <w:r w:rsidR="001E7C98" w:rsidRPr="00124DA6">
        <w:rPr>
          <w:rFonts w:cstheme="minorHAnsi"/>
          <w:b/>
          <w:lang w:val="en-US"/>
        </w:rPr>
        <w:t xml:space="preserve">which are </w:t>
      </w:r>
      <w:r w:rsidRPr="00124DA6">
        <w:rPr>
          <w:rFonts w:cstheme="minorHAnsi"/>
          <w:b/>
          <w:lang w:val="en-US"/>
        </w:rPr>
        <w:t>87</w:t>
      </w:r>
      <w:r w:rsidRPr="00124DA6">
        <w:rPr>
          <w:rStyle w:val="FootnoteReference"/>
          <w:rFonts w:cstheme="minorHAnsi"/>
          <w:b/>
          <w:lang w:val="en-US"/>
        </w:rPr>
        <w:footnoteReference w:id="2"/>
      </w:r>
      <w:r w:rsidRPr="00124DA6">
        <w:rPr>
          <w:rFonts w:cstheme="minorHAnsi"/>
          <w:b/>
          <w:lang w:val="en-US"/>
        </w:rPr>
        <w:t xml:space="preserve"> authorized and the remaining are unauthorized institutions</w:t>
      </w:r>
      <w:r w:rsidRPr="00124DA6">
        <w:rPr>
          <w:rStyle w:val="FootnoteReference"/>
          <w:rFonts w:cstheme="minorHAnsi"/>
          <w:b/>
          <w:lang w:val="en-US"/>
        </w:rPr>
        <w:footnoteReference w:id="3"/>
      </w:r>
      <w:r w:rsidR="004E3333">
        <w:rPr>
          <w:rFonts w:cstheme="minorHAnsi"/>
          <w:b/>
          <w:lang w:val="en-US"/>
        </w:rPr>
        <w:t xml:space="preserve"> </w:t>
      </w:r>
      <w:r w:rsidR="002425E2">
        <w:rPr>
          <w:rFonts w:cstheme="minorHAnsi"/>
          <w:b/>
          <w:lang w:val="en-US"/>
        </w:rPr>
        <w:t>—</w:t>
      </w:r>
      <w:r w:rsidR="007C0B07" w:rsidRPr="00124DA6">
        <w:rPr>
          <w:rFonts w:cstheme="minorHAnsi"/>
          <w:b/>
          <w:lang w:val="en-US"/>
        </w:rPr>
        <w:t>and nonbank financial institutions (</w:t>
      </w:r>
      <w:r w:rsidR="00A01CB7" w:rsidRPr="00124DA6">
        <w:rPr>
          <w:rFonts w:cstheme="minorHAnsi"/>
          <w:b/>
          <w:lang w:val="en-US"/>
        </w:rPr>
        <w:t xml:space="preserve">2 </w:t>
      </w:r>
      <w:r w:rsidRPr="00124DA6">
        <w:rPr>
          <w:rFonts w:cstheme="minorHAnsi"/>
          <w:b/>
          <w:lang w:val="en-US"/>
        </w:rPr>
        <w:t>licensed e-money issuers, 14 insurance companies</w:t>
      </w:r>
      <w:r w:rsidR="00A01CB7" w:rsidRPr="00124DA6">
        <w:rPr>
          <w:rFonts w:cstheme="minorHAnsi"/>
          <w:b/>
          <w:lang w:val="en-US"/>
        </w:rPr>
        <w:t>,</w:t>
      </w:r>
      <w:r w:rsidRPr="00124DA6">
        <w:rPr>
          <w:rFonts w:cstheme="minorHAnsi"/>
          <w:b/>
          <w:lang w:val="en-US"/>
        </w:rPr>
        <w:t xml:space="preserve"> and </w:t>
      </w:r>
      <w:r w:rsidR="00A01CB7" w:rsidRPr="00124DA6">
        <w:rPr>
          <w:rFonts w:cstheme="minorHAnsi"/>
          <w:b/>
          <w:lang w:val="en-US"/>
        </w:rPr>
        <w:t xml:space="preserve">2 </w:t>
      </w:r>
      <w:r w:rsidRPr="00124DA6">
        <w:rPr>
          <w:rFonts w:cstheme="minorHAnsi"/>
          <w:b/>
          <w:lang w:val="en-US"/>
        </w:rPr>
        <w:t>pension funds</w:t>
      </w:r>
      <w:r w:rsidR="007C0B07" w:rsidRPr="00124DA6">
        <w:rPr>
          <w:rFonts w:cstheme="minorHAnsi"/>
          <w:b/>
          <w:lang w:val="en-US"/>
        </w:rPr>
        <w:t>)</w:t>
      </w:r>
      <w:r w:rsidRPr="00124DA6">
        <w:rPr>
          <w:rFonts w:cstheme="minorHAnsi"/>
          <w:b/>
          <w:lang w:val="en-US"/>
        </w:rPr>
        <w:t xml:space="preserve">. </w:t>
      </w:r>
      <w:r w:rsidRPr="00124DA6">
        <w:rPr>
          <w:rFonts w:cstheme="minorHAnsi"/>
          <w:lang w:val="en-US"/>
        </w:rPr>
        <w:t xml:space="preserve">Commercial banks and other credit institutions are governed by the regional banking law and supervised by the </w:t>
      </w:r>
      <w:r w:rsidR="00AE44E8" w:rsidRPr="00124DA6">
        <w:rPr>
          <w:rFonts w:cstheme="minorHAnsi"/>
          <w:lang w:val="en-US"/>
        </w:rPr>
        <w:t>Banking Commission (</w:t>
      </w:r>
      <w:r w:rsidRPr="00124DA6">
        <w:rPr>
          <w:rFonts w:cstheme="minorHAnsi"/>
          <w:i/>
          <w:lang w:val="en-US"/>
        </w:rPr>
        <w:t xml:space="preserve">Commission </w:t>
      </w:r>
      <w:proofErr w:type="spellStart"/>
      <w:r w:rsidRPr="00124DA6">
        <w:rPr>
          <w:rFonts w:cstheme="minorHAnsi"/>
          <w:i/>
          <w:lang w:val="en-US"/>
        </w:rPr>
        <w:t>Bancaire</w:t>
      </w:r>
      <w:proofErr w:type="spellEnd"/>
      <w:r w:rsidR="00AE44E8" w:rsidRPr="00124DA6">
        <w:rPr>
          <w:rFonts w:cstheme="minorHAnsi"/>
          <w:lang w:val="en-US"/>
        </w:rPr>
        <w:t>)</w:t>
      </w:r>
      <w:r w:rsidRPr="00124DA6">
        <w:rPr>
          <w:rFonts w:cstheme="minorHAnsi"/>
          <w:lang w:val="en-US"/>
        </w:rPr>
        <w:t xml:space="preserve">. </w:t>
      </w:r>
      <w:r w:rsidR="00A327AC" w:rsidRPr="00124DA6">
        <w:rPr>
          <w:rFonts w:cstheme="minorHAnsi"/>
          <w:lang w:val="en-US"/>
        </w:rPr>
        <w:t>The Central Bank of West African States (</w:t>
      </w:r>
      <w:r w:rsidRPr="00124DA6">
        <w:rPr>
          <w:rFonts w:cstheme="minorHAnsi"/>
          <w:lang w:val="en-US"/>
        </w:rPr>
        <w:t>BCEAO</w:t>
      </w:r>
      <w:r w:rsidR="00A327AC" w:rsidRPr="00124DA6">
        <w:rPr>
          <w:rFonts w:cstheme="minorHAnsi"/>
          <w:lang w:val="en-US"/>
        </w:rPr>
        <w:t>)</w:t>
      </w:r>
      <w:r w:rsidRPr="00124DA6">
        <w:rPr>
          <w:rFonts w:cstheme="minorHAnsi"/>
          <w:lang w:val="en-US"/>
        </w:rPr>
        <w:t xml:space="preserve"> also supervises large </w:t>
      </w:r>
      <w:r w:rsidR="00A327AC" w:rsidRPr="00124DA6">
        <w:rPr>
          <w:rFonts w:cstheme="minorHAnsi"/>
          <w:lang w:val="en-US"/>
        </w:rPr>
        <w:t>MFI</w:t>
      </w:r>
      <w:r w:rsidRPr="00124DA6">
        <w:rPr>
          <w:rFonts w:cstheme="minorHAnsi"/>
          <w:lang w:val="en-US"/>
        </w:rPr>
        <w:t xml:space="preserve">s falling under </w:t>
      </w:r>
      <w:r w:rsidR="00542139" w:rsidRPr="00124DA6">
        <w:rPr>
          <w:rFonts w:cstheme="minorHAnsi"/>
          <w:lang w:val="en-US"/>
        </w:rPr>
        <w:t>“</w:t>
      </w:r>
      <w:r w:rsidR="00E71D8D" w:rsidRPr="00124DA6">
        <w:rPr>
          <w:rFonts w:cstheme="minorHAnsi"/>
          <w:lang w:val="en-US"/>
        </w:rPr>
        <w:t>A</w:t>
      </w:r>
      <w:r w:rsidR="00542139" w:rsidRPr="00124DA6">
        <w:rPr>
          <w:rFonts w:cstheme="minorHAnsi"/>
          <w:lang w:val="en-US"/>
        </w:rPr>
        <w:t xml:space="preserve">rticle 44” </w:t>
      </w:r>
      <w:r w:rsidRPr="00124DA6">
        <w:rPr>
          <w:rFonts w:cstheme="minorHAnsi"/>
          <w:lang w:val="en-US"/>
        </w:rPr>
        <w:t>(</w:t>
      </w:r>
      <w:r w:rsidR="003E25EA" w:rsidRPr="00124DA6">
        <w:rPr>
          <w:rFonts w:cstheme="minorHAnsi"/>
          <w:lang w:val="en-US"/>
        </w:rPr>
        <w:t>that is,</w:t>
      </w:r>
      <w:r w:rsidR="00A8406F" w:rsidRPr="00124DA6">
        <w:rPr>
          <w:rFonts w:cstheme="minorHAnsi"/>
          <w:lang w:val="en-US"/>
        </w:rPr>
        <w:t xml:space="preserve"> </w:t>
      </w:r>
      <w:r w:rsidRPr="00124DA6">
        <w:rPr>
          <w:rFonts w:cstheme="minorHAnsi"/>
          <w:lang w:val="en-US"/>
        </w:rPr>
        <w:t>MFI</w:t>
      </w:r>
      <w:r w:rsidR="00A8406F" w:rsidRPr="00124DA6">
        <w:rPr>
          <w:rFonts w:cstheme="minorHAnsi"/>
          <w:lang w:val="en-US"/>
        </w:rPr>
        <w:t>s</w:t>
      </w:r>
      <w:r w:rsidRPr="00124DA6">
        <w:rPr>
          <w:rFonts w:cstheme="minorHAnsi"/>
          <w:lang w:val="en-US"/>
        </w:rPr>
        <w:t xml:space="preserve"> with an outstanding credit portfolio or </w:t>
      </w:r>
      <w:r w:rsidR="00A8406F" w:rsidRPr="00124DA6">
        <w:rPr>
          <w:rFonts w:cstheme="minorHAnsi"/>
          <w:lang w:val="en-US"/>
        </w:rPr>
        <w:t xml:space="preserve">total of </w:t>
      </w:r>
      <w:r w:rsidRPr="00124DA6">
        <w:rPr>
          <w:rFonts w:cstheme="minorHAnsi"/>
          <w:lang w:val="en-US"/>
        </w:rPr>
        <w:t>deposit</w:t>
      </w:r>
      <w:r w:rsidR="00A8406F" w:rsidRPr="00124DA6">
        <w:rPr>
          <w:rFonts w:cstheme="minorHAnsi"/>
          <w:lang w:val="en-US"/>
        </w:rPr>
        <w:t>s</w:t>
      </w:r>
      <w:r w:rsidRPr="00124DA6">
        <w:rPr>
          <w:rFonts w:cstheme="minorHAnsi"/>
          <w:lang w:val="en-US"/>
        </w:rPr>
        <w:t xml:space="preserve"> of at least </w:t>
      </w:r>
      <w:r w:rsidR="00744825" w:rsidRPr="00124DA6">
        <w:rPr>
          <w:rFonts w:cstheme="minorHAnsi"/>
          <w:lang w:val="en-US"/>
        </w:rPr>
        <w:t>CFAF</w:t>
      </w:r>
      <w:r w:rsidR="00C702B4">
        <w:rPr>
          <w:rFonts w:cstheme="minorHAnsi"/>
          <w:lang w:val="en-US"/>
        </w:rPr>
        <w:t> </w:t>
      </w:r>
      <w:r w:rsidR="00744825" w:rsidRPr="00124DA6">
        <w:rPr>
          <w:rFonts w:cstheme="minorHAnsi"/>
          <w:lang w:val="en-US"/>
        </w:rPr>
        <w:t>2</w:t>
      </w:r>
      <w:r w:rsidR="00C702B4">
        <w:rPr>
          <w:rFonts w:cstheme="minorHAnsi"/>
          <w:lang w:val="en-US"/>
        </w:rPr>
        <w:t> </w:t>
      </w:r>
      <w:r w:rsidRPr="00124DA6">
        <w:rPr>
          <w:rFonts w:cstheme="minorHAnsi"/>
          <w:lang w:val="en-US"/>
        </w:rPr>
        <w:t>billion). In Benin</w:t>
      </w:r>
      <w:r w:rsidR="009F7295" w:rsidRPr="00124DA6">
        <w:rPr>
          <w:rFonts w:cstheme="minorHAnsi"/>
          <w:lang w:val="en-US"/>
        </w:rPr>
        <w:t>,</w:t>
      </w:r>
      <w:r w:rsidRPr="00124DA6">
        <w:rPr>
          <w:rFonts w:cstheme="minorHAnsi"/>
          <w:lang w:val="en-US"/>
        </w:rPr>
        <w:t xml:space="preserve"> 10 MFIs are supervised by </w:t>
      </w:r>
      <w:r w:rsidR="009F7295" w:rsidRPr="00124DA6">
        <w:rPr>
          <w:rFonts w:cstheme="minorHAnsi"/>
          <w:lang w:val="en-US"/>
        </w:rPr>
        <w:t xml:space="preserve">the </w:t>
      </w:r>
      <w:r w:rsidRPr="00124DA6">
        <w:rPr>
          <w:rFonts w:cstheme="minorHAnsi"/>
          <w:lang w:val="en-US"/>
        </w:rPr>
        <w:t xml:space="preserve">BCEAO. E-money issuers are also within the remit of the BCEAO. The insurance sector is regulated by the </w:t>
      </w:r>
      <w:r w:rsidRPr="00124DA6">
        <w:rPr>
          <w:rFonts w:cstheme="minorHAnsi"/>
          <w:i/>
          <w:lang w:val="en-US"/>
        </w:rPr>
        <w:t xml:space="preserve">Conference </w:t>
      </w:r>
      <w:proofErr w:type="spellStart"/>
      <w:r w:rsidRPr="00124DA6">
        <w:rPr>
          <w:rFonts w:cstheme="minorHAnsi"/>
          <w:i/>
          <w:lang w:val="en-US"/>
        </w:rPr>
        <w:t>Interafricaine</w:t>
      </w:r>
      <w:proofErr w:type="spellEnd"/>
      <w:r w:rsidRPr="00124DA6">
        <w:rPr>
          <w:rFonts w:cstheme="minorHAnsi"/>
          <w:i/>
          <w:lang w:val="en-US"/>
        </w:rPr>
        <w:t xml:space="preserve"> des </w:t>
      </w:r>
      <w:proofErr w:type="spellStart"/>
      <w:r w:rsidRPr="00124DA6">
        <w:rPr>
          <w:rFonts w:cstheme="minorHAnsi"/>
          <w:i/>
          <w:lang w:val="en-US"/>
        </w:rPr>
        <w:t>Marchés</w:t>
      </w:r>
      <w:proofErr w:type="spellEnd"/>
      <w:r w:rsidRPr="00124DA6">
        <w:rPr>
          <w:rFonts w:cstheme="minorHAnsi"/>
          <w:i/>
          <w:lang w:val="en-US"/>
        </w:rPr>
        <w:t xml:space="preserve"> de</w:t>
      </w:r>
      <w:r w:rsidR="002425E2">
        <w:rPr>
          <w:rFonts w:cstheme="minorHAnsi"/>
          <w:i/>
          <w:lang w:val="en-US"/>
        </w:rPr>
        <w:t xml:space="preserve"> </w:t>
      </w:r>
      <w:proofErr w:type="spellStart"/>
      <w:r w:rsidRPr="00124DA6">
        <w:rPr>
          <w:rFonts w:cstheme="minorHAnsi"/>
          <w:i/>
          <w:lang w:val="en-US"/>
        </w:rPr>
        <w:t>l’Assurance</w:t>
      </w:r>
      <w:proofErr w:type="spellEnd"/>
      <w:r w:rsidRPr="00124DA6">
        <w:rPr>
          <w:rFonts w:cstheme="minorHAnsi"/>
          <w:lang w:val="en-US"/>
        </w:rPr>
        <w:t xml:space="preserve"> (CIMA). </w:t>
      </w:r>
    </w:p>
    <w:p w14:paraId="4E854997" w14:textId="3BEA66B0" w:rsidR="006D55D3" w:rsidRPr="00F0477A" w:rsidRDefault="00BF584B" w:rsidP="00E1011D">
      <w:pPr>
        <w:autoSpaceDE w:val="0"/>
        <w:autoSpaceDN w:val="0"/>
        <w:adjustRightInd w:val="0"/>
        <w:spacing w:after="240" w:line="240" w:lineRule="auto"/>
        <w:jc w:val="both"/>
        <w:rPr>
          <w:rFonts w:cstheme="minorHAnsi"/>
          <w:iCs/>
          <w:color w:val="000000"/>
          <w:lang w:val="en-US"/>
        </w:rPr>
      </w:pPr>
      <w:r w:rsidRPr="00124DA6">
        <w:rPr>
          <w:rFonts w:cstheme="minorHAnsi"/>
          <w:b/>
          <w:iCs/>
          <w:color w:val="000000"/>
          <w:lang w:val="en-US"/>
        </w:rPr>
        <w:t xml:space="preserve">While access to finance is improving, relative to other </w:t>
      </w:r>
      <w:r w:rsidR="002425E2">
        <w:rPr>
          <w:rFonts w:cstheme="minorHAnsi"/>
          <w:b/>
          <w:iCs/>
          <w:color w:val="000000"/>
          <w:lang w:val="en-US"/>
        </w:rPr>
        <w:t>S</w:t>
      </w:r>
      <w:r w:rsidRPr="00124DA6">
        <w:rPr>
          <w:rFonts w:cstheme="minorHAnsi"/>
          <w:b/>
          <w:iCs/>
          <w:color w:val="000000"/>
          <w:lang w:val="en-US"/>
        </w:rPr>
        <w:t xml:space="preserve">ub-Saharan countries, </w:t>
      </w:r>
      <w:proofErr w:type="gramStart"/>
      <w:r w:rsidRPr="00124DA6">
        <w:rPr>
          <w:rFonts w:cstheme="minorHAnsi"/>
          <w:b/>
          <w:iCs/>
          <w:color w:val="000000"/>
          <w:lang w:val="en-US"/>
        </w:rPr>
        <w:t>a number of</w:t>
      </w:r>
      <w:proofErr w:type="gramEnd"/>
      <w:r w:rsidRPr="00124DA6">
        <w:rPr>
          <w:rFonts w:cstheme="minorHAnsi"/>
          <w:b/>
          <w:iCs/>
          <w:color w:val="000000"/>
          <w:lang w:val="en-US"/>
        </w:rPr>
        <w:t xml:space="preserve"> reforms</w:t>
      </w:r>
      <w:r w:rsidR="009F7295" w:rsidRPr="00124DA6">
        <w:rPr>
          <w:rFonts w:cstheme="minorHAnsi"/>
          <w:b/>
          <w:iCs/>
          <w:color w:val="000000"/>
          <w:lang w:val="en-US"/>
        </w:rPr>
        <w:t xml:space="preserve"> </w:t>
      </w:r>
      <w:r w:rsidR="00793652">
        <w:rPr>
          <w:rFonts w:cstheme="minorHAnsi"/>
          <w:b/>
          <w:iCs/>
          <w:color w:val="000000"/>
          <w:lang w:val="en-US"/>
        </w:rPr>
        <w:t>in the areas of microfinance and digital payments</w:t>
      </w:r>
      <w:r w:rsidR="00793652" w:rsidRPr="00124DA6">
        <w:rPr>
          <w:rFonts w:cstheme="minorHAnsi"/>
          <w:b/>
          <w:iCs/>
          <w:color w:val="000000"/>
          <w:lang w:val="en-US"/>
        </w:rPr>
        <w:t xml:space="preserve"> </w:t>
      </w:r>
      <w:r w:rsidRPr="00124DA6">
        <w:rPr>
          <w:rFonts w:cstheme="minorHAnsi"/>
          <w:b/>
          <w:iCs/>
          <w:color w:val="000000"/>
          <w:lang w:val="en-US"/>
        </w:rPr>
        <w:t>could</w:t>
      </w:r>
      <w:r w:rsidR="00793652">
        <w:rPr>
          <w:rFonts w:cstheme="minorHAnsi"/>
          <w:b/>
          <w:iCs/>
          <w:color w:val="000000"/>
          <w:lang w:val="en-US"/>
        </w:rPr>
        <w:t xml:space="preserve"> foster financial deepening, </w:t>
      </w:r>
      <w:r w:rsidRPr="00124DA6">
        <w:rPr>
          <w:rFonts w:cstheme="minorHAnsi"/>
          <w:b/>
          <w:iCs/>
          <w:color w:val="000000"/>
          <w:lang w:val="en-US"/>
        </w:rPr>
        <w:t>financial inclusion</w:t>
      </w:r>
      <w:r w:rsidR="00793652">
        <w:rPr>
          <w:rFonts w:cstheme="minorHAnsi"/>
          <w:b/>
          <w:iCs/>
          <w:color w:val="000000"/>
          <w:lang w:val="en-US"/>
        </w:rPr>
        <w:t xml:space="preserve"> </w:t>
      </w:r>
      <w:r w:rsidR="00793652" w:rsidRPr="00573D8B">
        <w:rPr>
          <w:rFonts w:cstheme="minorHAnsi"/>
          <w:b/>
          <w:iCs/>
          <w:color w:val="000000"/>
          <w:lang w:val="en-US"/>
        </w:rPr>
        <w:t xml:space="preserve">and employment </w:t>
      </w:r>
      <w:r w:rsidR="00793652" w:rsidRPr="00573D8B">
        <w:rPr>
          <w:rFonts w:cstheme="minorHAnsi"/>
          <w:b/>
          <w:lang w:val="en-US"/>
        </w:rPr>
        <w:t xml:space="preserve">creation </w:t>
      </w:r>
      <w:r w:rsidR="00B853C5" w:rsidRPr="00573D8B">
        <w:rPr>
          <w:rFonts w:cstheme="minorHAnsi"/>
          <w:b/>
          <w:lang w:val="en-US"/>
        </w:rPr>
        <w:t xml:space="preserve">in the private sector, </w:t>
      </w:r>
      <w:r w:rsidR="00793652" w:rsidRPr="00573D8B">
        <w:rPr>
          <w:rFonts w:cstheme="minorHAnsi"/>
          <w:b/>
          <w:lang w:val="en-US"/>
        </w:rPr>
        <w:t>particularly in the agriculture sector</w:t>
      </w:r>
      <w:r w:rsidR="009F7295" w:rsidRPr="00573D8B">
        <w:rPr>
          <w:rFonts w:cstheme="minorHAnsi"/>
          <w:b/>
          <w:lang w:val="en-US"/>
        </w:rPr>
        <w:t>.</w:t>
      </w:r>
      <w:r w:rsidR="0067471A" w:rsidRPr="00124DA6">
        <w:rPr>
          <w:rFonts w:cstheme="minorHAnsi"/>
          <w:lang w:val="en-US"/>
        </w:rPr>
        <w:t xml:space="preserve"> </w:t>
      </w:r>
      <w:r w:rsidR="006D55D3" w:rsidRPr="00F0477A">
        <w:rPr>
          <w:rFonts w:cstheme="minorHAnsi"/>
          <w:lang w:val="en-US"/>
        </w:rPr>
        <w:t xml:space="preserve">The report’s recommendations are briefly summarized in </w:t>
      </w:r>
      <w:r w:rsidR="00982421" w:rsidRPr="00F0477A">
        <w:rPr>
          <w:rFonts w:cstheme="minorHAnsi"/>
          <w:lang w:val="en-US"/>
        </w:rPr>
        <w:fldChar w:fldCharType="begin"/>
      </w:r>
      <w:r w:rsidR="00982421" w:rsidRPr="00F0477A">
        <w:rPr>
          <w:rFonts w:cstheme="minorHAnsi"/>
          <w:lang w:val="en-US"/>
        </w:rPr>
        <w:instrText xml:space="preserve"> REF _Ref520407408 \h  \* MERGEFORMAT </w:instrText>
      </w:r>
      <w:r w:rsidR="00982421" w:rsidRPr="00F0477A">
        <w:rPr>
          <w:rFonts w:cstheme="minorHAnsi"/>
          <w:lang w:val="en-US"/>
        </w:rPr>
      </w:r>
      <w:r w:rsidR="00982421" w:rsidRPr="00F0477A">
        <w:rPr>
          <w:rFonts w:cstheme="minorHAnsi"/>
          <w:lang w:val="en-US"/>
        </w:rPr>
        <w:fldChar w:fldCharType="separate"/>
      </w:r>
      <w:r w:rsidR="004C6E5F" w:rsidRPr="00805A74">
        <w:rPr>
          <w:rFonts w:cstheme="minorHAnsi"/>
          <w:lang w:val="en-US"/>
        </w:rPr>
        <w:t>Table E.1</w:t>
      </w:r>
      <w:r w:rsidR="00982421" w:rsidRPr="00F0477A">
        <w:rPr>
          <w:rFonts w:cstheme="minorHAnsi"/>
          <w:lang w:val="en-US"/>
        </w:rPr>
        <w:fldChar w:fldCharType="end"/>
      </w:r>
      <w:r w:rsidR="006D55D3" w:rsidRPr="00F0477A">
        <w:rPr>
          <w:rFonts w:cstheme="minorHAnsi"/>
          <w:lang w:val="en-US"/>
        </w:rPr>
        <w:t xml:space="preserve">, </w:t>
      </w:r>
      <w:r w:rsidR="004E3333">
        <w:rPr>
          <w:rFonts w:cstheme="minorHAnsi"/>
          <w:lang w:val="en-US"/>
        </w:rPr>
        <w:t>which also highlights</w:t>
      </w:r>
      <w:r w:rsidR="004E3333" w:rsidRPr="00F0477A">
        <w:rPr>
          <w:rFonts w:cstheme="minorHAnsi"/>
          <w:lang w:val="en-US"/>
        </w:rPr>
        <w:t xml:space="preserve"> </w:t>
      </w:r>
      <w:r w:rsidR="006D55D3" w:rsidRPr="00F0477A">
        <w:rPr>
          <w:rFonts w:cstheme="minorHAnsi"/>
          <w:lang w:val="en-US"/>
        </w:rPr>
        <w:t>whether the suggested reforms are to be implemented in the short term or medium term.</w:t>
      </w:r>
    </w:p>
    <w:p w14:paraId="6A64F248" w14:textId="2A724D19" w:rsidR="006D55D3" w:rsidRPr="00DB5A1A" w:rsidRDefault="0067471A" w:rsidP="007A4161">
      <w:pPr>
        <w:pStyle w:val="Caption"/>
        <w:rPr>
          <w:rStyle w:val="Heading5Char"/>
          <w:b/>
          <w:iCs w:val="0"/>
          <w:szCs w:val="22"/>
          <w:lang w:val="en-US"/>
        </w:rPr>
      </w:pPr>
      <w:bookmarkStart w:id="5" w:name="_Ref520407408"/>
      <w:bookmarkStart w:id="6" w:name="_Toc494462177"/>
      <w:r w:rsidRPr="00DB5A1A">
        <w:rPr>
          <w:rStyle w:val="Heading5Char"/>
          <w:b/>
          <w:iCs w:val="0"/>
          <w:szCs w:val="22"/>
          <w:lang w:val="en-US"/>
        </w:rPr>
        <w:t>Table</w:t>
      </w:r>
      <w:r w:rsidR="00C702B4" w:rsidRPr="00DB5A1A">
        <w:rPr>
          <w:rStyle w:val="Heading5Char"/>
          <w:b/>
          <w:iCs w:val="0"/>
          <w:szCs w:val="22"/>
          <w:lang w:val="en-US"/>
        </w:rPr>
        <w:t> </w:t>
      </w:r>
      <w:r w:rsidRPr="00DB5A1A">
        <w:rPr>
          <w:rStyle w:val="Heading5Char"/>
          <w:b/>
          <w:iCs w:val="0"/>
          <w:szCs w:val="22"/>
          <w:lang w:val="en-US"/>
        </w:rPr>
        <w:t>E.</w:t>
      </w:r>
      <w:r w:rsidRPr="00DB5A1A">
        <w:rPr>
          <w:rStyle w:val="Heading5Char"/>
          <w:b/>
          <w:i/>
          <w:iCs w:val="0"/>
          <w:szCs w:val="22"/>
          <w:lang w:val="en-US"/>
        </w:rPr>
        <w:fldChar w:fldCharType="begin"/>
      </w:r>
      <w:r w:rsidRPr="00DB5A1A">
        <w:rPr>
          <w:rStyle w:val="Heading5Char"/>
          <w:b/>
          <w:iCs w:val="0"/>
          <w:szCs w:val="22"/>
          <w:lang w:val="en-US"/>
        </w:rPr>
        <w:instrText xml:space="preserve"> SEQ Table_E. \* ARABIC </w:instrText>
      </w:r>
      <w:r w:rsidRPr="00DB5A1A">
        <w:rPr>
          <w:rStyle w:val="Heading5Char"/>
          <w:b/>
          <w:i/>
          <w:iCs w:val="0"/>
          <w:szCs w:val="22"/>
          <w:lang w:val="en-US"/>
        </w:rPr>
        <w:fldChar w:fldCharType="separate"/>
      </w:r>
      <w:r w:rsidR="004C6E5F" w:rsidRPr="00DB5A1A">
        <w:rPr>
          <w:rStyle w:val="Heading5Char"/>
          <w:b/>
          <w:iCs w:val="0"/>
          <w:noProof/>
          <w:szCs w:val="22"/>
          <w:lang w:val="en-US"/>
        </w:rPr>
        <w:t>1</w:t>
      </w:r>
      <w:r w:rsidRPr="00DB5A1A">
        <w:rPr>
          <w:rStyle w:val="Heading5Char"/>
          <w:b/>
          <w:i/>
          <w:iCs w:val="0"/>
          <w:szCs w:val="22"/>
          <w:lang w:val="en-US"/>
        </w:rPr>
        <w:fldChar w:fldCharType="end"/>
      </w:r>
      <w:bookmarkEnd w:id="5"/>
      <w:r w:rsidRPr="00DB5A1A">
        <w:rPr>
          <w:rStyle w:val="Heading5Char"/>
          <w:b/>
          <w:iCs w:val="0"/>
          <w:szCs w:val="22"/>
          <w:lang w:val="en-US"/>
        </w:rPr>
        <w:t xml:space="preserve">. </w:t>
      </w:r>
      <w:r w:rsidR="007A4161" w:rsidRPr="00DB5A1A">
        <w:rPr>
          <w:rStyle w:val="Heading5Char"/>
          <w:b/>
          <w:iCs w:val="0"/>
          <w:szCs w:val="22"/>
          <w:lang w:val="en-US"/>
        </w:rPr>
        <w:t>Summary of Recommendations</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1"/>
        <w:gridCol w:w="8256"/>
        <w:gridCol w:w="799"/>
      </w:tblGrid>
      <w:tr w:rsidR="003807B1" w:rsidRPr="00FA650C" w14:paraId="7C7315F7" w14:textId="77777777" w:rsidTr="00F0477A">
        <w:tc>
          <w:tcPr>
            <w:tcW w:w="272" w:type="pct"/>
            <w:tcMar>
              <w:top w:w="0" w:type="dxa"/>
              <w:left w:w="108" w:type="dxa"/>
              <w:bottom w:w="0" w:type="dxa"/>
              <w:right w:w="108" w:type="dxa"/>
            </w:tcMar>
            <w:hideMark/>
          </w:tcPr>
          <w:p w14:paraId="3DAF987C" w14:textId="77777777" w:rsidR="003807B1" w:rsidRPr="00FA650C" w:rsidRDefault="00982421" w:rsidP="00A67B08">
            <w:pPr>
              <w:spacing w:after="0" w:line="240" w:lineRule="auto"/>
              <w:jc w:val="center"/>
              <w:rPr>
                <w:rFonts w:cstheme="minorHAnsi"/>
                <w:b/>
                <w:bCs/>
                <w:sz w:val="20"/>
                <w:szCs w:val="20"/>
                <w:lang w:val="en-US"/>
              </w:rPr>
            </w:pPr>
            <w:r w:rsidRPr="00FA650C">
              <w:rPr>
                <w:rFonts w:cstheme="minorHAnsi"/>
                <w:b/>
                <w:bCs/>
                <w:iCs/>
                <w:sz w:val="20"/>
                <w:szCs w:val="20"/>
                <w:lang w:val="en-US"/>
              </w:rPr>
              <w:t>S. No.</w:t>
            </w:r>
          </w:p>
        </w:tc>
        <w:tc>
          <w:tcPr>
            <w:tcW w:w="4311" w:type="pct"/>
            <w:tcMar>
              <w:top w:w="0" w:type="dxa"/>
              <w:left w:w="108" w:type="dxa"/>
              <w:bottom w:w="0" w:type="dxa"/>
              <w:right w:w="108" w:type="dxa"/>
            </w:tcMar>
            <w:hideMark/>
          </w:tcPr>
          <w:p w14:paraId="1479AF35" w14:textId="77777777" w:rsidR="003807B1" w:rsidRPr="00FA650C" w:rsidRDefault="003807B1" w:rsidP="00A67B08">
            <w:pPr>
              <w:spacing w:after="0" w:line="240" w:lineRule="auto"/>
              <w:jc w:val="center"/>
              <w:rPr>
                <w:rFonts w:cstheme="minorHAnsi"/>
                <w:b/>
                <w:bCs/>
                <w:iCs/>
                <w:sz w:val="20"/>
                <w:szCs w:val="20"/>
                <w:lang w:val="en-US"/>
              </w:rPr>
            </w:pPr>
            <w:r w:rsidRPr="00FA650C">
              <w:rPr>
                <w:rFonts w:cstheme="minorHAnsi"/>
                <w:b/>
                <w:bCs/>
                <w:iCs/>
                <w:sz w:val="20"/>
                <w:szCs w:val="20"/>
                <w:lang w:val="en-US"/>
              </w:rPr>
              <w:t>Recommendations</w:t>
            </w:r>
          </w:p>
        </w:tc>
        <w:tc>
          <w:tcPr>
            <w:tcW w:w="417" w:type="pct"/>
            <w:tcMar>
              <w:top w:w="0" w:type="dxa"/>
              <w:left w:w="108" w:type="dxa"/>
              <w:bottom w:w="0" w:type="dxa"/>
              <w:right w:w="108" w:type="dxa"/>
            </w:tcMar>
            <w:hideMark/>
          </w:tcPr>
          <w:p w14:paraId="1B4335C9" w14:textId="77777777" w:rsidR="003807B1" w:rsidRPr="00FA650C" w:rsidRDefault="003807B1" w:rsidP="00A67B08">
            <w:pPr>
              <w:spacing w:after="0" w:line="240" w:lineRule="auto"/>
              <w:jc w:val="center"/>
              <w:rPr>
                <w:rFonts w:cstheme="minorHAnsi"/>
                <w:b/>
                <w:bCs/>
                <w:iCs/>
                <w:sz w:val="20"/>
                <w:szCs w:val="20"/>
                <w:lang w:val="en-US"/>
              </w:rPr>
            </w:pPr>
            <w:r w:rsidRPr="00FA650C">
              <w:rPr>
                <w:rFonts w:cstheme="minorHAnsi"/>
                <w:b/>
                <w:bCs/>
                <w:iCs/>
                <w:sz w:val="20"/>
                <w:szCs w:val="20"/>
                <w:lang w:val="en-US"/>
              </w:rPr>
              <w:t>Timing</w:t>
            </w:r>
          </w:p>
        </w:tc>
      </w:tr>
      <w:tr w:rsidR="003807B1" w:rsidRPr="00FA650C" w14:paraId="3F68450E" w14:textId="77777777" w:rsidTr="00A67B08">
        <w:tc>
          <w:tcPr>
            <w:tcW w:w="5000" w:type="pct"/>
            <w:gridSpan w:val="3"/>
            <w:tcMar>
              <w:top w:w="0" w:type="dxa"/>
              <w:left w:w="108" w:type="dxa"/>
              <w:bottom w:w="0" w:type="dxa"/>
              <w:right w:w="108" w:type="dxa"/>
            </w:tcMar>
          </w:tcPr>
          <w:p w14:paraId="661E9C8A" w14:textId="77777777" w:rsidR="003807B1" w:rsidRPr="00FA650C" w:rsidRDefault="003807B1" w:rsidP="007414AC">
            <w:pPr>
              <w:pStyle w:val="ListParagraph"/>
              <w:numPr>
                <w:ilvl w:val="0"/>
                <w:numId w:val="19"/>
              </w:numPr>
              <w:spacing w:after="0" w:line="240" w:lineRule="auto"/>
              <w:ind w:left="360"/>
              <w:contextualSpacing w:val="0"/>
              <w:rPr>
                <w:rFonts w:cstheme="minorHAnsi"/>
                <w:b/>
                <w:bCs/>
                <w:iCs/>
                <w:sz w:val="20"/>
                <w:szCs w:val="20"/>
                <w:lang w:val="en-US"/>
              </w:rPr>
            </w:pPr>
            <w:r w:rsidRPr="00FA650C">
              <w:rPr>
                <w:rFonts w:cstheme="minorHAnsi"/>
                <w:b/>
                <w:bCs/>
                <w:iCs/>
                <w:sz w:val="20"/>
                <w:szCs w:val="20"/>
                <w:lang w:val="en-US"/>
              </w:rPr>
              <w:t>Banking Sector</w:t>
            </w:r>
          </w:p>
        </w:tc>
      </w:tr>
      <w:tr w:rsidR="003807B1" w:rsidRPr="00FA650C" w14:paraId="0C2FBC1E" w14:textId="77777777" w:rsidTr="00F0477A">
        <w:tc>
          <w:tcPr>
            <w:tcW w:w="272" w:type="pct"/>
            <w:tcMar>
              <w:top w:w="0" w:type="dxa"/>
              <w:left w:w="108" w:type="dxa"/>
              <w:bottom w:w="0" w:type="dxa"/>
              <w:right w:w="108" w:type="dxa"/>
            </w:tcMar>
          </w:tcPr>
          <w:p w14:paraId="1E2E0BA5" w14:textId="77777777" w:rsidR="003807B1" w:rsidRPr="00FA650C" w:rsidRDefault="003807B1" w:rsidP="00A67B08">
            <w:pPr>
              <w:spacing w:after="0" w:line="240" w:lineRule="auto"/>
              <w:jc w:val="center"/>
              <w:rPr>
                <w:rFonts w:cstheme="minorHAnsi"/>
                <w:b/>
                <w:bCs/>
                <w:iCs/>
                <w:sz w:val="20"/>
                <w:szCs w:val="20"/>
                <w:lang w:val="en-US"/>
              </w:rPr>
            </w:pPr>
            <w:r w:rsidRPr="00FA650C">
              <w:rPr>
                <w:rFonts w:cstheme="minorHAnsi"/>
                <w:b/>
                <w:bCs/>
                <w:iCs/>
                <w:sz w:val="20"/>
                <w:szCs w:val="20"/>
                <w:lang w:val="en-US"/>
              </w:rPr>
              <w:t>2.</w:t>
            </w:r>
          </w:p>
        </w:tc>
        <w:tc>
          <w:tcPr>
            <w:tcW w:w="4311" w:type="pct"/>
            <w:tcMar>
              <w:top w:w="0" w:type="dxa"/>
              <w:left w:w="108" w:type="dxa"/>
              <w:bottom w:w="0" w:type="dxa"/>
              <w:right w:w="108" w:type="dxa"/>
            </w:tcMar>
          </w:tcPr>
          <w:p w14:paraId="67817F72" w14:textId="77777777" w:rsidR="003807B1" w:rsidRPr="00FA650C" w:rsidRDefault="00B853C5" w:rsidP="00A67B08">
            <w:pPr>
              <w:spacing w:after="0" w:line="240" w:lineRule="auto"/>
              <w:rPr>
                <w:rFonts w:cstheme="minorHAnsi"/>
                <w:sz w:val="20"/>
                <w:szCs w:val="20"/>
                <w:lang w:val="en-US"/>
              </w:rPr>
            </w:pPr>
            <w:r w:rsidRPr="00FA650C">
              <w:rPr>
                <w:rFonts w:cstheme="minorHAnsi"/>
                <w:sz w:val="20"/>
                <w:szCs w:val="20"/>
                <w:lang w:val="en-US"/>
              </w:rPr>
              <w:t>Develop a</w:t>
            </w:r>
            <w:r w:rsidR="00141BD7">
              <w:rPr>
                <w:rFonts w:cstheme="minorHAnsi"/>
                <w:sz w:val="20"/>
                <w:szCs w:val="20"/>
                <w:lang w:val="en-US"/>
              </w:rPr>
              <w:t>n</w:t>
            </w:r>
            <w:r w:rsidRPr="00FA650C">
              <w:rPr>
                <w:rFonts w:cstheme="minorHAnsi"/>
                <w:sz w:val="20"/>
                <w:szCs w:val="20"/>
                <w:lang w:val="en-US"/>
              </w:rPr>
              <w:t xml:space="preserve"> NPL </w:t>
            </w:r>
            <w:r w:rsidR="00AF3251" w:rsidRPr="00FA650C">
              <w:rPr>
                <w:rFonts w:cstheme="minorHAnsi"/>
                <w:sz w:val="20"/>
                <w:szCs w:val="20"/>
                <w:lang w:val="en-US"/>
              </w:rPr>
              <w:t>strategy for</w:t>
            </w:r>
            <w:r w:rsidRPr="00FA650C">
              <w:rPr>
                <w:rFonts w:cstheme="minorHAnsi"/>
                <w:sz w:val="20"/>
                <w:szCs w:val="20"/>
                <w:lang w:val="en-US"/>
              </w:rPr>
              <w:t xml:space="preserve"> the whole sector</w:t>
            </w:r>
            <w:r w:rsidR="00873B01" w:rsidRPr="00FA650C">
              <w:rPr>
                <w:rFonts w:cstheme="minorHAnsi"/>
                <w:sz w:val="20"/>
                <w:szCs w:val="20"/>
                <w:lang w:val="en-US"/>
              </w:rPr>
              <w:t>.</w:t>
            </w:r>
            <w:r w:rsidRPr="00FA650C">
              <w:rPr>
                <w:rFonts w:cstheme="minorHAnsi"/>
                <w:sz w:val="20"/>
                <w:szCs w:val="20"/>
                <w:lang w:val="en-US"/>
              </w:rPr>
              <w:t xml:space="preserve"> </w:t>
            </w:r>
          </w:p>
        </w:tc>
        <w:tc>
          <w:tcPr>
            <w:tcW w:w="417" w:type="pct"/>
            <w:tcMar>
              <w:top w:w="0" w:type="dxa"/>
              <w:left w:w="108" w:type="dxa"/>
              <w:bottom w:w="0" w:type="dxa"/>
              <w:right w:w="108" w:type="dxa"/>
            </w:tcMar>
          </w:tcPr>
          <w:p w14:paraId="6E0335B1" w14:textId="77777777" w:rsidR="003807B1" w:rsidRPr="00FA650C" w:rsidRDefault="00AF3251" w:rsidP="00A67B08">
            <w:pPr>
              <w:spacing w:after="0" w:line="240" w:lineRule="auto"/>
              <w:jc w:val="center"/>
              <w:rPr>
                <w:rFonts w:cstheme="minorHAnsi"/>
                <w:bCs/>
                <w:iCs/>
                <w:sz w:val="20"/>
                <w:szCs w:val="20"/>
                <w:lang w:val="en-US"/>
              </w:rPr>
            </w:pPr>
            <w:r w:rsidRPr="00FA650C">
              <w:rPr>
                <w:rFonts w:cstheme="minorHAnsi"/>
                <w:bCs/>
                <w:iCs/>
                <w:sz w:val="20"/>
                <w:szCs w:val="20"/>
                <w:lang w:val="en-US"/>
              </w:rPr>
              <w:t>ST</w:t>
            </w:r>
          </w:p>
        </w:tc>
      </w:tr>
      <w:tr w:rsidR="003807B1" w:rsidRPr="00FA650C" w14:paraId="29078622" w14:textId="77777777" w:rsidTr="00F0477A">
        <w:tc>
          <w:tcPr>
            <w:tcW w:w="272" w:type="pct"/>
            <w:tcMar>
              <w:top w:w="0" w:type="dxa"/>
              <w:left w:w="108" w:type="dxa"/>
              <w:bottom w:w="0" w:type="dxa"/>
              <w:right w:w="108" w:type="dxa"/>
            </w:tcMar>
          </w:tcPr>
          <w:p w14:paraId="1E508545" w14:textId="77777777" w:rsidR="003807B1" w:rsidRPr="00FA650C" w:rsidRDefault="003807B1" w:rsidP="00A67B08">
            <w:pPr>
              <w:spacing w:after="0" w:line="240" w:lineRule="auto"/>
              <w:jc w:val="center"/>
              <w:rPr>
                <w:rFonts w:cstheme="minorHAnsi"/>
                <w:b/>
                <w:bCs/>
                <w:iCs/>
                <w:sz w:val="20"/>
                <w:szCs w:val="20"/>
                <w:lang w:val="en-US"/>
              </w:rPr>
            </w:pPr>
            <w:r w:rsidRPr="00FA650C">
              <w:rPr>
                <w:rFonts w:cstheme="minorHAnsi"/>
                <w:b/>
                <w:bCs/>
                <w:iCs/>
                <w:sz w:val="20"/>
                <w:szCs w:val="20"/>
                <w:lang w:val="en-US"/>
              </w:rPr>
              <w:t>3.</w:t>
            </w:r>
          </w:p>
        </w:tc>
        <w:tc>
          <w:tcPr>
            <w:tcW w:w="4311" w:type="pct"/>
            <w:tcMar>
              <w:top w:w="0" w:type="dxa"/>
              <w:left w:w="108" w:type="dxa"/>
              <w:bottom w:w="0" w:type="dxa"/>
              <w:right w:w="108" w:type="dxa"/>
            </w:tcMar>
          </w:tcPr>
          <w:p w14:paraId="12156EA7" w14:textId="77777777" w:rsidR="003807B1" w:rsidRPr="00FA650C" w:rsidRDefault="00AF3251" w:rsidP="00A67B08">
            <w:pPr>
              <w:spacing w:after="0" w:line="240" w:lineRule="auto"/>
              <w:rPr>
                <w:rFonts w:cstheme="minorHAnsi"/>
                <w:sz w:val="20"/>
                <w:szCs w:val="20"/>
                <w:lang w:val="en-US"/>
              </w:rPr>
            </w:pPr>
            <w:r w:rsidRPr="00FA650C">
              <w:rPr>
                <w:rFonts w:cstheme="minorHAnsi"/>
                <w:sz w:val="20"/>
                <w:szCs w:val="20"/>
                <w:lang w:val="en-US"/>
              </w:rPr>
              <w:t>Consider BCEAO to impose higher haircuts on bonds rediscounted to effectively increase borrowing costs when banks do repos</w:t>
            </w:r>
            <w:r w:rsidR="00873B01" w:rsidRPr="00FA650C">
              <w:rPr>
                <w:rFonts w:cstheme="minorHAnsi"/>
                <w:sz w:val="20"/>
                <w:szCs w:val="20"/>
                <w:lang w:val="en-US"/>
              </w:rPr>
              <w:t>.</w:t>
            </w:r>
            <w:r w:rsidRPr="00FA650C">
              <w:rPr>
                <w:rFonts w:cstheme="minorHAnsi"/>
                <w:sz w:val="20"/>
                <w:szCs w:val="20"/>
                <w:lang w:val="en-US"/>
              </w:rPr>
              <w:t xml:space="preserve">  </w:t>
            </w:r>
          </w:p>
        </w:tc>
        <w:tc>
          <w:tcPr>
            <w:tcW w:w="417" w:type="pct"/>
            <w:tcMar>
              <w:top w:w="0" w:type="dxa"/>
              <w:left w:w="108" w:type="dxa"/>
              <w:bottom w:w="0" w:type="dxa"/>
              <w:right w:w="108" w:type="dxa"/>
            </w:tcMar>
          </w:tcPr>
          <w:p w14:paraId="5B42B430" w14:textId="77777777" w:rsidR="003807B1" w:rsidRPr="00FA650C" w:rsidRDefault="00AF3251" w:rsidP="00A67B08">
            <w:pPr>
              <w:spacing w:after="0" w:line="240" w:lineRule="auto"/>
              <w:jc w:val="center"/>
              <w:rPr>
                <w:rFonts w:cstheme="minorHAnsi"/>
                <w:bCs/>
                <w:iCs/>
                <w:sz w:val="20"/>
                <w:szCs w:val="20"/>
                <w:lang w:val="en-US"/>
              </w:rPr>
            </w:pPr>
            <w:r w:rsidRPr="00FA650C">
              <w:rPr>
                <w:rFonts w:cstheme="minorHAnsi"/>
                <w:bCs/>
                <w:iCs/>
                <w:sz w:val="20"/>
                <w:szCs w:val="20"/>
                <w:lang w:val="en-US"/>
              </w:rPr>
              <w:t>ST</w:t>
            </w:r>
          </w:p>
        </w:tc>
      </w:tr>
      <w:tr w:rsidR="003807B1" w:rsidRPr="00FA650C" w14:paraId="372C5035" w14:textId="77777777" w:rsidTr="00F0477A">
        <w:tc>
          <w:tcPr>
            <w:tcW w:w="272" w:type="pct"/>
            <w:tcMar>
              <w:top w:w="0" w:type="dxa"/>
              <w:left w:w="108" w:type="dxa"/>
              <w:bottom w:w="0" w:type="dxa"/>
              <w:right w:w="108" w:type="dxa"/>
            </w:tcMar>
          </w:tcPr>
          <w:p w14:paraId="20B18106" w14:textId="77777777" w:rsidR="003807B1" w:rsidRPr="00FA650C" w:rsidRDefault="003807B1" w:rsidP="00A67B08">
            <w:pPr>
              <w:spacing w:after="0" w:line="240" w:lineRule="auto"/>
              <w:jc w:val="center"/>
              <w:rPr>
                <w:rFonts w:cstheme="minorHAnsi"/>
                <w:b/>
                <w:bCs/>
                <w:iCs/>
                <w:sz w:val="20"/>
                <w:szCs w:val="20"/>
                <w:lang w:val="en-US"/>
              </w:rPr>
            </w:pPr>
            <w:r w:rsidRPr="00FA650C">
              <w:rPr>
                <w:rFonts w:cstheme="minorHAnsi"/>
                <w:b/>
                <w:bCs/>
                <w:iCs/>
                <w:sz w:val="20"/>
                <w:szCs w:val="20"/>
                <w:lang w:val="en-US"/>
              </w:rPr>
              <w:t>4.</w:t>
            </w:r>
          </w:p>
        </w:tc>
        <w:tc>
          <w:tcPr>
            <w:tcW w:w="4311" w:type="pct"/>
            <w:tcMar>
              <w:top w:w="0" w:type="dxa"/>
              <w:left w:w="108" w:type="dxa"/>
              <w:bottom w:w="0" w:type="dxa"/>
              <w:right w:w="108" w:type="dxa"/>
            </w:tcMar>
          </w:tcPr>
          <w:p w14:paraId="54AF7F45" w14:textId="77777777" w:rsidR="003807B1" w:rsidRPr="00FA650C" w:rsidRDefault="00B853C5" w:rsidP="00A67B08">
            <w:pPr>
              <w:spacing w:after="0" w:line="240" w:lineRule="auto"/>
              <w:rPr>
                <w:rFonts w:cstheme="minorHAnsi"/>
                <w:sz w:val="20"/>
                <w:szCs w:val="20"/>
                <w:lang w:val="en-US"/>
              </w:rPr>
            </w:pPr>
            <w:r w:rsidRPr="00FA650C">
              <w:rPr>
                <w:rFonts w:cstheme="minorHAnsi"/>
                <w:sz w:val="20"/>
                <w:szCs w:val="20"/>
                <w:lang w:val="en-US"/>
              </w:rPr>
              <w:t>Review the national crisis management and resolution framework in line with reforms</w:t>
            </w:r>
            <w:r w:rsidR="00AF3251" w:rsidRPr="00FA650C">
              <w:rPr>
                <w:rFonts w:cstheme="minorHAnsi"/>
                <w:sz w:val="20"/>
                <w:szCs w:val="20"/>
                <w:lang w:val="en-US"/>
              </w:rPr>
              <w:t xml:space="preserve"> undergone</w:t>
            </w:r>
            <w:r w:rsidRPr="00FA650C">
              <w:rPr>
                <w:rFonts w:cstheme="minorHAnsi"/>
                <w:sz w:val="20"/>
                <w:szCs w:val="20"/>
                <w:lang w:val="en-US"/>
              </w:rPr>
              <w:t xml:space="preserve"> at the regional level</w:t>
            </w:r>
            <w:r w:rsidR="00873B01" w:rsidRPr="00FA650C">
              <w:rPr>
                <w:rFonts w:cstheme="minorHAnsi"/>
                <w:sz w:val="20"/>
                <w:szCs w:val="20"/>
                <w:lang w:val="en-US"/>
              </w:rPr>
              <w:t>.</w:t>
            </w:r>
          </w:p>
        </w:tc>
        <w:tc>
          <w:tcPr>
            <w:tcW w:w="417" w:type="pct"/>
            <w:tcMar>
              <w:top w:w="0" w:type="dxa"/>
              <w:left w:w="108" w:type="dxa"/>
              <w:bottom w:w="0" w:type="dxa"/>
              <w:right w:w="108" w:type="dxa"/>
            </w:tcMar>
          </w:tcPr>
          <w:p w14:paraId="6BB26DD4" w14:textId="77777777" w:rsidR="003807B1" w:rsidRPr="00FA650C" w:rsidRDefault="00AF3251" w:rsidP="00A67B08">
            <w:pPr>
              <w:spacing w:after="0" w:line="240" w:lineRule="auto"/>
              <w:jc w:val="center"/>
              <w:rPr>
                <w:rFonts w:cstheme="minorHAnsi"/>
                <w:bCs/>
                <w:iCs/>
                <w:sz w:val="20"/>
                <w:szCs w:val="20"/>
                <w:lang w:val="en-US"/>
              </w:rPr>
            </w:pPr>
            <w:r w:rsidRPr="00FA650C">
              <w:rPr>
                <w:rFonts w:cstheme="minorHAnsi"/>
                <w:bCs/>
                <w:iCs/>
                <w:sz w:val="20"/>
                <w:szCs w:val="20"/>
                <w:lang w:val="en-US"/>
              </w:rPr>
              <w:t>MT</w:t>
            </w:r>
          </w:p>
        </w:tc>
      </w:tr>
      <w:tr w:rsidR="003807B1" w:rsidRPr="00FA650C" w14:paraId="3F92854A" w14:textId="77777777" w:rsidTr="00A67B08">
        <w:tc>
          <w:tcPr>
            <w:tcW w:w="5000" w:type="pct"/>
            <w:gridSpan w:val="3"/>
            <w:tcMar>
              <w:top w:w="0" w:type="dxa"/>
              <w:left w:w="108" w:type="dxa"/>
              <w:bottom w:w="0" w:type="dxa"/>
              <w:right w:w="108" w:type="dxa"/>
            </w:tcMar>
          </w:tcPr>
          <w:p w14:paraId="3A0DD433" w14:textId="77777777" w:rsidR="003807B1" w:rsidRPr="00FA650C" w:rsidRDefault="003807B1" w:rsidP="007414AC">
            <w:pPr>
              <w:pStyle w:val="ListParagraph"/>
              <w:numPr>
                <w:ilvl w:val="0"/>
                <w:numId w:val="19"/>
              </w:numPr>
              <w:spacing w:after="0" w:line="240" w:lineRule="auto"/>
              <w:ind w:left="360"/>
              <w:contextualSpacing w:val="0"/>
              <w:rPr>
                <w:rFonts w:cstheme="minorHAnsi"/>
                <w:b/>
                <w:bCs/>
                <w:iCs/>
                <w:sz w:val="20"/>
                <w:szCs w:val="20"/>
                <w:lang w:val="en-US"/>
              </w:rPr>
            </w:pPr>
            <w:r w:rsidRPr="00FA650C">
              <w:rPr>
                <w:rFonts w:cstheme="minorHAnsi"/>
                <w:b/>
                <w:bCs/>
                <w:iCs/>
                <w:sz w:val="20"/>
                <w:szCs w:val="20"/>
                <w:lang w:val="en-US"/>
              </w:rPr>
              <w:t xml:space="preserve">Microfinance Sector </w:t>
            </w:r>
          </w:p>
        </w:tc>
      </w:tr>
      <w:tr w:rsidR="003807B1" w:rsidRPr="00FA650C" w14:paraId="46A55ED5" w14:textId="77777777" w:rsidTr="00F0477A">
        <w:tc>
          <w:tcPr>
            <w:tcW w:w="272" w:type="pct"/>
            <w:tcMar>
              <w:top w:w="0" w:type="dxa"/>
              <w:left w:w="108" w:type="dxa"/>
              <w:bottom w:w="0" w:type="dxa"/>
              <w:right w:w="108" w:type="dxa"/>
            </w:tcMar>
          </w:tcPr>
          <w:p w14:paraId="73103CC6" w14:textId="77777777" w:rsidR="003807B1" w:rsidRPr="00FA650C" w:rsidRDefault="003807B1" w:rsidP="00A67B08">
            <w:pPr>
              <w:spacing w:after="0" w:line="240" w:lineRule="auto"/>
              <w:jc w:val="center"/>
              <w:rPr>
                <w:rFonts w:cstheme="minorHAnsi"/>
                <w:b/>
                <w:bCs/>
                <w:iCs/>
                <w:sz w:val="20"/>
                <w:szCs w:val="20"/>
                <w:lang w:val="en-US"/>
              </w:rPr>
            </w:pPr>
            <w:r w:rsidRPr="00FA650C">
              <w:rPr>
                <w:rFonts w:cstheme="minorHAnsi"/>
                <w:b/>
                <w:bCs/>
                <w:iCs/>
                <w:sz w:val="20"/>
                <w:szCs w:val="20"/>
                <w:lang w:val="en-US"/>
              </w:rPr>
              <w:t>5.</w:t>
            </w:r>
          </w:p>
        </w:tc>
        <w:tc>
          <w:tcPr>
            <w:tcW w:w="4311" w:type="pct"/>
            <w:tcMar>
              <w:top w:w="0" w:type="dxa"/>
              <w:left w:w="108" w:type="dxa"/>
              <w:bottom w:w="0" w:type="dxa"/>
              <w:right w:w="108" w:type="dxa"/>
            </w:tcMar>
          </w:tcPr>
          <w:p w14:paraId="50F8706A" w14:textId="6581D5BD" w:rsidR="003807B1" w:rsidRPr="00FA650C" w:rsidRDefault="00FA650C" w:rsidP="00FA650C">
            <w:pPr>
              <w:autoSpaceDE w:val="0"/>
              <w:autoSpaceDN w:val="0"/>
              <w:adjustRightInd w:val="0"/>
              <w:spacing w:after="0" w:line="240" w:lineRule="auto"/>
              <w:jc w:val="both"/>
              <w:rPr>
                <w:rFonts w:cstheme="minorHAnsi"/>
                <w:sz w:val="20"/>
                <w:szCs w:val="20"/>
                <w:lang w:val="en"/>
              </w:rPr>
            </w:pPr>
            <w:r w:rsidRPr="00FA650C">
              <w:rPr>
                <w:sz w:val="20"/>
                <w:szCs w:val="20"/>
                <w:lang w:val="en-US"/>
              </w:rPr>
              <w:t>Stren</w:t>
            </w:r>
            <w:r w:rsidR="00F70553">
              <w:rPr>
                <w:sz w:val="20"/>
                <w:szCs w:val="20"/>
                <w:lang w:val="en-US"/>
              </w:rPr>
              <w:t>gthen</w:t>
            </w:r>
            <w:r w:rsidRPr="00FA650C">
              <w:rPr>
                <w:sz w:val="20"/>
                <w:szCs w:val="20"/>
                <w:lang w:val="en-US"/>
              </w:rPr>
              <w:t xml:space="preserve"> the microfinance</w:t>
            </w:r>
            <w:r w:rsidR="00F70553">
              <w:rPr>
                <w:sz w:val="20"/>
                <w:szCs w:val="20"/>
                <w:lang w:val="en-US"/>
              </w:rPr>
              <w:t xml:space="preserve"> sector</w:t>
            </w:r>
            <w:r w:rsidRPr="00FA650C">
              <w:rPr>
                <w:sz w:val="20"/>
                <w:szCs w:val="20"/>
                <w:lang w:val="en-US"/>
              </w:rPr>
              <w:t xml:space="preserve"> supervision, by developing the capacities of the supervisory authority (ANSSFD) to fully implemented his mandate </w:t>
            </w:r>
            <w:r>
              <w:rPr>
                <w:rFonts w:cstheme="minorHAnsi"/>
                <w:color w:val="222222"/>
                <w:sz w:val="20"/>
                <w:szCs w:val="20"/>
                <w:lang w:val="en"/>
              </w:rPr>
              <w:t xml:space="preserve">by: a) </w:t>
            </w:r>
            <w:r w:rsidRPr="00FA650C">
              <w:rPr>
                <w:rFonts w:cstheme="minorHAnsi"/>
                <w:color w:val="222222"/>
                <w:sz w:val="20"/>
                <w:szCs w:val="20"/>
                <w:lang w:val="en"/>
              </w:rPr>
              <w:t>adopt</w:t>
            </w:r>
            <w:r>
              <w:rPr>
                <w:rFonts w:cstheme="minorHAnsi"/>
                <w:color w:val="222222"/>
                <w:sz w:val="20"/>
                <w:szCs w:val="20"/>
                <w:lang w:val="en"/>
              </w:rPr>
              <w:t>ing</w:t>
            </w:r>
            <w:r w:rsidRPr="00FA650C">
              <w:rPr>
                <w:rFonts w:cstheme="minorHAnsi"/>
                <w:color w:val="222222"/>
                <w:sz w:val="20"/>
                <w:szCs w:val="20"/>
                <w:lang w:val="en"/>
              </w:rPr>
              <w:t xml:space="preserve"> a </w:t>
            </w:r>
            <w:r>
              <w:rPr>
                <w:rFonts w:cstheme="minorHAnsi"/>
                <w:color w:val="222222"/>
                <w:sz w:val="20"/>
                <w:szCs w:val="20"/>
                <w:lang w:val="en"/>
              </w:rPr>
              <w:t>risk-</w:t>
            </w:r>
            <w:r w:rsidRPr="00FA650C">
              <w:rPr>
                <w:rFonts w:cstheme="minorHAnsi"/>
                <w:color w:val="222222"/>
                <w:sz w:val="20"/>
                <w:szCs w:val="20"/>
                <w:lang w:val="en"/>
              </w:rPr>
              <w:t xml:space="preserve">based supervision approach which will allow </w:t>
            </w:r>
            <w:r w:rsidR="0089075C">
              <w:rPr>
                <w:rFonts w:cstheme="minorHAnsi"/>
                <w:color w:val="222222"/>
                <w:sz w:val="20"/>
                <w:szCs w:val="20"/>
                <w:lang w:val="en"/>
              </w:rPr>
              <w:t xml:space="preserve">identifying </w:t>
            </w:r>
            <w:r w:rsidR="0089075C" w:rsidRPr="00FA650C">
              <w:rPr>
                <w:rFonts w:cstheme="minorHAnsi"/>
                <w:color w:val="222222"/>
                <w:sz w:val="20"/>
                <w:szCs w:val="20"/>
                <w:lang w:val="en"/>
              </w:rPr>
              <w:t>early</w:t>
            </w:r>
            <w:r w:rsidRPr="00FA650C">
              <w:rPr>
                <w:rFonts w:cstheme="minorHAnsi"/>
                <w:color w:val="222222"/>
                <w:sz w:val="20"/>
                <w:szCs w:val="20"/>
                <w:lang w:val="en"/>
              </w:rPr>
              <w:t xml:space="preserve"> warning alerts</w:t>
            </w:r>
            <w:r>
              <w:rPr>
                <w:rFonts w:cstheme="minorHAnsi"/>
                <w:color w:val="222222"/>
                <w:sz w:val="20"/>
                <w:szCs w:val="20"/>
                <w:lang w:val="en"/>
              </w:rPr>
              <w:t xml:space="preserve"> on MFIs performance, b) enhancing</w:t>
            </w:r>
            <w:r w:rsidRPr="00FA650C">
              <w:rPr>
                <w:rFonts w:cstheme="minorHAnsi"/>
                <w:color w:val="222222"/>
                <w:sz w:val="20"/>
                <w:szCs w:val="20"/>
                <w:lang w:val="en"/>
              </w:rPr>
              <w:t xml:space="preserve"> the technical capacities of staff through training and technical assistance, c) introduc</w:t>
            </w:r>
            <w:r>
              <w:rPr>
                <w:rFonts w:cstheme="minorHAnsi"/>
                <w:color w:val="222222"/>
                <w:sz w:val="20"/>
                <w:szCs w:val="20"/>
                <w:lang w:val="en"/>
              </w:rPr>
              <w:t>ing</w:t>
            </w:r>
            <w:r w:rsidRPr="00FA650C">
              <w:rPr>
                <w:rFonts w:cstheme="minorHAnsi"/>
                <w:color w:val="222222"/>
                <w:sz w:val="20"/>
                <w:szCs w:val="20"/>
                <w:lang w:val="en"/>
              </w:rPr>
              <w:t xml:space="preserve"> technologies that increase the efficiency of the supervision.</w:t>
            </w:r>
          </w:p>
        </w:tc>
        <w:tc>
          <w:tcPr>
            <w:tcW w:w="417" w:type="pct"/>
            <w:tcMar>
              <w:top w:w="0" w:type="dxa"/>
              <w:left w:w="108" w:type="dxa"/>
              <w:bottom w:w="0" w:type="dxa"/>
              <w:right w:w="108" w:type="dxa"/>
            </w:tcMar>
          </w:tcPr>
          <w:p w14:paraId="65FD6F58" w14:textId="77777777" w:rsidR="003807B1" w:rsidRPr="00FA650C" w:rsidRDefault="003807B1" w:rsidP="00A67B08">
            <w:pPr>
              <w:spacing w:after="0" w:line="240" w:lineRule="auto"/>
              <w:jc w:val="center"/>
              <w:rPr>
                <w:rFonts w:cstheme="minorHAnsi"/>
                <w:bCs/>
                <w:iCs/>
                <w:sz w:val="20"/>
                <w:szCs w:val="20"/>
                <w:lang w:val="en-US"/>
              </w:rPr>
            </w:pPr>
            <w:r w:rsidRPr="00FA650C">
              <w:rPr>
                <w:rFonts w:cstheme="minorHAnsi"/>
                <w:bCs/>
                <w:iCs/>
                <w:sz w:val="20"/>
                <w:szCs w:val="20"/>
                <w:lang w:val="en-US"/>
              </w:rPr>
              <w:t>ST</w:t>
            </w:r>
          </w:p>
        </w:tc>
      </w:tr>
      <w:tr w:rsidR="00FA650C" w:rsidRPr="00FA650C" w14:paraId="720313A7" w14:textId="77777777" w:rsidTr="00F0477A">
        <w:tc>
          <w:tcPr>
            <w:tcW w:w="272" w:type="pct"/>
            <w:tcMar>
              <w:top w:w="0" w:type="dxa"/>
              <w:left w:w="108" w:type="dxa"/>
              <w:bottom w:w="0" w:type="dxa"/>
              <w:right w:w="108" w:type="dxa"/>
            </w:tcMar>
          </w:tcPr>
          <w:p w14:paraId="5133DF61" w14:textId="77777777" w:rsidR="00FA650C" w:rsidRPr="00FA650C" w:rsidRDefault="00FA650C" w:rsidP="00A67B08">
            <w:pPr>
              <w:spacing w:after="0" w:line="240" w:lineRule="auto"/>
              <w:jc w:val="center"/>
              <w:rPr>
                <w:rFonts w:cstheme="minorHAnsi"/>
                <w:b/>
                <w:bCs/>
                <w:iCs/>
                <w:sz w:val="20"/>
                <w:szCs w:val="20"/>
                <w:lang w:val="en-US"/>
              </w:rPr>
            </w:pPr>
            <w:r>
              <w:rPr>
                <w:rFonts w:cstheme="minorHAnsi"/>
                <w:b/>
                <w:bCs/>
                <w:iCs/>
                <w:sz w:val="20"/>
                <w:szCs w:val="20"/>
                <w:lang w:val="en-US"/>
              </w:rPr>
              <w:t>6</w:t>
            </w:r>
            <w:r w:rsidR="00A75730">
              <w:rPr>
                <w:rFonts w:cstheme="minorHAnsi"/>
                <w:b/>
                <w:bCs/>
                <w:iCs/>
                <w:sz w:val="20"/>
                <w:szCs w:val="20"/>
                <w:lang w:val="en-US"/>
              </w:rPr>
              <w:t>.</w:t>
            </w:r>
          </w:p>
        </w:tc>
        <w:tc>
          <w:tcPr>
            <w:tcW w:w="4311" w:type="pct"/>
            <w:tcMar>
              <w:top w:w="0" w:type="dxa"/>
              <w:left w:w="108" w:type="dxa"/>
              <w:bottom w:w="0" w:type="dxa"/>
              <w:right w:w="108" w:type="dxa"/>
            </w:tcMar>
          </w:tcPr>
          <w:p w14:paraId="4E0D6973" w14:textId="49E0A369" w:rsidR="00FA650C" w:rsidRPr="00FA650C" w:rsidRDefault="00FA650C" w:rsidP="00FA650C">
            <w:pPr>
              <w:autoSpaceDE w:val="0"/>
              <w:autoSpaceDN w:val="0"/>
              <w:adjustRightInd w:val="0"/>
              <w:spacing w:after="0" w:line="240" w:lineRule="auto"/>
              <w:jc w:val="both"/>
              <w:rPr>
                <w:sz w:val="20"/>
                <w:szCs w:val="20"/>
                <w:lang w:val="en-US"/>
              </w:rPr>
            </w:pPr>
            <w:r w:rsidRPr="00FA650C">
              <w:rPr>
                <w:rFonts w:cstheme="minorHAnsi"/>
                <w:sz w:val="20"/>
                <w:szCs w:val="20"/>
                <w:lang w:val="en-US"/>
              </w:rPr>
              <w:t>Enhance capacity of the judicial system employees (judges) on specialized laws and regulations governing the microfinance sector</w:t>
            </w:r>
            <w:r w:rsidR="002D4998">
              <w:rPr>
                <w:rFonts w:cstheme="minorHAnsi"/>
                <w:sz w:val="20"/>
                <w:szCs w:val="20"/>
                <w:lang w:val="en-US"/>
              </w:rPr>
              <w:t>, which</w:t>
            </w:r>
            <w:r w:rsidRPr="00FA650C">
              <w:rPr>
                <w:rFonts w:cstheme="minorHAnsi"/>
                <w:sz w:val="20"/>
                <w:szCs w:val="20"/>
                <w:lang w:val="en-US"/>
              </w:rPr>
              <w:t xml:space="preserve"> is crucial </w:t>
            </w:r>
            <w:r w:rsidR="00F70553">
              <w:rPr>
                <w:rFonts w:cstheme="minorHAnsi"/>
                <w:sz w:val="20"/>
                <w:szCs w:val="20"/>
                <w:lang w:val="en-US"/>
              </w:rPr>
              <w:t>for the effective</w:t>
            </w:r>
            <w:r w:rsidRPr="00FA650C">
              <w:rPr>
                <w:rFonts w:cstheme="minorHAnsi"/>
                <w:sz w:val="20"/>
                <w:szCs w:val="20"/>
                <w:lang w:val="en-US"/>
              </w:rPr>
              <w:t xml:space="preserve"> enforcement and cleaning up of the sector.</w:t>
            </w:r>
          </w:p>
        </w:tc>
        <w:tc>
          <w:tcPr>
            <w:tcW w:w="417" w:type="pct"/>
            <w:tcMar>
              <w:top w:w="0" w:type="dxa"/>
              <w:left w:w="108" w:type="dxa"/>
              <w:bottom w:w="0" w:type="dxa"/>
              <w:right w:w="108" w:type="dxa"/>
            </w:tcMar>
          </w:tcPr>
          <w:p w14:paraId="7393391D" w14:textId="77777777" w:rsidR="00FA650C" w:rsidRPr="00FA650C" w:rsidRDefault="00FA650C" w:rsidP="00A67B08">
            <w:pPr>
              <w:spacing w:after="0" w:line="240" w:lineRule="auto"/>
              <w:jc w:val="center"/>
              <w:rPr>
                <w:rFonts w:cstheme="minorHAnsi"/>
                <w:bCs/>
                <w:iCs/>
                <w:sz w:val="20"/>
                <w:szCs w:val="20"/>
                <w:lang w:val="en-US"/>
              </w:rPr>
            </w:pPr>
            <w:r>
              <w:rPr>
                <w:rFonts w:cstheme="minorHAnsi"/>
                <w:bCs/>
                <w:iCs/>
                <w:sz w:val="20"/>
                <w:szCs w:val="20"/>
                <w:lang w:val="en-US"/>
              </w:rPr>
              <w:t>ST</w:t>
            </w:r>
          </w:p>
        </w:tc>
      </w:tr>
      <w:tr w:rsidR="00A75730" w:rsidRPr="00FA650C" w14:paraId="3DFDF151" w14:textId="77777777" w:rsidTr="00F0477A">
        <w:tc>
          <w:tcPr>
            <w:tcW w:w="272" w:type="pct"/>
            <w:tcMar>
              <w:top w:w="0" w:type="dxa"/>
              <w:left w:w="108" w:type="dxa"/>
              <w:bottom w:w="0" w:type="dxa"/>
              <w:right w:w="108" w:type="dxa"/>
            </w:tcMar>
          </w:tcPr>
          <w:p w14:paraId="7B15F343" w14:textId="77777777" w:rsidR="00A75730" w:rsidRDefault="00A75730" w:rsidP="00A75730">
            <w:pPr>
              <w:spacing w:after="0" w:line="240" w:lineRule="auto"/>
              <w:jc w:val="center"/>
              <w:rPr>
                <w:rFonts w:cstheme="minorHAnsi"/>
                <w:b/>
                <w:bCs/>
                <w:iCs/>
                <w:sz w:val="20"/>
                <w:szCs w:val="20"/>
                <w:lang w:val="en-US"/>
              </w:rPr>
            </w:pPr>
            <w:r>
              <w:rPr>
                <w:rFonts w:cstheme="minorHAnsi"/>
                <w:b/>
                <w:bCs/>
                <w:iCs/>
                <w:sz w:val="20"/>
                <w:szCs w:val="20"/>
                <w:lang w:val="en-US"/>
              </w:rPr>
              <w:t>7.</w:t>
            </w:r>
          </w:p>
        </w:tc>
        <w:tc>
          <w:tcPr>
            <w:tcW w:w="4311" w:type="pct"/>
            <w:tcMar>
              <w:top w:w="0" w:type="dxa"/>
              <w:left w:w="108" w:type="dxa"/>
              <w:bottom w:w="0" w:type="dxa"/>
              <w:right w:w="108" w:type="dxa"/>
            </w:tcMar>
          </w:tcPr>
          <w:p w14:paraId="14224C73" w14:textId="77777777" w:rsidR="00A75730" w:rsidRPr="00F70553" w:rsidRDefault="00A75730" w:rsidP="00F70553">
            <w:pPr>
              <w:autoSpaceDE w:val="0"/>
              <w:autoSpaceDN w:val="0"/>
              <w:adjustRightInd w:val="0"/>
              <w:spacing w:after="0" w:line="240" w:lineRule="auto"/>
              <w:jc w:val="both"/>
              <w:rPr>
                <w:rFonts w:cstheme="minorHAnsi"/>
                <w:sz w:val="20"/>
                <w:szCs w:val="20"/>
                <w:lang w:val="en-US"/>
              </w:rPr>
            </w:pPr>
            <w:r w:rsidRPr="00F70553">
              <w:rPr>
                <w:rFonts w:cstheme="minorHAnsi"/>
                <w:color w:val="222222"/>
                <w:sz w:val="20"/>
                <w:szCs w:val="20"/>
                <w:lang w:val="en-US"/>
              </w:rPr>
              <w:t xml:space="preserve">Consolidate the sector of licensed MFIs and adopt a resolution framework. </w:t>
            </w:r>
          </w:p>
        </w:tc>
        <w:tc>
          <w:tcPr>
            <w:tcW w:w="417" w:type="pct"/>
            <w:tcMar>
              <w:top w:w="0" w:type="dxa"/>
              <w:left w:w="108" w:type="dxa"/>
              <w:bottom w:w="0" w:type="dxa"/>
              <w:right w:w="108" w:type="dxa"/>
            </w:tcMar>
          </w:tcPr>
          <w:p w14:paraId="02DB9C0B" w14:textId="77777777" w:rsidR="00A75730" w:rsidRDefault="00A75730" w:rsidP="00A75730">
            <w:pPr>
              <w:spacing w:after="0" w:line="240" w:lineRule="auto"/>
              <w:jc w:val="center"/>
              <w:rPr>
                <w:rFonts w:cstheme="minorHAnsi"/>
                <w:bCs/>
                <w:iCs/>
                <w:sz w:val="20"/>
                <w:szCs w:val="20"/>
                <w:lang w:val="en-US"/>
              </w:rPr>
            </w:pPr>
            <w:r w:rsidRPr="00FA650C">
              <w:rPr>
                <w:rFonts w:cstheme="minorHAnsi"/>
                <w:bCs/>
                <w:iCs/>
                <w:sz w:val="20"/>
                <w:szCs w:val="20"/>
                <w:lang w:val="en-US"/>
              </w:rPr>
              <w:t>MT</w:t>
            </w:r>
          </w:p>
        </w:tc>
      </w:tr>
      <w:tr w:rsidR="00A75730" w:rsidRPr="00F70553" w14:paraId="7BF923A7" w14:textId="77777777" w:rsidTr="00F0477A">
        <w:tc>
          <w:tcPr>
            <w:tcW w:w="272" w:type="pct"/>
            <w:tcMar>
              <w:top w:w="0" w:type="dxa"/>
              <w:left w:w="108" w:type="dxa"/>
              <w:bottom w:w="0" w:type="dxa"/>
              <w:right w:w="108" w:type="dxa"/>
            </w:tcMar>
          </w:tcPr>
          <w:p w14:paraId="521F876B" w14:textId="77777777" w:rsidR="00A75730" w:rsidRPr="00FA650C" w:rsidRDefault="00044252" w:rsidP="00A75730">
            <w:pPr>
              <w:spacing w:after="0" w:line="240" w:lineRule="auto"/>
              <w:jc w:val="center"/>
              <w:rPr>
                <w:rFonts w:cstheme="minorHAnsi"/>
                <w:b/>
                <w:bCs/>
                <w:iCs/>
                <w:sz w:val="20"/>
                <w:szCs w:val="20"/>
                <w:lang w:val="en-US"/>
              </w:rPr>
            </w:pPr>
            <w:r>
              <w:rPr>
                <w:rFonts w:cstheme="minorHAnsi"/>
                <w:b/>
                <w:bCs/>
                <w:iCs/>
                <w:sz w:val="20"/>
                <w:szCs w:val="20"/>
                <w:lang w:val="en-US"/>
              </w:rPr>
              <w:t>8</w:t>
            </w:r>
            <w:r w:rsidR="00A75730" w:rsidRPr="00FA650C">
              <w:rPr>
                <w:rFonts w:cstheme="minorHAnsi"/>
                <w:b/>
                <w:bCs/>
                <w:iCs/>
                <w:sz w:val="20"/>
                <w:szCs w:val="20"/>
                <w:lang w:val="en-US"/>
              </w:rPr>
              <w:t>.</w:t>
            </w:r>
          </w:p>
        </w:tc>
        <w:tc>
          <w:tcPr>
            <w:tcW w:w="4311" w:type="pct"/>
            <w:tcMar>
              <w:top w:w="0" w:type="dxa"/>
              <w:left w:w="108" w:type="dxa"/>
              <w:bottom w:w="0" w:type="dxa"/>
              <w:right w:w="108" w:type="dxa"/>
            </w:tcMar>
          </w:tcPr>
          <w:p w14:paraId="1E9B004B" w14:textId="6DA277BF" w:rsidR="00A75730" w:rsidRPr="00F70553" w:rsidRDefault="00A75730" w:rsidP="00F70553">
            <w:pPr>
              <w:spacing w:after="0" w:line="240" w:lineRule="auto"/>
              <w:jc w:val="both"/>
              <w:rPr>
                <w:rFonts w:cstheme="minorHAnsi"/>
                <w:sz w:val="20"/>
                <w:szCs w:val="20"/>
                <w:lang w:val="en-US"/>
              </w:rPr>
            </w:pPr>
            <w:r w:rsidRPr="00F70553">
              <w:rPr>
                <w:rFonts w:cstheme="minorHAnsi"/>
                <w:sz w:val="20"/>
                <w:szCs w:val="20"/>
                <w:lang w:val="en-US"/>
              </w:rPr>
              <w:t xml:space="preserve">Conduct a nationwide assessment of </w:t>
            </w:r>
            <w:r w:rsidR="00FA0593">
              <w:rPr>
                <w:rFonts w:cstheme="minorHAnsi"/>
                <w:sz w:val="20"/>
                <w:szCs w:val="20"/>
                <w:lang w:val="en-US"/>
              </w:rPr>
              <w:t xml:space="preserve">the </w:t>
            </w:r>
            <w:r w:rsidRPr="00F70553">
              <w:rPr>
                <w:rFonts w:cstheme="minorHAnsi"/>
                <w:sz w:val="20"/>
                <w:szCs w:val="20"/>
                <w:lang w:val="en-US"/>
              </w:rPr>
              <w:t xml:space="preserve">informal savings and credits institutions </w:t>
            </w:r>
            <w:r w:rsidR="00FA0593">
              <w:rPr>
                <w:rFonts w:cstheme="minorHAnsi"/>
                <w:sz w:val="20"/>
                <w:szCs w:val="20"/>
                <w:lang w:val="en-US"/>
              </w:rPr>
              <w:t xml:space="preserve">landscape </w:t>
            </w:r>
            <w:r w:rsidRPr="00F70553">
              <w:rPr>
                <w:rFonts w:cstheme="minorHAnsi"/>
                <w:sz w:val="20"/>
                <w:szCs w:val="20"/>
                <w:lang w:val="en-US"/>
              </w:rPr>
              <w:t xml:space="preserve">to identify and </w:t>
            </w:r>
            <w:r w:rsidR="00F70553" w:rsidRPr="00F70553">
              <w:rPr>
                <w:rFonts w:cstheme="minorHAnsi"/>
                <w:sz w:val="20"/>
                <w:szCs w:val="20"/>
                <w:lang w:val="en-US"/>
              </w:rPr>
              <w:t xml:space="preserve">adopt </w:t>
            </w:r>
            <w:r w:rsidRPr="00F70553">
              <w:rPr>
                <w:rFonts w:cstheme="minorHAnsi"/>
                <w:sz w:val="20"/>
                <w:szCs w:val="20"/>
                <w:lang w:val="en-US"/>
              </w:rPr>
              <w:t>a transition plan for the large viable ones int</w:t>
            </w:r>
            <w:r w:rsidR="00FA0593">
              <w:rPr>
                <w:rFonts w:cstheme="minorHAnsi"/>
                <w:sz w:val="20"/>
                <w:szCs w:val="20"/>
                <w:lang w:val="en-US"/>
              </w:rPr>
              <w:t>egrating</w:t>
            </w:r>
            <w:r w:rsidRPr="00F70553">
              <w:rPr>
                <w:rFonts w:cstheme="minorHAnsi"/>
                <w:sz w:val="20"/>
                <w:szCs w:val="20"/>
                <w:lang w:val="en-US"/>
              </w:rPr>
              <w:t xml:space="preserve"> the formal sector</w:t>
            </w:r>
            <w:r w:rsidR="00F70553" w:rsidRPr="00F70553">
              <w:rPr>
                <w:rFonts w:cstheme="minorHAnsi"/>
                <w:sz w:val="20"/>
                <w:szCs w:val="20"/>
                <w:lang w:val="en-US"/>
              </w:rPr>
              <w:t>.</w:t>
            </w:r>
            <w:r w:rsidRPr="00F70553">
              <w:rPr>
                <w:rFonts w:cstheme="minorHAnsi"/>
                <w:sz w:val="20"/>
                <w:szCs w:val="20"/>
                <w:lang w:val="en-US"/>
              </w:rPr>
              <w:t xml:space="preserve"> </w:t>
            </w:r>
          </w:p>
        </w:tc>
        <w:tc>
          <w:tcPr>
            <w:tcW w:w="417" w:type="pct"/>
            <w:tcMar>
              <w:top w:w="0" w:type="dxa"/>
              <w:left w:w="108" w:type="dxa"/>
              <w:bottom w:w="0" w:type="dxa"/>
              <w:right w:w="108" w:type="dxa"/>
            </w:tcMar>
          </w:tcPr>
          <w:p w14:paraId="3B6710B8" w14:textId="77777777" w:rsidR="00A75730" w:rsidRPr="00FA650C" w:rsidRDefault="00A75730" w:rsidP="00A75730">
            <w:pPr>
              <w:spacing w:after="0" w:line="240" w:lineRule="auto"/>
              <w:jc w:val="center"/>
              <w:rPr>
                <w:rFonts w:cstheme="minorHAnsi"/>
                <w:bCs/>
                <w:iCs/>
                <w:sz w:val="20"/>
                <w:szCs w:val="20"/>
                <w:lang w:val="en-US"/>
              </w:rPr>
            </w:pPr>
            <w:r w:rsidRPr="00FA650C">
              <w:rPr>
                <w:rFonts w:cstheme="minorHAnsi"/>
                <w:bCs/>
                <w:iCs/>
                <w:sz w:val="20"/>
                <w:szCs w:val="20"/>
                <w:lang w:val="en-US"/>
              </w:rPr>
              <w:t>ST</w:t>
            </w:r>
          </w:p>
        </w:tc>
      </w:tr>
      <w:tr w:rsidR="00A75730" w:rsidRPr="00F70553" w14:paraId="4DC04553" w14:textId="77777777" w:rsidTr="00F0477A">
        <w:tc>
          <w:tcPr>
            <w:tcW w:w="272" w:type="pct"/>
            <w:tcMar>
              <w:top w:w="0" w:type="dxa"/>
              <w:left w:w="108" w:type="dxa"/>
              <w:bottom w:w="0" w:type="dxa"/>
              <w:right w:w="108" w:type="dxa"/>
            </w:tcMar>
          </w:tcPr>
          <w:p w14:paraId="1FD9C271" w14:textId="77777777" w:rsidR="00A75730" w:rsidRPr="00FA650C" w:rsidRDefault="00044252" w:rsidP="00A75730">
            <w:pPr>
              <w:spacing w:after="0" w:line="240" w:lineRule="auto"/>
              <w:jc w:val="center"/>
              <w:rPr>
                <w:rFonts w:cstheme="minorHAnsi"/>
                <w:b/>
                <w:bCs/>
                <w:iCs/>
                <w:sz w:val="20"/>
                <w:szCs w:val="20"/>
                <w:lang w:val="en-US"/>
              </w:rPr>
            </w:pPr>
            <w:r>
              <w:rPr>
                <w:rFonts w:cstheme="minorHAnsi"/>
                <w:b/>
                <w:bCs/>
                <w:iCs/>
                <w:sz w:val="20"/>
                <w:szCs w:val="20"/>
                <w:lang w:val="en-US"/>
              </w:rPr>
              <w:t>9</w:t>
            </w:r>
            <w:r w:rsidR="00A75730" w:rsidRPr="00FA650C">
              <w:rPr>
                <w:rFonts w:cstheme="minorHAnsi"/>
                <w:b/>
                <w:bCs/>
                <w:iCs/>
                <w:sz w:val="20"/>
                <w:szCs w:val="20"/>
                <w:lang w:val="en-US"/>
              </w:rPr>
              <w:t>.</w:t>
            </w:r>
          </w:p>
        </w:tc>
        <w:tc>
          <w:tcPr>
            <w:tcW w:w="4311" w:type="pct"/>
            <w:tcMar>
              <w:top w:w="0" w:type="dxa"/>
              <w:left w:w="108" w:type="dxa"/>
              <w:bottom w:w="0" w:type="dxa"/>
              <w:right w:w="108" w:type="dxa"/>
            </w:tcMar>
          </w:tcPr>
          <w:p w14:paraId="00053DCD" w14:textId="47A8E65A" w:rsidR="00A75730" w:rsidRPr="00F70553" w:rsidRDefault="004E3333" w:rsidP="00F70553">
            <w:pPr>
              <w:spacing w:after="0" w:line="240" w:lineRule="auto"/>
              <w:jc w:val="both"/>
              <w:rPr>
                <w:rFonts w:cstheme="minorHAnsi"/>
                <w:sz w:val="20"/>
                <w:szCs w:val="20"/>
                <w:lang w:val="en-US"/>
              </w:rPr>
            </w:pPr>
            <w:r>
              <w:rPr>
                <w:rFonts w:cstheme="minorHAnsi"/>
                <w:sz w:val="20"/>
                <w:szCs w:val="20"/>
                <w:lang w:val="en-US"/>
              </w:rPr>
              <w:t>Conduct an a</w:t>
            </w:r>
            <w:r w:rsidRPr="00F70553">
              <w:rPr>
                <w:rFonts w:cstheme="minorHAnsi"/>
                <w:sz w:val="20"/>
                <w:szCs w:val="20"/>
                <w:lang w:val="en-US"/>
              </w:rPr>
              <w:t xml:space="preserve">wareness </w:t>
            </w:r>
            <w:r w:rsidR="00077E91" w:rsidRPr="00F70553">
              <w:rPr>
                <w:rFonts w:cstheme="minorHAnsi"/>
                <w:sz w:val="20"/>
                <w:szCs w:val="20"/>
                <w:lang w:val="en-US"/>
              </w:rPr>
              <w:t xml:space="preserve">campaign about unauthorized MFIs </w:t>
            </w:r>
            <w:r w:rsidR="00077E91">
              <w:rPr>
                <w:rFonts w:cstheme="minorHAnsi"/>
                <w:sz w:val="20"/>
                <w:szCs w:val="20"/>
                <w:lang w:val="en-US"/>
              </w:rPr>
              <w:t>by s</w:t>
            </w:r>
            <w:r w:rsidR="00F70553" w:rsidRPr="00F70553">
              <w:rPr>
                <w:rFonts w:cstheme="minorHAnsi"/>
                <w:sz w:val="20"/>
                <w:szCs w:val="20"/>
                <w:lang w:val="en-US"/>
              </w:rPr>
              <w:t>et</w:t>
            </w:r>
            <w:r w:rsidR="00077E91">
              <w:rPr>
                <w:rFonts w:cstheme="minorHAnsi"/>
                <w:sz w:val="20"/>
                <w:szCs w:val="20"/>
                <w:lang w:val="en-US"/>
              </w:rPr>
              <w:t>ting</w:t>
            </w:r>
            <w:r w:rsidR="00F70553" w:rsidRPr="00F70553">
              <w:rPr>
                <w:rFonts w:cstheme="minorHAnsi"/>
                <w:sz w:val="20"/>
                <w:szCs w:val="20"/>
                <w:lang w:val="en-US"/>
              </w:rPr>
              <w:t xml:space="preserve"> up a free call-in </w:t>
            </w:r>
            <w:r w:rsidR="00F70553" w:rsidRPr="00F70553">
              <w:rPr>
                <w:rFonts w:cstheme="minorHAnsi"/>
                <w:bCs/>
                <w:sz w:val="20"/>
                <w:szCs w:val="20"/>
                <w:lang w:val="en-US"/>
              </w:rPr>
              <w:t>Interactive Voice Response (IVR) system listing all formal MFIs and launch</w:t>
            </w:r>
            <w:r w:rsidR="00077E91">
              <w:rPr>
                <w:rFonts w:cstheme="minorHAnsi"/>
                <w:bCs/>
                <w:sz w:val="20"/>
                <w:szCs w:val="20"/>
                <w:lang w:val="en-US"/>
              </w:rPr>
              <w:t>ing</w:t>
            </w:r>
            <w:r w:rsidR="00F70553" w:rsidRPr="00F70553">
              <w:rPr>
                <w:rFonts w:cstheme="minorHAnsi"/>
                <w:bCs/>
                <w:sz w:val="20"/>
                <w:szCs w:val="20"/>
                <w:lang w:val="en-US"/>
              </w:rPr>
              <w:t xml:space="preserve"> a </w:t>
            </w:r>
            <w:r w:rsidR="00F70553" w:rsidRPr="00F70553">
              <w:rPr>
                <w:rFonts w:cstheme="minorHAnsi"/>
                <w:sz w:val="20"/>
                <w:szCs w:val="20"/>
                <w:lang w:val="en-US"/>
              </w:rPr>
              <w:t xml:space="preserve">national awareness </w:t>
            </w:r>
            <w:r w:rsidR="00077E91">
              <w:rPr>
                <w:rFonts w:cstheme="minorHAnsi"/>
                <w:sz w:val="20"/>
                <w:szCs w:val="20"/>
                <w:lang w:val="en-US"/>
              </w:rPr>
              <w:t>campaign</w:t>
            </w:r>
            <w:r w:rsidR="00F70553" w:rsidRPr="00F70553">
              <w:rPr>
                <w:rFonts w:cstheme="minorHAnsi"/>
                <w:sz w:val="20"/>
                <w:szCs w:val="20"/>
                <w:lang w:val="en-US"/>
              </w:rPr>
              <w:t xml:space="preserve"> leveraging mobile techno</w:t>
            </w:r>
            <w:r w:rsidR="00077E91">
              <w:rPr>
                <w:rFonts w:cstheme="minorHAnsi"/>
                <w:sz w:val="20"/>
                <w:szCs w:val="20"/>
                <w:lang w:val="en-US"/>
              </w:rPr>
              <w:t xml:space="preserve">logy (text and voice SMS) about </w:t>
            </w:r>
            <w:r w:rsidR="00077E91" w:rsidRPr="00F70553">
              <w:rPr>
                <w:rFonts w:cstheme="minorHAnsi"/>
                <w:sz w:val="20"/>
                <w:szCs w:val="20"/>
                <w:lang w:val="en-US"/>
              </w:rPr>
              <w:t xml:space="preserve">awareness campaign </w:t>
            </w:r>
            <w:r w:rsidR="00077E91">
              <w:rPr>
                <w:rFonts w:cstheme="minorHAnsi"/>
                <w:sz w:val="20"/>
                <w:szCs w:val="20"/>
                <w:lang w:val="en-US"/>
              </w:rPr>
              <w:t xml:space="preserve">on </w:t>
            </w:r>
            <w:r w:rsidR="00077E91" w:rsidRPr="00F70553">
              <w:rPr>
                <w:rFonts w:cstheme="minorHAnsi"/>
                <w:sz w:val="20"/>
                <w:szCs w:val="20"/>
                <w:lang w:val="en-US"/>
              </w:rPr>
              <w:t>unauthorized MFIs</w:t>
            </w:r>
            <w:r w:rsidR="00077E91">
              <w:rPr>
                <w:rFonts w:cstheme="minorHAnsi"/>
                <w:sz w:val="20"/>
                <w:szCs w:val="20"/>
                <w:lang w:val="en-US"/>
              </w:rPr>
              <w:t>.</w:t>
            </w:r>
          </w:p>
        </w:tc>
        <w:tc>
          <w:tcPr>
            <w:tcW w:w="417" w:type="pct"/>
            <w:tcMar>
              <w:top w:w="0" w:type="dxa"/>
              <w:left w:w="108" w:type="dxa"/>
              <w:bottom w:w="0" w:type="dxa"/>
              <w:right w:w="108" w:type="dxa"/>
            </w:tcMar>
          </w:tcPr>
          <w:p w14:paraId="64207F4B" w14:textId="77777777" w:rsidR="00A75730" w:rsidRPr="00FA650C" w:rsidRDefault="00F70553" w:rsidP="00A75730">
            <w:pPr>
              <w:spacing w:after="0" w:line="240" w:lineRule="auto"/>
              <w:jc w:val="center"/>
              <w:rPr>
                <w:rFonts w:cstheme="minorHAnsi"/>
                <w:bCs/>
                <w:iCs/>
                <w:sz w:val="20"/>
                <w:szCs w:val="20"/>
                <w:lang w:val="en-US"/>
              </w:rPr>
            </w:pPr>
            <w:r>
              <w:rPr>
                <w:rFonts w:cstheme="minorHAnsi"/>
                <w:bCs/>
                <w:iCs/>
                <w:sz w:val="20"/>
                <w:szCs w:val="20"/>
                <w:lang w:val="en-US"/>
              </w:rPr>
              <w:t>ST</w:t>
            </w:r>
          </w:p>
        </w:tc>
      </w:tr>
      <w:tr w:rsidR="00A75730" w:rsidRPr="00F70553" w14:paraId="13C6BB86" w14:textId="77777777" w:rsidTr="00F0477A">
        <w:tc>
          <w:tcPr>
            <w:tcW w:w="272" w:type="pct"/>
            <w:tcMar>
              <w:top w:w="0" w:type="dxa"/>
              <w:left w:w="108" w:type="dxa"/>
              <w:bottom w:w="0" w:type="dxa"/>
              <w:right w:w="108" w:type="dxa"/>
            </w:tcMar>
          </w:tcPr>
          <w:p w14:paraId="64306A20" w14:textId="77777777" w:rsidR="00A75730" w:rsidRPr="00FA650C" w:rsidRDefault="00F70553" w:rsidP="00A75730">
            <w:pPr>
              <w:spacing w:after="0" w:line="240" w:lineRule="auto"/>
              <w:jc w:val="center"/>
              <w:rPr>
                <w:rFonts w:cstheme="minorHAnsi"/>
                <w:b/>
                <w:bCs/>
                <w:iCs/>
                <w:sz w:val="20"/>
                <w:szCs w:val="20"/>
                <w:lang w:val="en-US"/>
              </w:rPr>
            </w:pPr>
            <w:r>
              <w:rPr>
                <w:rFonts w:cstheme="minorHAnsi"/>
                <w:b/>
                <w:bCs/>
                <w:iCs/>
                <w:sz w:val="20"/>
                <w:szCs w:val="20"/>
                <w:lang w:val="en-US"/>
              </w:rPr>
              <w:t>10.</w:t>
            </w:r>
          </w:p>
        </w:tc>
        <w:tc>
          <w:tcPr>
            <w:tcW w:w="4311" w:type="pct"/>
            <w:tcMar>
              <w:top w:w="0" w:type="dxa"/>
              <w:left w:w="108" w:type="dxa"/>
              <w:bottom w:w="0" w:type="dxa"/>
              <w:right w:w="108" w:type="dxa"/>
            </w:tcMar>
          </w:tcPr>
          <w:p w14:paraId="306439D3" w14:textId="3599D327" w:rsidR="00A75730" w:rsidRPr="00FA650C" w:rsidRDefault="00A75730" w:rsidP="004E3333">
            <w:pPr>
              <w:spacing w:after="0" w:line="240" w:lineRule="auto"/>
              <w:rPr>
                <w:rFonts w:cstheme="minorHAnsi"/>
                <w:sz w:val="20"/>
                <w:szCs w:val="20"/>
                <w:lang w:val="en-US"/>
              </w:rPr>
            </w:pPr>
            <w:r w:rsidRPr="00FA650C">
              <w:rPr>
                <w:rFonts w:cstheme="minorHAnsi"/>
                <w:color w:val="222222"/>
                <w:sz w:val="20"/>
                <w:szCs w:val="20"/>
                <w:lang w:val="en-US"/>
              </w:rPr>
              <w:t xml:space="preserve">Strengthen </w:t>
            </w:r>
            <w:r w:rsidR="004E3333">
              <w:rPr>
                <w:rFonts w:cstheme="minorHAnsi"/>
                <w:color w:val="222222"/>
                <w:sz w:val="20"/>
                <w:szCs w:val="20"/>
                <w:lang w:val="en-US"/>
              </w:rPr>
              <w:t xml:space="preserve">the </w:t>
            </w:r>
            <w:r w:rsidRPr="00FA650C">
              <w:rPr>
                <w:rFonts w:cstheme="minorHAnsi"/>
                <w:color w:val="222222"/>
                <w:sz w:val="20"/>
                <w:szCs w:val="20"/>
                <w:lang w:val="en-US"/>
              </w:rPr>
              <w:t xml:space="preserve">technical capacities </w:t>
            </w:r>
            <w:r w:rsidR="004E3333">
              <w:rPr>
                <w:rFonts w:cstheme="minorHAnsi"/>
                <w:color w:val="222222"/>
                <w:sz w:val="20"/>
                <w:szCs w:val="20"/>
                <w:lang w:val="en-US"/>
              </w:rPr>
              <w:t xml:space="preserve">of MFIs </w:t>
            </w:r>
            <w:r w:rsidRPr="00FA650C">
              <w:rPr>
                <w:rFonts w:cstheme="minorHAnsi"/>
                <w:color w:val="222222"/>
                <w:sz w:val="20"/>
                <w:szCs w:val="20"/>
                <w:lang w:val="en-US"/>
              </w:rPr>
              <w:t>and their management information system (MIS).</w:t>
            </w:r>
          </w:p>
        </w:tc>
        <w:tc>
          <w:tcPr>
            <w:tcW w:w="417" w:type="pct"/>
            <w:tcMar>
              <w:top w:w="0" w:type="dxa"/>
              <w:left w:w="108" w:type="dxa"/>
              <w:bottom w:w="0" w:type="dxa"/>
              <w:right w:w="108" w:type="dxa"/>
            </w:tcMar>
          </w:tcPr>
          <w:p w14:paraId="100B1239" w14:textId="77777777" w:rsidR="00A75730" w:rsidRPr="00FA650C" w:rsidRDefault="00A75730" w:rsidP="00A75730">
            <w:pPr>
              <w:spacing w:after="0" w:line="240" w:lineRule="auto"/>
              <w:jc w:val="center"/>
              <w:rPr>
                <w:rFonts w:cstheme="minorHAnsi"/>
                <w:bCs/>
                <w:iCs/>
                <w:sz w:val="20"/>
                <w:szCs w:val="20"/>
                <w:lang w:val="en-US"/>
              </w:rPr>
            </w:pPr>
            <w:r w:rsidRPr="00FA650C">
              <w:rPr>
                <w:rFonts w:cstheme="minorHAnsi"/>
                <w:bCs/>
                <w:iCs/>
                <w:sz w:val="20"/>
                <w:szCs w:val="20"/>
                <w:lang w:val="en-US"/>
              </w:rPr>
              <w:t>MT</w:t>
            </w:r>
          </w:p>
        </w:tc>
      </w:tr>
      <w:tr w:rsidR="00A75730" w:rsidRPr="00FA650C" w14:paraId="655A78B5" w14:textId="77777777" w:rsidTr="00F0477A">
        <w:tc>
          <w:tcPr>
            <w:tcW w:w="272" w:type="pct"/>
            <w:tcMar>
              <w:top w:w="0" w:type="dxa"/>
              <w:left w:w="108" w:type="dxa"/>
              <w:bottom w:w="0" w:type="dxa"/>
              <w:right w:w="108" w:type="dxa"/>
            </w:tcMar>
          </w:tcPr>
          <w:p w14:paraId="4A14BA9A" w14:textId="77777777" w:rsidR="00A75730" w:rsidRPr="00FA650C" w:rsidRDefault="00F70553" w:rsidP="00A75730">
            <w:pPr>
              <w:spacing w:after="0" w:line="240" w:lineRule="auto"/>
              <w:jc w:val="center"/>
              <w:rPr>
                <w:rFonts w:cstheme="minorHAnsi"/>
                <w:b/>
                <w:bCs/>
                <w:iCs/>
                <w:sz w:val="20"/>
                <w:szCs w:val="20"/>
                <w:lang w:val="en-US"/>
              </w:rPr>
            </w:pPr>
            <w:r>
              <w:rPr>
                <w:rFonts w:cstheme="minorHAnsi"/>
                <w:b/>
                <w:bCs/>
                <w:iCs/>
                <w:sz w:val="20"/>
                <w:szCs w:val="20"/>
                <w:lang w:val="en-US"/>
              </w:rPr>
              <w:t>11.</w:t>
            </w:r>
          </w:p>
        </w:tc>
        <w:tc>
          <w:tcPr>
            <w:tcW w:w="4311" w:type="pct"/>
            <w:tcMar>
              <w:top w:w="0" w:type="dxa"/>
              <w:left w:w="108" w:type="dxa"/>
              <w:bottom w:w="0" w:type="dxa"/>
              <w:right w:w="108" w:type="dxa"/>
            </w:tcMar>
          </w:tcPr>
          <w:p w14:paraId="18478542" w14:textId="77777777" w:rsidR="00A75730" w:rsidRPr="00F70553" w:rsidRDefault="00A75730" w:rsidP="00A75730">
            <w:pPr>
              <w:spacing w:after="0" w:line="240" w:lineRule="auto"/>
              <w:rPr>
                <w:rFonts w:cstheme="minorHAnsi"/>
                <w:sz w:val="20"/>
                <w:szCs w:val="20"/>
                <w:lang w:val="en-US"/>
              </w:rPr>
            </w:pPr>
            <w:r w:rsidRPr="00FA650C">
              <w:rPr>
                <w:rFonts w:cstheme="minorHAnsi"/>
                <w:sz w:val="20"/>
                <w:szCs w:val="20"/>
                <w:lang w:val="en-US"/>
              </w:rPr>
              <w:t xml:space="preserve">Strengthen consumer protection mechanisms, </w:t>
            </w:r>
            <w:r w:rsidRPr="00F70553">
              <w:rPr>
                <w:rFonts w:cstheme="minorHAnsi"/>
                <w:sz w:val="20"/>
                <w:szCs w:val="20"/>
                <w:lang w:val="en-US"/>
              </w:rPr>
              <w:t>through three pillars: regulation for client protection and supervision, standard and code of conduct for the industry, and financial education and capability.</w:t>
            </w:r>
          </w:p>
        </w:tc>
        <w:tc>
          <w:tcPr>
            <w:tcW w:w="417" w:type="pct"/>
            <w:tcMar>
              <w:top w:w="0" w:type="dxa"/>
              <w:left w:w="108" w:type="dxa"/>
              <w:bottom w:w="0" w:type="dxa"/>
              <w:right w:w="108" w:type="dxa"/>
            </w:tcMar>
          </w:tcPr>
          <w:p w14:paraId="0ACFEA41" w14:textId="77777777" w:rsidR="00A75730" w:rsidRPr="00FA650C" w:rsidRDefault="00A75730" w:rsidP="00A75730">
            <w:pPr>
              <w:spacing w:after="0" w:line="240" w:lineRule="auto"/>
              <w:jc w:val="center"/>
              <w:rPr>
                <w:rFonts w:cstheme="minorHAnsi"/>
                <w:bCs/>
                <w:iCs/>
                <w:sz w:val="20"/>
                <w:szCs w:val="20"/>
                <w:lang w:val="en-US"/>
              </w:rPr>
            </w:pPr>
            <w:r w:rsidRPr="00FA650C">
              <w:rPr>
                <w:rFonts w:cstheme="minorHAnsi"/>
                <w:bCs/>
                <w:iCs/>
                <w:sz w:val="20"/>
                <w:szCs w:val="20"/>
                <w:lang w:val="en-US"/>
              </w:rPr>
              <w:t>MT</w:t>
            </w:r>
          </w:p>
        </w:tc>
      </w:tr>
      <w:tr w:rsidR="00A75730" w:rsidRPr="00FA650C" w14:paraId="509AEABB" w14:textId="77777777" w:rsidTr="00A67B08">
        <w:tc>
          <w:tcPr>
            <w:tcW w:w="5000" w:type="pct"/>
            <w:gridSpan w:val="3"/>
            <w:tcMar>
              <w:top w:w="0" w:type="dxa"/>
              <w:left w:w="108" w:type="dxa"/>
              <w:bottom w:w="0" w:type="dxa"/>
              <w:right w:w="108" w:type="dxa"/>
            </w:tcMar>
          </w:tcPr>
          <w:p w14:paraId="5AD5A154" w14:textId="77777777" w:rsidR="00A75730" w:rsidRPr="00FA650C" w:rsidRDefault="00A75730" w:rsidP="00A75730">
            <w:pPr>
              <w:pStyle w:val="ListParagraph"/>
              <w:numPr>
                <w:ilvl w:val="0"/>
                <w:numId w:val="19"/>
              </w:numPr>
              <w:spacing w:after="0" w:line="240" w:lineRule="auto"/>
              <w:ind w:left="360"/>
              <w:contextualSpacing w:val="0"/>
              <w:rPr>
                <w:rFonts w:cstheme="minorHAnsi"/>
                <w:b/>
                <w:bCs/>
                <w:iCs/>
                <w:sz w:val="20"/>
                <w:szCs w:val="20"/>
                <w:lang w:val="en-US"/>
              </w:rPr>
            </w:pPr>
            <w:r w:rsidRPr="00FA650C">
              <w:rPr>
                <w:rFonts w:cstheme="minorHAnsi"/>
                <w:b/>
                <w:sz w:val="20"/>
                <w:szCs w:val="20"/>
                <w:lang w:val="en-US"/>
              </w:rPr>
              <w:t>Digitalization of Retail Payments</w:t>
            </w:r>
          </w:p>
        </w:tc>
      </w:tr>
      <w:tr w:rsidR="00A75730" w:rsidRPr="00FA650C" w14:paraId="3D324114" w14:textId="77777777" w:rsidTr="00F0477A">
        <w:tc>
          <w:tcPr>
            <w:tcW w:w="272" w:type="pct"/>
            <w:tcMar>
              <w:top w:w="0" w:type="dxa"/>
              <w:left w:w="108" w:type="dxa"/>
              <w:bottom w:w="0" w:type="dxa"/>
              <w:right w:w="108" w:type="dxa"/>
            </w:tcMar>
          </w:tcPr>
          <w:p w14:paraId="622BF241" w14:textId="77777777" w:rsidR="00A75730" w:rsidRPr="00FA650C" w:rsidRDefault="00F70553" w:rsidP="00A75730">
            <w:pPr>
              <w:spacing w:after="0" w:line="240" w:lineRule="auto"/>
              <w:jc w:val="center"/>
              <w:rPr>
                <w:rFonts w:cstheme="minorHAnsi"/>
                <w:b/>
                <w:bCs/>
                <w:iCs/>
                <w:sz w:val="20"/>
                <w:szCs w:val="20"/>
                <w:lang w:val="en-US"/>
              </w:rPr>
            </w:pPr>
            <w:r>
              <w:rPr>
                <w:rFonts w:cstheme="minorHAnsi"/>
                <w:b/>
                <w:bCs/>
                <w:iCs/>
                <w:sz w:val="20"/>
                <w:szCs w:val="20"/>
                <w:lang w:val="en-US"/>
              </w:rPr>
              <w:t>12.</w:t>
            </w:r>
          </w:p>
        </w:tc>
        <w:tc>
          <w:tcPr>
            <w:tcW w:w="4311" w:type="pct"/>
            <w:tcMar>
              <w:top w:w="0" w:type="dxa"/>
              <w:left w:w="108" w:type="dxa"/>
              <w:bottom w:w="0" w:type="dxa"/>
              <w:right w:w="108" w:type="dxa"/>
            </w:tcMar>
          </w:tcPr>
          <w:p w14:paraId="4AF99E26" w14:textId="77777777" w:rsidR="00A75730" w:rsidRPr="00FA650C" w:rsidRDefault="00A75730" w:rsidP="00A75730">
            <w:pPr>
              <w:pStyle w:val="NoSpacing"/>
              <w:rPr>
                <w:rFonts w:cstheme="minorHAnsi"/>
                <w:sz w:val="20"/>
                <w:szCs w:val="20"/>
                <w:lang w:val="en-US"/>
              </w:rPr>
            </w:pPr>
            <w:r w:rsidRPr="00FA650C">
              <w:rPr>
                <w:rFonts w:cstheme="minorHAnsi"/>
                <w:sz w:val="20"/>
                <w:szCs w:val="20"/>
                <w:lang w:val="en-US"/>
              </w:rPr>
              <w:t>Conduct financial education campaigns and strengthen the supervision of the digital finance sector.</w:t>
            </w:r>
          </w:p>
        </w:tc>
        <w:tc>
          <w:tcPr>
            <w:tcW w:w="417" w:type="pct"/>
            <w:tcMar>
              <w:top w:w="0" w:type="dxa"/>
              <w:left w:w="108" w:type="dxa"/>
              <w:bottom w:w="0" w:type="dxa"/>
              <w:right w:w="108" w:type="dxa"/>
            </w:tcMar>
          </w:tcPr>
          <w:p w14:paraId="6534FF47" w14:textId="77777777" w:rsidR="00A75730" w:rsidRPr="00FA650C" w:rsidRDefault="00A75730" w:rsidP="00A75730">
            <w:pPr>
              <w:spacing w:after="0" w:line="240" w:lineRule="auto"/>
              <w:jc w:val="center"/>
              <w:rPr>
                <w:rFonts w:cstheme="minorHAnsi"/>
                <w:b/>
                <w:bCs/>
                <w:iCs/>
                <w:sz w:val="20"/>
                <w:szCs w:val="20"/>
                <w:lang w:val="en-US"/>
              </w:rPr>
            </w:pPr>
            <w:r w:rsidRPr="00FA650C">
              <w:rPr>
                <w:rFonts w:cstheme="minorHAnsi"/>
                <w:b/>
                <w:bCs/>
                <w:iCs/>
                <w:sz w:val="20"/>
                <w:szCs w:val="20"/>
                <w:lang w:val="en-US"/>
              </w:rPr>
              <w:t>ST</w:t>
            </w:r>
          </w:p>
        </w:tc>
      </w:tr>
      <w:tr w:rsidR="00A75730" w:rsidRPr="00FA650C" w14:paraId="0CAE67CF" w14:textId="77777777" w:rsidTr="00F0477A">
        <w:tc>
          <w:tcPr>
            <w:tcW w:w="272" w:type="pct"/>
            <w:tcMar>
              <w:top w:w="0" w:type="dxa"/>
              <w:left w:w="108" w:type="dxa"/>
              <w:bottom w:w="0" w:type="dxa"/>
              <w:right w:w="108" w:type="dxa"/>
            </w:tcMar>
          </w:tcPr>
          <w:p w14:paraId="4BF76086" w14:textId="77777777" w:rsidR="00A75730" w:rsidRPr="00FA650C" w:rsidRDefault="00F70553" w:rsidP="00A75730">
            <w:pPr>
              <w:spacing w:after="0" w:line="240" w:lineRule="auto"/>
              <w:jc w:val="center"/>
              <w:rPr>
                <w:rFonts w:cstheme="minorHAnsi"/>
                <w:b/>
                <w:bCs/>
                <w:iCs/>
                <w:sz w:val="20"/>
                <w:szCs w:val="20"/>
                <w:lang w:val="en-US"/>
              </w:rPr>
            </w:pPr>
            <w:r>
              <w:rPr>
                <w:rFonts w:cstheme="minorHAnsi"/>
                <w:b/>
                <w:bCs/>
                <w:iCs/>
                <w:sz w:val="20"/>
                <w:szCs w:val="20"/>
                <w:lang w:val="en-US"/>
              </w:rPr>
              <w:t>13.</w:t>
            </w:r>
          </w:p>
        </w:tc>
        <w:tc>
          <w:tcPr>
            <w:tcW w:w="4311" w:type="pct"/>
            <w:tcMar>
              <w:top w:w="0" w:type="dxa"/>
              <w:left w:w="108" w:type="dxa"/>
              <w:bottom w:w="0" w:type="dxa"/>
              <w:right w:w="108" w:type="dxa"/>
            </w:tcMar>
          </w:tcPr>
          <w:p w14:paraId="6C3EE0B9" w14:textId="77777777" w:rsidR="00A75730" w:rsidRPr="00FA650C" w:rsidRDefault="00A75730" w:rsidP="00A75730">
            <w:pPr>
              <w:pStyle w:val="NoSpacing"/>
              <w:rPr>
                <w:rFonts w:cstheme="minorHAnsi"/>
                <w:sz w:val="20"/>
                <w:szCs w:val="20"/>
                <w:lang w:val="en-US"/>
              </w:rPr>
            </w:pPr>
            <w:r w:rsidRPr="00FA650C">
              <w:rPr>
                <w:rFonts w:cstheme="minorHAnsi"/>
                <w:sz w:val="20"/>
                <w:szCs w:val="20"/>
                <w:lang w:val="en-US"/>
              </w:rPr>
              <w:t xml:space="preserve">Develop an ecosystem of merchant acceptance networks, thus minimizing the conversion rate from electronic money to </w:t>
            </w:r>
            <w:r w:rsidR="00F70553" w:rsidRPr="00FA650C">
              <w:rPr>
                <w:rFonts w:cstheme="minorHAnsi"/>
                <w:sz w:val="20"/>
                <w:szCs w:val="20"/>
                <w:lang w:val="en-US"/>
              </w:rPr>
              <w:t>cash and</w:t>
            </w:r>
            <w:r w:rsidRPr="00FA650C">
              <w:rPr>
                <w:rFonts w:cstheme="minorHAnsi"/>
                <w:sz w:val="20"/>
                <w:szCs w:val="20"/>
                <w:lang w:val="en-US"/>
              </w:rPr>
              <w:t xml:space="preserve"> promote</w:t>
            </w:r>
            <w:r w:rsidRPr="00FA650C">
              <w:rPr>
                <w:rFonts w:cstheme="minorHAnsi"/>
                <w:iCs/>
                <w:sz w:val="20"/>
                <w:szCs w:val="20"/>
                <w:lang w:val="en-US"/>
              </w:rPr>
              <w:t xml:space="preserve"> </w:t>
            </w:r>
            <w:r w:rsidRPr="00FA650C">
              <w:rPr>
                <w:rFonts w:cstheme="minorHAnsi"/>
                <w:sz w:val="20"/>
                <w:szCs w:val="20"/>
                <w:lang w:val="en-US"/>
              </w:rPr>
              <w:t>the</w:t>
            </w:r>
            <w:r w:rsidRPr="00FA650C">
              <w:rPr>
                <w:rFonts w:cstheme="minorHAnsi"/>
                <w:iCs/>
                <w:sz w:val="20"/>
                <w:szCs w:val="20"/>
                <w:lang w:val="en-US"/>
              </w:rPr>
              <w:t xml:space="preserve"> development of agency banking solutions at the level of banking players.</w:t>
            </w:r>
          </w:p>
        </w:tc>
        <w:tc>
          <w:tcPr>
            <w:tcW w:w="417" w:type="pct"/>
            <w:tcMar>
              <w:top w:w="0" w:type="dxa"/>
              <w:left w:w="108" w:type="dxa"/>
              <w:bottom w:w="0" w:type="dxa"/>
              <w:right w:w="108" w:type="dxa"/>
            </w:tcMar>
          </w:tcPr>
          <w:p w14:paraId="43401690" w14:textId="77777777" w:rsidR="00A75730" w:rsidRPr="00FA650C" w:rsidRDefault="00A75730" w:rsidP="00A75730">
            <w:pPr>
              <w:spacing w:after="0" w:line="240" w:lineRule="auto"/>
              <w:jc w:val="center"/>
              <w:rPr>
                <w:rFonts w:cstheme="minorHAnsi"/>
                <w:b/>
                <w:bCs/>
                <w:iCs/>
                <w:sz w:val="20"/>
                <w:szCs w:val="20"/>
                <w:lang w:val="en-US"/>
              </w:rPr>
            </w:pPr>
            <w:r w:rsidRPr="00FA650C">
              <w:rPr>
                <w:rFonts w:cstheme="minorHAnsi"/>
                <w:b/>
                <w:bCs/>
                <w:iCs/>
                <w:sz w:val="20"/>
                <w:szCs w:val="20"/>
                <w:lang w:val="en-US"/>
              </w:rPr>
              <w:t>MT</w:t>
            </w:r>
          </w:p>
        </w:tc>
      </w:tr>
      <w:tr w:rsidR="00A75730" w:rsidRPr="00FA650C" w14:paraId="3499908A" w14:textId="77777777" w:rsidTr="00F0477A">
        <w:tc>
          <w:tcPr>
            <w:tcW w:w="272" w:type="pct"/>
            <w:tcMar>
              <w:top w:w="0" w:type="dxa"/>
              <w:left w:w="108" w:type="dxa"/>
              <w:bottom w:w="0" w:type="dxa"/>
              <w:right w:w="108" w:type="dxa"/>
            </w:tcMar>
          </w:tcPr>
          <w:p w14:paraId="19D12D58" w14:textId="77777777" w:rsidR="00A75730" w:rsidRDefault="00F70553" w:rsidP="00A75730">
            <w:pPr>
              <w:spacing w:after="0" w:line="240" w:lineRule="auto"/>
              <w:jc w:val="center"/>
              <w:rPr>
                <w:rFonts w:cstheme="minorHAnsi"/>
                <w:b/>
                <w:bCs/>
                <w:iCs/>
                <w:sz w:val="20"/>
                <w:szCs w:val="20"/>
                <w:lang w:val="en-US"/>
              </w:rPr>
            </w:pPr>
            <w:r>
              <w:rPr>
                <w:rFonts w:cstheme="minorHAnsi"/>
                <w:b/>
                <w:bCs/>
                <w:iCs/>
                <w:sz w:val="20"/>
                <w:szCs w:val="20"/>
                <w:lang w:val="en-US"/>
              </w:rPr>
              <w:t>14.</w:t>
            </w:r>
          </w:p>
          <w:p w14:paraId="08C544D7" w14:textId="77777777" w:rsidR="00F70553" w:rsidRPr="00FA650C" w:rsidRDefault="00F70553" w:rsidP="00A75730">
            <w:pPr>
              <w:spacing w:after="0" w:line="240" w:lineRule="auto"/>
              <w:jc w:val="center"/>
              <w:rPr>
                <w:rFonts w:cstheme="minorHAnsi"/>
                <w:b/>
                <w:bCs/>
                <w:iCs/>
                <w:sz w:val="20"/>
                <w:szCs w:val="20"/>
                <w:lang w:val="en-US"/>
              </w:rPr>
            </w:pPr>
          </w:p>
        </w:tc>
        <w:tc>
          <w:tcPr>
            <w:tcW w:w="4311" w:type="pct"/>
            <w:tcMar>
              <w:top w:w="0" w:type="dxa"/>
              <w:left w:w="108" w:type="dxa"/>
              <w:bottom w:w="0" w:type="dxa"/>
              <w:right w:w="108" w:type="dxa"/>
            </w:tcMar>
          </w:tcPr>
          <w:p w14:paraId="12EEA49B" w14:textId="77777777" w:rsidR="00A75730" w:rsidRPr="00F70553" w:rsidRDefault="00A75730" w:rsidP="00F70553">
            <w:pPr>
              <w:pStyle w:val="NoSpacing"/>
              <w:rPr>
                <w:rFonts w:cstheme="minorHAnsi"/>
                <w:sz w:val="20"/>
                <w:szCs w:val="20"/>
                <w:lang w:val="en-US"/>
              </w:rPr>
            </w:pPr>
            <w:r w:rsidRPr="00FA650C">
              <w:rPr>
                <w:rFonts w:cstheme="minorHAnsi"/>
                <w:bCs/>
                <w:sz w:val="20"/>
                <w:szCs w:val="20"/>
                <w:lang w:val="en-US"/>
              </w:rPr>
              <w:t xml:space="preserve">Develop the offering market for the digital finance service </w:t>
            </w:r>
            <w:r w:rsidR="00F70553" w:rsidRPr="00FA650C">
              <w:rPr>
                <w:rFonts w:cstheme="minorHAnsi"/>
                <w:bCs/>
                <w:sz w:val="20"/>
                <w:szCs w:val="20"/>
                <w:lang w:val="en-US"/>
              </w:rPr>
              <w:t>providers through</w:t>
            </w:r>
            <w:r w:rsidRPr="00FA650C">
              <w:rPr>
                <w:rFonts w:cstheme="minorHAnsi"/>
                <w:sz w:val="20"/>
                <w:szCs w:val="20"/>
                <w:lang w:val="en-US"/>
              </w:rPr>
              <w:t xml:space="preserve"> innovation and promotion of partnerships (financial institutions—mobile money providers). </w:t>
            </w:r>
          </w:p>
        </w:tc>
        <w:tc>
          <w:tcPr>
            <w:tcW w:w="417" w:type="pct"/>
            <w:tcMar>
              <w:top w:w="0" w:type="dxa"/>
              <w:left w:w="108" w:type="dxa"/>
              <w:bottom w:w="0" w:type="dxa"/>
              <w:right w:w="108" w:type="dxa"/>
            </w:tcMar>
          </w:tcPr>
          <w:p w14:paraId="682D8022" w14:textId="77777777" w:rsidR="00A75730" w:rsidRPr="00FA650C" w:rsidRDefault="00A75730" w:rsidP="00A75730">
            <w:pPr>
              <w:spacing w:after="0" w:line="240" w:lineRule="auto"/>
              <w:jc w:val="center"/>
              <w:rPr>
                <w:rFonts w:cstheme="minorHAnsi"/>
                <w:b/>
                <w:bCs/>
                <w:iCs/>
                <w:sz w:val="20"/>
                <w:szCs w:val="20"/>
                <w:lang w:val="en-US"/>
              </w:rPr>
            </w:pPr>
            <w:r w:rsidRPr="00FA650C">
              <w:rPr>
                <w:rFonts w:cstheme="minorHAnsi"/>
                <w:b/>
                <w:bCs/>
                <w:iCs/>
                <w:sz w:val="20"/>
                <w:szCs w:val="20"/>
                <w:lang w:val="en-US"/>
              </w:rPr>
              <w:t>MT</w:t>
            </w:r>
          </w:p>
        </w:tc>
      </w:tr>
      <w:tr w:rsidR="00A75730" w:rsidRPr="00FA650C" w14:paraId="41A10F24" w14:textId="77777777" w:rsidTr="00F0477A">
        <w:tc>
          <w:tcPr>
            <w:tcW w:w="272" w:type="pct"/>
            <w:tcMar>
              <w:top w:w="0" w:type="dxa"/>
              <w:left w:w="108" w:type="dxa"/>
              <w:bottom w:w="0" w:type="dxa"/>
              <w:right w:w="108" w:type="dxa"/>
            </w:tcMar>
          </w:tcPr>
          <w:p w14:paraId="024ABF1A" w14:textId="77777777" w:rsidR="00A75730" w:rsidRPr="00FA650C" w:rsidRDefault="00F70553" w:rsidP="00A75730">
            <w:pPr>
              <w:spacing w:after="0" w:line="240" w:lineRule="auto"/>
              <w:jc w:val="center"/>
              <w:rPr>
                <w:rFonts w:cstheme="minorHAnsi"/>
                <w:b/>
                <w:bCs/>
                <w:iCs/>
                <w:sz w:val="20"/>
                <w:szCs w:val="20"/>
                <w:lang w:val="en-US"/>
              </w:rPr>
            </w:pPr>
            <w:r>
              <w:rPr>
                <w:rFonts w:cstheme="minorHAnsi"/>
                <w:b/>
                <w:bCs/>
                <w:iCs/>
                <w:sz w:val="20"/>
                <w:szCs w:val="20"/>
                <w:lang w:val="en-US"/>
              </w:rPr>
              <w:t>15.</w:t>
            </w:r>
          </w:p>
        </w:tc>
        <w:tc>
          <w:tcPr>
            <w:tcW w:w="4311" w:type="pct"/>
            <w:tcMar>
              <w:top w:w="0" w:type="dxa"/>
              <w:left w:w="108" w:type="dxa"/>
              <w:bottom w:w="0" w:type="dxa"/>
              <w:right w:w="108" w:type="dxa"/>
            </w:tcMar>
          </w:tcPr>
          <w:p w14:paraId="0891E812" w14:textId="69464B71" w:rsidR="00A75730" w:rsidRPr="00FA650C" w:rsidRDefault="00A75730" w:rsidP="00A75730">
            <w:pPr>
              <w:pStyle w:val="NoSpacing"/>
              <w:rPr>
                <w:rFonts w:cstheme="minorHAnsi"/>
                <w:bCs/>
                <w:sz w:val="20"/>
                <w:szCs w:val="20"/>
                <w:lang w:val="en-US"/>
              </w:rPr>
            </w:pPr>
            <w:r w:rsidRPr="00FA650C">
              <w:rPr>
                <w:rFonts w:cstheme="minorHAnsi"/>
                <w:bCs/>
                <w:sz w:val="20"/>
                <w:szCs w:val="20"/>
                <w:lang w:val="en-US"/>
              </w:rPr>
              <w:t>Digitalize people</w:t>
            </w:r>
            <w:r w:rsidR="00141BD7">
              <w:rPr>
                <w:rFonts w:cstheme="minorHAnsi"/>
                <w:bCs/>
                <w:sz w:val="20"/>
                <w:szCs w:val="20"/>
                <w:lang w:val="en-US"/>
              </w:rPr>
              <w:t>’</w:t>
            </w:r>
            <w:r w:rsidRPr="00FA650C">
              <w:rPr>
                <w:rFonts w:cstheme="minorHAnsi"/>
                <w:bCs/>
                <w:sz w:val="20"/>
                <w:szCs w:val="20"/>
                <w:lang w:val="en-US"/>
              </w:rPr>
              <w:t>s payments to major billers and the government.</w:t>
            </w:r>
          </w:p>
        </w:tc>
        <w:tc>
          <w:tcPr>
            <w:tcW w:w="417" w:type="pct"/>
            <w:tcMar>
              <w:top w:w="0" w:type="dxa"/>
              <w:left w:w="108" w:type="dxa"/>
              <w:bottom w:w="0" w:type="dxa"/>
              <w:right w:w="108" w:type="dxa"/>
            </w:tcMar>
          </w:tcPr>
          <w:p w14:paraId="6080A0AE" w14:textId="77777777" w:rsidR="00A75730" w:rsidRPr="00FA650C" w:rsidRDefault="00A75730" w:rsidP="00A75730">
            <w:pPr>
              <w:spacing w:after="0" w:line="240" w:lineRule="auto"/>
              <w:jc w:val="center"/>
              <w:rPr>
                <w:rFonts w:cstheme="minorHAnsi"/>
                <w:b/>
                <w:bCs/>
                <w:iCs/>
                <w:sz w:val="20"/>
                <w:szCs w:val="20"/>
                <w:lang w:val="en-US"/>
              </w:rPr>
            </w:pPr>
            <w:r w:rsidRPr="00FA650C">
              <w:rPr>
                <w:rFonts w:cstheme="minorHAnsi"/>
                <w:b/>
                <w:bCs/>
                <w:iCs/>
                <w:sz w:val="20"/>
                <w:szCs w:val="20"/>
                <w:lang w:val="en-US"/>
              </w:rPr>
              <w:t>ST</w:t>
            </w:r>
          </w:p>
        </w:tc>
      </w:tr>
      <w:tr w:rsidR="00A75730" w:rsidRPr="00FA650C" w14:paraId="3086CE4B" w14:textId="77777777" w:rsidTr="00F0477A">
        <w:tc>
          <w:tcPr>
            <w:tcW w:w="272" w:type="pct"/>
            <w:tcMar>
              <w:top w:w="0" w:type="dxa"/>
              <w:left w:w="108" w:type="dxa"/>
              <w:bottom w:w="0" w:type="dxa"/>
              <w:right w:w="108" w:type="dxa"/>
            </w:tcMar>
          </w:tcPr>
          <w:p w14:paraId="5ACE9DC3" w14:textId="77777777" w:rsidR="00A75730" w:rsidRDefault="00F70553" w:rsidP="00A75730">
            <w:pPr>
              <w:spacing w:after="0" w:line="240" w:lineRule="auto"/>
              <w:jc w:val="center"/>
              <w:rPr>
                <w:rFonts w:cstheme="minorHAnsi"/>
                <w:b/>
                <w:bCs/>
                <w:iCs/>
                <w:sz w:val="20"/>
                <w:szCs w:val="20"/>
                <w:lang w:val="en-US"/>
              </w:rPr>
            </w:pPr>
            <w:r>
              <w:rPr>
                <w:rFonts w:cstheme="minorHAnsi"/>
                <w:b/>
                <w:bCs/>
                <w:iCs/>
                <w:sz w:val="20"/>
                <w:szCs w:val="20"/>
                <w:lang w:val="en-US"/>
              </w:rPr>
              <w:t>16.</w:t>
            </w:r>
          </w:p>
          <w:p w14:paraId="438718D5" w14:textId="77777777" w:rsidR="00F70553" w:rsidRPr="00FA650C" w:rsidRDefault="00F70553" w:rsidP="00A75730">
            <w:pPr>
              <w:spacing w:after="0" w:line="240" w:lineRule="auto"/>
              <w:jc w:val="center"/>
              <w:rPr>
                <w:rFonts w:cstheme="minorHAnsi"/>
                <w:b/>
                <w:bCs/>
                <w:iCs/>
                <w:sz w:val="20"/>
                <w:szCs w:val="20"/>
                <w:lang w:val="en-US"/>
              </w:rPr>
            </w:pPr>
          </w:p>
        </w:tc>
        <w:tc>
          <w:tcPr>
            <w:tcW w:w="4311" w:type="pct"/>
            <w:tcMar>
              <w:top w:w="0" w:type="dxa"/>
              <w:left w:w="108" w:type="dxa"/>
              <w:bottom w:w="0" w:type="dxa"/>
              <w:right w:w="108" w:type="dxa"/>
            </w:tcMar>
          </w:tcPr>
          <w:p w14:paraId="30D078CC" w14:textId="48C92ACE" w:rsidR="00A75730" w:rsidRPr="00FA650C" w:rsidRDefault="00A75730" w:rsidP="00A75730">
            <w:pPr>
              <w:pStyle w:val="NoSpacing"/>
              <w:rPr>
                <w:rFonts w:cstheme="minorHAnsi"/>
                <w:sz w:val="20"/>
                <w:szCs w:val="20"/>
                <w:lang w:val="en-US"/>
              </w:rPr>
            </w:pPr>
            <w:r w:rsidRPr="00FA650C">
              <w:rPr>
                <w:rFonts w:cstheme="minorHAnsi"/>
                <w:bCs/>
                <w:sz w:val="20"/>
                <w:szCs w:val="20"/>
                <w:lang w:val="en-US"/>
              </w:rPr>
              <w:t>Promote/</w:t>
            </w:r>
            <w:r w:rsidR="004E3333" w:rsidRPr="00FA650C">
              <w:rPr>
                <w:rFonts w:cstheme="minorHAnsi"/>
                <w:bCs/>
                <w:sz w:val="20"/>
                <w:szCs w:val="20"/>
                <w:lang w:val="en-US"/>
              </w:rPr>
              <w:t>disseminate</w:t>
            </w:r>
            <w:r w:rsidRPr="00FA650C">
              <w:rPr>
                <w:rFonts w:cstheme="minorHAnsi"/>
                <w:bCs/>
                <w:sz w:val="20"/>
                <w:szCs w:val="20"/>
                <w:lang w:val="en-US"/>
              </w:rPr>
              <w:t xml:space="preserve"> the regulatory texts of the BCEAO </w:t>
            </w:r>
            <w:r w:rsidRPr="00FA650C">
              <w:rPr>
                <w:rFonts w:cstheme="minorHAnsi"/>
                <w:sz w:val="20"/>
                <w:szCs w:val="20"/>
                <w:lang w:val="en-US"/>
              </w:rPr>
              <w:t>in collaboration with the Professional Association of Banks and Financial Institutions (PABFI) and the Professional Association of Decentralized Financial Services (APSFD.</w:t>
            </w:r>
            <w:r w:rsidRPr="00FA650C">
              <w:rPr>
                <w:rFonts w:cstheme="minorHAnsi"/>
                <w:bCs/>
                <w:sz w:val="20"/>
                <w:szCs w:val="20"/>
                <w:lang w:val="en-US"/>
              </w:rPr>
              <w:t xml:space="preserve"> </w:t>
            </w:r>
          </w:p>
        </w:tc>
        <w:tc>
          <w:tcPr>
            <w:tcW w:w="417" w:type="pct"/>
            <w:tcMar>
              <w:top w:w="0" w:type="dxa"/>
              <w:left w:w="108" w:type="dxa"/>
              <w:bottom w:w="0" w:type="dxa"/>
              <w:right w:w="108" w:type="dxa"/>
            </w:tcMar>
          </w:tcPr>
          <w:p w14:paraId="48B706A5" w14:textId="77777777" w:rsidR="00A75730" w:rsidRPr="00FA650C" w:rsidRDefault="00A75730" w:rsidP="00A75730">
            <w:pPr>
              <w:spacing w:after="0" w:line="240" w:lineRule="auto"/>
              <w:jc w:val="center"/>
              <w:rPr>
                <w:rFonts w:cstheme="minorHAnsi"/>
                <w:b/>
                <w:bCs/>
                <w:iCs/>
                <w:sz w:val="20"/>
                <w:szCs w:val="20"/>
                <w:lang w:val="en-US"/>
              </w:rPr>
            </w:pPr>
            <w:r w:rsidRPr="00FA650C">
              <w:rPr>
                <w:rFonts w:cstheme="minorHAnsi"/>
                <w:b/>
                <w:bCs/>
                <w:iCs/>
                <w:sz w:val="20"/>
                <w:szCs w:val="20"/>
                <w:lang w:val="en-US"/>
              </w:rPr>
              <w:t>ST</w:t>
            </w:r>
          </w:p>
        </w:tc>
      </w:tr>
      <w:tr w:rsidR="00A75730" w:rsidRPr="00FA650C" w14:paraId="263C799A" w14:textId="77777777" w:rsidTr="00F0477A">
        <w:tc>
          <w:tcPr>
            <w:tcW w:w="272" w:type="pct"/>
            <w:tcMar>
              <w:top w:w="0" w:type="dxa"/>
              <w:left w:w="108" w:type="dxa"/>
              <w:bottom w:w="0" w:type="dxa"/>
              <w:right w:w="108" w:type="dxa"/>
            </w:tcMar>
          </w:tcPr>
          <w:p w14:paraId="3EA4F1BB" w14:textId="77777777" w:rsidR="00A75730" w:rsidRPr="00FA650C" w:rsidRDefault="00F70553" w:rsidP="00A75730">
            <w:pPr>
              <w:spacing w:after="0" w:line="240" w:lineRule="auto"/>
              <w:jc w:val="center"/>
              <w:rPr>
                <w:rFonts w:cstheme="minorHAnsi"/>
                <w:b/>
                <w:bCs/>
                <w:iCs/>
                <w:sz w:val="20"/>
                <w:szCs w:val="20"/>
                <w:lang w:val="en-US"/>
              </w:rPr>
            </w:pPr>
            <w:r>
              <w:rPr>
                <w:rFonts w:cstheme="minorHAnsi"/>
                <w:b/>
                <w:bCs/>
                <w:iCs/>
                <w:sz w:val="20"/>
                <w:szCs w:val="20"/>
                <w:lang w:val="en-US"/>
              </w:rPr>
              <w:t>17.</w:t>
            </w:r>
          </w:p>
        </w:tc>
        <w:tc>
          <w:tcPr>
            <w:tcW w:w="4311" w:type="pct"/>
            <w:tcMar>
              <w:top w:w="0" w:type="dxa"/>
              <w:left w:w="108" w:type="dxa"/>
              <w:bottom w:w="0" w:type="dxa"/>
              <w:right w:w="108" w:type="dxa"/>
            </w:tcMar>
          </w:tcPr>
          <w:p w14:paraId="58DA6EA5" w14:textId="77777777" w:rsidR="00A75730" w:rsidRPr="00FA650C" w:rsidRDefault="00A75730" w:rsidP="00A75730">
            <w:pPr>
              <w:pStyle w:val="NoSpacing"/>
              <w:rPr>
                <w:rFonts w:cstheme="minorHAnsi"/>
                <w:bCs/>
                <w:iCs/>
                <w:color w:val="000000"/>
                <w:sz w:val="20"/>
                <w:szCs w:val="20"/>
                <w:lang w:val="en-US"/>
              </w:rPr>
            </w:pPr>
            <w:r w:rsidRPr="00FA650C">
              <w:rPr>
                <w:rFonts w:cstheme="minorHAnsi"/>
                <w:bCs/>
                <w:iCs/>
                <w:color w:val="000000"/>
                <w:sz w:val="20"/>
                <w:szCs w:val="20"/>
                <w:lang w:val="en-US"/>
              </w:rPr>
              <w:t>Create/participate in working groups on the development of digital finance.</w:t>
            </w:r>
          </w:p>
        </w:tc>
        <w:tc>
          <w:tcPr>
            <w:tcW w:w="417" w:type="pct"/>
            <w:tcMar>
              <w:top w:w="0" w:type="dxa"/>
              <w:left w:w="108" w:type="dxa"/>
              <w:bottom w:w="0" w:type="dxa"/>
              <w:right w:w="108" w:type="dxa"/>
            </w:tcMar>
          </w:tcPr>
          <w:p w14:paraId="4ED3965E" w14:textId="77777777" w:rsidR="00A75730" w:rsidRPr="00FA650C" w:rsidRDefault="00A75730" w:rsidP="00A75730">
            <w:pPr>
              <w:spacing w:after="0" w:line="240" w:lineRule="auto"/>
              <w:jc w:val="center"/>
              <w:rPr>
                <w:rFonts w:cstheme="minorHAnsi"/>
                <w:b/>
                <w:bCs/>
                <w:iCs/>
                <w:sz w:val="20"/>
                <w:szCs w:val="20"/>
                <w:lang w:val="en-US"/>
              </w:rPr>
            </w:pPr>
            <w:r w:rsidRPr="00FA650C">
              <w:rPr>
                <w:rFonts w:cstheme="minorHAnsi"/>
                <w:b/>
                <w:bCs/>
                <w:iCs/>
                <w:sz w:val="20"/>
                <w:szCs w:val="20"/>
                <w:lang w:val="en-US"/>
              </w:rPr>
              <w:t>ST</w:t>
            </w:r>
          </w:p>
        </w:tc>
      </w:tr>
      <w:tr w:rsidR="00A75730" w:rsidRPr="00FA650C" w14:paraId="3DDFCE92" w14:textId="77777777" w:rsidTr="00A67B08">
        <w:tc>
          <w:tcPr>
            <w:tcW w:w="5000" w:type="pct"/>
            <w:gridSpan w:val="3"/>
            <w:tcMar>
              <w:top w:w="0" w:type="dxa"/>
              <w:left w:w="108" w:type="dxa"/>
              <w:bottom w:w="0" w:type="dxa"/>
              <w:right w:w="108" w:type="dxa"/>
            </w:tcMar>
          </w:tcPr>
          <w:p w14:paraId="7911E089" w14:textId="77777777" w:rsidR="00A75730" w:rsidRPr="00FA650C" w:rsidRDefault="00A75730" w:rsidP="00A75730">
            <w:pPr>
              <w:pStyle w:val="ListParagraph"/>
              <w:numPr>
                <w:ilvl w:val="0"/>
                <w:numId w:val="19"/>
              </w:numPr>
              <w:spacing w:after="0" w:line="240" w:lineRule="auto"/>
              <w:ind w:left="360"/>
              <w:contextualSpacing w:val="0"/>
              <w:rPr>
                <w:rFonts w:cstheme="minorHAnsi"/>
                <w:b/>
                <w:bCs/>
                <w:iCs/>
                <w:sz w:val="20"/>
                <w:szCs w:val="20"/>
                <w:lang w:val="en-US"/>
              </w:rPr>
            </w:pPr>
            <w:r w:rsidRPr="00FA650C">
              <w:rPr>
                <w:rFonts w:cstheme="minorHAnsi"/>
                <w:b/>
                <w:sz w:val="20"/>
                <w:szCs w:val="20"/>
                <w:lang w:val="en-US"/>
              </w:rPr>
              <w:t xml:space="preserve">Agriculture </w:t>
            </w:r>
            <w:r w:rsidRPr="00FA650C">
              <w:rPr>
                <w:rFonts w:cstheme="minorHAnsi"/>
                <w:b/>
                <w:bCs/>
                <w:iCs/>
                <w:sz w:val="20"/>
                <w:szCs w:val="20"/>
                <w:lang w:val="en-US"/>
              </w:rPr>
              <w:t>Finance</w:t>
            </w:r>
          </w:p>
        </w:tc>
      </w:tr>
      <w:tr w:rsidR="00A75730" w:rsidRPr="00E46DB9" w14:paraId="4718ADE5" w14:textId="77777777" w:rsidTr="00F0477A">
        <w:tc>
          <w:tcPr>
            <w:tcW w:w="272" w:type="pct"/>
            <w:tcMar>
              <w:top w:w="0" w:type="dxa"/>
              <w:left w:w="108" w:type="dxa"/>
              <w:bottom w:w="0" w:type="dxa"/>
              <w:right w:w="108" w:type="dxa"/>
            </w:tcMar>
          </w:tcPr>
          <w:p w14:paraId="4E0498F8" w14:textId="77777777" w:rsidR="00A75730" w:rsidRPr="00FA650C" w:rsidRDefault="00F70553" w:rsidP="00A75730">
            <w:pPr>
              <w:spacing w:after="0" w:line="240" w:lineRule="auto"/>
              <w:jc w:val="center"/>
              <w:rPr>
                <w:rFonts w:cstheme="minorHAnsi"/>
                <w:b/>
                <w:bCs/>
                <w:iCs/>
                <w:sz w:val="20"/>
                <w:szCs w:val="20"/>
                <w:lang w:val="en-US"/>
              </w:rPr>
            </w:pPr>
            <w:r>
              <w:rPr>
                <w:rFonts w:cstheme="minorHAnsi"/>
                <w:b/>
                <w:bCs/>
                <w:iCs/>
                <w:sz w:val="20"/>
                <w:szCs w:val="20"/>
                <w:lang w:val="en-US"/>
              </w:rPr>
              <w:t>18.</w:t>
            </w:r>
          </w:p>
        </w:tc>
        <w:tc>
          <w:tcPr>
            <w:tcW w:w="4311" w:type="pct"/>
            <w:tcMar>
              <w:top w:w="0" w:type="dxa"/>
              <w:left w:w="108" w:type="dxa"/>
              <w:bottom w:w="0" w:type="dxa"/>
              <w:right w:w="108" w:type="dxa"/>
            </w:tcMar>
          </w:tcPr>
          <w:p w14:paraId="216D4B72" w14:textId="386D72F7" w:rsidR="00A75730" w:rsidRPr="00164FD4" w:rsidRDefault="00F70553" w:rsidP="004E3333">
            <w:pPr>
              <w:spacing w:line="240" w:lineRule="auto"/>
              <w:jc w:val="both"/>
              <w:rPr>
                <w:rFonts w:cstheme="minorHAnsi"/>
                <w:sz w:val="20"/>
                <w:szCs w:val="20"/>
                <w:lang w:val="en"/>
              </w:rPr>
            </w:pPr>
            <w:r w:rsidRPr="00164FD4">
              <w:rPr>
                <w:rFonts w:cstheme="minorHAnsi"/>
                <w:sz w:val="20"/>
                <w:szCs w:val="20"/>
                <w:lang w:val="en-US"/>
              </w:rPr>
              <w:t>P</w:t>
            </w:r>
            <w:proofErr w:type="spellStart"/>
            <w:r w:rsidR="00E46DB9" w:rsidRPr="00164FD4">
              <w:rPr>
                <w:rFonts w:cstheme="minorHAnsi"/>
                <w:sz w:val="20"/>
                <w:szCs w:val="20"/>
                <w:lang w:val="en"/>
              </w:rPr>
              <w:t>romote</w:t>
            </w:r>
            <w:proofErr w:type="spellEnd"/>
            <w:r w:rsidRPr="00164FD4">
              <w:rPr>
                <w:rFonts w:cstheme="minorHAnsi"/>
                <w:sz w:val="20"/>
                <w:szCs w:val="20"/>
                <w:lang w:val="en"/>
              </w:rPr>
              <w:t xml:space="preserve"> the adoption of agriculture insurance by linking</w:t>
            </w:r>
            <w:r w:rsidR="00E46DB9" w:rsidRPr="00164FD4">
              <w:rPr>
                <w:rFonts w:cstheme="minorHAnsi"/>
                <w:sz w:val="20"/>
                <w:szCs w:val="20"/>
                <w:lang w:val="en"/>
              </w:rPr>
              <w:t xml:space="preserve"> insurance to credit granted through</w:t>
            </w:r>
            <w:r w:rsidRPr="00164FD4">
              <w:rPr>
                <w:rFonts w:cstheme="minorHAnsi"/>
                <w:sz w:val="20"/>
                <w:szCs w:val="20"/>
                <w:lang w:val="en"/>
              </w:rPr>
              <w:t xml:space="preserve"> public intervention</w:t>
            </w:r>
            <w:r w:rsidR="00E46DB9" w:rsidRPr="00164FD4">
              <w:rPr>
                <w:rFonts w:cstheme="minorHAnsi"/>
                <w:sz w:val="20"/>
                <w:szCs w:val="20"/>
                <w:lang w:val="en"/>
              </w:rPr>
              <w:t>s mechanisms such as FNDA, FNM-agriculture line of credit, etc. In addition to strengthen</w:t>
            </w:r>
            <w:r w:rsidRPr="00164FD4">
              <w:rPr>
                <w:rFonts w:cstheme="minorHAnsi"/>
                <w:sz w:val="20"/>
                <w:szCs w:val="20"/>
                <w:lang w:val="en"/>
              </w:rPr>
              <w:t xml:space="preserve"> AMAB capacities </w:t>
            </w:r>
            <w:r w:rsidR="00E46DB9" w:rsidRPr="00164FD4">
              <w:rPr>
                <w:rFonts w:cstheme="minorHAnsi"/>
                <w:sz w:val="20"/>
                <w:szCs w:val="20"/>
                <w:lang w:val="en"/>
              </w:rPr>
              <w:t xml:space="preserve">via technical assistance </w:t>
            </w:r>
            <w:r w:rsidRPr="00164FD4">
              <w:rPr>
                <w:rFonts w:cstheme="minorHAnsi"/>
                <w:sz w:val="20"/>
                <w:szCs w:val="20"/>
                <w:lang w:val="en"/>
              </w:rPr>
              <w:t xml:space="preserve">in developing innovative products </w:t>
            </w:r>
            <w:r w:rsidR="004E3333">
              <w:rPr>
                <w:rFonts w:cstheme="minorHAnsi"/>
                <w:sz w:val="20"/>
                <w:szCs w:val="20"/>
                <w:lang w:val="en"/>
              </w:rPr>
              <w:t xml:space="preserve">such as </w:t>
            </w:r>
            <w:r w:rsidRPr="00164FD4">
              <w:rPr>
                <w:rFonts w:cstheme="minorHAnsi"/>
                <w:sz w:val="20"/>
                <w:szCs w:val="20"/>
                <w:lang w:val="en"/>
              </w:rPr>
              <w:t xml:space="preserve">index insurance. </w:t>
            </w:r>
          </w:p>
        </w:tc>
        <w:tc>
          <w:tcPr>
            <w:tcW w:w="417" w:type="pct"/>
            <w:tcMar>
              <w:top w:w="0" w:type="dxa"/>
              <w:left w:w="108" w:type="dxa"/>
              <w:bottom w:w="0" w:type="dxa"/>
              <w:right w:w="108" w:type="dxa"/>
            </w:tcMar>
          </w:tcPr>
          <w:p w14:paraId="78F416B9" w14:textId="77777777" w:rsidR="00A75730" w:rsidRPr="00FA650C" w:rsidRDefault="00E46DB9" w:rsidP="00A75730">
            <w:pPr>
              <w:spacing w:after="0" w:line="240" w:lineRule="auto"/>
              <w:jc w:val="center"/>
              <w:rPr>
                <w:rFonts w:cstheme="minorHAnsi"/>
                <w:b/>
                <w:bCs/>
                <w:iCs/>
                <w:sz w:val="20"/>
                <w:szCs w:val="20"/>
                <w:lang w:val="en-US"/>
              </w:rPr>
            </w:pPr>
            <w:r>
              <w:rPr>
                <w:rFonts w:cstheme="minorHAnsi"/>
                <w:b/>
                <w:bCs/>
                <w:iCs/>
                <w:sz w:val="20"/>
                <w:szCs w:val="20"/>
                <w:lang w:val="en-US"/>
              </w:rPr>
              <w:t>S</w:t>
            </w:r>
            <w:r w:rsidR="0098083C">
              <w:rPr>
                <w:rFonts w:cstheme="minorHAnsi"/>
                <w:b/>
                <w:bCs/>
                <w:iCs/>
                <w:sz w:val="20"/>
                <w:szCs w:val="20"/>
                <w:lang w:val="en-US"/>
              </w:rPr>
              <w:t>-M</w:t>
            </w:r>
            <w:r w:rsidR="00A75730" w:rsidRPr="00FA650C">
              <w:rPr>
                <w:rFonts w:cstheme="minorHAnsi"/>
                <w:b/>
                <w:bCs/>
                <w:iCs/>
                <w:sz w:val="20"/>
                <w:szCs w:val="20"/>
                <w:lang w:val="en-US"/>
              </w:rPr>
              <w:t>T</w:t>
            </w:r>
          </w:p>
        </w:tc>
      </w:tr>
      <w:tr w:rsidR="00E46DB9" w:rsidRPr="00E46DB9" w14:paraId="4D22728F" w14:textId="77777777" w:rsidTr="00F0477A">
        <w:tc>
          <w:tcPr>
            <w:tcW w:w="272" w:type="pct"/>
            <w:tcMar>
              <w:top w:w="0" w:type="dxa"/>
              <w:left w:w="108" w:type="dxa"/>
              <w:bottom w:w="0" w:type="dxa"/>
              <w:right w:w="108" w:type="dxa"/>
            </w:tcMar>
          </w:tcPr>
          <w:p w14:paraId="18D3F93E" w14:textId="77777777" w:rsidR="00E46DB9" w:rsidRDefault="00E46DB9" w:rsidP="00A75730">
            <w:pPr>
              <w:spacing w:after="0" w:line="240" w:lineRule="auto"/>
              <w:jc w:val="center"/>
              <w:rPr>
                <w:rFonts w:cstheme="minorHAnsi"/>
                <w:b/>
                <w:bCs/>
                <w:iCs/>
                <w:sz w:val="20"/>
                <w:szCs w:val="20"/>
                <w:lang w:val="en-US"/>
              </w:rPr>
            </w:pPr>
            <w:r>
              <w:rPr>
                <w:rFonts w:cstheme="minorHAnsi"/>
                <w:b/>
                <w:bCs/>
                <w:iCs/>
                <w:sz w:val="20"/>
                <w:szCs w:val="20"/>
                <w:lang w:val="en-US"/>
              </w:rPr>
              <w:t>19.</w:t>
            </w:r>
          </w:p>
        </w:tc>
        <w:tc>
          <w:tcPr>
            <w:tcW w:w="4311" w:type="pct"/>
            <w:tcMar>
              <w:top w:w="0" w:type="dxa"/>
              <w:left w:w="108" w:type="dxa"/>
              <w:bottom w:w="0" w:type="dxa"/>
              <w:right w:w="108" w:type="dxa"/>
            </w:tcMar>
          </w:tcPr>
          <w:p w14:paraId="170D8B34" w14:textId="4505E92B" w:rsidR="00E46DB9" w:rsidRPr="00164FD4" w:rsidRDefault="00E46DB9" w:rsidP="00164FD4">
            <w:pPr>
              <w:spacing w:line="240" w:lineRule="auto"/>
              <w:jc w:val="both"/>
              <w:rPr>
                <w:rFonts w:cstheme="minorHAnsi"/>
                <w:sz w:val="20"/>
                <w:szCs w:val="20"/>
                <w:lang w:val="en"/>
              </w:rPr>
            </w:pPr>
            <w:r w:rsidRPr="00164FD4">
              <w:rPr>
                <w:rFonts w:cstheme="minorHAnsi"/>
                <w:sz w:val="20"/>
                <w:szCs w:val="20"/>
                <w:lang w:val="en"/>
              </w:rPr>
              <w:t xml:space="preserve">Enhance the supply of agriculture finance by banks and MFIs through a Partial Portfolio Credit Guarantee </w:t>
            </w:r>
            <w:r w:rsidR="00CC5F60">
              <w:rPr>
                <w:rFonts w:cstheme="minorHAnsi"/>
                <w:sz w:val="20"/>
                <w:szCs w:val="20"/>
                <w:lang w:val="en"/>
              </w:rPr>
              <w:t xml:space="preserve">Scheme </w:t>
            </w:r>
            <w:r w:rsidR="002425E2">
              <w:rPr>
                <w:rFonts w:cstheme="minorHAnsi"/>
                <w:sz w:val="20"/>
                <w:szCs w:val="20"/>
                <w:lang w:val="en"/>
              </w:rPr>
              <w:t>[</w:t>
            </w:r>
            <w:r w:rsidRPr="00164FD4">
              <w:rPr>
                <w:rFonts w:cstheme="minorHAnsi"/>
                <w:sz w:val="20"/>
                <w:szCs w:val="20"/>
                <w:lang w:val="en"/>
              </w:rPr>
              <w:t>PPCG</w:t>
            </w:r>
            <w:r w:rsidR="002425E2">
              <w:rPr>
                <w:rFonts w:cstheme="minorHAnsi"/>
                <w:sz w:val="20"/>
                <w:szCs w:val="20"/>
                <w:lang w:val="en"/>
              </w:rPr>
              <w:t>]</w:t>
            </w:r>
            <w:r w:rsidR="002646AC">
              <w:rPr>
                <w:rFonts w:cstheme="minorHAnsi"/>
                <w:sz w:val="20"/>
                <w:szCs w:val="20"/>
                <w:lang w:val="en"/>
              </w:rPr>
              <w:t xml:space="preserve"> dedicated to </w:t>
            </w:r>
            <w:r w:rsidR="00CC5F60">
              <w:rPr>
                <w:rFonts w:cstheme="minorHAnsi"/>
                <w:sz w:val="20"/>
                <w:szCs w:val="20"/>
                <w:lang w:val="en"/>
              </w:rPr>
              <w:t xml:space="preserve">the </w:t>
            </w:r>
            <w:r w:rsidR="002646AC">
              <w:rPr>
                <w:rFonts w:cstheme="minorHAnsi"/>
                <w:sz w:val="20"/>
                <w:szCs w:val="20"/>
                <w:lang w:val="en"/>
              </w:rPr>
              <w:t>agriculture sector</w:t>
            </w:r>
            <w:r w:rsidRPr="00164FD4">
              <w:rPr>
                <w:rFonts w:cstheme="minorHAnsi"/>
                <w:sz w:val="20"/>
                <w:szCs w:val="20"/>
                <w:lang w:val="en"/>
              </w:rPr>
              <w:t xml:space="preserve">. The PPCG </w:t>
            </w:r>
            <w:r w:rsidR="005E18E2">
              <w:rPr>
                <w:rFonts w:cstheme="minorHAnsi"/>
                <w:sz w:val="20"/>
                <w:szCs w:val="20"/>
                <w:lang w:val="en"/>
              </w:rPr>
              <w:t xml:space="preserve">will </w:t>
            </w:r>
            <w:r w:rsidRPr="00164FD4">
              <w:rPr>
                <w:rFonts w:cstheme="minorHAnsi"/>
                <w:sz w:val="20"/>
                <w:szCs w:val="20"/>
                <w:lang w:val="en"/>
              </w:rPr>
              <w:t xml:space="preserve">use eligibility criteria which bring flexibility and offer the possibility </w:t>
            </w:r>
            <w:r w:rsidR="005E18E2">
              <w:rPr>
                <w:rFonts w:cstheme="minorHAnsi"/>
                <w:sz w:val="20"/>
                <w:szCs w:val="20"/>
                <w:lang w:val="en"/>
              </w:rPr>
              <w:t>for</w:t>
            </w:r>
            <w:r w:rsidRPr="00164FD4">
              <w:rPr>
                <w:rFonts w:cstheme="minorHAnsi"/>
                <w:sz w:val="20"/>
                <w:szCs w:val="20"/>
                <w:lang w:val="en"/>
              </w:rPr>
              <w:t xml:space="preserve"> the government to define criteria considering </w:t>
            </w:r>
            <w:proofErr w:type="gramStart"/>
            <w:r w:rsidR="00D206DF">
              <w:rPr>
                <w:rFonts w:cstheme="minorHAnsi"/>
                <w:sz w:val="20"/>
                <w:szCs w:val="20"/>
                <w:lang w:val="en"/>
              </w:rPr>
              <w:t xml:space="preserve">its </w:t>
            </w:r>
            <w:r w:rsidRPr="00164FD4">
              <w:rPr>
                <w:rFonts w:cstheme="minorHAnsi"/>
                <w:sz w:val="20"/>
                <w:szCs w:val="20"/>
                <w:lang w:val="en"/>
              </w:rPr>
              <w:t xml:space="preserve"> priorities</w:t>
            </w:r>
            <w:proofErr w:type="gramEnd"/>
            <w:r w:rsidRPr="00164FD4">
              <w:rPr>
                <w:rFonts w:cstheme="minorHAnsi"/>
                <w:sz w:val="20"/>
                <w:szCs w:val="20"/>
                <w:lang w:val="en"/>
              </w:rPr>
              <w:t xml:space="preserve"> in supporting producers and MSMEs. </w:t>
            </w:r>
          </w:p>
        </w:tc>
        <w:tc>
          <w:tcPr>
            <w:tcW w:w="417" w:type="pct"/>
            <w:tcMar>
              <w:top w:w="0" w:type="dxa"/>
              <w:left w:w="108" w:type="dxa"/>
              <w:bottom w:w="0" w:type="dxa"/>
              <w:right w:w="108" w:type="dxa"/>
            </w:tcMar>
          </w:tcPr>
          <w:p w14:paraId="7DA20EE5" w14:textId="77777777" w:rsidR="00E46DB9" w:rsidRDefault="0098083C" w:rsidP="00A75730">
            <w:pPr>
              <w:spacing w:after="0" w:line="240" w:lineRule="auto"/>
              <w:jc w:val="center"/>
              <w:rPr>
                <w:rFonts w:cstheme="minorHAnsi"/>
                <w:b/>
                <w:bCs/>
                <w:iCs/>
                <w:sz w:val="20"/>
                <w:szCs w:val="20"/>
                <w:lang w:val="en-US"/>
              </w:rPr>
            </w:pPr>
            <w:r>
              <w:rPr>
                <w:rFonts w:cstheme="minorHAnsi"/>
                <w:b/>
                <w:bCs/>
                <w:iCs/>
                <w:sz w:val="20"/>
                <w:szCs w:val="20"/>
                <w:lang w:val="en-US"/>
              </w:rPr>
              <w:t>S-M</w:t>
            </w:r>
            <w:r w:rsidR="00597C41">
              <w:rPr>
                <w:rFonts w:cstheme="minorHAnsi"/>
                <w:b/>
                <w:bCs/>
                <w:iCs/>
                <w:sz w:val="20"/>
                <w:szCs w:val="20"/>
                <w:lang w:val="en-US"/>
              </w:rPr>
              <w:t>T</w:t>
            </w:r>
          </w:p>
        </w:tc>
      </w:tr>
      <w:tr w:rsidR="00E46DB9" w:rsidRPr="00597C41" w14:paraId="63C1B522" w14:textId="77777777" w:rsidTr="00F0477A">
        <w:tc>
          <w:tcPr>
            <w:tcW w:w="272" w:type="pct"/>
            <w:tcMar>
              <w:top w:w="0" w:type="dxa"/>
              <w:left w:w="108" w:type="dxa"/>
              <w:bottom w:w="0" w:type="dxa"/>
              <w:right w:w="108" w:type="dxa"/>
            </w:tcMar>
          </w:tcPr>
          <w:p w14:paraId="3D91AC18" w14:textId="77777777" w:rsidR="00E46DB9" w:rsidRDefault="00E46DB9" w:rsidP="00A75730">
            <w:pPr>
              <w:spacing w:after="0" w:line="240" w:lineRule="auto"/>
              <w:jc w:val="center"/>
              <w:rPr>
                <w:rFonts w:cstheme="minorHAnsi"/>
                <w:b/>
                <w:bCs/>
                <w:iCs/>
                <w:sz w:val="20"/>
                <w:szCs w:val="20"/>
                <w:lang w:val="en-US"/>
              </w:rPr>
            </w:pPr>
            <w:r>
              <w:rPr>
                <w:rFonts w:cstheme="minorHAnsi"/>
                <w:b/>
                <w:bCs/>
                <w:iCs/>
                <w:sz w:val="20"/>
                <w:szCs w:val="20"/>
                <w:lang w:val="en-US"/>
              </w:rPr>
              <w:t>20.</w:t>
            </w:r>
          </w:p>
        </w:tc>
        <w:tc>
          <w:tcPr>
            <w:tcW w:w="4311" w:type="pct"/>
            <w:tcMar>
              <w:top w:w="0" w:type="dxa"/>
              <w:left w:w="108" w:type="dxa"/>
              <w:bottom w:w="0" w:type="dxa"/>
              <w:right w:w="108" w:type="dxa"/>
            </w:tcMar>
          </w:tcPr>
          <w:p w14:paraId="1883EDE3" w14:textId="77777777" w:rsidR="00E46DB9" w:rsidRPr="006F63BF" w:rsidRDefault="00E46DB9" w:rsidP="006F63BF">
            <w:pPr>
              <w:spacing w:line="240" w:lineRule="auto"/>
              <w:jc w:val="both"/>
              <w:rPr>
                <w:rFonts w:cstheme="minorHAnsi"/>
                <w:sz w:val="20"/>
                <w:szCs w:val="20"/>
                <w:lang w:val="en"/>
              </w:rPr>
            </w:pPr>
            <w:r w:rsidRPr="006F63BF">
              <w:rPr>
                <w:rFonts w:cstheme="minorHAnsi"/>
                <w:sz w:val="20"/>
                <w:szCs w:val="20"/>
                <w:lang w:val="en"/>
              </w:rPr>
              <w:t>Conduct a readiness assessment for the warehouse receipt system. The readiness assessments will assess the commodities likely to be used; the potential users of the system; warehousing industry; financial institutions; Institutional capabilities and the financial viability of a WRS.</w:t>
            </w:r>
          </w:p>
        </w:tc>
        <w:tc>
          <w:tcPr>
            <w:tcW w:w="417" w:type="pct"/>
            <w:tcMar>
              <w:top w:w="0" w:type="dxa"/>
              <w:left w:w="108" w:type="dxa"/>
              <w:bottom w:w="0" w:type="dxa"/>
              <w:right w:w="108" w:type="dxa"/>
            </w:tcMar>
          </w:tcPr>
          <w:p w14:paraId="1849D6CA" w14:textId="77777777" w:rsidR="00E46DB9" w:rsidRDefault="00597C41" w:rsidP="00A75730">
            <w:pPr>
              <w:spacing w:after="0" w:line="240" w:lineRule="auto"/>
              <w:jc w:val="center"/>
              <w:rPr>
                <w:rFonts w:cstheme="minorHAnsi"/>
                <w:b/>
                <w:bCs/>
                <w:iCs/>
                <w:sz w:val="20"/>
                <w:szCs w:val="20"/>
                <w:lang w:val="en-US"/>
              </w:rPr>
            </w:pPr>
            <w:r>
              <w:rPr>
                <w:rFonts w:cstheme="minorHAnsi"/>
                <w:b/>
                <w:bCs/>
                <w:iCs/>
                <w:sz w:val="20"/>
                <w:szCs w:val="20"/>
                <w:lang w:val="en-US"/>
              </w:rPr>
              <w:t>ST</w:t>
            </w:r>
          </w:p>
        </w:tc>
      </w:tr>
      <w:tr w:rsidR="00A75730" w:rsidRPr="00FA650C" w14:paraId="5319C2E5" w14:textId="77777777" w:rsidTr="00F0477A">
        <w:tc>
          <w:tcPr>
            <w:tcW w:w="272" w:type="pct"/>
            <w:tcMar>
              <w:top w:w="0" w:type="dxa"/>
              <w:left w:w="108" w:type="dxa"/>
              <w:bottom w:w="0" w:type="dxa"/>
              <w:right w:w="108" w:type="dxa"/>
            </w:tcMar>
          </w:tcPr>
          <w:p w14:paraId="194ECA92" w14:textId="77777777" w:rsidR="00A75730" w:rsidRPr="00FA650C" w:rsidRDefault="00164FD4" w:rsidP="00A75730">
            <w:pPr>
              <w:spacing w:after="0" w:line="240" w:lineRule="auto"/>
              <w:jc w:val="center"/>
              <w:rPr>
                <w:rFonts w:cstheme="minorHAnsi"/>
                <w:b/>
                <w:bCs/>
                <w:iCs/>
                <w:sz w:val="20"/>
                <w:szCs w:val="20"/>
                <w:lang w:val="en-US"/>
              </w:rPr>
            </w:pPr>
            <w:r>
              <w:rPr>
                <w:rFonts w:cstheme="minorHAnsi"/>
                <w:b/>
                <w:bCs/>
                <w:iCs/>
                <w:sz w:val="20"/>
                <w:szCs w:val="20"/>
                <w:lang w:val="en-US"/>
              </w:rPr>
              <w:t>21.</w:t>
            </w:r>
          </w:p>
        </w:tc>
        <w:tc>
          <w:tcPr>
            <w:tcW w:w="4311" w:type="pct"/>
            <w:tcMar>
              <w:top w:w="0" w:type="dxa"/>
              <w:left w:w="108" w:type="dxa"/>
              <w:bottom w:w="0" w:type="dxa"/>
              <w:right w:w="108" w:type="dxa"/>
            </w:tcMar>
          </w:tcPr>
          <w:p w14:paraId="7EBE081F" w14:textId="52244E93" w:rsidR="00A75730" w:rsidRPr="006F63BF" w:rsidRDefault="00A75730" w:rsidP="006F63BF">
            <w:pPr>
              <w:tabs>
                <w:tab w:val="left" w:pos="1187"/>
              </w:tabs>
              <w:spacing w:line="240" w:lineRule="auto"/>
              <w:jc w:val="both"/>
              <w:rPr>
                <w:rFonts w:cstheme="minorHAnsi"/>
                <w:color w:val="222222"/>
                <w:sz w:val="20"/>
                <w:szCs w:val="20"/>
                <w:lang w:val="en"/>
              </w:rPr>
            </w:pPr>
            <w:r w:rsidRPr="006F63BF">
              <w:rPr>
                <w:rFonts w:cstheme="minorHAnsi"/>
                <w:color w:val="222222"/>
                <w:sz w:val="20"/>
                <w:szCs w:val="20"/>
                <w:lang w:val="en-US"/>
              </w:rPr>
              <w:t xml:space="preserve">Strengthen </w:t>
            </w:r>
            <w:r w:rsidR="00293651">
              <w:rPr>
                <w:rFonts w:cstheme="minorHAnsi"/>
                <w:color w:val="222222"/>
                <w:sz w:val="20"/>
                <w:szCs w:val="20"/>
                <w:lang w:val="en-US"/>
              </w:rPr>
              <w:t>supply</w:t>
            </w:r>
            <w:r w:rsidRPr="006F63BF">
              <w:rPr>
                <w:rFonts w:cstheme="minorHAnsi"/>
                <w:color w:val="222222"/>
                <w:sz w:val="20"/>
                <w:szCs w:val="20"/>
                <w:lang w:val="en-US"/>
              </w:rPr>
              <w:t xml:space="preserve"> of agriculture finance by MFIs and banks and set up the conditions for its sustainab</w:t>
            </w:r>
            <w:r w:rsidR="00164FD4" w:rsidRPr="006F63BF">
              <w:rPr>
                <w:rFonts w:cstheme="minorHAnsi"/>
                <w:color w:val="222222"/>
                <w:sz w:val="20"/>
                <w:szCs w:val="20"/>
                <w:lang w:val="en-US"/>
              </w:rPr>
              <w:t xml:space="preserve">le expansion by: providing them technical assistance in agriculture finance and digital finance </w:t>
            </w:r>
            <w:r w:rsidR="00164FD4" w:rsidRPr="006F63BF">
              <w:rPr>
                <w:rFonts w:cstheme="minorHAnsi"/>
                <w:color w:val="222222"/>
                <w:sz w:val="20"/>
                <w:szCs w:val="20"/>
                <w:lang w:val="en"/>
              </w:rPr>
              <w:t>to expand their reach in rural areas.</w:t>
            </w:r>
          </w:p>
        </w:tc>
        <w:tc>
          <w:tcPr>
            <w:tcW w:w="417" w:type="pct"/>
            <w:tcMar>
              <w:top w:w="0" w:type="dxa"/>
              <w:left w:w="108" w:type="dxa"/>
              <w:bottom w:w="0" w:type="dxa"/>
              <w:right w:w="108" w:type="dxa"/>
            </w:tcMar>
          </w:tcPr>
          <w:p w14:paraId="5B4A793B" w14:textId="77777777" w:rsidR="00A75730" w:rsidRPr="00FA650C" w:rsidRDefault="00597C41" w:rsidP="00A75730">
            <w:pPr>
              <w:spacing w:after="0" w:line="240" w:lineRule="auto"/>
              <w:jc w:val="center"/>
              <w:rPr>
                <w:rFonts w:cstheme="minorHAnsi"/>
                <w:b/>
                <w:bCs/>
                <w:iCs/>
                <w:sz w:val="20"/>
                <w:szCs w:val="20"/>
                <w:lang w:val="en-US"/>
              </w:rPr>
            </w:pPr>
            <w:r>
              <w:rPr>
                <w:rFonts w:cstheme="minorHAnsi"/>
                <w:b/>
                <w:bCs/>
                <w:iCs/>
                <w:sz w:val="20"/>
                <w:szCs w:val="20"/>
                <w:lang w:val="en-US"/>
              </w:rPr>
              <w:t>S</w:t>
            </w:r>
            <w:r w:rsidR="00A75730" w:rsidRPr="00FA650C">
              <w:rPr>
                <w:rFonts w:cstheme="minorHAnsi"/>
                <w:b/>
                <w:bCs/>
                <w:iCs/>
                <w:sz w:val="20"/>
                <w:szCs w:val="20"/>
                <w:lang w:val="en-US"/>
              </w:rPr>
              <w:t>T</w:t>
            </w:r>
          </w:p>
        </w:tc>
      </w:tr>
      <w:tr w:rsidR="00A75730" w:rsidRPr="00164FD4" w14:paraId="29EC96F4" w14:textId="77777777" w:rsidTr="00F0477A">
        <w:tc>
          <w:tcPr>
            <w:tcW w:w="272" w:type="pct"/>
            <w:tcMar>
              <w:top w:w="0" w:type="dxa"/>
              <w:left w:w="108" w:type="dxa"/>
              <w:bottom w:w="0" w:type="dxa"/>
              <w:right w:w="108" w:type="dxa"/>
            </w:tcMar>
          </w:tcPr>
          <w:p w14:paraId="1E56ABB4" w14:textId="77777777" w:rsidR="00A75730" w:rsidRPr="00FA650C" w:rsidRDefault="00A75730" w:rsidP="00A75730">
            <w:pPr>
              <w:spacing w:after="0" w:line="240" w:lineRule="auto"/>
              <w:jc w:val="center"/>
              <w:rPr>
                <w:rFonts w:cstheme="minorHAnsi"/>
                <w:b/>
                <w:bCs/>
                <w:iCs/>
                <w:sz w:val="20"/>
                <w:szCs w:val="20"/>
                <w:lang w:val="en-US"/>
              </w:rPr>
            </w:pPr>
            <w:r w:rsidRPr="00FA650C">
              <w:rPr>
                <w:rFonts w:cstheme="minorHAnsi"/>
                <w:b/>
                <w:bCs/>
                <w:iCs/>
                <w:sz w:val="20"/>
                <w:szCs w:val="20"/>
                <w:lang w:val="en-US"/>
              </w:rPr>
              <w:t>18</w:t>
            </w:r>
          </w:p>
        </w:tc>
        <w:tc>
          <w:tcPr>
            <w:tcW w:w="4311" w:type="pct"/>
            <w:tcMar>
              <w:top w:w="0" w:type="dxa"/>
              <w:left w:w="108" w:type="dxa"/>
              <w:bottom w:w="0" w:type="dxa"/>
              <w:right w:w="108" w:type="dxa"/>
            </w:tcMar>
          </w:tcPr>
          <w:p w14:paraId="7E05CA11" w14:textId="0CB10457" w:rsidR="00A75730" w:rsidRPr="006F63BF" w:rsidRDefault="00A75730" w:rsidP="006F63BF">
            <w:pPr>
              <w:tabs>
                <w:tab w:val="left" w:pos="1187"/>
              </w:tabs>
              <w:spacing w:line="240" w:lineRule="auto"/>
              <w:jc w:val="both"/>
              <w:rPr>
                <w:rFonts w:cstheme="minorHAnsi"/>
                <w:sz w:val="20"/>
                <w:szCs w:val="20"/>
                <w:lang w:val="en-US"/>
              </w:rPr>
            </w:pPr>
            <w:r w:rsidRPr="006F63BF">
              <w:rPr>
                <w:rFonts w:cstheme="minorHAnsi"/>
                <w:color w:val="222222"/>
                <w:sz w:val="20"/>
                <w:szCs w:val="20"/>
                <w:lang w:val="en-US"/>
              </w:rPr>
              <w:t xml:space="preserve">Strengthen demand </w:t>
            </w:r>
            <w:r w:rsidR="002425E2">
              <w:rPr>
                <w:rFonts w:cstheme="minorHAnsi"/>
                <w:color w:val="222222"/>
                <w:sz w:val="20"/>
                <w:szCs w:val="20"/>
                <w:lang w:val="en-US"/>
              </w:rPr>
              <w:t>[</w:t>
            </w:r>
            <w:r w:rsidRPr="006F63BF">
              <w:rPr>
                <w:rFonts w:cstheme="minorHAnsi"/>
                <w:color w:val="222222"/>
                <w:sz w:val="20"/>
                <w:szCs w:val="20"/>
                <w:lang w:val="en-US"/>
              </w:rPr>
              <w:t>producers/</w:t>
            </w:r>
            <w:proofErr w:type="spellStart"/>
            <w:r w:rsidRPr="006F63BF">
              <w:rPr>
                <w:rFonts w:cstheme="minorHAnsi"/>
                <w:color w:val="222222"/>
                <w:sz w:val="20"/>
                <w:szCs w:val="20"/>
                <w:lang w:val="en-US"/>
              </w:rPr>
              <w:t>agri</w:t>
            </w:r>
            <w:proofErr w:type="spellEnd"/>
            <w:r w:rsidRPr="006F63BF">
              <w:rPr>
                <w:rFonts w:cstheme="minorHAnsi"/>
                <w:color w:val="222222"/>
                <w:sz w:val="20"/>
                <w:szCs w:val="20"/>
                <w:lang w:val="en-US"/>
              </w:rPr>
              <w:t>-MSMEs</w:t>
            </w:r>
            <w:r w:rsidR="002425E2">
              <w:rPr>
                <w:rFonts w:cstheme="minorHAnsi"/>
                <w:color w:val="222222"/>
                <w:sz w:val="20"/>
                <w:szCs w:val="20"/>
                <w:lang w:val="en-US"/>
              </w:rPr>
              <w:t>]</w:t>
            </w:r>
            <w:r w:rsidRPr="006F63BF">
              <w:rPr>
                <w:rFonts w:cstheme="minorHAnsi"/>
                <w:color w:val="222222"/>
                <w:sz w:val="20"/>
                <w:szCs w:val="20"/>
                <w:lang w:val="en-US"/>
              </w:rPr>
              <w:t xml:space="preserve"> for agriculture finance</w:t>
            </w:r>
            <w:r w:rsidR="00164FD4" w:rsidRPr="006F63BF">
              <w:rPr>
                <w:rFonts w:cstheme="minorHAnsi"/>
                <w:color w:val="222222"/>
                <w:sz w:val="20"/>
                <w:szCs w:val="20"/>
                <w:lang w:val="en-US"/>
              </w:rPr>
              <w:t xml:space="preserve"> by: i) </w:t>
            </w:r>
            <w:r w:rsidR="00164FD4" w:rsidRPr="006F63BF">
              <w:rPr>
                <w:rFonts w:cstheme="minorHAnsi"/>
                <w:color w:val="222222"/>
                <w:sz w:val="20"/>
                <w:szCs w:val="20"/>
                <w:lang w:val="en"/>
              </w:rPr>
              <w:t xml:space="preserve">improving the professionalization of </w:t>
            </w:r>
            <w:r w:rsidR="006F63BF" w:rsidRPr="006F63BF">
              <w:rPr>
                <w:rFonts w:cstheme="minorHAnsi"/>
                <w:color w:val="222222"/>
                <w:sz w:val="20"/>
                <w:szCs w:val="20"/>
                <w:lang w:val="en"/>
              </w:rPr>
              <w:t>producers’</w:t>
            </w:r>
            <w:r w:rsidR="00164FD4" w:rsidRPr="006F63BF">
              <w:rPr>
                <w:rFonts w:cstheme="minorHAnsi"/>
                <w:color w:val="222222"/>
                <w:sz w:val="20"/>
                <w:szCs w:val="20"/>
                <w:lang w:val="en"/>
              </w:rPr>
              <w:t xml:space="preserve"> organizations through the establishment of a rating system and trainings; ii) a targeted financial education campaign for agricultural stakeholders; iii) </w:t>
            </w:r>
            <w:r w:rsidR="006F63BF" w:rsidRPr="006F63BF">
              <w:rPr>
                <w:rFonts w:cstheme="minorHAnsi"/>
                <w:color w:val="222222"/>
                <w:sz w:val="20"/>
                <w:szCs w:val="20"/>
                <w:lang w:val="en"/>
              </w:rPr>
              <w:t>provid</w:t>
            </w:r>
            <w:r w:rsidR="00CF0127">
              <w:rPr>
                <w:rFonts w:cstheme="minorHAnsi"/>
                <w:color w:val="222222"/>
                <w:sz w:val="20"/>
                <w:szCs w:val="20"/>
                <w:lang w:val="en"/>
              </w:rPr>
              <w:t>ing</w:t>
            </w:r>
            <w:r w:rsidR="006F63BF" w:rsidRPr="006F63BF">
              <w:rPr>
                <w:rFonts w:cstheme="minorHAnsi"/>
                <w:color w:val="222222"/>
                <w:sz w:val="20"/>
                <w:szCs w:val="20"/>
                <w:lang w:val="en"/>
              </w:rPr>
              <w:t xml:space="preserve"> business development services to </w:t>
            </w:r>
            <w:proofErr w:type="spellStart"/>
            <w:r w:rsidR="006F63BF" w:rsidRPr="006F63BF">
              <w:rPr>
                <w:rFonts w:cstheme="minorHAnsi"/>
                <w:color w:val="222222"/>
                <w:sz w:val="20"/>
                <w:szCs w:val="20"/>
                <w:lang w:val="en-US"/>
              </w:rPr>
              <w:t>agri</w:t>
            </w:r>
            <w:proofErr w:type="spellEnd"/>
            <w:r w:rsidR="006F63BF" w:rsidRPr="006F63BF">
              <w:rPr>
                <w:rFonts w:cstheme="minorHAnsi"/>
                <w:color w:val="222222"/>
                <w:sz w:val="20"/>
                <w:szCs w:val="20"/>
                <w:lang w:val="en-US"/>
              </w:rPr>
              <w:t>-MSMEs in financial management</w:t>
            </w:r>
          </w:p>
        </w:tc>
        <w:tc>
          <w:tcPr>
            <w:tcW w:w="417" w:type="pct"/>
            <w:tcMar>
              <w:top w:w="0" w:type="dxa"/>
              <w:left w:w="108" w:type="dxa"/>
              <w:bottom w:w="0" w:type="dxa"/>
              <w:right w:w="108" w:type="dxa"/>
            </w:tcMar>
          </w:tcPr>
          <w:p w14:paraId="3F25D86D" w14:textId="77777777" w:rsidR="00A75730" w:rsidRPr="00FA650C" w:rsidRDefault="00597C41" w:rsidP="00A75730">
            <w:pPr>
              <w:keepNext/>
              <w:spacing w:after="0" w:line="240" w:lineRule="auto"/>
              <w:jc w:val="center"/>
              <w:rPr>
                <w:rFonts w:cstheme="minorHAnsi"/>
                <w:b/>
                <w:bCs/>
                <w:iCs/>
                <w:sz w:val="20"/>
                <w:szCs w:val="20"/>
                <w:lang w:val="en-US"/>
              </w:rPr>
            </w:pPr>
            <w:r>
              <w:rPr>
                <w:rFonts w:cstheme="minorHAnsi"/>
                <w:b/>
                <w:bCs/>
                <w:iCs/>
                <w:sz w:val="20"/>
                <w:szCs w:val="20"/>
                <w:lang w:val="en-US"/>
              </w:rPr>
              <w:t>M</w:t>
            </w:r>
            <w:r w:rsidR="00A75730" w:rsidRPr="00FA650C">
              <w:rPr>
                <w:rFonts w:cstheme="minorHAnsi"/>
                <w:b/>
                <w:bCs/>
                <w:iCs/>
                <w:sz w:val="20"/>
                <w:szCs w:val="20"/>
                <w:lang w:val="en-US"/>
              </w:rPr>
              <w:t>T</w:t>
            </w:r>
          </w:p>
        </w:tc>
      </w:tr>
    </w:tbl>
    <w:p w14:paraId="7467E1CF" w14:textId="77777777" w:rsidR="00D840DB" w:rsidRPr="00124DA6" w:rsidRDefault="00844AFB" w:rsidP="00844AFB">
      <w:pPr>
        <w:pStyle w:val="Caption"/>
        <w:spacing w:before="0"/>
        <w:jc w:val="left"/>
        <w:rPr>
          <w:lang w:val="en-US"/>
        </w:rPr>
        <w:sectPr w:rsidR="00D840DB" w:rsidRPr="00124DA6" w:rsidSect="00165AEF">
          <w:pgSz w:w="12240" w:h="15840" w:code="1"/>
          <w:pgMar w:top="1440" w:right="1440" w:bottom="1440" w:left="1440" w:header="708" w:footer="708" w:gutter="0"/>
          <w:cols w:space="708"/>
          <w:docGrid w:linePitch="360"/>
        </w:sectPr>
      </w:pPr>
      <w:r w:rsidRPr="00124DA6">
        <w:rPr>
          <w:i/>
          <w:lang w:val="en-US"/>
        </w:rPr>
        <w:t>Note</w:t>
      </w:r>
      <w:r w:rsidRPr="00124DA6">
        <w:rPr>
          <w:lang w:val="en-US"/>
        </w:rPr>
        <w:t>: MT = medium term; ST = short term.</w:t>
      </w:r>
    </w:p>
    <w:p w14:paraId="504EB3DD" w14:textId="77777777" w:rsidR="00D61F47" w:rsidRPr="004661BB" w:rsidRDefault="00D61F47" w:rsidP="00D61F47">
      <w:pPr>
        <w:pStyle w:val="Heading1"/>
        <w:rPr>
          <w:b/>
        </w:rPr>
      </w:pPr>
      <w:bookmarkStart w:id="7" w:name="_Toc500270440"/>
      <w:bookmarkStart w:id="8" w:name="_Toc3975120"/>
      <w:r w:rsidRPr="004661BB">
        <w:rPr>
          <w:b/>
        </w:rPr>
        <w:t>Introduction</w:t>
      </w:r>
      <w:bookmarkEnd w:id="7"/>
      <w:bookmarkEnd w:id="8"/>
    </w:p>
    <w:p w14:paraId="76571440" w14:textId="523213C6" w:rsidR="00D61F47" w:rsidRPr="00124DA6" w:rsidRDefault="00D61F47" w:rsidP="007822C6">
      <w:pPr>
        <w:pStyle w:val="ListParagraph"/>
        <w:numPr>
          <w:ilvl w:val="0"/>
          <w:numId w:val="21"/>
        </w:numPr>
        <w:spacing w:after="240" w:line="240" w:lineRule="auto"/>
        <w:ind w:left="0" w:firstLine="90"/>
        <w:contextualSpacing w:val="0"/>
        <w:jc w:val="both"/>
        <w:rPr>
          <w:rFonts w:cstheme="minorHAnsi"/>
          <w:lang w:val="en-US"/>
        </w:rPr>
      </w:pPr>
      <w:r w:rsidRPr="00124DA6">
        <w:rPr>
          <w:rFonts w:cstheme="minorHAnsi"/>
          <w:b/>
          <w:lang w:val="en-US"/>
        </w:rPr>
        <w:t xml:space="preserve">This report focuses on the </w:t>
      </w:r>
      <w:r w:rsidR="00B05805" w:rsidRPr="00124DA6">
        <w:rPr>
          <w:rFonts w:cstheme="minorHAnsi"/>
          <w:b/>
          <w:lang w:val="en-US"/>
        </w:rPr>
        <w:t>Beninese financial</w:t>
      </w:r>
      <w:r w:rsidRPr="00124DA6">
        <w:rPr>
          <w:rFonts w:cstheme="minorHAnsi"/>
          <w:b/>
          <w:lang w:val="en-US"/>
        </w:rPr>
        <w:t xml:space="preserve"> sector</w:t>
      </w:r>
      <w:r w:rsidR="004E3333">
        <w:rPr>
          <w:rFonts w:cstheme="minorHAnsi"/>
          <w:b/>
          <w:lang w:val="en-US"/>
        </w:rPr>
        <w:t xml:space="preserve"> by</w:t>
      </w:r>
      <w:r w:rsidRPr="00124DA6">
        <w:rPr>
          <w:rFonts w:cstheme="minorHAnsi"/>
          <w:b/>
          <w:lang w:val="en-US"/>
        </w:rPr>
        <w:t xml:space="preserve"> identifying the scope and penetration of </w:t>
      </w:r>
      <w:r w:rsidR="000676AF" w:rsidRPr="00124DA6">
        <w:rPr>
          <w:rFonts w:cstheme="minorHAnsi"/>
          <w:b/>
          <w:lang w:val="en-US"/>
        </w:rPr>
        <w:t xml:space="preserve">specific </w:t>
      </w:r>
      <w:r w:rsidRPr="00124DA6">
        <w:rPr>
          <w:rFonts w:cstheme="minorHAnsi"/>
          <w:b/>
          <w:lang w:val="en-US"/>
        </w:rPr>
        <w:t>activities</w:t>
      </w:r>
      <w:r w:rsidR="000676AF" w:rsidRPr="00124DA6">
        <w:rPr>
          <w:rFonts w:cstheme="minorHAnsi"/>
          <w:b/>
          <w:lang w:val="en-US"/>
        </w:rPr>
        <w:t xml:space="preserve"> </w:t>
      </w:r>
      <w:r w:rsidR="00376C10" w:rsidRPr="00124DA6">
        <w:rPr>
          <w:rFonts w:cstheme="minorHAnsi"/>
          <w:b/>
          <w:lang w:val="en-US"/>
        </w:rPr>
        <w:t xml:space="preserve">such </w:t>
      </w:r>
      <w:r w:rsidR="000676AF" w:rsidRPr="00124DA6">
        <w:rPr>
          <w:rFonts w:cstheme="minorHAnsi"/>
          <w:b/>
          <w:lang w:val="en-US"/>
        </w:rPr>
        <w:t xml:space="preserve">as </w:t>
      </w:r>
      <w:r w:rsidR="00DF6968">
        <w:rPr>
          <w:rFonts w:cstheme="minorHAnsi"/>
          <w:b/>
          <w:lang w:val="en-US"/>
        </w:rPr>
        <w:t xml:space="preserve">banking, </w:t>
      </w:r>
      <w:r w:rsidR="000676AF" w:rsidRPr="00124DA6">
        <w:rPr>
          <w:rFonts w:cstheme="minorHAnsi"/>
          <w:b/>
          <w:lang w:val="en-US"/>
        </w:rPr>
        <w:t>microfinance</w:t>
      </w:r>
      <w:r w:rsidR="002C070A" w:rsidRPr="00124DA6">
        <w:rPr>
          <w:rFonts w:cstheme="minorHAnsi"/>
          <w:b/>
          <w:lang w:val="en-US"/>
        </w:rPr>
        <w:t>, retail payments</w:t>
      </w:r>
      <w:r w:rsidR="00D869D4" w:rsidRPr="00124DA6">
        <w:rPr>
          <w:rFonts w:cstheme="minorHAnsi"/>
          <w:b/>
          <w:lang w:val="en-US"/>
        </w:rPr>
        <w:t>,</w:t>
      </w:r>
      <w:r w:rsidR="002C070A" w:rsidRPr="00124DA6">
        <w:rPr>
          <w:rFonts w:cstheme="minorHAnsi"/>
          <w:b/>
          <w:lang w:val="en-US"/>
        </w:rPr>
        <w:t xml:space="preserve"> and agri</w:t>
      </w:r>
      <w:r w:rsidR="003A105F" w:rsidRPr="00124DA6">
        <w:rPr>
          <w:rFonts w:cstheme="minorHAnsi"/>
          <w:b/>
          <w:lang w:val="en-US"/>
        </w:rPr>
        <w:t xml:space="preserve">culture </w:t>
      </w:r>
      <w:r w:rsidR="002C070A" w:rsidRPr="00124DA6">
        <w:rPr>
          <w:rFonts w:cstheme="minorHAnsi"/>
          <w:b/>
          <w:lang w:val="en-US"/>
        </w:rPr>
        <w:t>finance</w:t>
      </w:r>
      <w:r w:rsidR="00376C10" w:rsidRPr="00124DA6">
        <w:rPr>
          <w:rFonts w:cstheme="minorHAnsi"/>
          <w:b/>
          <w:lang w:val="en-US"/>
        </w:rPr>
        <w:t xml:space="preserve"> and</w:t>
      </w:r>
      <w:r w:rsidRPr="00124DA6">
        <w:rPr>
          <w:rFonts w:cstheme="minorHAnsi"/>
          <w:b/>
          <w:lang w:val="en-US"/>
        </w:rPr>
        <w:t xml:space="preserve"> </w:t>
      </w:r>
      <w:r w:rsidRPr="00124DA6">
        <w:rPr>
          <w:rFonts w:cstheme="minorHAnsi"/>
          <w:lang w:val="en-US"/>
        </w:rPr>
        <w:t xml:space="preserve">the challenges of effectively regulating and supervising </w:t>
      </w:r>
      <w:r w:rsidR="004E3333">
        <w:rPr>
          <w:rFonts w:cstheme="minorHAnsi"/>
          <w:lang w:val="en-US"/>
        </w:rPr>
        <w:t>such activities</w:t>
      </w:r>
      <w:r w:rsidRPr="00124DA6">
        <w:rPr>
          <w:rFonts w:cstheme="minorHAnsi"/>
          <w:lang w:val="en-US"/>
        </w:rPr>
        <w:t xml:space="preserve">, with recommendations aimed at ensuring their financial soundness and achieving regulatory sustainability. </w:t>
      </w:r>
    </w:p>
    <w:p w14:paraId="05B0DBD5" w14:textId="77777777" w:rsidR="00D61F47" w:rsidRPr="00124DA6" w:rsidRDefault="00D61F47" w:rsidP="007822C6">
      <w:pPr>
        <w:pStyle w:val="ListParagraph"/>
        <w:numPr>
          <w:ilvl w:val="0"/>
          <w:numId w:val="21"/>
        </w:numPr>
        <w:spacing w:after="240" w:line="240" w:lineRule="auto"/>
        <w:ind w:left="0" w:firstLine="90"/>
        <w:contextualSpacing w:val="0"/>
        <w:jc w:val="both"/>
        <w:rPr>
          <w:rFonts w:cstheme="minorHAnsi"/>
          <w:b/>
          <w:lang w:val="en-US"/>
        </w:rPr>
      </w:pPr>
      <w:r w:rsidRPr="00124DA6">
        <w:rPr>
          <w:rFonts w:cstheme="minorHAnsi"/>
          <w:b/>
          <w:lang w:val="en-US"/>
        </w:rPr>
        <w:t>The report is organized as follows:</w:t>
      </w:r>
    </w:p>
    <w:p w14:paraId="6CEE222A" w14:textId="56BAF94D" w:rsidR="00D61F47" w:rsidRPr="00CF0127" w:rsidRDefault="00D61F47" w:rsidP="007414AC">
      <w:pPr>
        <w:pStyle w:val="ListParagraph"/>
        <w:numPr>
          <w:ilvl w:val="0"/>
          <w:numId w:val="20"/>
        </w:numPr>
        <w:spacing w:after="240" w:line="240" w:lineRule="auto"/>
        <w:ind w:left="1195" w:hanging="475"/>
        <w:contextualSpacing w:val="0"/>
        <w:jc w:val="both"/>
        <w:rPr>
          <w:rFonts w:cstheme="minorHAnsi"/>
          <w:lang w:val="en-US"/>
        </w:rPr>
      </w:pPr>
      <w:r w:rsidRPr="00CF0127">
        <w:rPr>
          <w:rFonts w:cstheme="minorHAnsi"/>
          <w:lang w:val="en-US"/>
        </w:rPr>
        <w:t xml:space="preserve">Chapter I </w:t>
      </w:r>
      <w:r w:rsidR="002C070A" w:rsidRPr="00CF0127">
        <w:rPr>
          <w:rFonts w:cstheme="minorHAnsi"/>
          <w:lang w:val="en-US"/>
        </w:rPr>
        <w:t>provide</w:t>
      </w:r>
      <w:r w:rsidR="004E3333" w:rsidRPr="00CF0127">
        <w:rPr>
          <w:rFonts w:cstheme="minorHAnsi"/>
          <w:lang w:val="en-US"/>
        </w:rPr>
        <w:t>s</w:t>
      </w:r>
      <w:r w:rsidRPr="00CF0127">
        <w:rPr>
          <w:rFonts w:cstheme="minorHAnsi"/>
          <w:lang w:val="en-US"/>
        </w:rPr>
        <w:t xml:space="preserve"> </w:t>
      </w:r>
      <w:r w:rsidR="00314425" w:rsidRPr="00CF0127">
        <w:rPr>
          <w:rFonts w:cstheme="minorHAnsi"/>
          <w:lang w:val="en-US"/>
        </w:rPr>
        <w:t>a</w:t>
      </w:r>
      <w:r w:rsidRPr="00CF0127">
        <w:rPr>
          <w:rFonts w:cstheme="minorHAnsi"/>
          <w:lang w:val="en-US"/>
        </w:rPr>
        <w:t xml:space="preserve"> </w:t>
      </w:r>
      <w:r w:rsidR="006E3B28" w:rsidRPr="00CF0127">
        <w:rPr>
          <w:rFonts w:cstheme="minorHAnsi"/>
          <w:lang w:val="en-US"/>
        </w:rPr>
        <w:t xml:space="preserve">brief </w:t>
      </w:r>
      <w:r w:rsidRPr="00CF0127">
        <w:rPr>
          <w:rFonts w:cstheme="minorHAnsi"/>
          <w:lang w:val="en-US"/>
        </w:rPr>
        <w:t xml:space="preserve">overview of the activities of the </w:t>
      </w:r>
      <w:r w:rsidR="00510E0E" w:rsidRPr="00CF0127">
        <w:rPr>
          <w:rFonts w:cstheme="minorHAnsi"/>
          <w:lang w:val="en-US"/>
        </w:rPr>
        <w:t>banking</w:t>
      </w:r>
      <w:r w:rsidR="00597C41" w:rsidRPr="00CF0127">
        <w:rPr>
          <w:rFonts w:cstheme="minorHAnsi"/>
          <w:lang w:val="en-US"/>
        </w:rPr>
        <w:t xml:space="preserve"> sector</w:t>
      </w:r>
      <w:r w:rsidRPr="00CF0127">
        <w:rPr>
          <w:rFonts w:cstheme="minorHAnsi"/>
          <w:lang w:val="en-US"/>
        </w:rPr>
        <w:t xml:space="preserve">, </w:t>
      </w:r>
      <w:r w:rsidR="00287640" w:rsidRPr="00CF0127">
        <w:rPr>
          <w:rFonts w:cstheme="minorHAnsi"/>
          <w:lang w:val="en-US"/>
        </w:rPr>
        <w:t>its</w:t>
      </w:r>
      <w:r w:rsidR="00597C41" w:rsidRPr="00CF0127">
        <w:rPr>
          <w:rFonts w:cstheme="minorHAnsi"/>
          <w:lang w:val="en-US"/>
        </w:rPr>
        <w:t xml:space="preserve"> contribution in financing the economy, </w:t>
      </w:r>
      <w:r w:rsidR="00FA6F31" w:rsidRPr="00CF0127">
        <w:rPr>
          <w:rFonts w:cstheme="minorHAnsi"/>
          <w:lang w:val="en-US"/>
        </w:rPr>
        <w:t>financial situation</w:t>
      </w:r>
      <w:r w:rsidR="00287640" w:rsidRPr="00CF0127">
        <w:rPr>
          <w:rFonts w:cstheme="minorHAnsi"/>
          <w:lang w:val="en-US"/>
        </w:rPr>
        <w:t xml:space="preserve"> and impact on financial stability</w:t>
      </w:r>
      <w:r w:rsidR="00376C10" w:rsidRPr="00CF0127">
        <w:rPr>
          <w:rFonts w:cstheme="minorHAnsi"/>
          <w:lang w:val="en-US"/>
        </w:rPr>
        <w:t>.</w:t>
      </w:r>
    </w:p>
    <w:p w14:paraId="06A19069" w14:textId="214E9008" w:rsidR="002C070A" w:rsidRPr="00CF0127" w:rsidRDefault="00D61F47" w:rsidP="007414AC">
      <w:pPr>
        <w:pStyle w:val="ListParagraph"/>
        <w:numPr>
          <w:ilvl w:val="0"/>
          <w:numId w:val="20"/>
        </w:numPr>
        <w:spacing w:after="240" w:line="240" w:lineRule="auto"/>
        <w:ind w:left="1195" w:hanging="475"/>
        <w:contextualSpacing w:val="0"/>
        <w:jc w:val="both"/>
        <w:rPr>
          <w:rFonts w:cstheme="minorHAnsi"/>
          <w:lang w:val="en-US"/>
        </w:rPr>
      </w:pPr>
      <w:r w:rsidRPr="00CF0127">
        <w:rPr>
          <w:rFonts w:cstheme="minorHAnsi"/>
          <w:lang w:val="en-US"/>
        </w:rPr>
        <w:t>Chapter</w:t>
      </w:r>
      <w:r w:rsidR="00C702B4" w:rsidRPr="00CF0127">
        <w:rPr>
          <w:rFonts w:cstheme="minorHAnsi"/>
          <w:lang w:val="en-US"/>
        </w:rPr>
        <w:t> </w:t>
      </w:r>
      <w:r w:rsidRPr="00CF0127">
        <w:rPr>
          <w:rFonts w:cstheme="minorHAnsi"/>
          <w:lang w:val="en-US"/>
        </w:rPr>
        <w:t xml:space="preserve">II </w:t>
      </w:r>
      <w:r w:rsidR="00597C41" w:rsidRPr="00CF0127">
        <w:rPr>
          <w:rFonts w:cstheme="minorHAnsi"/>
          <w:lang w:val="en-US"/>
        </w:rPr>
        <w:t>provide</w:t>
      </w:r>
      <w:r w:rsidR="004E3333" w:rsidRPr="00CF0127">
        <w:rPr>
          <w:rFonts w:cstheme="minorHAnsi"/>
          <w:lang w:val="en-US"/>
        </w:rPr>
        <w:t>s</w:t>
      </w:r>
      <w:r w:rsidR="0017127D" w:rsidRPr="00CF0127">
        <w:rPr>
          <w:rFonts w:cstheme="minorHAnsi"/>
          <w:lang w:val="en-US"/>
        </w:rPr>
        <w:t xml:space="preserve"> in detail</w:t>
      </w:r>
      <w:r w:rsidR="00597C41" w:rsidRPr="00CF0127">
        <w:rPr>
          <w:rFonts w:cstheme="minorHAnsi"/>
          <w:lang w:val="en-US"/>
        </w:rPr>
        <w:t xml:space="preserve"> </w:t>
      </w:r>
      <w:r w:rsidR="0017127D" w:rsidRPr="00CF0127">
        <w:rPr>
          <w:rFonts w:cstheme="minorHAnsi"/>
          <w:lang w:val="en-US"/>
        </w:rPr>
        <w:t>the</w:t>
      </w:r>
      <w:r w:rsidR="00597C41" w:rsidRPr="00CF0127">
        <w:rPr>
          <w:rFonts w:cstheme="minorHAnsi"/>
          <w:lang w:val="en-US"/>
        </w:rPr>
        <w:t xml:space="preserve"> current state of the microfinance sector, the </w:t>
      </w:r>
      <w:r w:rsidR="00DB0355" w:rsidRPr="00CF0127">
        <w:rPr>
          <w:rFonts w:cstheme="minorHAnsi"/>
          <w:lang w:val="en-US"/>
        </w:rPr>
        <w:t xml:space="preserve">challenges and </w:t>
      </w:r>
      <w:r w:rsidR="00597C41" w:rsidRPr="00CF0127">
        <w:rPr>
          <w:rFonts w:cstheme="minorHAnsi"/>
          <w:lang w:val="en-US"/>
        </w:rPr>
        <w:t>threats</w:t>
      </w:r>
      <w:r w:rsidR="00221A82" w:rsidRPr="00CF0127">
        <w:rPr>
          <w:rFonts w:cstheme="minorHAnsi"/>
          <w:lang w:val="en"/>
        </w:rPr>
        <w:t xml:space="preserve"> that may limit its growth and contribution to the </w:t>
      </w:r>
      <w:r w:rsidR="004B112A" w:rsidRPr="00CF0127">
        <w:rPr>
          <w:rFonts w:cstheme="minorHAnsi"/>
          <w:lang w:val="en"/>
        </w:rPr>
        <w:t>development of the real</w:t>
      </w:r>
      <w:r w:rsidR="00805A74" w:rsidRPr="00CF0127">
        <w:rPr>
          <w:rFonts w:cstheme="minorHAnsi"/>
          <w:lang w:val="en"/>
        </w:rPr>
        <w:t xml:space="preserve"> economy</w:t>
      </w:r>
      <w:r w:rsidR="00221A82" w:rsidRPr="00CF0127">
        <w:rPr>
          <w:rFonts w:cstheme="minorHAnsi"/>
          <w:lang w:val="en"/>
        </w:rPr>
        <w:t xml:space="preserve">, </w:t>
      </w:r>
      <w:r w:rsidR="004B112A" w:rsidRPr="00CF0127">
        <w:rPr>
          <w:rFonts w:cstheme="minorHAnsi"/>
          <w:lang w:val="en"/>
        </w:rPr>
        <w:t xml:space="preserve">with </w:t>
      </w:r>
      <w:r w:rsidR="00221A82" w:rsidRPr="00CF0127">
        <w:rPr>
          <w:rFonts w:cstheme="minorHAnsi"/>
          <w:lang w:val="en"/>
        </w:rPr>
        <w:t xml:space="preserve">recommendations </w:t>
      </w:r>
      <w:r w:rsidR="00706F23" w:rsidRPr="00CF0127">
        <w:rPr>
          <w:rFonts w:cstheme="minorHAnsi"/>
          <w:lang w:val="en-US"/>
        </w:rPr>
        <w:t>to go</w:t>
      </w:r>
      <w:r w:rsidR="002C070A" w:rsidRPr="00CF0127">
        <w:rPr>
          <w:rFonts w:cstheme="minorHAnsi"/>
          <w:lang w:val="en-US"/>
        </w:rPr>
        <w:t xml:space="preserve"> forward.</w:t>
      </w:r>
    </w:p>
    <w:p w14:paraId="7F2DB607" w14:textId="1EB19254" w:rsidR="00D61F47" w:rsidRPr="00CF0127" w:rsidRDefault="00D61F47" w:rsidP="007414AC">
      <w:pPr>
        <w:pStyle w:val="ListParagraph"/>
        <w:numPr>
          <w:ilvl w:val="0"/>
          <w:numId w:val="20"/>
        </w:numPr>
        <w:spacing w:after="240" w:line="240" w:lineRule="auto"/>
        <w:ind w:left="1195" w:hanging="475"/>
        <w:contextualSpacing w:val="0"/>
        <w:jc w:val="both"/>
        <w:rPr>
          <w:rFonts w:cstheme="minorHAnsi"/>
          <w:lang w:val="en-US"/>
        </w:rPr>
      </w:pPr>
      <w:r w:rsidRPr="00CF0127">
        <w:rPr>
          <w:rFonts w:cstheme="minorHAnsi"/>
          <w:lang w:val="en-US"/>
        </w:rPr>
        <w:t>Chapter</w:t>
      </w:r>
      <w:r w:rsidR="00C702B4" w:rsidRPr="00CF0127">
        <w:rPr>
          <w:rFonts w:cstheme="minorHAnsi"/>
          <w:lang w:val="en-US"/>
        </w:rPr>
        <w:t> </w:t>
      </w:r>
      <w:r w:rsidRPr="00CF0127">
        <w:rPr>
          <w:rFonts w:cstheme="minorHAnsi"/>
          <w:lang w:val="en-US"/>
        </w:rPr>
        <w:t xml:space="preserve">III </w:t>
      </w:r>
      <w:r w:rsidR="00510E0E" w:rsidRPr="00CF0127">
        <w:rPr>
          <w:rFonts w:cstheme="minorHAnsi"/>
          <w:lang w:val="en-US"/>
        </w:rPr>
        <w:t xml:space="preserve">consists </w:t>
      </w:r>
      <w:r w:rsidR="004B112A" w:rsidRPr="00CF0127">
        <w:rPr>
          <w:rFonts w:cstheme="minorHAnsi"/>
          <w:lang w:val="en-US"/>
        </w:rPr>
        <w:t xml:space="preserve">of </w:t>
      </w:r>
      <w:r w:rsidR="00510E0E" w:rsidRPr="00CF0127">
        <w:rPr>
          <w:rFonts w:cstheme="minorHAnsi"/>
          <w:lang w:val="en-US"/>
        </w:rPr>
        <w:t xml:space="preserve">a </w:t>
      </w:r>
      <w:r w:rsidR="004B112A" w:rsidRPr="00CF0127">
        <w:rPr>
          <w:rFonts w:cstheme="minorHAnsi"/>
          <w:lang w:val="en-US"/>
        </w:rPr>
        <w:t xml:space="preserve">diagnosis </w:t>
      </w:r>
      <w:r w:rsidR="00510E0E" w:rsidRPr="00CF0127">
        <w:rPr>
          <w:rFonts w:cstheme="minorHAnsi"/>
          <w:lang w:val="en-US"/>
        </w:rPr>
        <w:t>of the retail payment ecosystem and</w:t>
      </w:r>
      <w:r w:rsidR="002C070A" w:rsidRPr="00CF0127">
        <w:rPr>
          <w:rFonts w:cstheme="minorHAnsi"/>
          <w:lang w:val="en-US"/>
        </w:rPr>
        <w:t xml:space="preserve"> </w:t>
      </w:r>
      <w:r w:rsidR="00FA6F31" w:rsidRPr="00CF0127">
        <w:rPr>
          <w:rFonts w:cstheme="minorHAnsi"/>
          <w:lang w:val="en-US"/>
        </w:rPr>
        <w:t>identifies several recommendations to help increase financial inclusion in Benin</w:t>
      </w:r>
      <w:r w:rsidR="00376C10" w:rsidRPr="00CF0127">
        <w:rPr>
          <w:rFonts w:cstheme="minorHAnsi"/>
          <w:lang w:val="en-US"/>
        </w:rPr>
        <w:t>.</w:t>
      </w:r>
      <w:r w:rsidR="00165C4D" w:rsidRPr="00CF0127">
        <w:rPr>
          <w:rFonts w:cstheme="minorHAnsi"/>
          <w:lang w:val="en-US"/>
        </w:rPr>
        <w:t xml:space="preserve"> </w:t>
      </w:r>
    </w:p>
    <w:p w14:paraId="17AD18FD" w14:textId="4B74C41E" w:rsidR="00D61F47" w:rsidRPr="00CF0127" w:rsidRDefault="00D61F47" w:rsidP="007414AC">
      <w:pPr>
        <w:pStyle w:val="ListParagraph"/>
        <w:numPr>
          <w:ilvl w:val="0"/>
          <w:numId w:val="20"/>
        </w:numPr>
        <w:spacing w:after="240" w:line="240" w:lineRule="auto"/>
        <w:ind w:left="1195" w:hanging="475"/>
        <w:contextualSpacing w:val="0"/>
        <w:jc w:val="both"/>
        <w:rPr>
          <w:rFonts w:cstheme="minorHAnsi"/>
          <w:lang w:val="en-US"/>
        </w:rPr>
      </w:pPr>
      <w:r w:rsidRPr="00CF0127">
        <w:rPr>
          <w:rFonts w:cstheme="minorHAnsi"/>
          <w:lang w:val="en-US"/>
        </w:rPr>
        <w:t>Chapter IV prov</w:t>
      </w:r>
      <w:r w:rsidR="002646AC" w:rsidRPr="00CF0127">
        <w:rPr>
          <w:rFonts w:cstheme="minorHAnsi"/>
          <w:lang w:val="en-US"/>
        </w:rPr>
        <w:t>ides an overview of</w:t>
      </w:r>
      <w:r w:rsidR="0026735F" w:rsidRPr="00CF0127">
        <w:rPr>
          <w:rFonts w:cstheme="minorHAnsi"/>
          <w:lang w:val="en-US"/>
        </w:rPr>
        <w:t xml:space="preserve"> the current government interventions </w:t>
      </w:r>
      <w:r w:rsidR="002646AC" w:rsidRPr="00CF0127">
        <w:rPr>
          <w:rFonts w:cstheme="minorHAnsi"/>
          <w:lang w:val="en-US"/>
        </w:rPr>
        <w:t xml:space="preserve">to facilitate access to credit in the agriculture sector, the enduring constraints </w:t>
      </w:r>
      <w:r w:rsidR="005372F7" w:rsidRPr="00CF0127">
        <w:rPr>
          <w:rFonts w:cstheme="minorHAnsi"/>
          <w:lang w:val="en-US"/>
        </w:rPr>
        <w:t xml:space="preserve">which limit </w:t>
      </w:r>
      <w:r w:rsidR="002646AC" w:rsidRPr="00CF0127">
        <w:rPr>
          <w:rFonts w:cstheme="minorHAnsi"/>
          <w:lang w:val="en-US"/>
        </w:rPr>
        <w:t xml:space="preserve">access </w:t>
      </w:r>
      <w:r w:rsidR="005372F7" w:rsidRPr="00CF0127">
        <w:rPr>
          <w:rFonts w:cstheme="minorHAnsi"/>
          <w:lang w:val="en-US"/>
        </w:rPr>
        <w:t xml:space="preserve">to </w:t>
      </w:r>
      <w:r w:rsidR="002646AC" w:rsidRPr="00CF0127">
        <w:rPr>
          <w:rFonts w:cstheme="minorHAnsi"/>
          <w:lang w:val="en-US"/>
        </w:rPr>
        <w:t>and the attractiveness of the private sector</w:t>
      </w:r>
      <w:r w:rsidR="005372F7" w:rsidRPr="00CF0127">
        <w:rPr>
          <w:rFonts w:cstheme="minorHAnsi"/>
          <w:lang w:val="en-US"/>
        </w:rPr>
        <w:t>,</w:t>
      </w:r>
      <w:r w:rsidR="002646AC" w:rsidRPr="00CF0127">
        <w:rPr>
          <w:rFonts w:cstheme="minorHAnsi"/>
          <w:lang w:val="en-US"/>
        </w:rPr>
        <w:t xml:space="preserve"> and suggestions to crowd</w:t>
      </w:r>
      <w:r w:rsidR="00141BD7" w:rsidRPr="00CF0127">
        <w:rPr>
          <w:rFonts w:cstheme="minorHAnsi"/>
          <w:lang w:val="en-US"/>
        </w:rPr>
        <w:t xml:space="preserve"> </w:t>
      </w:r>
      <w:r w:rsidR="002646AC" w:rsidRPr="00CF0127">
        <w:rPr>
          <w:rFonts w:cstheme="minorHAnsi"/>
          <w:lang w:val="en-US"/>
        </w:rPr>
        <w:t xml:space="preserve">in </w:t>
      </w:r>
      <w:r w:rsidR="005372F7" w:rsidRPr="00CF0127">
        <w:rPr>
          <w:rFonts w:cstheme="minorHAnsi"/>
          <w:lang w:val="en-US"/>
        </w:rPr>
        <w:t xml:space="preserve">further </w:t>
      </w:r>
      <w:r w:rsidR="002646AC" w:rsidRPr="00CF0127">
        <w:rPr>
          <w:rFonts w:cstheme="minorHAnsi"/>
          <w:lang w:val="en-US"/>
        </w:rPr>
        <w:t>private sector financing</w:t>
      </w:r>
      <w:r w:rsidRPr="00CF0127">
        <w:rPr>
          <w:rFonts w:cstheme="minorHAnsi"/>
          <w:lang w:val="en-US"/>
        </w:rPr>
        <w:t>.</w:t>
      </w:r>
    </w:p>
    <w:p w14:paraId="4DB0D77E" w14:textId="544D6CF1" w:rsidR="009A254C" w:rsidRPr="008B5CCA" w:rsidRDefault="00D61F47" w:rsidP="00B4128F">
      <w:pPr>
        <w:pStyle w:val="Heading1"/>
        <w:rPr>
          <w:rFonts w:cstheme="minorHAnsi"/>
        </w:rPr>
      </w:pPr>
      <w:r w:rsidRPr="00124DA6">
        <w:rPr>
          <w:rFonts w:cstheme="minorHAnsi"/>
        </w:rPr>
        <w:br w:type="page"/>
      </w:r>
      <w:bookmarkStart w:id="9" w:name="_Toc3975121"/>
      <w:r w:rsidR="00B61AED" w:rsidRPr="00124DA6">
        <w:rPr>
          <w:noProof/>
          <w:lang w:val="fr-FR" w:eastAsia="fr-FR"/>
        </w:rPr>
        <mc:AlternateContent>
          <mc:Choice Requires="wps">
            <w:drawing>
              <wp:anchor distT="91440" distB="91440" distL="365760" distR="365760" simplePos="0" relativeHeight="251653120" behindDoc="0" locked="0" layoutInCell="1" allowOverlap="1" wp14:anchorId="4A41C05C" wp14:editId="5818A4E4">
                <wp:simplePos x="0" y="0"/>
                <wp:positionH relativeFrom="margin">
                  <wp:posOffset>996950</wp:posOffset>
                </wp:positionH>
                <wp:positionV relativeFrom="margin">
                  <wp:posOffset>3855720</wp:posOffset>
                </wp:positionV>
                <wp:extent cx="4160520" cy="2079625"/>
                <wp:effectExtent l="0" t="0" r="0" b="0"/>
                <wp:wrapTopAndBottom/>
                <wp:docPr id="279" name="Rectangle 279"/>
                <wp:cNvGraphicFramePr/>
                <a:graphic xmlns:a="http://schemas.openxmlformats.org/drawingml/2006/main">
                  <a:graphicData uri="http://schemas.microsoft.com/office/word/2010/wordprocessingShape">
                    <wps:wsp>
                      <wps:cNvSpPr/>
                      <wps:spPr>
                        <a:xfrm>
                          <a:off x="0" y="0"/>
                          <a:ext cx="4160520" cy="2079625"/>
                        </a:xfrm>
                        <a:prstGeom prst="rect">
                          <a:avLst/>
                        </a:prstGeom>
                        <a:noFill/>
                        <a:ln w="12700" cap="flat" cmpd="sng" algn="ctr">
                          <a:noFill/>
                          <a:prstDash val="solid"/>
                          <a:miter lim="800000"/>
                        </a:ln>
                        <a:effectLst/>
                      </wps:spPr>
                      <wps:txbx>
                        <w:txbxContent>
                          <w:p w14:paraId="559D11FB" w14:textId="77777777" w:rsidR="003B0984" w:rsidRDefault="003B0984" w:rsidP="00B61AED">
                            <w:pPr>
                              <w:pStyle w:val="NoSpacing"/>
                              <w:jc w:val="center"/>
                              <w:rPr>
                                <w:color w:val="5B9BD5" w:themeColor="accent1"/>
                              </w:rPr>
                            </w:pPr>
                            <w:r>
                              <w:rPr>
                                <w:noProof/>
                                <w:color w:val="5B9BD5" w:themeColor="accent1"/>
                                <w:lang w:eastAsia="fr-FR"/>
                              </w:rPr>
                              <w:drawing>
                                <wp:inline distT="0" distB="0" distL="0" distR="0" wp14:anchorId="175B1343" wp14:editId="1BFEB946">
                                  <wp:extent cx="722376" cy="38404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5C7B87B" w14:textId="77777777" w:rsidR="003B0984" w:rsidRDefault="003B0984" w:rsidP="00B61AED">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Pr>
                                <w:color w:val="5B9BD5" w:themeColor="accent1"/>
                                <w:sz w:val="56"/>
                                <w:szCs w:val="56"/>
                              </w:rPr>
                              <w:t>BANKING SECTOR</w:t>
                            </w:r>
                          </w:p>
                          <w:p w14:paraId="59FD088B" w14:textId="77777777" w:rsidR="003B0984" w:rsidRPr="007848E3" w:rsidRDefault="003B0984" w:rsidP="00B61AED">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Pr>
                                <w:color w:val="5B9BD5" w:themeColor="accent1"/>
                                <w:sz w:val="56"/>
                                <w:szCs w:val="56"/>
                              </w:rPr>
                              <w:t>OVERVIEW</w:t>
                            </w:r>
                          </w:p>
                          <w:p w14:paraId="5B3DAFBC" w14:textId="77777777" w:rsidR="003B0984" w:rsidRDefault="003B0984" w:rsidP="00B61AED">
                            <w:pPr>
                              <w:pStyle w:val="NoSpacing"/>
                              <w:spacing w:before="240"/>
                              <w:jc w:val="center"/>
                              <w:rPr>
                                <w:color w:val="5B9BD5" w:themeColor="accent1"/>
                              </w:rPr>
                            </w:pPr>
                            <w:r>
                              <w:rPr>
                                <w:noProof/>
                                <w:color w:val="5B9BD5" w:themeColor="accent1"/>
                                <w:lang w:eastAsia="fr-FR"/>
                              </w:rPr>
                              <w:drawing>
                                <wp:inline distT="0" distB="0" distL="0" distR="0" wp14:anchorId="1616744B" wp14:editId="76782E1F">
                                  <wp:extent cx="374904" cy="23774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4A41C05C" id="Rectangle 279" o:spid="_x0000_s1026" style="position:absolute;margin-left:78.5pt;margin-top:303.6pt;width:327.6pt;height:163.75pt;z-index:251653120;visibility:visible;mso-wrap-style:square;mso-width-percent:700;mso-height-percent:0;mso-wrap-distance-left:28.8pt;mso-wrap-distance-top:7.2pt;mso-wrap-distance-right:28.8pt;mso-wrap-distance-bottom:7.2pt;mso-position-horizontal:absolute;mso-position-horizontal-relative:margin;mso-position-vertical:absolute;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" filled="f" stroked="f" strokeweight="1pt">
                <v:textbox style="mso-fit-shape-to-text:t" inset="10.8pt,0,10.8pt,0">
                  <w:txbxContent>
                    <w:p w14:paraId="559D11FB" w14:textId="77777777" w:rsidR="003B0984" w:rsidRDefault="003B0984" w:rsidP="00B61AED">
                      <w:pPr>
                        <w:pStyle w:val="NoSpacing"/>
                        <w:jc w:val="center"/>
                        <w:rPr>
                          <w:color w:val="5B9BD5" w:themeColor="accent1"/>
                        </w:rPr>
                      </w:pPr>
                      <w:r>
                        <w:rPr>
                          <w:noProof/>
                          <w:color w:val="5B9BD5" w:themeColor="accent1"/>
                          <w:lang w:eastAsia="fr-FR"/>
                        </w:rPr>
                        <w:drawing>
                          <wp:inline distT="0" distB="0" distL="0" distR="0" wp14:anchorId="175B1343" wp14:editId="1BFEB946">
                            <wp:extent cx="722376" cy="384048"/>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5C7B87B" w14:textId="77777777" w:rsidR="003B0984" w:rsidRDefault="003B0984" w:rsidP="00B61AED">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Pr>
                          <w:color w:val="5B9BD5" w:themeColor="accent1"/>
                          <w:sz w:val="56"/>
                          <w:szCs w:val="56"/>
                        </w:rPr>
                        <w:t>BANKING SECTOR</w:t>
                      </w:r>
                    </w:p>
                    <w:p w14:paraId="59FD088B" w14:textId="77777777" w:rsidR="003B0984" w:rsidRPr="007848E3" w:rsidRDefault="003B0984" w:rsidP="00B61AED">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Pr>
                          <w:color w:val="5B9BD5" w:themeColor="accent1"/>
                          <w:sz w:val="56"/>
                          <w:szCs w:val="56"/>
                        </w:rPr>
                        <w:t>OVERVIEW</w:t>
                      </w:r>
                    </w:p>
                    <w:p w14:paraId="5B3DAFBC" w14:textId="77777777" w:rsidR="003B0984" w:rsidRDefault="003B0984" w:rsidP="00B61AED">
                      <w:pPr>
                        <w:pStyle w:val="NoSpacing"/>
                        <w:spacing w:before="240"/>
                        <w:jc w:val="center"/>
                        <w:rPr>
                          <w:color w:val="5B9BD5" w:themeColor="accent1"/>
                        </w:rPr>
                      </w:pPr>
                      <w:r>
                        <w:rPr>
                          <w:noProof/>
                          <w:color w:val="5B9BD5" w:themeColor="accent1"/>
                          <w:lang w:eastAsia="fr-FR"/>
                        </w:rPr>
                        <w:drawing>
                          <wp:inline distT="0" distB="0" distL="0" distR="0" wp14:anchorId="1616744B" wp14:editId="76782E1F">
                            <wp:extent cx="374904" cy="237744"/>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007848E3" w:rsidRPr="008B5CCA">
        <w:br w:type="page"/>
      </w:r>
      <w:r w:rsidR="008304DA" w:rsidRPr="008B5CCA">
        <w:t>CHAPTER</w:t>
      </w:r>
      <w:r w:rsidR="00C702B4" w:rsidRPr="008B5CCA">
        <w:t> </w:t>
      </w:r>
      <w:r w:rsidR="008304DA" w:rsidRPr="008B5CCA">
        <w:t xml:space="preserve">1: </w:t>
      </w:r>
      <w:r w:rsidR="00AF3251" w:rsidRPr="008B5CCA">
        <w:t xml:space="preserve">Overview of the </w:t>
      </w:r>
      <w:r w:rsidR="008304DA" w:rsidRPr="008B5CCA">
        <w:t xml:space="preserve">Banking </w:t>
      </w:r>
      <w:r w:rsidR="00221A82" w:rsidRPr="008B5CCA">
        <w:t xml:space="preserve">sector </w:t>
      </w:r>
      <w:r w:rsidR="00666B8C" w:rsidRPr="008B5CCA">
        <w:t>in Benin</w:t>
      </w:r>
      <w:bookmarkEnd w:id="9"/>
      <w:r w:rsidR="00666B8C" w:rsidRPr="008B5CCA">
        <w:t xml:space="preserve"> </w:t>
      </w:r>
    </w:p>
    <w:p w14:paraId="1447DD0F" w14:textId="4DA11AC2" w:rsidR="002E0091" w:rsidRDefault="004B112A" w:rsidP="00151BF5">
      <w:pPr>
        <w:pStyle w:val="ListParagraph"/>
        <w:numPr>
          <w:ilvl w:val="0"/>
          <w:numId w:val="47"/>
        </w:numPr>
        <w:spacing w:after="240" w:line="240" w:lineRule="auto"/>
        <w:ind w:left="0" w:firstLine="0"/>
        <w:jc w:val="both"/>
        <w:rPr>
          <w:rFonts w:cstheme="minorHAnsi"/>
          <w:lang w:val="en-US"/>
        </w:rPr>
      </w:pPr>
      <w:r w:rsidRPr="007822C6">
        <w:rPr>
          <w:rFonts w:cstheme="minorHAnsi"/>
          <w:b/>
          <w:lang w:val="en-US"/>
        </w:rPr>
        <w:t>Banks dominate the</w:t>
      </w:r>
      <w:r w:rsidR="003A105F" w:rsidRPr="007822C6">
        <w:rPr>
          <w:rFonts w:cstheme="minorHAnsi"/>
          <w:b/>
          <w:lang w:val="en-US"/>
        </w:rPr>
        <w:t xml:space="preserve"> </w:t>
      </w:r>
      <w:r w:rsidR="002E0091" w:rsidRPr="007822C6">
        <w:rPr>
          <w:rFonts w:cstheme="minorHAnsi"/>
          <w:b/>
          <w:lang w:val="en-US"/>
        </w:rPr>
        <w:t xml:space="preserve">financial sector </w:t>
      </w:r>
      <w:r w:rsidRPr="007822C6">
        <w:rPr>
          <w:rFonts w:cstheme="minorHAnsi"/>
          <w:b/>
          <w:lang w:val="en-US"/>
        </w:rPr>
        <w:t>in Benin</w:t>
      </w:r>
      <w:r w:rsidR="002E0091" w:rsidRPr="007822C6">
        <w:rPr>
          <w:rFonts w:cstheme="minorHAnsi"/>
          <w:b/>
          <w:bCs/>
          <w:lang w:val="en-US"/>
        </w:rPr>
        <w:t>, accounting for over 90 percent of total assets</w:t>
      </w:r>
      <w:r w:rsidR="002E0091" w:rsidRPr="007822C6">
        <w:rPr>
          <w:rFonts w:cstheme="minorHAnsi"/>
          <w:lang w:val="en-US"/>
        </w:rPr>
        <w:t xml:space="preserve"> </w:t>
      </w:r>
      <w:r w:rsidR="002E0091" w:rsidRPr="007822C6">
        <w:rPr>
          <w:rFonts w:cstheme="minorHAnsi"/>
          <w:b/>
          <w:lang w:val="en-US"/>
        </w:rPr>
        <w:t xml:space="preserve">with persistent problems with </w:t>
      </w:r>
      <w:r w:rsidR="004612AC" w:rsidRPr="007822C6">
        <w:rPr>
          <w:rFonts w:cstheme="minorHAnsi"/>
          <w:b/>
          <w:lang w:val="en-US"/>
        </w:rPr>
        <w:t>nonperforming loans (</w:t>
      </w:r>
      <w:r w:rsidR="002E0091" w:rsidRPr="007822C6">
        <w:rPr>
          <w:rFonts w:cstheme="minorHAnsi"/>
          <w:b/>
          <w:lang w:val="en-US"/>
        </w:rPr>
        <w:t>NPLs</w:t>
      </w:r>
      <w:r w:rsidR="004612AC" w:rsidRPr="007822C6">
        <w:rPr>
          <w:rFonts w:cstheme="minorHAnsi"/>
          <w:b/>
          <w:lang w:val="en-US"/>
        </w:rPr>
        <w:t>)</w:t>
      </w:r>
      <w:r w:rsidR="002E0091" w:rsidRPr="007822C6">
        <w:rPr>
          <w:rFonts w:cstheme="minorHAnsi"/>
          <w:b/>
          <w:lang w:val="en-US"/>
        </w:rPr>
        <w:t>.</w:t>
      </w:r>
      <w:r w:rsidR="002E0091" w:rsidRPr="007822C6">
        <w:rPr>
          <w:rFonts w:cstheme="minorHAnsi"/>
          <w:lang w:val="en-US"/>
        </w:rPr>
        <w:t xml:space="preserve"> Total bank assets are estimated at CFAF</w:t>
      </w:r>
      <w:r w:rsidR="00C702B4" w:rsidRPr="007822C6">
        <w:rPr>
          <w:rFonts w:cstheme="minorHAnsi"/>
          <w:lang w:val="en-US"/>
        </w:rPr>
        <w:t> </w:t>
      </w:r>
      <w:r w:rsidR="002E0091" w:rsidRPr="007822C6">
        <w:rPr>
          <w:rFonts w:cstheme="minorHAnsi"/>
          <w:lang w:val="en-US"/>
        </w:rPr>
        <w:t>3,442</w:t>
      </w:r>
      <w:r w:rsidR="00C702B4" w:rsidRPr="007822C6">
        <w:rPr>
          <w:rFonts w:cstheme="minorHAnsi"/>
          <w:lang w:val="en-US"/>
        </w:rPr>
        <w:t> </w:t>
      </w:r>
      <w:r w:rsidR="002E0091" w:rsidRPr="007822C6">
        <w:rPr>
          <w:rFonts w:cstheme="minorHAnsi"/>
          <w:lang w:val="en-US"/>
        </w:rPr>
        <w:t>billion as of June 2017. Of the 15 banks</w:t>
      </w:r>
      <w:r w:rsidR="002E0091" w:rsidRPr="00124DA6">
        <w:rPr>
          <w:rStyle w:val="FootnoteReference"/>
          <w:rFonts w:cstheme="minorHAnsi"/>
          <w:lang w:val="en-US"/>
        </w:rPr>
        <w:footnoteReference w:id="4"/>
      </w:r>
      <w:r w:rsidR="002E0091" w:rsidRPr="007822C6">
        <w:rPr>
          <w:rFonts w:cstheme="minorHAnsi"/>
          <w:lang w:val="en-US"/>
        </w:rPr>
        <w:t xml:space="preserve"> in operation, </w:t>
      </w:r>
      <w:r w:rsidR="004612AC" w:rsidRPr="007822C6">
        <w:rPr>
          <w:rFonts w:cstheme="minorHAnsi"/>
          <w:lang w:val="en-US"/>
        </w:rPr>
        <w:t xml:space="preserve">4 </w:t>
      </w:r>
      <w:r w:rsidR="002E0091" w:rsidRPr="007822C6">
        <w:rPr>
          <w:rFonts w:cstheme="minorHAnsi"/>
          <w:lang w:val="en-US"/>
        </w:rPr>
        <w:t>of the largest banks are pan-African</w:t>
      </w:r>
      <w:r w:rsidR="002E0091" w:rsidRPr="007822C6">
        <w:rPr>
          <w:rFonts w:cstheme="minorHAnsi"/>
          <w:b/>
          <w:lang w:val="en-US"/>
        </w:rPr>
        <w:t xml:space="preserve">. </w:t>
      </w:r>
      <w:r w:rsidR="002E0091" w:rsidRPr="007822C6">
        <w:rPr>
          <w:rFonts w:cstheme="minorHAnsi"/>
          <w:lang w:val="en-US"/>
        </w:rPr>
        <w:t>The number of branches reached 208 at the end</w:t>
      </w:r>
      <w:r w:rsidR="005372F7" w:rsidRPr="007822C6">
        <w:rPr>
          <w:rFonts w:cstheme="minorHAnsi"/>
          <w:lang w:val="en-US"/>
        </w:rPr>
        <w:t xml:space="preserve"> of </w:t>
      </w:r>
      <w:r w:rsidR="002E0091" w:rsidRPr="007822C6">
        <w:rPr>
          <w:rFonts w:cstheme="minorHAnsi"/>
          <w:lang w:val="en-US"/>
        </w:rPr>
        <w:t>June 2017. The banking sector is characterized by high NPL</w:t>
      </w:r>
      <w:r w:rsidR="004612AC" w:rsidRPr="007822C6">
        <w:rPr>
          <w:rFonts w:cstheme="minorHAnsi"/>
          <w:lang w:val="en-US"/>
        </w:rPr>
        <w:t>s</w:t>
      </w:r>
      <w:r w:rsidR="002E0091" w:rsidRPr="007822C6">
        <w:rPr>
          <w:rFonts w:cstheme="minorHAnsi"/>
          <w:lang w:val="en-US"/>
        </w:rPr>
        <w:t xml:space="preserve"> with a ratio of 20.</w:t>
      </w:r>
      <w:r w:rsidR="00AF3251" w:rsidRPr="007822C6">
        <w:rPr>
          <w:rFonts w:cstheme="minorHAnsi"/>
          <w:lang w:val="en-US"/>
        </w:rPr>
        <w:t>3</w:t>
      </w:r>
      <w:r w:rsidR="00CB498D" w:rsidRPr="007822C6">
        <w:rPr>
          <w:rFonts w:cstheme="minorHAnsi"/>
          <w:lang w:val="en-US"/>
        </w:rPr>
        <w:t xml:space="preserve"> percent</w:t>
      </w:r>
      <w:r w:rsidR="000F1479" w:rsidRPr="007822C6">
        <w:rPr>
          <w:rFonts w:cstheme="minorHAnsi"/>
          <w:lang w:val="en-US"/>
        </w:rPr>
        <w:t xml:space="preserve"> (BCEAO</w:t>
      </w:r>
      <w:r w:rsidR="00C702B4" w:rsidRPr="007822C6">
        <w:rPr>
          <w:rFonts w:cstheme="minorHAnsi"/>
          <w:lang w:val="en-US"/>
        </w:rPr>
        <w:t> </w:t>
      </w:r>
      <w:r w:rsidR="000F1479" w:rsidRPr="007822C6">
        <w:rPr>
          <w:rFonts w:cstheme="minorHAnsi"/>
          <w:lang w:val="en-US"/>
        </w:rPr>
        <w:t>2016)</w:t>
      </w:r>
      <w:r w:rsidR="004612AC" w:rsidRPr="007822C6">
        <w:rPr>
          <w:rFonts w:cstheme="minorHAnsi"/>
          <w:lang w:val="en-US"/>
        </w:rPr>
        <w:t>,</w:t>
      </w:r>
      <w:r w:rsidR="002E0091" w:rsidRPr="007822C6">
        <w:rPr>
          <w:rFonts w:cstheme="minorHAnsi"/>
          <w:lang w:val="en-US"/>
        </w:rPr>
        <w:t xml:space="preserve"> which is among the highest in </w:t>
      </w:r>
      <w:r w:rsidR="00C46050" w:rsidRPr="007822C6">
        <w:rPr>
          <w:rFonts w:cstheme="minorHAnsi"/>
          <w:lang w:val="en-US"/>
        </w:rPr>
        <w:t>West Africa Economic and Monetary Union (</w:t>
      </w:r>
      <w:r w:rsidR="002E0091" w:rsidRPr="007822C6">
        <w:rPr>
          <w:rFonts w:cstheme="minorHAnsi"/>
          <w:lang w:val="en-US"/>
        </w:rPr>
        <w:t>WAEMU</w:t>
      </w:r>
      <w:r w:rsidR="00C46050" w:rsidRPr="007822C6">
        <w:rPr>
          <w:rFonts w:cstheme="minorHAnsi"/>
          <w:lang w:val="en-US"/>
        </w:rPr>
        <w:t>)</w:t>
      </w:r>
      <w:r w:rsidR="002E0091" w:rsidRPr="007822C6">
        <w:rPr>
          <w:rFonts w:cstheme="minorHAnsi"/>
          <w:lang w:val="en-US"/>
        </w:rPr>
        <w:t xml:space="preserve"> countries. </w:t>
      </w:r>
      <w:r w:rsidR="002E0091" w:rsidRPr="007822C6">
        <w:rPr>
          <w:rFonts w:cstheme="minorHAnsi"/>
          <w:iCs/>
          <w:lang w:val="en-US"/>
        </w:rPr>
        <w:t xml:space="preserve">IMF (2015) reported that </w:t>
      </w:r>
      <w:r w:rsidR="002E0091" w:rsidRPr="007822C6">
        <w:rPr>
          <w:rFonts w:cstheme="minorHAnsi"/>
          <w:lang w:val="en-US"/>
        </w:rPr>
        <w:t xml:space="preserve">reducing Benin’s NPL to the WAEMU average level is estimated to be able to raise private credit growth by about 4 to 6 percentage points. </w:t>
      </w:r>
    </w:p>
    <w:p w14:paraId="388C5F84" w14:textId="77777777" w:rsidR="00236FE2" w:rsidRPr="007822C6" w:rsidRDefault="00236FE2" w:rsidP="00236FE2">
      <w:pPr>
        <w:pStyle w:val="ListParagraph"/>
        <w:spacing w:after="240" w:line="240" w:lineRule="auto"/>
        <w:ind w:left="0"/>
        <w:jc w:val="both"/>
        <w:rPr>
          <w:rFonts w:cstheme="minorHAnsi"/>
          <w:lang w:val="en-US"/>
        </w:rPr>
      </w:pPr>
    </w:p>
    <w:p w14:paraId="077889BF" w14:textId="6348B775" w:rsidR="002E0091" w:rsidRPr="00151BF5" w:rsidRDefault="002E0091" w:rsidP="00151BF5">
      <w:pPr>
        <w:pStyle w:val="ListParagraph"/>
        <w:numPr>
          <w:ilvl w:val="0"/>
          <w:numId w:val="47"/>
        </w:numPr>
        <w:spacing w:after="240" w:line="240" w:lineRule="auto"/>
        <w:ind w:left="0" w:firstLine="0"/>
        <w:jc w:val="both"/>
        <w:rPr>
          <w:rFonts w:cstheme="minorHAnsi"/>
          <w:lang w:val="en-US"/>
        </w:rPr>
      </w:pPr>
      <w:r w:rsidRPr="00151BF5">
        <w:rPr>
          <w:rFonts w:cstheme="minorHAnsi"/>
          <w:b/>
          <w:lang w:val="en-US"/>
        </w:rPr>
        <w:t xml:space="preserve">The banking sector in Benin is </w:t>
      </w:r>
      <w:proofErr w:type="gramStart"/>
      <w:r w:rsidRPr="00151BF5">
        <w:rPr>
          <w:rFonts w:cstheme="minorHAnsi"/>
          <w:b/>
          <w:lang w:val="en-US"/>
        </w:rPr>
        <w:t>lagging</w:t>
      </w:r>
      <w:r w:rsidR="00B07F97" w:rsidRPr="00151BF5">
        <w:rPr>
          <w:rFonts w:cstheme="minorHAnsi"/>
          <w:b/>
          <w:lang w:val="en-US"/>
        </w:rPr>
        <w:t xml:space="preserve"> behind</w:t>
      </w:r>
      <w:proofErr w:type="gramEnd"/>
      <w:r w:rsidRPr="00151BF5">
        <w:rPr>
          <w:rFonts w:cstheme="minorHAnsi"/>
          <w:b/>
          <w:lang w:val="en-US"/>
        </w:rPr>
        <w:t xml:space="preserve"> </w:t>
      </w:r>
      <w:r w:rsidR="005E1DE7" w:rsidRPr="00151BF5">
        <w:rPr>
          <w:rFonts w:cstheme="minorHAnsi"/>
          <w:b/>
          <w:lang w:val="en-US"/>
        </w:rPr>
        <w:t xml:space="preserve">the </w:t>
      </w:r>
      <w:r w:rsidRPr="00151BF5">
        <w:rPr>
          <w:rFonts w:cstheme="minorHAnsi"/>
          <w:b/>
          <w:lang w:val="en-US"/>
        </w:rPr>
        <w:t>WAEMU average</w:t>
      </w:r>
      <w:r w:rsidR="00B07F97" w:rsidRPr="00151BF5">
        <w:rPr>
          <w:rFonts w:cstheme="minorHAnsi"/>
          <w:b/>
          <w:lang w:val="en-US"/>
        </w:rPr>
        <w:t>s</w:t>
      </w:r>
      <w:r w:rsidRPr="00151BF5">
        <w:rPr>
          <w:rFonts w:cstheme="minorHAnsi"/>
          <w:b/>
          <w:lang w:val="en-US"/>
        </w:rPr>
        <w:t xml:space="preserve"> in terms of performance and show</w:t>
      </w:r>
      <w:r w:rsidR="003A105F" w:rsidRPr="00151BF5">
        <w:rPr>
          <w:rFonts w:cstheme="minorHAnsi"/>
          <w:b/>
          <w:lang w:val="en-US"/>
        </w:rPr>
        <w:t>s</w:t>
      </w:r>
      <w:r w:rsidRPr="00151BF5">
        <w:rPr>
          <w:rFonts w:cstheme="minorHAnsi"/>
          <w:b/>
          <w:lang w:val="en-US"/>
        </w:rPr>
        <w:t xml:space="preserve"> vulnerabilities. </w:t>
      </w:r>
      <w:r w:rsidRPr="00151BF5">
        <w:rPr>
          <w:rFonts w:cstheme="minorHAnsi"/>
          <w:lang w:val="en-US"/>
        </w:rPr>
        <w:t xml:space="preserve">Indeed, banks’ capital adequacy is at 8.6 percent </w:t>
      </w:r>
      <w:r w:rsidR="000F1479" w:rsidRPr="00151BF5">
        <w:rPr>
          <w:rFonts w:cstheme="minorHAnsi"/>
          <w:lang w:val="en-US"/>
        </w:rPr>
        <w:t>(BCEAO</w:t>
      </w:r>
      <w:r w:rsidR="00C702B4" w:rsidRPr="00151BF5">
        <w:rPr>
          <w:rFonts w:cstheme="minorHAnsi"/>
          <w:lang w:val="en-US"/>
        </w:rPr>
        <w:t> </w:t>
      </w:r>
      <w:r w:rsidR="000F1479" w:rsidRPr="00151BF5">
        <w:rPr>
          <w:rFonts w:cstheme="minorHAnsi"/>
          <w:lang w:val="en-US"/>
        </w:rPr>
        <w:t xml:space="preserve">2016) </w:t>
      </w:r>
      <w:r w:rsidRPr="00151BF5">
        <w:rPr>
          <w:rFonts w:cstheme="minorHAnsi"/>
          <w:lang w:val="en-US"/>
        </w:rPr>
        <w:t>(end-June 2017)</w:t>
      </w:r>
      <w:r w:rsidR="004612AC" w:rsidRPr="00151BF5">
        <w:rPr>
          <w:rFonts w:cstheme="minorHAnsi"/>
          <w:lang w:val="en-US"/>
        </w:rPr>
        <w:t>,</w:t>
      </w:r>
      <w:r w:rsidRPr="00151BF5">
        <w:rPr>
          <w:rFonts w:cstheme="minorHAnsi"/>
          <w:lang w:val="en-US"/>
        </w:rPr>
        <w:t xml:space="preserve"> just above the 8 percent minimum. </w:t>
      </w:r>
      <w:r w:rsidR="0031759E" w:rsidRPr="00151BF5">
        <w:rPr>
          <w:rFonts w:cstheme="minorHAnsi"/>
          <w:lang w:val="en-US"/>
        </w:rPr>
        <w:t xml:space="preserve">While </w:t>
      </w:r>
      <w:r w:rsidRPr="00151BF5">
        <w:rPr>
          <w:rFonts w:cstheme="minorHAnsi"/>
          <w:lang w:val="en-US"/>
        </w:rPr>
        <w:t>banks</w:t>
      </w:r>
      <w:r w:rsidR="004612AC" w:rsidRPr="00151BF5">
        <w:rPr>
          <w:rFonts w:cstheme="minorHAnsi"/>
          <w:lang w:val="en-US"/>
        </w:rPr>
        <w:t>’</w:t>
      </w:r>
      <w:r w:rsidRPr="00151BF5">
        <w:rPr>
          <w:rFonts w:cstheme="minorHAnsi"/>
          <w:lang w:val="en-US"/>
        </w:rPr>
        <w:t xml:space="preserve"> NPLs </w:t>
      </w:r>
      <w:r w:rsidR="0031759E" w:rsidRPr="00151BF5">
        <w:rPr>
          <w:rFonts w:cstheme="minorHAnsi"/>
          <w:lang w:val="en-US"/>
        </w:rPr>
        <w:t xml:space="preserve">are among the highest in </w:t>
      </w:r>
      <w:r w:rsidR="004612AC" w:rsidRPr="00151BF5">
        <w:rPr>
          <w:rFonts w:cstheme="minorHAnsi"/>
          <w:lang w:val="en-US"/>
        </w:rPr>
        <w:t xml:space="preserve">the </w:t>
      </w:r>
      <w:r w:rsidR="0031759E" w:rsidRPr="00151BF5">
        <w:rPr>
          <w:rFonts w:cstheme="minorHAnsi"/>
          <w:lang w:val="en-US"/>
        </w:rPr>
        <w:t>WAEMU, t</w:t>
      </w:r>
      <w:r w:rsidRPr="00151BF5">
        <w:rPr>
          <w:rFonts w:cstheme="minorHAnsi"/>
          <w:lang w:val="en-US"/>
        </w:rPr>
        <w:t xml:space="preserve">he profitability indicators such as </w:t>
      </w:r>
      <w:r w:rsidR="004612AC" w:rsidRPr="00151BF5">
        <w:rPr>
          <w:rFonts w:cstheme="minorHAnsi"/>
          <w:lang w:val="en-US"/>
        </w:rPr>
        <w:t>return on assets (</w:t>
      </w:r>
      <w:r w:rsidRPr="00151BF5">
        <w:rPr>
          <w:rFonts w:cstheme="minorHAnsi"/>
          <w:lang w:val="en-US"/>
        </w:rPr>
        <w:t>ROA</w:t>
      </w:r>
      <w:r w:rsidR="004612AC" w:rsidRPr="00151BF5">
        <w:rPr>
          <w:rFonts w:cstheme="minorHAnsi"/>
          <w:lang w:val="en-US"/>
        </w:rPr>
        <w:t>)</w:t>
      </w:r>
      <w:r w:rsidRPr="00151BF5">
        <w:rPr>
          <w:rFonts w:cstheme="minorHAnsi"/>
          <w:lang w:val="en-US"/>
        </w:rPr>
        <w:t xml:space="preserve"> and the </w:t>
      </w:r>
      <w:r w:rsidR="004612AC" w:rsidRPr="00151BF5">
        <w:rPr>
          <w:rFonts w:cstheme="minorHAnsi"/>
          <w:lang w:val="en-US"/>
        </w:rPr>
        <w:t>return on equity (</w:t>
      </w:r>
      <w:r w:rsidRPr="00151BF5">
        <w:rPr>
          <w:rFonts w:cstheme="minorHAnsi"/>
          <w:lang w:val="en-US"/>
        </w:rPr>
        <w:t>ROE</w:t>
      </w:r>
      <w:r w:rsidR="004612AC" w:rsidRPr="00151BF5">
        <w:rPr>
          <w:rFonts w:cstheme="minorHAnsi"/>
          <w:lang w:val="en-US"/>
        </w:rPr>
        <w:t>)</w:t>
      </w:r>
      <w:r w:rsidRPr="00151BF5">
        <w:rPr>
          <w:rFonts w:cstheme="minorHAnsi"/>
          <w:lang w:val="en-US"/>
        </w:rPr>
        <w:t xml:space="preserve"> are also among the weakest in the WAEMU. </w:t>
      </w:r>
    </w:p>
    <w:p w14:paraId="3649061B" w14:textId="3B85B642" w:rsidR="002E0091" w:rsidRPr="006A5317" w:rsidRDefault="00554BA0" w:rsidP="004612AC">
      <w:pPr>
        <w:pStyle w:val="Caption"/>
        <w:rPr>
          <w:b/>
          <w:lang w:val="en-US"/>
        </w:rPr>
      </w:pPr>
      <w:r w:rsidRPr="00124DA6">
        <w:rPr>
          <w:rFonts w:cstheme="minorHAnsi"/>
          <w:b/>
          <w:noProof/>
          <w:lang w:eastAsia="fr-FR"/>
        </w:rPr>
        <w:drawing>
          <wp:anchor distT="0" distB="0" distL="114300" distR="114300" simplePos="0" relativeHeight="251646976" behindDoc="0" locked="0" layoutInCell="1" allowOverlap="1" wp14:anchorId="7FE5B80D" wp14:editId="447A9DEA">
            <wp:simplePos x="0" y="0"/>
            <wp:positionH relativeFrom="column">
              <wp:posOffset>36830</wp:posOffset>
            </wp:positionH>
            <wp:positionV relativeFrom="paragraph">
              <wp:posOffset>304165</wp:posOffset>
            </wp:positionV>
            <wp:extent cx="5680075" cy="1985645"/>
            <wp:effectExtent l="0" t="0" r="0" b="0"/>
            <wp:wrapTopAndBottom/>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0075" cy="1985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321" w:rsidRPr="00124DA6">
        <w:rPr>
          <w:lang w:val="en-US"/>
        </w:rPr>
        <w:t xml:space="preserve"> </w:t>
      </w:r>
      <w:r w:rsidR="00B91321" w:rsidRPr="006A5317">
        <w:rPr>
          <w:b/>
          <w:lang w:val="en-US"/>
        </w:rPr>
        <w:t>Figure</w:t>
      </w:r>
      <w:r w:rsidR="00C702B4" w:rsidRPr="006A5317">
        <w:rPr>
          <w:b/>
          <w:lang w:val="en-US"/>
        </w:rPr>
        <w:t> </w:t>
      </w:r>
      <w:r w:rsidR="00B91321" w:rsidRPr="006A5317">
        <w:rPr>
          <w:b/>
          <w:lang w:val="en-US"/>
        </w:rPr>
        <w:t>1.</w:t>
      </w:r>
      <w:r w:rsidR="00B91321" w:rsidRPr="006A5317">
        <w:rPr>
          <w:b/>
          <w:lang w:val="en-US"/>
        </w:rPr>
        <w:fldChar w:fldCharType="begin"/>
      </w:r>
      <w:r w:rsidR="00B91321" w:rsidRPr="006A5317">
        <w:rPr>
          <w:b/>
          <w:lang w:val="en-US"/>
        </w:rPr>
        <w:instrText xml:space="preserve"> SEQ Figure_1. \* ARABIC </w:instrText>
      </w:r>
      <w:r w:rsidR="00B91321" w:rsidRPr="006A5317">
        <w:rPr>
          <w:b/>
          <w:lang w:val="en-US"/>
        </w:rPr>
        <w:fldChar w:fldCharType="separate"/>
      </w:r>
      <w:r w:rsidR="004C6E5F" w:rsidRPr="006A5317">
        <w:rPr>
          <w:b/>
          <w:noProof/>
          <w:lang w:val="en-US"/>
        </w:rPr>
        <w:t>1</w:t>
      </w:r>
      <w:r w:rsidR="00B91321" w:rsidRPr="006A5317">
        <w:rPr>
          <w:b/>
          <w:lang w:val="en-US"/>
        </w:rPr>
        <w:fldChar w:fldCharType="end"/>
      </w:r>
      <w:r w:rsidR="002E0091" w:rsidRPr="006A5317">
        <w:rPr>
          <w:b/>
          <w:lang w:val="en-US"/>
        </w:rPr>
        <w:t>: Benin banking sector profitability compare</w:t>
      </w:r>
      <w:r w:rsidR="004612AC" w:rsidRPr="006A5317">
        <w:rPr>
          <w:b/>
          <w:lang w:val="en-US"/>
        </w:rPr>
        <w:t>d</w:t>
      </w:r>
      <w:r w:rsidR="002E0091" w:rsidRPr="006A5317">
        <w:rPr>
          <w:b/>
          <w:lang w:val="en-US"/>
        </w:rPr>
        <w:t xml:space="preserve"> to WAEMU countries</w:t>
      </w:r>
    </w:p>
    <w:p w14:paraId="2A7C099C" w14:textId="13ADCC63" w:rsidR="00146E0A" w:rsidRPr="00124DA6" w:rsidRDefault="00146E0A" w:rsidP="00554BA0">
      <w:pPr>
        <w:spacing w:after="120" w:line="240" w:lineRule="auto"/>
        <w:rPr>
          <w:rFonts w:asciiTheme="majorHAnsi" w:hAnsiTheme="majorHAnsi" w:cstheme="majorHAnsi"/>
          <w:color w:val="2E74B5" w:themeColor="accent1" w:themeShade="BF"/>
          <w:sz w:val="20"/>
          <w:szCs w:val="20"/>
          <w:lang w:val="en-US"/>
        </w:rPr>
      </w:pPr>
      <w:r w:rsidRPr="00124DA6">
        <w:rPr>
          <w:rFonts w:asciiTheme="majorHAnsi" w:hAnsiTheme="majorHAnsi" w:cstheme="majorHAnsi"/>
          <w:i/>
          <w:color w:val="2E74B5" w:themeColor="accent1" w:themeShade="BF"/>
          <w:sz w:val="20"/>
          <w:szCs w:val="20"/>
          <w:lang w:val="en-US"/>
        </w:rPr>
        <w:t>Source</w:t>
      </w:r>
      <w:r w:rsidRPr="00124DA6">
        <w:rPr>
          <w:rFonts w:asciiTheme="majorHAnsi" w:hAnsiTheme="majorHAnsi" w:cstheme="majorHAnsi"/>
          <w:color w:val="2E74B5" w:themeColor="accent1" w:themeShade="BF"/>
          <w:sz w:val="20"/>
          <w:szCs w:val="20"/>
          <w:lang w:val="en-US"/>
        </w:rPr>
        <w:t xml:space="preserve">: IMF (2015) Benin </w:t>
      </w:r>
      <w:r w:rsidR="00141BD7">
        <w:rPr>
          <w:rFonts w:asciiTheme="majorHAnsi" w:hAnsiTheme="majorHAnsi" w:cstheme="majorHAnsi"/>
          <w:color w:val="2E74B5" w:themeColor="accent1" w:themeShade="BF"/>
          <w:sz w:val="20"/>
          <w:szCs w:val="20"/>
          <w:lang w:val="en-US"/>
        </w:rPr>
        <w:t>s</w:t>
      </w:r>
      <w:r w:rsidRPr="00124DA6">
        <w:rPr>
          <w:rFonts w:asciiTheme="majorHAnsi" w:hAnsiTheme="majorHAnsi" w:cstheme="majorHAnsi"/>
          <w:color w:val="2E74B5" w:themeColor="accent1" w:themeShade="BF"/>
          <w:sz w:val="20"/>
          <w:szCs w:val="20"/>
          <w:lang w:val="en-US"/>
        </w:rPr>
        <w:t>elected issues</w:t>
      </w:r>
      <w:r w:rsidR="00554BA0" w:rsidRPr="00124DA6">
        <w:rPr>
          <w:rFonts w:asciiTheme="majorHAnsi" w:hAnsiTheme="majorHAnsi" w:cstheme="majorHAnsi"/>
          <w:color w:val="2E74B5" w:themeColor="accent1" w:themeShade="BF"/>
          <w:sz w:val="20"/>
          <w:szCs w:val="20"/>
          <w:lang w:val="en-US"/>
        </w:rPr>
        <w:t>.</w:t>
      </w:r>
    </w:p>
    <w:p w14:paraId="73896A4E" w14:textId="6C646C8C" w:rsidR="002E0091" w:rsidRPr="00124DA6" w:rsidRDefault="0031759E" w:rsidP="00151BF5">
      <w:pPr>
        <w:pStyle w:val="ListParagraph"/>
        <w:numPr>
          <w:ilvl w:val="0"/>
          <w:numId w:val="47"/>
        </w:numPr>
        <w:spacing w:after="240" w:line="240" w:lineRule="auto"/>
        <w:ind w:left="0" w:firstLine="0"/>
        <w:contextualSpacing w:val="0"/>
        <w:jc w:val="both"/>
        <w:rPr>
          <w:rFonts w:cstheme="minorHAnsi"/>
          <w:lang w:val="en-US"/>
        </w:rPr>
      </w:pPr>
      <w:r w:rsidRPr="00124DA6">
        <w:rPr>
          <w:rFonts w:cstheme="minorHAnsi"/>
          <w:b/>
          <w:lang w:val="en-US"/>
        </w:rPr>
        <w:t>The banking sector is exposed at se</w:t>
      </w:r>
      <w:r w:rsidR="002E0091" w:rsidRPr="00124DA6">
        <w:rPr>
          <w:rFonts w:cstheme="minorHAnsi"/>
          <w:b/>
          <w:lang w:val="en-US"/>
        </w:rPr>
        <w:t>veral levels to the State.</w:t>
      </w:r>
      <w:r w:rsidR="002E0091" w:rsidRPr="00124DA6">
        <w:rPr>
          <w:rFonts w:cstheme="minorHAnsi"/>
          <w:lang w:val="en-US"/>
        </w:rPr>
        <w:t xml:space="preserve"> Indeed, government securities account for </w:t>
      </w:r>
      <w:r w:rsidR="00FF7113" w:rsidRPr="00124DA6">
        <w:rPr>
          <w:rFonts w:cstheme="minorHAnsi"/>
          <w:lang w:val="en-US"/>
        </w:rPr>
        <w:t>about</w:t>
      </w:r>
      <w:r w:rsidR="002E0091" w:rsidRPr="00124DA6">
        <w:rPr>
          <w:rFonts w:cstheme="minorHAnsi"/>
          <w:lang w:val="en-US"/>
        </w:rPr>
        <w:t xml:space="preserve"> 45 percent </w:t>
      </w:r>
      <w:r w:rsidR="00CC1F4C" w:rsidRPr="00124DA6">
        <w:rPr>
          <w:rFonts w:cstheme="minorHAnsi"/>
          <w:lang w:val="en-US"/>
        </w:rPr>
        <w:t>(IMF</w:t>
      </w:r>
      <w:r w:rsidR="00C702B4">
        <w:rPr>
          <w:rFonts w:cstheme="minorHAnsi"/>
          <w:lang w:val="en-US"/>
        </w:rPr>
        <w:t> </w:t>
      </w:r>
      <w:r w:rsidR="00CC1F4C" w:rsidRPr="00124DA6">
        <w:rPr>
          <w:rFonts w:cstheme="minorHAnsi"/>
          <w:lang w:val="en-US"/>
        </w:rPr>
        <w:t>2015)</w:t>
      </w:r>
      <w:r w:rsidR="00CC1F4C" w:rsidRPr="00124DA6">
        <w:rPr>
          <w:rStyle w:val="FootnoteReference"/>
          <w:rFonts w:cstheme="minorHAnsi"/>
          <w:lang w:val="en-US"/>
        </w:rPr>
        <w:footnoteReference w:id="5"/>
      </w:r>
      <w:r w:rsidR="00CC1F4C" w:rsidRPr="00124DA6">
        <w:rPr>
          <w:rFonts w:cstheme="minorHAnsi"/>
          <w:lang w:val="en-US"/>
        </w:rPr>
        <w:t xml:space="preserve"> </w:t>
      </w:r>
      <w:r w:rsidR="002E0091" w:rsidRPr="00124DA6">
        <w:rPr>
          <w:rFonts w:cstheme="minorHAnsi"/>
          <w:lang w:val="en-US"/>
        </w:rPr>
        <w:t>of the banking system’s loan asset (2014</w:t>
      </w:r>
      <w:r w:rsidR="00841217" w:rsidRPr="00124DA6">
        <w:rPr>
          <w:rFonts w:cstheme="minorHAnsi"/>
          <w:lang w:val="en-US"/>
        </w:rPr>
        <w:t>/</w:t>
      </w:r>
      <w:r w:rsidR="002E0091" w:rsidRPr="00124DA6">
        <w:rPr>
          <w:rFonts w:cstheme="minorHAnsi"/>
          <w:lang w:val="en-US"/>
        </w:rPr>
        <w:t xml:space="preserve">15). Beninese banks have increased holdings of government securities by </w:t>
      </w:r>
      <w:r w:rsidR="005E1DE7" w:rsidRPr="00124DA6">
        <w:rPr>
          <w:rFonts w:cstheme="minorHAnsi"/>
          <w:lang w:val="en-US"/>
        </w:rPr>
        <w:t>CFAF</w:t>
      </w:r>
      <w:r w:rsidR="00C702B4">
        <w:rPr>
          <w:rFonts w:cstheme="minorHAnsi"/>
          <w:lang w:val="en-US"/>
        </w:rPr>
        <w:t> </w:t>
      </w:r>
      <w:r w:rsidR="002E0091" w:rsidRPr="00124DA6">
        <w:rPr>
          <w:rFonts w:cstheme="minorHAnsi"/>
          <w:lang w:val="en-US"/>
        </w:rPr>
        <w:t>150</w:t>
      </w:r>
      <w:r w:rsidR="00C702B4">
        <w:rPr>
          <w:rFonts w:cstheme="minorHAnsi"/>
          <w:lang w:val="en-US"/>
        </w:rPr>
        <w:t> </w:t>
      </w:r>
      <w:r w:rsidR="002E0091" w:rsidRPr="00124DA6">
        <w:rPr>
          <w:rFonts w:cstheme="minorHAnsi"/>
          <w:lang w:val="en-US"/>
        </w:rPr>
        <w:t>billion over 2015</w:t>
      </w:r>
      <w:r w:rsidR="00841217" w:rsidRPr="00124DA6">
        <w:rPr>
          <w:rFonts w:cstheme="minorHAnsi"/>
          <w:lang w:val="en-US"/>
        </w:rPr>
        <w:t>/</w:t>
      </w:r>
      <w:r w:rsidR="002E0091" w:rsidRPr="00124DA6">
        <w:rPr>
          <w:rFonts w:cstheme="minorHAnsi"/>
          <w:lang w:val="en-US"/>
        </w:rPr>
        <w:t xml:space="preserve">16. The main reason is that government bonds pay about 6 percent a year and they can be used as collateral for refinancing at </w:t>
      </w:r>
      <w:r w:rsidR="005E1DE7" w:rsidRPr="00124DA6">
        <w:rPr>
          <w:rFonts w:cstheme="minorHAnsi"/>
          <w:lang w:val="en-US"/>
        </w:rPr>
        <w:t xml:space="preserve">the </w:t>
      </w:r>
      <w:r w:rsidR="00DE219A" w:rsidRPr="00124DA6">
        <w:rPr>
          <w:rFonts w:cstheme="minorHAnsi"/>
          <w:lang w:val="en-US"/>
        </w:rPr>
        <w:t>Central Bank of West African States (</w:t>
      </w:r>
      <w:r w:rsidR="002E0091" w:rsidRPr="00124DA6">
        <w:rPr>
          <w:rFonts w:cstheme="minorHAnsi"/>
          <w:lang w:val="en-US"/>
        </w:rPr>
        <w:t>BCEAO</w:t>
      </w:r>
      <w:r w:rsidR="00DE219A" w:rsidRPr="00124DA6">
        <w:rPr>
          <w:rFonts w:cstheme="minorHAnsi"/>
          <w:lang w:val="en-US"/>
        </w:rPr>
        <w:t>)</w:t>
      </w:r>
      <w:r w:rsidR="002E0091" w:rsidRPr="00124DA6">
        <w:rPr>
          <w:rFonts w:cstheme="minorHAnsi"/>
          <w:lang w:val="en-US"/>
        </w:rPr>
        <w:t xml:space="preserve"> at 2.5 percent. Th</w:t>
      </w:r>
      <w:r w:rsidR="005E1DE7" w:rsidRPr="00124DA6">
        <w:rPr>
          <w:rFonts w:cstheme="minorHAnsi"/>
          <w:lang w:val="en-US"/>
        </w:rPr>
        <w:t>us</w:t>
      </w:r>
      <w:r w:rsidR="002E0091" w:rsidRPr="00124DA6">
        <w:rPr>
          <w:rFonts w:cstheme="minorHAnsi"/>
          <w:lang w:val="en-US"/>
        </w:rPr>
        <w:t>, banks</w:t>
      </w:r>
      <w:r w:rsidR="005E1DE7" w:rsidRPr="00124DA6">
        <w:rPr>
          <w:rFonts w:cstheme="minorHAnsi"/>
          <w:lang w:val="en-US"/>
        </w:rPr>
        <w:t>’</w:t>
      </w:r>
      <w:r w:rsidR="002E0091" w:rsidRPr="00124DA6">
        <w:rPr>
          <w:rFonts w:cstheme="minorHAnsi"/>
          <w:lang w:val="en-US"/>
        </w:rPr>
        <w:t xml:space="preserve"> appetite for government securities is increasingly growing as well </w:t>
      </w:r>
      <w:r w:rsidR="005E1DE7" w:rsidRPr="00124DA6">
        <w:rPr>
          <w:rFonts w:cstheme="minorHAnsi"/>
          <w:lang w:val="en-US"/>
        </w:rPr>
        <w:t xml:space="preserve">as </w:t>
      </w:r>
      <w:r w:rsidR="002E0091" w:rsidRPr="00124DA6">
        <w:rPr>
          <w:rFonts w:cstheme="minorHAnsi"/>
          <w:lang w:val="en-US"/>
        </w:rPr>
        <w:t xml:space="preserve">their direct exposure to sovereign risk. </w:t>
      </w:r>
      <w:r w:rsidR="00B07F97">
        <w:rPr>
          <w:rFonts w:cstheme="minorHAnsi"/>
          <w:lang w:val="en-US"/>
        </w:rPr>
        <w:t>E</w:t>
      </w:r>
      <w:r w:rsidR="002E0091" w:rsidRPr="00124DA6">
        <w:rPr>
          <w:rFonts w:cstheme="minorHAnsi"/>
          <w:lang w:val="en-US"/>
        </w:rPr>
        <w:t xml:space="preserve">xposure to </w:t>
      </w:r>
      <w:r w:rsidR="005E1DE7" w:rsidRPr="00124DA6">
        <w:rPr>
          <w:rFonts w:cstheme="minorHAnsi"/>
          <w:lang w:val="en-US"/>
        </w:rPr>
        <w:t xml:space="preserve">the </w:t>
      </w:r>
      <w:r w:rsidR="002E0091" w:rsidRPr="00124DA6">
        <w:rPr>
          <w:rFonts w:cstheme="minorHAnsi"/>
          <w:lang w:val="en-US"/>
        </w:rPr>
        <w:t xml:space="preserve">government in a shallow financial market </w:t>
      </w:r>
      <w:r w:rsidR="005E1DE7" w:rsidRPr="00124DA6">
        <w:rPr>
          <w:rFonts w:cstheme="minorHAnsi"/>
          <w:lang w:val="en-US"/>
        </w:rPr>
        <w:t xml:space="preserve">such as </w:t>
      </w:r>
      <w:r w:rsidR="00B07F97">
        <w:rPr>
          <w:rFonts w:cstheme="minorHAnsi"/>
          <w:lang w:val="en-US"/>
        </w:rPr>
        <w:t xml:space="preserve">that of </w:t>
      </w:r>
      <w:r w:rsidR="002E0091" w:rsidRPr="00124DA6">
        <w:rPr>
          <w:rFonts w:cstheme="minorHAnsi"/>
          <w:lang w:val="en-US"/>
        </w:rPr>
        <w:t xml:space="preserve">Benin amplifies risks and vulnerabilities. </w:t>
      </w:r>
    </w:p>
    <w:p w14:paraId="79C01ADC" w14:textId="4A309779" w:rsidR="00682FE0" w:rsidRPr="00B853C5" w:rsidRDefault="002E0091" w:rsidP="00151BF5">
      <w:pPr>
        <w:pStyle w:val="ListParagraph"/>
        <w:numPr>
          <w:ilvl w:val="0"/>
          <w:numId w:val="47"/>
        </w:numPr>
        <w:spacing w:after="240" w:line="240" w:lineRule="auto"/>
        <w:ind w:left="0" w:firstLine="0"/>
        <w:contextualSpacing w:val="0"/>
        <w:jc w:val="both"/>
        <w:rPr>
          <w:rFonts w:cstheme="minorHAnsi"/>
          <w:lang w:val="en-US"/>
        </w:rPr>
      </w:pPr>
      <w:r w:rsidRPr="00124DA6">
        <w:rPr>
          <w:rFonts w:cstheme="minorHAnsi"/>
          <w:b/>
          <w:lang w:val="en-US"/>
        </w:rPr>
        <w:t xml:space="preserve">Beninese </w:t>
      </w:r>
      <w:r w:rsidR="005E1DE7" w:rsidRPr="00124DA6">
        <w:rPr>
          <w:rFonts w:cstheme="minorHAnsi"/>
          <w:b/>
          <w:lang w:val="en-US"/>
        </w:rPr>
        <w:t>b</w:t>
      </w:r>
      <w:r w:rsidRPr="00124DA6">
        <w:rPr>
          <w:rFonts w:cstheme="minorHAnsi"/>
          <w:b/>
          <w:lang w:val="en-US"/>
        </w:rPr>
        <w:t>anks lend to the dominant sector of the economy (services</w:t>
      </w:r>
      <w:r w:rsidR="003338EA" w:rsidRPr="00124DA6">
        <w:rPr>
          <w:rFonts w:cstheme="minorHAnsi"/>
          <w:b/>
          <w:lang w:val="en-US"/>
        </w:rPr>
        <w:t>;</w:t>
      </w:r>
      <w:r w:rsidR="005E1DE7" w:rsidRPr="00124DA6">
        <w:rPr>
          <w:rFonts w:cstheme="minorHAnsi"/>
          <w:b/>
          <w:lang w:val="en-US"/>
        </w:rPr>
        <w:t xml:space="preserve"> </w:t>
      </w:r>
      <w:r w:rsidRPr="00124DA6">
        <w:rPr>
          <w:rFonts w:cstheme="minorHAnsi"/>
          <w:b/>
          <w:lang w:val="en-US"/>
        </w:rPr>
        <w:t xml:space="preserve">see </w:t>
      </w:r>
      <w:r w:rsidR="00D9026E" w:rsidRPr="00124DA6">
        <w:rPr>
          <w:rFonts w:cstheme="minorHAnsi"/>
          <w:b/>
          <w:lang w:val="en-US"/>
        </w:rPr>
        <w:fldChar w:fldCharType="begin"/>
      </w:r>
      <w:r w:rsidR="00D9026E" w:rsidRPr="00124DA6">
        <w:rPr>
          <w:rFonts w:cstheme="minorHAnsi"/>
          <w:b/>
          <w:lang w:val="en-US"/>
        </w:rPr>
        <w:instrText xml:space="preserve"> REF _Ref520288399 \h  \* MERGEFORMAT </w:instrText>
      </w:r>
      <w:r w:rsidR="00D9026E" w:rsidRPr="00124DA6">
        <w:rPr>
          <w:rFonts w:cstheme="minorHAnsi"/>
          <w:b/>
          <w:lang w:val="en-US"/>
        </w:rPr>
      </w:r>
      <w:r w:rsidR="00D9026E" w:rsidRPr="00124DA6">
        <w:rPr>
          <w:rFonts w:cstheme="minorHAnsi"/>
          <w:b/>
          <w:lang w:val="en-US"/>
        </w:rPr>
        <w:fldChar w:fldCharType="separate"/>
      </w:r>
      <w:r w:rsidR="004C6E5F" w:rsidRPr="004C6E5F">
        <w:rPr>
          <w:rFonts w:cstheme="minorHAnsi"/>
          <w:b/>
          <w:lang w:val="en-US"/>
        </w:rPr>
        <w:t>Figure 1.2</w:t>
      </w:r>
      <w:r w:rsidR="00D9026E" w:rsidRPr="00124DA6">
        <w:rPr>
          <w:rFonts w:cstheme="minorHAnsi"/>
          <w:b/>
          <w:lang w:val="en-US"/>
        </w:rPr>
        <w:fldChar w:fldCharType="end"/>
      </w:r>
      <w:r w:rsidRPr="00124DA6">
        <w:rPr>
          <w:rFonts w:cstheme="minorHAnsi"/>
          <w:b/>
          <w:lang w:val="en-US"/>
        </w:rPr>
        <w:t xml:space="preserve">) and to </w:t>
      </w:r>
      <w:r w:rsidR="005E1DE7" w:rsidRPr="00124DA6">
        <w:rPr>
          <w:rFonts w:cstheme="minorHAnsi"/>
          <w:b/>
          <w:lang w:val="en-US"/>
        </w:rPr>
        <w:t xml:space="preserve">a </w:t>
      </w:r>
      <w:r w:rsidRPr="00124DA6">
        <w:rPr>
          <w:rFonts w:cstheme="minorHAnsi"/>
          <w:b/>
          <w:lang w:val="en-US"/>
        </w:rPr>
        <w:t>small number of customers</w:t>
      </w:r>
      <w:r w:rsidR="005E1DE7" w:rsidRPr="00124DA6">
        <w:rPr>
          <w:rFonts w:cstheme="minorHAnsi"/>
          <w:b/>
          <w:lang w:val="en-US"/>
        </w:rPr>
        <w:t>,</w:t>
      </w:r>
      <w:r w:rsidRPr="00124DA6">
        <w:rPr>
          <w:rFonts w:cstheme="minorHAnsi"/>
          <w:b/>
          <w:lang w:val="en-US"/>
        </w:rPr>
        <w:t xml:space="preserve"> exposing them to loan concentration risk.</w:t>
      </w:r>
      <w:r w:rsidR="00165C4D" w:rsidRPr="00124DA6">
        <w:rPr>
          <w:rFonts w:cstheme="minorHAnsi"/>
          <w:lang w:val="en-US"/>
        </w:rPr>
        <w:t xml:space="preserve"> </w:t>
      </w:r>
      <w:r w:rsidRPr="00124DA6">
        <w:rPr>
          <w:rFonts w:cstheme="minorHAnsi"/>
          <w:lang w:val="en-US"/>
        </w:rPr>
        <w:t xml:space="preserve">The industry sector </w:t>
      </w:r>
      <w:r w:rsidR="005E1DE7" w:rsidRPr="00124DA6">
        <w:rPr>
          <w:rFonts w:cstheme="minorHAnsi"/>
          <w:lang w:val="en-US"/>
        </w:rPr>
        <w:t xml:space="preserve">that </w:t>
      </w:r>
      <w:r w:rsidRPr="00124DA6">
        <w:rPr>
          <w:rFonts w:cstheme="minorHAnsi"/>
          <w:lang w:val="en-US"/>
        </w:rPr>
        <w:t xml:space="preserve">generally accounts for formal businesses is the sector where Benin’s share of credit is below the WAEMU average. As </w:t>
      </w:r>
      <w:r w:rsidR="00B07F97">
        <w:rPr>
          <w:rFonts w:cstheme="minorHAnsi"/>
          <w:lang w:val="en-US"/>
        </w:rPr>
        <w:t>afore</w:t>
      </w:r>
      <w:r w:rsidRPr="00124DA6">
        <w:rPr>
          <w:rFonts w:cstheme="minorHAnsi"/>
          <w:lang w:val="en-US"/>
        </w:rPr>
        <w:t>mentioned, commercial banks have less appetite to lend to private business</w:t>
      </w:r>
      <w:r w:rsidR="00DA2E1F" w:rsidRPr="00124DA6">
        <w:rPr>
          <w:rFonts w:cstheme="minorHAnsi"/>
          <w:lang w:val="en-US"/>
        </w:rPr>
        <w:t>es</w:t>
      </w:r>
      <w:r w:rsidRPr="00124DA6">
        <w:rPr>
          <w:rFonts w:cstheme="minorHAnsi"/>
          <w:lang w:val="en-US"/>
        </w:rPr>
        <w:t>. The main reasons</w:t>
      </w:r>
      <w:r w:rsidR="00165C4D" w:rsidRPr="00124DA6">
        <w:rPr>
          <w:rFonts w:cstheme="minorHAnsi"/>
          <w:lang w:val="en-US"/>
        </w:rPr>
        <w:t xml:space="preserve"> </w:t>
      </w:r>
      <w:r w:rsidRPr="00124DA6">
        <w:rPr>
          <w:rFonts w:cstheme="minorHAnsi"/>
          <w:lang w:val="en-US"/>
        </w:rPr>
        <w:t xml:space="preserve">raised by banks </w:t>
      </w:r>
      <w:r w:rsidR="00141BD7">
        <w:rPr>
          <w:rFonts w:cstheme="minorHAnsi"/>
          <w:lang w:val="en-US"/>
        </w:rPr>
        <w:t>not to</w:t>
      </w:r>
      <w:r w:rsidRPr="00124DA6">
        <w:rPr>
          <w:rFonts w:cstheme="minorHAnsi"/>
          <w:lang w:val="en-US"/>
        </w:rPr>
        <w:t xml:space="preserve"> extend credit beyond a select customer base are the lack of creditworthy </w:t>
      </w:r>
      <w:r w:rsidRPr="00B853C5">
        <w:rPr>
          <w:rFonts w:cstheme="minorHAnsi"/>
          <w:lang w:val="en-US"/>
        </w:rPr>
        <w:t>investment projects and weaknesses in the le</w:t>
      </w:r>
      <w:r w:rsidR="00682FE0" w:rsidRPr="00B853C5">
        <w:rPr>
          <w:rFonts w:cstheme="minorHAnsi"/>
          <w:lang w:val="en-US"/>
        </w:rPr>
        <w:t>gal and judicial environment.</w:t>
      </w:r>
    </w:p>
    <w:p w14:paraId="59D352BF" w14:textId="58D71031" w:rsidR="00AF3251" w:rsidRPr="00AF3251" w:rsidRDefault="00026617" w:rsidP="00151BF5">
      <w:pPr>
        <w:pStyle w:val="ListParagraph"/>
        <w:numPr>
          <w:ilvl w:val="0"/>
          <w:numId w:val="47"/>
        </w:numPr>
        <w:spacing w:after="240" w:line="240" w:lineRule="auto"/>
        <w:ind w:left="0" w:firstLine="0"/>
        <w:contextualSpacing w:val="0"/>
        <w:jc w:val="both"/>
        <w:rPr>
          <w:rFonts w:cstheme="minorHAnsi"/>
          <w:lang w:val="en-US"/>
        </w:rPr>
      </w:pPr>
      <w:r w:rsidRPr="00AF3251">
        <w:rPr>
          <w:rFonts w:cstheme="minorHAnsi"/>
          <w:b/>
          <w:lang w:val="en-US"/>
        </w:rPr>
        <w:t>The quality of credit portfolio remains one of the most degraded in the WAEMU region.</w:t>
      </w:r>
      <w:r w:rsidRPr="00AF3251">
        <w:rPr>
          <w:rFonts w:cstheme="minorHAnsi"/>
          <w:lang w:val="en-US"/>
        </w:rPr>
        <w:t xml:space="preserve"> High level</w:t>
      </w:r>
      <w:r w:rsidR="00141BD7">
        <w:rPr>
          <w:rFonts w:cstheme="minorHAnsi"/>
          <w:lang w:val="en-US"/>
        </w:rPr>
        <w:t>s</w:t>
      </w:r>
      <w:r w:rsidRPr="00AF3251">
        <w:rPr>
          <w:rFonts w:cstheme="minorHAnsi"/>
          <w:lang w:val="en-US"/>
        </w:rPr>
        <w:t xml:space="preserve"> of NPLs ha</w:t>
      </w:r>
      <w:r w:rsidR="00141BD7">
        <w:rPr>
          <w:rFonts w:cstheme="minorHAnsi"/>
          <w:lang w:val="en-US"/>
        </w:rPr>
        <w:t>ve</w:t>
      </w:r>
      <w:r w:rsidRPr="00AF3251">
        <w:rPr>
          <w:rFonts w:cstheme="minorHAnsi"/>
          <w:lang w:val="en-US"/>
        </w:rPr>
        <w:t xml:space="preserve"> a negative impact on loans granted by banks </w:t>
      </w:r>
      <w:proofErr w:type="gramStart"/>
      <w:r w:rsidRPr="00AF3251">
        <w:rPr>
          <w:rFonts w:cstheme="minorHAnsi"/>
          <w:lang w:val="en-US"/>
        </w:rPr>
        <w:t>in particular to</w:t>
      </w:r>
      <w:proofErr w:type="gramEnd"/>
      <w:r w:rsidRPr="00AF3251">
        <w:rPr>
          <w:rFonts w:cstheme="minorHAnsi"/>
          <w:lang w:val="en-US"/>
        </w:rPr>
        <w:t xml:space="preserve"> the private sector. </w:t>
      </w:r>
      <w:r w:rsidR="00AF3251">
        <w:rPr>
          <w:rFonts w:cstheme="minorHAnsi"/>
          <w:lang w:val="en-US"/>
        </w:rPr>
        <w:t>The NPL ratio is estimated at 20,3 percent</w:t>
      </w:r>
      <w:r w:rsidR="00682FE0" w:rsidRPr="00AF3251">
        <w:rPr>
          <w:rFonts w:cstheme="minorHAnsi"/>
          <w:lang w:val="en-US"/>
        </w:rPr>
        <w:t xml:space="preserve"> and is one of the highest among WAEMU co</w:t>
      </w:r>
      <w:r w:rsidR="00AF3251">
        <w:rPr>
          <w:rFonts w:cstheme="minorHAnsi"/>
          <w:lang w:val="en-US"/>
        </w:rPr>
        <w:t>untries, the average being</w:t>
      </w:r>
      <w:r w:rsidR="00C702B4">
        <w:rPr>
          <w:rFonts w:cstheme="minorHAnsi"/>
          <w:lang w:val="en-US"/>
        </w:rPr>
        <w:t> </w:t>
      </w:r>
      <w:r w:rsidR="00AF3251">
        <w:rPr>
          <w:rFonts w:cstheme="minorHAnsi"/>
          <w:lang w:val="en-US"/>
        </w:rPr>
        <w:t>13,5 percent</w:t>
      </w:r>
      <w:r w:rsidR="00682FE0" w:rsidRPr="00AF3251">
        <w:rPr>
          <w:rFonts w:cstheme="minorHAnsi"/>
          <w:lang w:val="en-US"/>
        </w:rPr>
        <w:t>.</w:t>
      </w:r>
      <w:r w:rsidR="007E759D" w:rsidRPr="00AF3251">
        <w:rPr>
          <w:rFonts w:cstheme="minorHAnsi"/>
          <w:color w:val="000000"/>
          <w:lang w:val="en-US"/>
        </w:rPr>
        <w:t xml:space="preserve"> </w:t>
      </w:r>
      <w:r w:rsidR="00AF3251">
        <w:rPr>
          <w:rFonts w:cstheme="minorHAnsi"/>
          <w:color w:val="000000"/>
          <w:lang w:val="en-US"/>
        </w:rPr>
        <w:t xml:space="preserve">The current situation calls for the development of NPL strategies at the banking sector level and a close monitoring by the authorities (Commission </w:t>
      </w:r>
      <w:proofErr w:type="spellStart"/>
      <w:r w:rsidR="00AF3251">
        <w:rPr>
          <w:rFonts w:cstheme="minorHAnsi"/>
          <w:color w:val="000000"/>
          <w:lang w:val="en-US"/>
        </w:rPr>
        <w:t>Bancaire</w:t>
      </w:r>
      <w:proofErr w:type="spellEnd"/>
      <w:r w:rsidR="00AF3251">
        <w:rPr>
          <w:rFonts w:cstheme="minorHAnsi"/>
          <w:color w:val="000000"/>
          <w:lang w:val="en-US"/>
        </w:rPr>
        <w:t xml:space="preserve"> and BCEAO).</w:t>
      </w:r>
    </w:p>
    <w:p w14:paraId="1B1A47B9" w14:textId="3C799DAF" w:rsidR="00026617" w:rsidRPr="00AF3251" w:rsidRDefault="007E759D" w:rsidP="00151BF5">
      <w:pPr>
        <w:pStyle w:val="ListParagraph"/>
        <w:numPr>
          <w:ilvl w:val="0"/>
          <w:numId w:val="47"/>
        </w:numPr>
        <w:spacing w:after="240" w:line="240" w:lineRule="auto"/>
        <w:ind w:left="0" w:firstLine="0"/>
        <w:contextualSpacing w:val="0"/>
        <w:jc w:val="both"/>
        <w:rPr>
          <w:rFonts w:cstheme="minorHAnsi"/>
          <w:lang w:val="en-US"/>
        </w:rPr>
      </w:pPr>
      <w:r w:rsidRPr="00AF3251">
        <w:rPr>
          <w:rFonts w:cstheme="minorHAnsi"/>
          <w:b/>
          <w:color w:val="000000"/>
          <w:lang w:val="en-US"/>
        </w:rPr>
        <w:t>After several years</w:t>
      </w:r>
      <w:r w:rsidR="009616EA">
        <w:rPr>
          <w:rFonts w:cstheme="minorHAnsi"/>
          <w:b/>
          <w:color w:val="000000"/>
          <w:lang w:val="en-US"/>
        </w:rPr>
        <w:t xml:space="preserve"> of receivership</w:t>
      </w:r>
      <w:r w:rsidRPr="00AF3251">
        <w:rPr>
          <w:rFonts w:cstheme="minorHAnsi"/>
          <w:b/>
          <w:color w:val="000000"/>
          <w:lang w:val="en-US"/>
        </w:rPr>
        <w:t xml:space="preserve">, </w:t>
      </w:r>
      <w:r w:rsidR="00706F23">
        <w:rPr>
          <w:rFonts w:cstheme="minorHAnsi"/>
          <w:b/>
          <w:color w:val="000000"/>
          <w:lang w:val="en-US"/>
        </w:rPr>
        <w:t>a</w:t>
      </w:r>
      <w:r w:rsidRPr="00AF3251">
        <w:rPr>
          <w:rFonts w:cstheme="minorHAnsi"/>
          <w:b/>
          <w:color w:val="000000"/>
          <w:lang w:val="en-US"/>
        </w:rPr>
        <w:t xml:space="preserve"> </w:t>
      </w:r>
      <w:r w:rsidR="00B07F97" w:rsidRPr="00AF3251">
        <w:rPr>
          <w:rFonts w:cstheme="minorHAnsi"/>
          <w:b/>
          <w:color w:val="000000"/>
          <w:lang w:val="en-US"/>
        </w:rPr>
        <w:t>problematic</w:t>
      </w:r>
      <w:r w:rsidRPr="00AF3251">
        <w:rPr>
          <w:rFonts w:cstheme="minorHAnsi"/>
          <w:b/>
          <w:color w:val="000000"/>
          <w:lang w:val="en-US"/>
        </w:rPr>
        <w:t xml:space="preserve"> bank has been merged with a pan-African bank,</w:t>
      </w:r>
      <w:r w:rsidRPr="00AF3251">
        <w:rPr>
          <w:rFonts w:cstheme="minorHAnsi"/>
          <w:color w:val="000000"/>
          <w:lang w:val="en-US"/>
        </w:rPr>
        <w:t xml:space="preserve"> while the restructuring of another bank </w:t>
      </w:r>
      <w:r w:rsidR="00B853C5" w:rsidRPr="00AF3251">
        <w:rPr>
          <w:rFonts w:cstheme="minorHAnsi"/>
          <w:color w:val="000000"/>
          <w:lang w:val="en-US"/>
        </w:rPr>
        <w:t>was under way at the end of 2017 and was expected to require</w:t>
      </w:r>
      <w:r w:rsidRPr="00AF3251">
        <w:rPr>
          <w:rFonts w:cstheme="minorHAnsi"/>
          <w:color w:val="000000"/>
          <w:lang w:val="en-US"/>
        </w:rPr>
        <w:t xml:space="preserve"> the government to assume its NPLs. </w:t>
      </w:r>
      <w:r w:rsidR="00B07F97">
        <w:rPr>
          <w:rFonts w:cstheme="minorHAnsi"/>
          <w:lang w:val="en-US"/>
        </w:rPr>
        <w:t>This</w:t>
      </w:r>
      <w:r w:rsidR="00B07F97" w:rsidRPr="00AF3251">
        <w:rPr>
          <w:rFonts w:cstheme="minorHAnsi"/>
          <w:lang w:val="en-US"/>
        </w:rPr>
        <w:t xml:space="preserve"> </w:t>
      </w:r>
      <w:r w:rsidR="004B6C1F" w:rsidRPr="00AF3251">
        <w:rPr>
          <w:rFonts w:cstheme="minorHAnsi"/>
          <w:lang w:val="en-US"/>
        </w:rPr>
        <w:t xml:space="preserve">approach </w:t>
      </w:r>
      <w:r w:rsidR="00B853C5" w:rsidRPr="00AF3251">
        <w:rPr>
          <w:rFonts w:cstheme="minorHAnsi"/>
          <w:lang w:val="en-US"/>
        </w:rPr>
        <w:t xml:space="preserve">may highlight </w:t>
      </w:r>
      <w:r w:rsidR="00AF3251" w:rsidRPr="00AF3251">
        <w:rPr>
          <w:rFonts w:cstheme="minorHAnsi"/>
          <w:lang w:val="en-US"/>
        </w:rPr>
        <w:t>some flaw</w:t>
      </w:r>
      <w:r w:rsidR="004B6C1F" w:rsidRPr="00AF3251">
        <w:rPr>
          <w:rFonts w:cstheme="minorHAnsi"/>
          <w:lang w:val="en-US"/>
        </w:rPr>
        <w:t xml:space="preserve"> in the crisis management and resolution framework as </w:t>
      </w:r>
      <w:r w:rsidR="00B853C5" w:rsidRPr="00AF3251">
        <w:rPr>
          <w:rFonts w:cstheme="minorHAnsi"/>
          <w:lang w:val="en-US"/>
        </w:rPr>
        <w:t>this bank</w:t>
      </w:r>
      <w:r w:rsidR="004B6C1F" w:rsidRPr="00AF3251">
        <w:rPr>
          <w:rFonts w:cstheme="minorHAnsi"/>
          <w:lang w:val="en-US"/>
        </w:rPr>
        <w:t xml:space="preserve"> is neither a state-owned bank nor a systemic bank.</w:t>
      </w:r>
    </w:p>
    <w:p w14:paraId="5A3E51FB" w14:textId="20A30F3A" w:rsidR="00682FE0" w:rsidRPr="00AF3251" w:rsidRDefault="00682FE0" w:rsidP="00151BF5">
      <w:pPr>
        <w:pStyle w:val="ListParagraph"/>
        <w:numPr>
          <w:ilvl w:val="0"/>
          <w:numId w:val="47"/>
        </w:numPr>
        <w:spacing w:after="240" w:line="240" w:lineRule="auto"/>
        <w:ind w:left="0" w:firstLine="0"/>
        <w:contextualSpacing w:val="0"/>
        <w:jc w:val="both"/>
        <w:rPr>
          <w:rFonts w:cstheme="minorHAnsi"/>
          <w:lang w:val="en-US"/>
        </w:rPr>
      </w:pPr>
      <w:r w:rsidRPr="00AF3251">
        <w:rPr>
          <w:rFonts w:cstheme="minorHAnsi"/>
          <w:b/>
          <w:lang w:val="en-US"/>
        </w:rPr>
        <w:t xml:space="preserve">Concentration of loans is </w:t>
      </w:r>
      <w:r w:rsidR="00B853C5" w:rsidRPr="00AF3251">
        <w:rPr>
          <w:rFonts w:cstheme="minorHAnsi"/>
          <w:b/>
          <w:lang w:val="en-US"/>
        </w:rPr>
        <w:t>high, mainly</w:t>
      </w:r>
      <w:r w:rsidRPr="00AF3251">
        <w:rPr>
          <w:rFonts w:cstheme="minorHAnsi"/>
          <w:b/>
          <w:lang w:val="en-US"/>
        </w:rPr>
        <w:t xml:space="preserve"> in the commerce sector, </w:t>
      </w:r>
      <w:r w:rsidR="00B853C5" w:rsidRPr="00AF3251">
        <w:rPr>
          <w:rFonts w:cstheme="minorHAnsi"/>
          <w:b/>
          <w:lang w:val="en-US"/>
        </w:rPr>
        <w:t>and it</w:t>
      </w:r>
      <w:r w:rsidRPr="00AF3251">
        <w:rPr>
          <w:rFonts w:cstheme="minorHAnsi"/>
          <w:b/>
          <w:lang w:val="en-US"/>
        </w:rPr>
        <w:t xml:space="preserve"> is closely related to trade with Nigeria.</w:t>
      </w:r>
      <w:r w:rsidRPr="00AF3251">
        <w:rPr>
          <w:rFonts w:cstheme="minorHAnsi"/>
          <w:lang w:val="en-US"/>
        </w:rPr>
        <w:t xml:space="preserve"> </w:t>
      </w:r>
      <w:r w:rsidR="007E759D" w:rsidRPr="00AF3251">
        <w:rPr>
          <w:rFonts w:cstheme="minorHAnsi"/>
          <w:color w:val="000000"/>
          <w:lang w:val="en-US"/>
        </w:rPr>
        <w:t>This concentration makes banks’ assets vulnerable to the current volatile environment of the Nigerian economy.</w:t>
      </w:r>
      <w:r w:rsidR="00B853C5" w:rsidRPr="00AF3251">
        <w:rPr>
          <w:rFonts w:cstheme="minorHAnsi"/>
          <w:color w:val="000000"/>
          <w:lang w:val="en-US"/>
        </w:rPr>
        <w:t xml:space="preserve"> </w:t>
      </w:r>
    </w:p>
    <w:p w14:paraId="23DBF8DB" w14:textId="2D2298D8" w:rsidR="007E759D" w:rsidRDefault="007E759D" w:rsidP="00151BF5">
      <w:pPr>
        <w:pStyle w:val="ListParagraph"/>
        <w:numPr>
          <w:ilvl w:val="0"/>
          <w:numId w:val="47"/>
        </w:numPr>
        <w:spacing w:after="240" w:line="240" w:lineRule="auto"/>
        <w:ind w:left="0" w:firstLine="0"/>
        <w:contextualSpacing w:val="0"/>
        <w:jc w:val="both"/>
        <w:rPr>
          <w:rFonts w:cstheme="minorHAnsi"/>
          <w:color w:val="000000"/>
          <w:lang w:val="en-US"/>
        </w:rPr>
      </w:pPr>
      <w:r w:rsidRPr="00AF3251">
        <w:rPr>
          <w:rFonts w:cstheme="minorHAnsi"/>
          <w:b/>
          <w:color w:val="000000"/>
          <w:lang w:val="en-US"/>
        </w:rPr>
        <w:t>In addition, rising exposure to government debt creates sovereign-financial links that would generate a negative feedback in case of fiscal troubles or tightened liquidity conditions</w:t>
      </w:r>
      <w:r w:rsidRPr="00AF3251">
        <w:rPr>
          <w:rFonts w:cstheme="minorHAnsi"/>
          <w:color w:val="000000"/>
          <w:lang w:val="en-US"/>
        </w:rPr>
        <w:t xml:space="preserve">. Indeed, the BCEAO’s accommodative policy stance has facilitated an increase in credit growth and banks’ investment in government paper. </w:t>
      </w:r>
      <w:r w:rsidR="00AF3251" w:rsidRPr="00AF3251">
        <w:rPr>
          <w:rFonts w:cstheme="minorHAnsi"/>
          <w:color w:val="000000"/>
          <w:lang w:val="en-US"/>
        </w:rPr>
        <w:t>As mentioned, g</w:t>
      </w:r>
      <w:r w:rsidRPr="00AF3251">
        <w:rPr>
          <w:rFonts w:cstheme="minorHAnsi"/>
          <w:color w:val="000000"/>
          <w:lang w:val="en-US"/>
        </w:rPr>
        <w:t>overnment securities accounts for approx</w:t>
      </w:r>
      <w:r w:rsidR="009616EA">
        <w:rPr>
          <w:rFonts w:cstheme="minorHAnsi"/>
          <w:color w:val="000000"/>
          <w:lang w:val="en-US"/>
        </w:rPr>
        <w:t xml:space="preserve">imately </w:t>
      </w:r>
      <w:r w:rsidRPr="00AF3251">
        <w:rPr>
          <w:rFonts w:cstheme="minorHAnsi"/>
          <w:color w:val="000000"/>
          <w:lang w:val="en-US"/>
        </w:rPr>
        <w:t xml:space="preserve">45 percent of the banking system’s loan asset </w:t>
      </w:r>
      <w:r w:rsidR="00AF3251" w:rsidRPr="00AF3251">
        <w:rPr>
          <w:rFonts w:cstheme="minorHAnsi"/>
          <w:color w:val="000000"/>
          <w:lang w:val="en-US"/>
        </w:rPr>
        <w:t>and</w:t>
      </w:r>
      <w:r w:rsidR="00AF3251">
        <w:rPr>
          <w:rFonts w:cstheme="minorHAnsi"/>
          <w:color w:val="000000"/>
          <w:lang w:val="en-US"/>
        </w:rPr>
        <w:t xml:space="preserve"> </w:t>
      </w:r>
      <w:r w:rsidR="00AF3251" w:rsidRPr="00AF3251">
        <w:rPr>
          <w:rFonts w:cstheme="minorHAnsi"/>
          <w:color w:val="000000"/>
          <w:lang w:val="en-US"/>
        </w:rPr>
        <w:t>Beninese</w:t>
      </w:r>
      <w:r w:rsidRPr="00AF3251">
        <w:rPr>
          <w:rFonts w:cstheme="minorHAnsi"/>
          <w:color w:val="000000"/>
          <w:lang w:val="en-US"/>
        </w:rPr>
        <w:t xml:space="preserve"> banks have </w:t>
      </w:r>
      <w:r w:rsidR="00AF3251">
        <w:rPr>
          <w:rFonts w:cstheme="minorHAnsi"/>
          <w:color w:val="000000"/>
          <w:lang w:val="en-US"/>
        </w:rPr>
        <w:t xml:space="preserve">dramatically </w:t>
      </w:r>
      <w:r w:rsidRPr="00AF3251">
        <w:rPr>
          <w:rFonts w:cstheme="minorHAnsi"/>
          <w:color w:val="000000"/>
          <w:lang w:val="en-US"/>
        </w:rPr>
        <w:t>increased holdings of government securities over the period 2015-16. The main reason is that government bonds pay about 6 percent a year and the</w:t>
      </w:r>
      <w:r w:rsidR="00AF3251">
        <w:rPr>
          <w:rFonts w:cstheme="minorHAnsi"/>
          <w:color w:val="000000"/>
          <w:lang w:val="en-US"/>
        </w:rPr>
        <w:t>y could</w:t>
      </w:r>
      <w:r w:rsidRPr="00AF3251">
        <w:rPr>
          <w:rFonts w:cstheme="minorHAnsi"/>
          <w:color w:val="000000"/>
          <w:lang w:val="en-US"/>
        </w:rPr>
        <w:t xml:space="preserve"> be used as collatera</w:t>
      </w:r>
      <w:r w:rsidR="00AF3251">
        <w:rPr>
          <w:rFonts w:cstheme="minorHAnsi"/>
          <w:color w:val="000000"/>
          <w:lang w:val="en-US"/>
        </w:rPr>
        <w:t>l for refinancing at BCEAO at 2.</w:t>
      </w:r>
      <w:r w:rsidRPr="00AF3251">
        <w:rPr>
          <w:rFonts w:cstheme="minorHAnsi"/>
          <w:color w:val="000000"/>
          <w:lang w:val="en-US"/>
        </w:rPr>
        <w:t>5 percent. Thereby, banks appetite for government securities is increasingly growing their direct exposure to sovereign risk</w:t>
      </w:r>
      <w:r w:rsidR="00AF3251">
        <w:rPr>
          <w:rFonts w:cstheme="minorHAnsi"/>
          <w:color w:val="000000"/>
          <w:lang w:val="en-US"/>
        </w:rPr>
        <w:t xml:space="preserve"> as well</w:t>
      </w:r>
      <w:r w:rsidRPr="00AF3251">
        <w:rPr>
          <w:rFonts w:cstheme="minorHAnsi"/>
          <w:color w:val="000000"/>
          <w:lang w:val="en-US"/>
        </w:rPr>
        <w:t xml:space="preserve">. </w:t>
      </w:r>
      <w:r w:rsidR="009616EA">
        <w:rPr>
          <w:rFonts w:cstheme="minorHAnsi"/>
          <w:color w:val="000000"/>
          <w:lang w:val="en-US"/>
        </w:rPr>
        <w:t>Such</w:t>
      </w:r>
      <w:r w:rsidR="009616EA" w:rsidRPr="00AF3251">
        <w:rPr>
          <w:rFonts w:cstheme="minorHAnsi"/>
          <w:color w:val="000000"/>
          <w:lang w:val="en-US"/>
        </w:rPr>
        <w:t xml:space="preserve"> </w:t>
      </w:r>
      <w:r w:rsidRPr="00AF3251">
        <w:rPr>
          <w:rFonts w:cstheme="minorHAnsi"/>
          <w:color w:val="000000"/>
          <w:lang w:val="en-US"/>
        </w:rPr>
        <w:t>exposure to</w:t>
      </w:r>
      <w:r w:rsidR="009616EA">
        <w:rPr>
          <w:rFonts w:cstheme="minorHAnsi"/>
          <w:color w:val="000000"/>
          <w:lang w:val="en-US"/>
        </w:rPr>
        <w:t xml:space="preserve"> the</w:t>
      </w:r>
      <w:r w:rsidRPr="00AF3251">
        <w:rPr>
          <w:rFonts w:cstheme="minorHAnsi"/>
          <w:color w:val="000000"/>
          <w:lang w:val="en-US"/>
        </w:rPr>
        <w:t xml:space="preserve"> government in a shallow financial market like Benin</w:t>
      </w:r>
      <w:r w:rsidR="009616EA">
        <w:rPr>
          <w:rFonts w:cstheme="minorHAnsi"/>
          <w:color w:val="000000"/>
          <w:lang w:val="en-US"/>
        </w:rPr>
        <w:t>’s</w:t>
      </w:r>
      <w:r w:rsidRPr="00AF3251">
        <w:rPr>
          <w:rFonts w:cstheme="minorHAnsi"/>
          <w:color w:val="000000"/>
          <w:lang w:val="en-US"/>
        </w:rPr>
        <w:t xml:space="preserve"> amplifies risks and vulnerabilities. </w:t>
      </w:r>
    </w:p>
    <w:p w14:paraId="48E6A7E6" w14:textId="45283F1A" w:rsidR="007E759D" w:rsidRPr="00AF3251" w:rsidRDefault="00AF3251" w:rsidP="00151BF5">
      <w:pPr>
        <w:pStyle w:val="ListParagraph"/>
        <w:numPr>
          <w:ilvl w:val="0"/>
          <w:numId w:val="47"/>
        </w:numPr>
        <w:spacing w:after="240" w:line="240" w:lineRule="auto"/>
        <w:ind w:left="0" w:firstLine="0"/>
        <w:contextualSpacing w:val="0"/>
        <w:jc w:val="both"/>
        <w:rPr>
          <w:rFonts w:cstheme="minorHAnsi"/>
          <w:lang w:val="en-US"/>
        </w:rPr>
      </w:pPr>
      <w:r>
        <w:rPr>
          <w:rFonts w:cstheme="minorHAnsi"/>
          <w:b/>
          <w:lang w:val="en-US"/>
        </w:rPr>
        <w:t>T</w:t>
      </w:r>
      <w:r w:rsidRPr="00AF3251">
        <w:rPr>
          <w:rFonts w:cstheme="minorHAnsi"/>
          <w:b/>
          <w:lang w:val="en-US"/>
        </w:rPr>
        <w:t xml:space="preserve">he Beninese case raises the issue of the consistency of policies at the regional </w:t>
      </w:r>
      <w:r w:rsidR="009616EA">
        <w:rPr>
          <w:rFonts w:cstheme="minorHAnsi"/>
          <w:b/>
          <w:lang w:val="en-US"/>
        </w:rPr>
        <w:t xml:space="preserve">and country </w:t>
      </w:r>
      <w:r w:rsidRPr="00AF3251">
        <w:rPr>
          <w:rFonts w:cstheme="minorHAnsi"/>
          <w:b/>
          <w:lang w:val="en-US"/>
        </w:rPr>
        <w:t>level</w:t>
      </w:r>
      <w:r w:rsidR="009616EA">
        <w:rPr>
          <w:rFonts w:cstheme="minorHAnsi"/>
          <w:b/>
          <w:lang w:val="en-US"/>
        </w:rPr>
        <w:t>s,</w:t>
      </w:r>
      <w:r w:rsidRPr="00AF3251">
        <w:rPr>
          <w:rFonts w:cstheme="minorHAnsi"/>
          <w:b/>
          <w:lang w:val="en-US"/>
        </w:rPr>
        <w:t xml:space="preserve"> and the </w:t>
      </w:r>
      <w:r w:rsidR="009616EA">
        <w:rPr>
          <w:rFonts w:cstheme="minorHAnsi"/>
          <w:b/>
          <w:lang w:val="en-US"/>
        </w:rPr>
        <w:t>extent to which this may spread</w:t>
      </w:r>
      <w:r w:rsidR="009616EA" w:rsidRPr="00AF3251">
        <w:rPr>
          <w:rFonts w:cstheme="minorHAnsi"/>
          <w:b/>
          <w:lang w:val="en-US"/>
        </w:rPr>
        <w:t xml:space="preserve"> </w:t>
      </w:r>
      <w:r w:rsidRPr="00AF3251">
        <w:rPr>
          <w:rFonts w:cstheme="minorHAnsi"/>
          <w:b/>
          <w:lang w:val="en-US"/>
        </w:rPr>
        <w:t xml:space="preserve">to the region via inflation and sustainability of currency the fiscal imbalances of a </w:t>
      </w:r>
      <w:proofErr w:type="gramStart"/>
      <w:r w:rsidRPr="00AF3251">
        <w:rPr>
          <w:rFonts w:cstheme="minorHAnsi"/>
          <w:b/>
          <w:lang w:val="en-US"/>
        </w:rPr>
        <w:t>particular country</w:t>
      </w:r>
      <w:proofErr w:type="gramEnd"/>
      <w:r w:rsidRPr="00AF3251">
        <w:rPr>
          <w:rFonts w:cstheme="minorHAnsi"/>
          <w:lang w:val="en-US"/>
        </w:rPr>
        <w:t xml:space="preserve">. The issues would not </w:t>
      </w:r>
      <w:r w:rsidR="002425E2">
        <w:rPr>
          <w:rFonts w:cstheme="minorHAnsi"/>
          <w:lang w:val="en-US"/>
        </w:rPr>
        <w:t>reach</w:t>
      </w:r>
      <w:r w:rsidRPr="00AF3251">
        <w:rPr>
          <w:rFonts w:cstheme="minorHAnsi"/>
          <w:lang w:val="en-US"/>
        </w:rPr>
        <w:t xml:space="preserve"> crisis level</w:t>
      </w:r>
      <w:r w:rsidR="00141BD7">
        <w:rPr>
          <w:rFonts w:cstheme="minorHAnsi"/>
          <w:lang w:val="en-US"/>
        </w:rPr>
        <w:t>s</w:t>
      </w:r>
      <w:r w:rsidRPr="00AF3251">
        <w:rPr>
          <w:rFonts w:cstheme="minorHAnsi"/>
          <w:lang w:val="en-US"/>
        </w:rPr>
        <w:t xml:space="preserve"> until BCEAO stops rediscounting those bonds </w:t>
      </w:r>
      <w:r w:rsidR="002425E2">
        <w:rPr>
          <w:rFonts w:cstheme="minorHAnsi"/>
          <w:lang w:val="en-US"/>
        </w:rPr>
        <w:t>or</w:t>
      </w:r>
      <w:r w:rsidRPr="00AF3251">
        <w:rPr>
          <w:rFonts w:cstheme="minorHAnsi"/>
          <w:lang w:val="en-US"/>
        </w:rPr>
        <w:t xml:space="preserve"> start imposing higher cuts to effectively increase borrowing costs when banks do repos at the BCEAO. Such a measure would seem to be an option to rein in the incentives to increase exposure to government by lowering the spread (a likely spillover effect would be to increase the borrowing costs of the government too).</w:t>
      </w:r>
    </w:p>
    <w:p w14:paraId="216E7817" w14:textId="3409AEE0" w:rsidR="002E0091" w:rsidRPr="006A5317" w:rsidRDefault="005E1DE7" w:rsidP="005E1DE7">
      <w:pPr>
        <w:pStyle w:val="Caption"/>
        <w:rPr>
          <w:b/>
          <w:lang w:val="en-US"/>
        </w:rPr>
      </w:pPr>
      <w:bookmarkStart w:id="10" w:name="_Ref520288399"/>
      <w:r w:rsidRPr="006A5317">
        <w:rPr>
          <w:rFonts w:cstheme="minorHAnsi"/>
          <w:b/>
          <w:noProof/>
          <w:lang w:eastAsia="fr-FR"/>
        </w:rPr>
        <w:drawing>
          <wp:anchor distT="0" distB="0" distL="114300" distR="114300" simplePos="0" relativeHeight="251659264" behindDoc="0" locked="0" layoutInCell="1" allowOverlap="1" wp14:anchorId="74C54C26" wp14:editId="667DFE81">
            <wp:simplePos x="0" y="0"/>
            <wp:positionH relativeFrom="column">
              <wp:posOffset>1051560</wp:posOffset>
            </wp:positionH>
            <wp:positionV relativeFrom="paragraph">
              <wp:posOffset>243840</wp:posOffset>
            </wp:positionV>
            <wp:extent cx="3507105" cy="1539240"/>
            <wp:effectExtent l="0" t="0" r="0" b="3810"/>
            <wp:wrapTopAndBottom/>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105" cy="1539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321" w:rsidRPr="006A5317">
        <w:rPr>
          <w:b/>
          <w:lang w:val="en-US"/>
        </w:rPr>
        <w:t>Figure</w:t>
      </w:r>
      <w:r w:rsidR="00C702B4" w:rsidRPr="006A5317">
        <w:rPr>
          <w:b/>
          <w:lang w:val="en-US"/>
        </w:rPr>
        <w:t> </w:t>
      </w:r>
      <w:r w:rsidR="00B91321" w:rsidRPr="006A5317">
        <w:rPr>
          <w:b/>
          <w:lang w:val="en-US"/>
        </w:rPr>
        <w:t>1.</w:t>
      </w:r>
      <w:r w:rsidR="00B91321" w:rsidRPr="006A5317">
        <w:rPr>
          <w:b/>
          <w:lang w:val="en-US"/>
        </w:rPr>
        <w:fldChar w:fldCharType="begin"/>
      </w:r>
      <w:r w:rsidR="00B91321" w:rsidRPr="006A5317">
        <w:rPr>
          <w:b/>
          <w:lang w:val="en-US"/>
        </w:rPr>
        <w:instrText xml:space="preserve"> SEQ Figure_1. \* ARABIC </w:instrText>
      </w:r>
      <w:r w:rsidR="00B91321" w:rsidRPr="006A5317">
        <w:rPr>
          <w:b/>
          <w:lang w:val="en-US"/>
        </w:rPr>
        <w:fldChar w:fldCharType="separate"/>
      </w:r>
      <w:r w:rsidR="004C6E5F" w:rsidRPr="006A5317">
        <w:rPr>
          <w:b/>
          <w:noProof/>
          <w:lang w:val="en-US"/>
        </w:rPr>
        <w:t>2</w:t>
      </w:r>
      <w:r w:rsidR="00B91321" w:rsidRPr="006A5317">
        <w:rPr>
          <w:b/>
          <w:lang w:val="en-US"/>
        </w:rPr>
        <w:fldChar w:fldCharType="end"/>
      </w:r>
      <w:bookmarkEnd w:id="10"/>
      <w:r w:rsidR="002E0091" w:rsidRPr="006A5317">
        <w:rPr>
          <w:rStyle w:val="IntenseEmphasis"/>
          <w:b/>
          <w:i w:val="0"/>
          <w:iCs/>
          <w:color w:val="2E74B5" w:themeColor="accent1" w:themeShade="BF"/>
          <w:lang w:val="en-US"/>
        </w:rPr>
        <w:t>: Sectorial distribution of bank loans</w:t>
      </w:r>
    </w:p>
    <w:p w14:paraId="2601C22E" w14:textId="047437DF" w:rsidR="005E1DE7" w:rsidRPr="00124DA6" w:rsidRDefault="005E1DE7" w:rsidP="005E1DE7">
      <w:pPr>
        <w:pStyle w:val="Heading1"/>
        <w:jc w:val="center"/>
      </w:pPr>
    </w:p>
    <w:p w14:paraId="2C831E8D" w14:textId="79900BFF" w:rsidR="00CC0842" w:rsidRPr="00124DA6" w:rsidRDefault="00CC0842">
      <w:pPr>
        <w:rPr>
          <w:rFonts w:eastAsiaTheme="majorEastAsia" w:cstheme="minorHAnsi"/>
          <w:b/>
          <w:color w:val="2E74B5" w:themeColor="accent1" w:themeShade="BF"/>
          <w:sz w:val="26"/>
          <w:szCs w:val="26"/>
          <w:lang w:val="en-US"/>
        </w:rPr>
      </w:pPr>
      <w:r w:rsidRPr="00124DA6">
        <w:rPr>
          <w:rFonts w:cstheme="minorHAnsi"/>
          <w:b/>
          <w:noProof/>
          <w:lang w:eastAsia="fr-FR"/>
        </w:rPr>
        <mc:AlternateContent>
          <mc:Choice Requires="wps">
            <w:drawing>
              <wp:anchor distT="91440" distB="91440" distL="365760" distR="365760" simplePos="0" relativeHeight="251642880" behindDoc="0" locked="0" layoutInCell="1" allowOverlap="1" wp14:anchorId="40D8B09D" wp14:editId="02A29E7C">
                <wp:simplePos x="914400" y="914400"/>
                <wp:positionH relativeFrom="margin">
                  <wp:align>center</wp:align>
                </wp:positionH>
                <wp:positionV relativeFrom="margin">
                  <wp:align>center</wp:align>
                </wp:positionV>
                <wp:extent cx="4160520" cy="1569720"/>
                <wp:effectExtent l="0" t="0" r="0" b="0"/>
                <wp:wrapTopAndBottom/>
                <wp:docPr id="268" name="Rectangle 268"/>
                <wp:cNvGraphicFramePr/>
                <a:graphic xmlns:a="http://schemas.openxmlformats.org/drawingml/2006/main">
                  <a:graphicData uri="http://schemas.microsoft.com/office/word/2010/wordprocessingShape">
                    <wps:wsp>
                      <wps:cNvSpPr/>
                      <wps:spPr>
                        <a:xfrm>
                          <a:off x="0" y="0"/>
                          <a:ext cx="4160520" cy="1569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954D55" w14:textId="77777777" w:rsidR="003B0984" w:rsidRDefault="003B0984">
                            <w:pPr>
                              <w:pStyle w:val="NoSpacing"/>
                              <w:jc w:val="center"/>
                              <w:rPr>
                                <w:color w:val="5B9BD5" w:themeColor="accent1"/>
                              </w:rPr>
                            </w:pPr>
                            <w:r>
                              <w:rPr>
                                <w:noProof/>
                                <w:color w:val="5B9BD5" w:themeColor="accent1"/>
                                <w:lang w:eastAsia="fr-FR"/>
                              </w:rPr>
                              <w:drawing>
                                <wp:inline distT="0" distB="0" distL="0" distR="0" wp14:anchorId="7B8E4309" wp14:editId="1BAEA024">
                                  <wp:extent cx="722376" cy="384048"/>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AC49005" w14:textId="77777777" w:rsidR="003B0984" w:rsidRPr="00CC0842" w:rsidRDefault="003B0984" w:rsidP="0042530F">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sidRPr="00CC0842">
                              <w:rPr>
                                <w:color w:val="5B9BD5" w:themeColor="accent1"/>
                                <w:sz w:val="56"/>
                                <w:szCs w:val="56"/>
                              </w:rPr>
                              <w:t>MICROFINANCE SECTOR</w:t>
                            </w:r>
                          </w:p>
                          <w:p w14:paraId="31D5D700" w14:textId="77777777" w:rsidR="003B0984" w:rsidRDefault="003B0984">
                            <w:pPr>
                              <w:pStyle w:val="NoSpacing"/>
                              <w:spacing w:before="240"/>
                              <w:jc w:val="center"/>
                              <w:rPr>
                                <w:color w:val="5B9BD5" w:themeColor="accent1"/>
                              </w:rPr>
                            </w:pPr>
                            <w:r>
                              <w:rPr>
                                <w:noProof/>
                                <w:color w:val="5B9BD5" w:themeColor="accent1"/>
                                <w:lang w:eastAsia="fr-FR"/>
                              </w:rPr>
                              <w:drawing>
                                <wp:inline distT="0" distB="0" distL="0" distR="0" wp14:anchorId="15423FE6" wp14:editId="299A2496">
                                  <wp:extent cx="374904" cy="237744"/>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40D8B09D" id="Rectangle 268" o:spid="_x0000_s1027" style="position:absolute;margin-left:0;margin-top:0;width:327.6pt;height:123.6pt;z-index:251642880;visibility:visible;mso-wrap-style:square;mso-width-percent:700;mso-height-percent:0;mso-wrap-distance-left:28.8pt;mso-wrap-distance-top:7.2pt;mso-wrap-distance-right:28.8pt;mso-wrap-distance-bottom:7.2pt;mso-position-horizontal:center;mso-position-horizontal-relative:margin;mso-position-vertical:center;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" filled="f" stroked="f" strokeweight="1pt">
                <v:textbox style="mso-fit-shape-to-text:t" inset="10.8pt,0,10.8pt,0">
                  <w:txbxContent>
                    <w:p w14:paraId="50954D55" w14:textId="77777777" w:rsidR="003B0984" w:rsidRDefault="003B0984">
                      <w:pPr>
                        <w:pStyle w:val="NoSpacing"/>
                        <w:jc w:val="center"/>
                        <w:rPr>
                          <w:color w:val="5B9BD5" w:themeColor="accent1"/>
                        </w:rPr>
                      </w:pPr>
                      <w:r>
                        <w:rPr>
                          <w:noProof/>
                          <w:color w:val="5B9BD5" w:themeColor="accent1"/>
                          <w:lang w:eastAsia="fr-FR"/>
                        </w:rPr>
                        <w:drawing>
                          <wp:inline distT="0" distB="0" distL="0" distR="0" wp14:anchorId="7B8E4309" wp14:editId="1BAEA024">
                            <wp:extent cx="722376" cy="384048"/>
                            <wp:effectExtent l="0" t="0" r="190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0AC49005" w14:textId="77777777" w:rsidR="003B0984" w:rsidRPr="00CC0842" w:rsidRDefault="003B0984" w:rsidP="0042530F">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sidRPr="00CC0842">
                        <w:rPr>
                          <w:color w:val="5B9BD5" w:themeColor="accent1"/>
                          <w:sz w:val="56"/>
                          <w:szCs w:val="56"/>
                        </w:rPr>
                        <w:t>MICROFINANCE SECTOR</w:t>
                      </w:r>
                    </w:p>
                    <w:p w14:paraId="31D5D700" w14:textId="77777777" w:rsidR="003B0984" w:rsidRDefault="003B0984">
                      <w:pPr>
                        <w:pStyle w:val="NoSpacing"/>
                        <w:spacing w:before="240"/>
                        <w:jc w:val="center"/>
                        <w:rPr>
                          <w:color w:val="5B9BD5" w:themeColor="accent1"/>
                        </w:rPr>
                      </w:pPr>
                      <w:r>
                        <w:rPr>
                          <w:noProof/>
                          <w:color w:val="5B9BD5" w:themeColor="accent1"/>
                          <w:lang w:eastAsia="fr-FR"/>
                        </w:rPr>
                        <w:drawing>
                          <wp:inline distT="0" distB="0" distL="0" distR="0" wp14:anchorId="15423FE6" wp14:editId="299A2496">
                            <wp:extent cx="374904" cy="237744"/>
                            <wp:effectExtent l="0" t="0" r="635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Pr="00124DA6">
        <w:rPr>
          <w:rFonts w:cstheme="minorHAnsi"/>
          <w:b/>
          <w:lang w:val="en-US"/>
        </w:rPr>
        <w:br w:type="page"/>
      </w:r>
    </w:p>
    <w:p w14:paraId="3D37D7C5" w14:textId="140DA1AC" w:rsidR="00CC0842" w:rsidRPr="00124DA6" w:rsidRDefault="002D142D" w:rsidP="00644D03">
      <w:pPr>
        <w:pStyle w:val="Heading1"/>
      </w:pPr>
      <w:bookmarkStart w:id="11" w:name="_Toc3975122"/>
      <w:r w:rsidRPr="00124DA6">
        <w:t>CHAPTER</w:t>
      </w:r>
      <w:r w:rsidR="00C702B4">
        <w:t> </w:t>
      </w:r>
      <w:r w:rsidRPr="00124DA6">
        <w:t xml:space="preserve">2: </w:t>
      </w:r>
      <w:r w:rsidR="009616EA">
        <w:t xml:space="preserve">State of the </w:t>
      </w:r>
      <w:r w:rsidRPr="00124DA6">
        <w:t xml:space="preserve">Microfinance </w:t>
      </w:r>
      <w:r w:rsidR="00644D03" w:rsidRPr="00124DA6">
        <w:t>S</w:t>
      </w:r>
      <w:r w:rsidRPr="00124DA6">
        <w:t>ector</w:t>
      </w:r>
      <w:r w:rsidR="009616EA">
        <w:t xml:space="preserve"> </w:t>
      </w:r>
      <w:r w:rsidR="002425E2">
        <w:t>—</w:t>
      </w:r>
      <w:r w:rsidR="00E80338">
        <w:t xml:space="preserve"> </w:t>
      </w:r>
      <w:r w:rsidR="009616EA">
        <w:t>T</w:t>
      </w:r>
      <w:r w:rsidR="00E80338">
        <w:t xml:space="preserve">hreats and </w:t>
      </w:r>
      <w:r w:rsidR="009616EA">
        <w:t>R</w:t>
      </w:r>
      <w:r w:rsidR="00E80338">
        <w:t>ecommendations</w:t>
      </w:r>
      <w:bookmarkEnd w:id="11"/>
    </w:p>
    <w:p w14:paraId="225D8486" w14:textId="77777777" w:rsidR="009F048E" w:rsidRPr="00124DA6" w:rsidRDefault="009F048E" w:rsidP="0047760A">
      <w:pPr>
        <w:pStyle w:val="ListParagraph"/>
        <w:numPr>
          <w:ilvl w:val="0"/>
          <w:numId w:val="47"/>
        </w:numPr>
        <w:spacing w:after="240" w:line="240" w:lineRule="auto"/>
        <w:ind w:left="0" w:firstLine="0"/>
        <w:contextualSpacing w:val="0"/>
        <w:jc w:val="both"/>
        <w:rPr>
          <w:b/>
          <w:lang w:val="en-US"/>
        </w:rPr>
      </w:pPr>
      <w:r w:rsidRPr="00124DA6">
        <w:rPr>
          <w:b/>
          <w:lang w:val="en-US"/>
        </w:rPr>
        <w:t>The analysis of the microfinance sector in Benin has provided the following key findings:</w:t>
      </w:r>
    </w:p>
    <w:p w14:paraId="78B1C7FE" w14:textId="235124CD" w:rsidR="00CC0842" w:rsidRPr="00124DA6" w:rsidRDefault="00CC0842" w:rsidP="008250DD">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 xml:space="preserve">The </w:t>
      </w:r>
      <w:r w:rsidR="002A6E3F" w:rsidRPr="00124DA6">
        <w:rPr>
          <w:rFonts w:cstheme="minorHAnsi"/>
          <w:lang w:val="en-US"/>
        </w:rPr>
        <w:t>m</w:t>
      </w:r>
      <w:r w:rsidRPr="00124DA6">
        <w:rPr>
          <w:rFonts w:cstheme="minorHAnsi"/>
          <w:lang w:val="en-US"/>
        </w:rPr>
        <w:t>icrofinance sector in Benin plays a key role in financial inclusion of individual</w:t>
      </w:r>
      <w:r w:rsidR="003917A1" w:rsidRPr="00124DA6">
        <w:rPr>
          <w:rFonts w:cstheme="minorHAnsi"/>
          <w:lang w:val="en-US"/>
        </w:rPr>
        <w:t>s</w:t>
      </w:r>
      <w:r w:rsidRPr="00124DA6">
        <w:rPr>
          <w:rFonts w:cstheme="minorHAnsi"/>
          <w:lang w:val="en-US"/>
        </w:rPr>
        <w:t xml:space="preserve"> as it reaches </w:t>
      </w:r>
      <w:r w:rsidR="003A105F" w:rsidRPr="00124DA6">
        <w:rPr>
          <w:rFonts w:cstheme="minorHAnsi"/>
          <w:lang w:val="en-US"/>
        </w:rPr>
        <w:t xml:space="preserve">double the </w:t>
      </w:r>
      <w:r w:rsidRPr="00124DA6">
        <w:rPr>
          <w:rFonts w:cstheme="minorHAnsi"/>
          <w:lang w:val="en-US"/>
        </w:rPr>
        <w:t xml:space="preserve">population </w:t>
      </w:r>
      <w:r w:rsidR="00DF6968" w:rsidRPr="00124DA6">
        <w:rPr>
          <w:rFonts w:cstheme="minorHAnsi"/>
          <w:lang w:val="en-US"/>
        </w:rPr>
        <w:t>of the</w:t>
      </w:r>
      <w:r w:rsidRPr="00124DA6">
        <w:rPr>
          <w:rFonts w:cstheme="minorHAnsi"/>
          <w:lang w:val="en-US"/>
        </w:rPr>
        <w:t xml:space="preserve"> banking sector with 2</w:t>
      </w:r>
      <w:r w:rsidR="00D63E1D" w:rsidRPr="00124DA6">
        <w:rPr>
          <w:rFonts w:cstheme="minorHAnsi"/>
          <w:lang w:val="en-US"/>
        </w:rPr>
        <w:t>.</w:t>
      </w:r>
      <w:r w:rsidR="000C1D56" w:rsidRPr="00124DA6">
        <w:rPr>
          <w:rFonts w:cstheme="minorHAnsi"/>
          <w:lang w:val="en-US"/>
        </w:rPr>
        <w:t>2</w:t>
      </w:r>
      <w:r w:rsidR="00C702B4">
        <w:rPr>
          <w:rFonts w:cstheme="minorHAnsi"/>
          <w:lang w:val="en-US"/>
        </w:rPr>
        <w:t> </w:t>
      </w:r>
      <w:r w:rsidRPr="00124DA6">
        <w:rPr>
          <w:rFonts w:cstheme="minorHAnsi"/>
          <w:lang w:val="en-US"/>
        </w:rPr>
        <w:t>million clients/members</w:t>
      </w:r>
      <w:r w:rsidR="00841217" w:rsidRPr="00124DA6">
        <w:rPr>
          <w:rFonts w:cstheme="minorHAnsi"/>
          <w:lang w:val="en-US"/>
        </w:rPr>
        <w:t xml:space="preserve"> (ANSSFD</w:t>
      </w:r>
      <w:r w:rsidR="00C702B4">
        <w:rPr>
          <w:rFonts w:cstheme="minorHAnsi"/>
          <w:lang w:val="en-US"/>
        </w:rPr>
        <w:t> </w:t>
      </w:r>
      <w:r w:rsidR="00841217" w:rsidRPr="00124DA6">
        <w:rPr>
          <w:rFonts w:cstheme="minorHAnsi"/>
          <w:lang w:val="en-US"/>
        </w:rPr>
        <w:t>2017)</w:t>
      </w:r>
      <w:r w:rsidRPr="00124DA6">
        <w:rPr>
          <w:rFonts w:cstheme="minorHAnsi"/>
          <w:lang w:val="en-US"/>
        </w:rPr>
        <w:t>.</w:t>
      </w:r>
    </w:p>
    <w:p w14:paraId="575247C5" w14:textId="7AFD9B72" w:rsidR="00CC0842" w:rsidRPr="00124DA6" w:rsidRDefault="00CC0842" w:rsidP="008250DD">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The country is one of the few in the WAEMU zone where no greenfield</w:t>
      </w:r>
      <w:r w:rsidR="00D63E1D" w:rsidRPr="00124DA6">
        <w:rPr>
          <w:rFonts w:cstheme="minorHAnsi"/>
          <w:i/>
          <w:lang w:val="en-US"/>
        </w:rPr>
        <w:t>-</w:t>
      </w:r>
      <w:r w:rsidRPr="00124DA6">
        <w:rPr>
          <w:rFonts w:cstheme="minorHAnsi"/>
          <w:lang w:val="en-US"/>
        </w:rPr>
        <w:t xml:space="preserve">type </w:t>
      </w:r>
      <w:r w:rsidR="00D63E1D" w:rsidRPr="00124DA6">
        <w:rPr>
          <w:rFonts w:cstheme="minorHAnsi"/>
          <w:lang w:val="en-US"/>
        </w:rPr>
        <w:t>microfinance institutions (</w:t>
      </w:r>
      <w:r w:rsidRPr="00124DA6">
        <w:rPr>
          <w:rFonts w:cstheme="minorHAnsi"/>
          <w:lang w:val="en-US"/>
        </w:rPr>
        <w:t>MFIs</w:t>
      </w:r>
      <w:r w:rsidR="00D63E1D" w:rsidRPr="00124DA6">
        <w:rPr>
          <w:rFonts w:cstheme="minorHAnsi"/>
          <w:lang w:val="en-US"/>
        </w:rPr>
        <w:t>)</w:t>
      </w:r>
      <w:r w:rsidRPr="00124DA6">
        <w:rPr>
          <w:rFonts w:cstheme="minorHAnsi"/>
          <w:lang w:val="en-US"/>
        </w:rPr>
        <w:t xml:space="preserve"> intervened. The only foreign-owned MFI owned by a foreign investor is </w:t>
      </w:r>
      <w:r w:rsidR="00CB10BF" w:rsidRPr="00124DA6">
        <w:rPr>
          <w:rFonts w:cstheme="minorHAnsi"/>
          <w:lang w:val="en-US"/>
        </w:rPr>
        <w:t>FINADEV</w:t>
      </w:r>
      <w:r w:rsidRPr="00124DA6">
        <w:rPr>
          <w:rFonts w:cstheme="minorHAnsi"/>
          <w:lang w:val="en-US"/>
        </w:rPr>
        <w:t>, whose sole shareholder is the investment fund</w:t>
      </w:r>
      <w:r w:rsidR="00D63E1D" w:rsidRPr="00124DA6">
        <w:rPr>
          <w:rFonts w:cstheme="minorHAnsi"/>
          <w:lang w:val="en-US"/>
        </w:rPr>
        <w:t>,</w:t>
      </w:r>
      <w:r w:rsidRPr="00124DA6">
        <w:rPr>
          <w:rFonts w:cstheme="minorHAnsi"/>
          <w:lang w:val="en-US"/>
        </w:rPr>
        <w:t xml:space="preserve"> ECP Africa Fund</w:t>
      </w:r>
      <w:r w:rsidR="00C702B4">
        <w:rPr>
          <w:rFonts w:cstheme="minorHAnsi"/>
          <w:lang w:val="en-US"/>
        </w:rPr>
        <w:t> </w:t>
      </w:r>
      <w:r w:rsidRPr="00124DA6">
        <w:rPr>
          <w:rFonts w:cstheme="minorHAnsi"/>
          <w:lang w:val="en-US"/>
        </w:rPr>
        <w:t>III PC</w:t>
      </w:r>
      <w:r w:rsidR="00D63E1D" w:rsidRPr="00124DA6">
        <w:rPr>
          <w:rFonts w:cstheme="minorHAnsi"/>
          <w:lang w:val="en-US"/>
        </w:rPr>
        <w:t>C</w:t>
      </w:r>
      <w:r w:rsidRPr="00124DA6">
        <w:rPr>
          <w:rFonts w:cstheme="minorHAnsi"/>
          <w:lang w:val="en-US"/>
        </w:rPr>
        <w:t>.</w:t>
      </w:r>
    </w:p>
    <w:p w14:paraId="0A982B02" w14:textId="77777777" w:rsidR="00CC0842" w:rsidRPr="00124DA6" w:rsidRDefault="00CC0842" w:rsidP="008250DD">
      <w:pPr>
        <w:pStyle w:val="ListParagraph"/>
        <w:numPr>
          <w:ilvl w:val="0"/>
          <w:numId w:val="6"/>
        </w:numPr>
        <w:autoSpaceDE w:val="0"/>
        <w:autoSpaceDN w:val="0"/>
        <w:adjustRightInd w:val="0"/>
        <w:spacing w:before="120" w:after="120" w:line="240" w:lineRule="auto"/>
        <w:ind w:left="1195" w:hanging="475"/>
        <w:contextualSpacing w:val="0"/>
        <w:jc w:val="both"/>
        <w:rPr>
          <w:rFonts w:cstheme="minorHAnsi"/>
          <w:lang w:val="en-US"/>
        </w:rPr>
      </w:pPr>
      <w:r w:rsidRPr="00124DA6">
        <w:rPr>
          <w:rFonts w:cstheme="minorHAnsi"/>
          <w:bCs/>
          <w:lang w:val="en-US"/>
        </w:rPr>
        <w:t>Several MFIs established partnerships with mobile money operators to offer cash transfer (</w:t>
      </w:r>
      <w:r w:rsidR="00576422" w:rsidRPr="00124DA6">
        <w:rPr>
          <w:rFonts w:cstheme="minorHAnsi"/>
          <w:bCs/>
          <w:lang w:val="en-US"/>
        </w:rPr>
        <w:t>person-to-person [</w:t>
      </w:r>
      <w:r w:rsidRPr="00124DA6">
        <w:rPr>
          <w:rFonts w:cstheme="minorHAnsi"/>
          <w:bCs/>
          <w:lang w:val="en-US"/>
        </w:rPr>
        <w:t>P2P</w:t>
      </w:r>
      <w:r w:rsidR="00576422" w:rsidRPr="00124DA6">
        <w:rPr>
          <w:rFonts w:cstheme="minorHAnsi"/>
          <w:bCs/>
          <w:lang w:val="en-US"/>
        </w:rPr>
        <w:t>]</w:t>
      </w:r>
      <w:r w:rsidRPr="00124DA6">
        <w:rPr>
          <w:rFonts w:cstheme="minorHAnsi"/>
          <w:bCs/>
          <w:lang w:val="en-US"/>
        </w:rPr>
        <w:t>) and payment services to their clients, and two institutions applied for e-</w:t>
      </w:r>
      <w:r w:rsidRPr="00124DA6">
        <w:rPr>
          <w:rFonts w:cstheme="minorHAnsi"/>
          <w:lang w:val="en-US"/>
        </w:rPr>
        <w:t>money issuer license.</w:t>
      </w:r>
    </w:p>
    <w:p w14:paraId="0AB6A86C" w14:textId="4A5881BA" w:rsidR="00CC0842" w:rsidRPr="00124DA6" w:rsidRDefault="00CC0842" w:rsidP="008250DD">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 xml:space="preserve">The microfinance sector in Benin is composed of over 600 institutions. However, </w:t>
      </w:r>
      <w:r w:rsidR="00D63E1D" w:rsidRPr="00124DA6">
        <w:rPr>
          <w:rFonts w:cstheme="minorHAnsi"/>
          <w:lang w:val="en-US"/>
        </w:rPr>
        <w:t xml:space="preserve">of </w:t>
      </w:r>
      <w:r w:rsidR="00936860" w:rsidRPr="00124DA6">
        <w:rPr>
          <w:rFonts w:cstheme="minorHAnsi"/>
          <w:lang w:val="en-US"/>
        </w:rPr>
        <w:t xml:space="preserve">the </w:t>
      </w:r>
      <w:r w:rsidRPr="00124DA6">
        <w:rPr>
          <w:rFonts w:cstheme="minorHAnsi"/>
          <w:lang w:val="en-US"/>
        </w:rPr>
        <w:t>institutions operating in the sector</w:t>
      </w:r>
      <w:r w:rsidR="00D63E1D" w:rsidRPr="00124DA6">
        <w:rPr>
          <w:rFonts w:cstheme="minorHAnsi"/>
          <w:lang w:val="en-US"/>
        </w:rPr>
        <w:t>,</w:t>
      </w:r>
      <w:r w:rsidRPr="00124DA6">
        <w:rPr>
          <w:rFonts w:cstheme="minorHAnsi"/>
          <w:lang w:val="en-US"/>
        </w:rPr>
        <w:t xml:space="preserve"> only 100 MFIs </w:t>
      </w:r>
      <w:r w:rsidR="00115653">
        <w:rPr>
          <w:rFonts w:cstheme="minorHAnsi"/>
          <w:lang w:val="en-US"/>
        </w:rPr>
        <w:t>hold</w:t>
      </w:r>
      <w:r w:rsidR="00115653" w:rsidRPr="00124DA6">
        <w:rPr>
          <w:rFonts w:cstheme="minorHAnsi"/>
          <w:lang w:val="en-US"/>
        </w:rPr>
        <w:t xml:space="preserve"> </w:t>
      </w:r>
      <w:r w:rsidRPr="00124DA6">
        <w:rPr>
          <w:rFonts w:cstheme="minorHAnsi"/>
          <w:lang w:val="en-US"/>
        </w:rPr>
        <w:t xml:space="preserve">a license </w:t>
      </w:r>
      <w:r w:rsidR="00115653">
        <w:rPr>
          <w:rFonts w:cstheme="minorHAnsi"/>
          <w:lang w:val="en-US"/>
        </w:rPr>
        <w:t>issued by</w:t>
      </w:r>
      <w:r w:rsidR="00115653" w:rsidRPr="00124DA6">
        <w:rPr>
          <w:rFonts w:cstheme="minorHAnsi"/>
          <w:lang w:val="en-US"/>
        </w:rPr>
        <w:t xml:space="preserve"> </w:t>
      </w:r>
      <w:r w:rsidRPr="00124DA6">
        <w:rPr>
          <w:rFonts w:cstheme="minorHAnsi"/>
          <w:lang w:val="en-US"/>
        </w:rPr>
        <w:t>the Ministry of Finance,</w:t>
      </w:r>
      <w:r w:rsidR="00D63E1D" w:rsidRPr="00124DA6">
        <w:rPr>
          <w:rFonts w:cstheme="minorHAnsi"/>
          <w:lang w:val="en-US"/>
        </w:rPr>
        <w:t xml:space="preserve"> and </w:t>
      </w:r>
      <w:r w:rsidRPr="00124DA6">
        <w:rPr>
          <w:rFonts w:cstheme="minorHAnsi"/>
          <w:lang w:val="en-US"/>
        </w:rPr>
        <w:t xml:space="preserve">the remaining are informal savings and credit institutions. </w:t>
      </w:r>
      <w:r w:rsidR="00893354">
        <w:rPr>
          <w:rFonts w:cstheme="minorHAnsi"/>
          <w:lang w:val="en-US"/>
        </w:rPr>
        <w:t>These</w:t>
      </w:r>
      <w:r w:rsidR="00893354" w:rsidRPr="00124DA6">
        <w:rPr>
          <w:rFonts w:cstheme="minorHAnsi"/>
          <w:lang w:val="en-US"/>
        </w:rPr>
        <w:t xml:space="preserve"> </w:t>
      </w:r>
      <w:r w:rsidR="00893354">
        <w:rPr>
          <w:rFonts w:cstheme="minorHAnsi"/>
          <w:lang w:val="en-US"/>
        </w:rPr>
        <w:t>significantly numerous</w:t>
      </w:r>
      <w:r w:rsidR="00893354" w:rsidRPr="00124DA6">
        <w:rPr>
          <w:rFonts w:cstheme="minorHAnsi"/>
          <w:lang w:val="en-US"/>
        </w:rPr>
        <w:t xml:space="preserve"> </w:t>
      </w:r>
      <w:r w:rsidRPr="00124DA6">
        <w:rPr>
          <w:rFonts w:cstheme="minorHAnsi"/>
          <w:lang w:val="en-US"/>
        </w:rPr>
        <w:t xml:space="preserve">unauthorized </w:t>
      </w:r>
      <w:r w:rsidRPr="00124DA6">
        <w:rPr>
          <w:rFonts w:cstheme="minorHAnsi"/>
          <w:bCs/>
          <w:lang w:val="en-US"/>
        </w:rPr>
        <w:t>institutions provide loans and collect deposits from the public.</w:t>
      </w:r>
      <w:r w:rsidR="00E80338">
        <w:rPr>
          <w:rFonts w:cstheme="minorHAnsi"/>
          <w:b/>
          <w:bCs/>
          <w:lang w:val="en-US"/>
        </w:rPr>
        <w:t xml:space="preserve"> </w:t>
      </w:r>
      <w:r w:rsidRPr="00124DA6">
        <w:rPr>
          <w:rFonts w:cstheme="minorHAnsi"/>
          <w:lang w:val="en-US"/>
        </w:rPr>
        <w:t xml:space="preserve">IMF (2016) estimated that the deposits collected by unauthorized MFIs </w:t>
      </w:r>
      <w:r w:rsidR="0073212B" w:rsidRPr="00124DA6">
        <w:rPr>
          <w:rFonts w:cstheme="minorHAnsi"/>
          <w:lang w:val="en-US"/>
        </w:rPr>
        <w:t xml:space="preserve">are </w:t>
      </w:r>
      <w:r w:rsidRPr="00124DA6">
        <w:rPr>
          <w:rFonts w:cstheme="minorHAnsi"/>
          <w:lang w:val="en-US"/>
        </w:rPr>
        <w:t xml:space="preserve">about </w:t>
      </w:r>
      <w:r w:rsidR="0073212B" w:rsidRPr="00124DA6">
        <w:rPr>
          <w:rFonts w:cstheme="minorHAnsi"/>
          <w:lang w:val="en-US"/>
        </w:rPr>
        <w:t xml:space="preserve">0.5 </w:t>
      </w:r>
      <w:r w:rsidRPr="00124DA6">
        <w:rPr>
          <w:rFonts w:cstheme="minorHAnsi"/>
          <w:lang w:val="en-US"/>
        </w:rPr>
        <w:t>percent of GDP.</w:t>
      </w:r>
    </w:p>
    <w:p w14:paraId="1C67EFA8" w14:textId="7090CC87" w:rsidR="00CC0842" w:rsidRPr="00124DA6" w:rsidRDefault="00CC0842" w:rsidP="008250DD">
      <w:pPr>
        <w:pStyle w:val="ListParagraph"/>
        <w:numPr>
          <w:ilvl w:val="0"/>
          <w:numId w:val="6"/>
        </w:numPr>
        <w:autoSpaceDE w:val="0"/>
        <w:autoSpaceDN w:val="0"/>
        <w:adjustRightInd w:val="0"/>
        <w:spacing w:before="120" w:after="120" w:line="240" w:lineRule="auto"/>
        <w:ind w:left="1195" w:hanging="475"/>
        <w:contextualSpacing w:val="0"/>
        <w:jc w:val="both"/>
        <w:rPr>
          <w:rFonts w:cstheme="minorHAnsi"/>
          <w:lang w:val="en-US"/>
        </w:rPr>
      </w:pPr>
      <w:bookmarkStart w:id="12" w:name="_Hlk523848576"/>
      <w:r w:rsidRPr="00124DA6">
        <w:rPr>
          <w:rFonts w:cstheme="minorHAnsi"/>
          <w:color w:val="222222"/>
          <w:lang w:val="en-US"/>
        </w:rPr>
        <w:t>Benin</w:t>
      </w:r>
      <w:r w:rsidR="00141BD7">
        <w:rPr>
          <w:rFonts w:cstheme="minorHAnsi"/>
          <w:color w:val="222222"/>
          <w:lang w:val="en-US"/>
        </w:rPr>
        <w:t>’</w:t>
      </w:r>
      <w:r w:rsidRPr="00124DA6">
        <w:rPr>
          <w:rFonts w:cstheme="minorHAnsi"/>
          <w:color w:val="222222"/>
          <w:lang w:val="en-US"/>
        </w:rPr>
        <w:t>s microfinance sector is exposed to risks that threaten its stability and could compromise its growth</w:t>
      </w:r>
      <w:bookmarkEnd w:id="12"/>
      <w:r w:rsidRPr="00124DA6">
        <w:rPr>
          <w:rFonts w:cstheme="minorHAnsi"/>
          <w:color w:val="222222"/>
          <w:lang w:val="en-US"/>
        </w:rPr>
        <w:t>.</w:t>
      </w:r>
      <w:r w:rsidRPr="00124DA6">
        <w:rPr>
          <w:rFonts w:cstheme="minorHAnsi"/>
          <w:b/>
          <w:color w:val="222222"/>
          <w:lang w:val="en-US"/>
        </w:rPr>
        <w:t xml:space="preserve"> </w:t>
      </w:r>
      <w:bookmarkStart w:id="13" w:name="_Hlk523831434"/>
      <w:r w:rsidR="009A0C13">
        <w:rPr>
          <w:rFonts w:cstheme="minorHAnsi"/>
          <w:color w:val="222222"/>
          <w:lang w:val="en-US"/>
        </w:rPr>
        <w:t xml:space="preserve">Shortcomings </w:t>
      </w:r>
      <w:r w:rsidRPr="00124DA6">
        <w:rPr>
          <w:rFonts w:cstheme="minorHAnsi"/>
          <w:color w:val="222222"/>
          <w:lang w:val="en-US"/>
        </w:rPr>
        <w:t xml:space="preserve">are recorded </w:t>
      </w:r>
      <w:bookmarkEnd w:id="13"/>
      <w:r w:rsidRPr="00124DA6">
        <w:rPr>
          <w:rFonts w:cstheme="minorHAnsi"/>
          <w:color w:val="222222"/>
          <w:lang w:val="en-US"/>
        </w:rPr>
        <w:t xml:space="preserve">in </w:t>
      </w:r>
      <w:r w:rsidR="00115653">
        <w:rPr>
          <w:rFonts w:cstheme="minorHAnsi"/>
          <w:color w:val="222222"/>
          <w:lang w:val="en-US"/>
        </w:rPr>
        <w:t xml:space="preserve">terms of </w:t>
      </w:r>
      <w:r w:rsidRPr="00124DA6">
        <w:rPr>
          <w:rFonts w:cstheme="minorHAnsi"/>
          <w:color w:val="222222"/>
          <w:lang w:val="en-US"/>
        </w:rPr>
        <w:t>governance, financial and accounting management, internal control</w:t>
      </w:r>
      <w:r w:rsidR="00DC7B71" w:rsidRPr="00124DA6">
        <w:rPr>
          <w:rFonts w:cstheme="minorHAnsi"/>
          <w:color w:val="222222"/>
          <w:lang w:val="en-US"/>
        </w:rPr>
        <w:t>,</w:t>
      </w:r>
      <w:r w:rsidRPr="00124DA6">
        <w:rPr>
          <w:rFonts w:cstheme="minorHAnsi"/>
          <w:color w:val="222222"/>
          <w:lang w:val="en-US"/>
        </w:rPr>
        <w:t xml:space="preserve"> and credit processing</w:t>
      </w:r>
      <w:r w:rsidR="00936860" w:rsidRPr="00124DA6">
        <w:rPr>
          <w:rFonts w:cstheme="minorHAnsi"/>
          <w:color w:val="222222"/>
          <w:lang w:val="en-US"/>
        </w:rPr>
        <w:t xml:space="preserve"> of MFIs</w:t>
      </w:r>
      <w:r w:rsidRPr="00124DA6">
        <w:rPr>
          <w:rFonts w:cstheme="minorHAnsi"/>
          <w:color w:val="222222"/>
          <w:lang w:val="en-US"/>
        </w:rPr>
        <w:t xml:space="preserve">. </w:t>
      </w:r>
      <w:r w:rsidR="00DE219A" w:rsidRPr="00124DA6">
        <w:rPr>
          <w:rFonts w:cstheme="minorHAnsi"/>
          <w:color w:val="222222"/>
          <w:lang w:val="en-US"/>
        </w:rPr>
        <w:t>I</w:t>
      </w:r>
      <w:r w:rsidRPr="00124DA6">
        <w:rPr>
          <w:rFonts w:cstheme="minorHAnsi"/>
          <w:color w:val="222222"/>
          <w:lang w:val="en-US"/>
        </w:rPr>
        <w:t xml:space="preserve">n the formal microfinance sector, many </w:t>
      </w:r>
      <w:r w:rsidRPr="00124DA6">
        <w:rPr>
          <w:rFonts w:cstheme="minorHAnsi"/>
          <w:bCs/>
          <w:lang w:val="en-US"/>
        </w:rPr>
        <w:t xml:space="preserve">MFIs continued to operate despite operational and performance anomalies. </w:t>
      </w:r>
      <w:r w:rsidRPr="00124DA6">
        <w:rPr>
          <w:rFonts w:cstheme="minorHAnsi"/>
          <w:color w:val="222222"/>
          <w:lang w:val="en-US"/>
        </w:rPr>
        <w:t>Indeed, the overall quality of the credit portfolio in 2016 was 7</w:t>
      </w:r>
      <w:r w:rsidR="00212CAF" w:rsidRPr="00124DA6">
        <w:rPr>
          <w:rFonts w:cstheme="minorHAnsi"/>
          <w:color w:val="222222"/>
          <w:lang w:val="en-US"/>
        </w:rPr>
        <w:t xml:space="preserve"> percent</w:t>
      </w:r>
      <w:r w:rsidR="00841217" w:rsidRPr="00124DA6">
        <w:rPr>
          <w:rFonts w:cstheme="minorHAnsi"/>
          <w:color w:val="222222"/>
          <w:lang w:val="en-US"/>
        </w:rPr>
        <w:t xml:space="preserve"> </w:t>
      </w:r>
      <w:r w:rsidR="00841217" w:rsidRPr="00124DA6">
        <w:rPr>
          <w:rFonts w:cstheme="minorHAnsi"/>
          <w:lang w:val="en-US"/>
        </w:rPr>
        <w:t>(ANSSFD</w:t>
      </w:r>
      <w:r w:rsidR="00C702B4">
        <w:rPr>
          <w:rFonts w:cstheme="minorHAnsi"/>
          <w:lang w:val="en-US"/>
        </w:rPr>
        <w:t> </w:t>
      </w:r>
      <w:r w:rsidR="00841217" w:rsidRPr="00124DA6">
        <w:rPr>
          <w:rFonts w:cstheme="minorHAnsi"/>
          <w:lang w:val="en-US"/>
        </w:rPr>
        <w:t>2017)</w:t>
      </w:r>
      <w:r w:rsidR="00212CAF" w:rsidRPr="00124DA6">
        <w:rPr>
          <w:rFonts w:cstheme="minorHAnsi"/>
          <w:color w:val="222222"/>
          <w:lang w:val="en-US"/>
        </w:rPr>
        <w:t>,</w:t>
      </w:r>
      <w:r w:rsidR="00841217" w:rsidRPr="00124DA6" w:rsidDel="00212CAF">
        <w:rPr>
          <w:rFonts w:cstheme="minorHAnsi"/>
          <w:color w:val="222222"/>
          <w:lang w:val="en-US"/>
        </w:rPr>
        <w:t xml:space="preserve"> </w:t>
      </w:r>
      <w:r w:rsidRPr="00124DA6">
        <w:rPr>
          <w:rFonts w:cstheme="minorHAnsi"/>
          <w:color w:val="222222"/>
          <w:lang w:val="en-US"/>
        </w:rPr>
        <w:t>largely above the BCEAO standard set at 3</w:t>
      </w:r>
      <w:r w:rsidR="005514B2" w:rsidRPr="00124DA6">
        <w:rPr>
          <w:rFonts w:cstheme="minorHAnsi"/>
          <w:color w:val="222222"/>
          <w:lang w:val="en-US"/>
        </w:rPr>
        <w:t xml:space="preserve"> percent</w:t>
      </w:r>
      <w:r w:rsidRPr="00124DA6">
        <w:rPr>
          <w:rFonts w:cstheme="minorHAnsi"/>
          <w:color w:val="222222"/>
          <w:lang w:val="en-US"/>
        </w:rPr>
        <w:t xml:space="preserve">. </w:t>
      </w:r>
      <w:r w:rsidRPr="00124DA6">
        <w:rPr>
          <w:rFonts w:cstheme="minorHAnsi"/>
          <w:bCs/>
          <w:lang w:val="en-US"/>
        </w:rPr>
        <w:t>Also, t</w:t>
      </w:r>
      <w:r w:rsidR="00936860" w:rsidRPr="00124DA6">
        <w:rPr>
          <w:rFonts w:cstheme="minorHAnsi"/>
          <w:bCs/>
          <w:lang w:val="en-US"/>
        </w:rPr>
        <w:t>he growth of the sector could be undermine</w:t>
      </w:r>
      <w:r w:rsidR="00DE219A" w:rsidRPr="00124DA6">
        <w:rPr>
          <w:rFonts w:cstheme="minorHAnsi"/>
          <w:bCs/>
          <w:lang w:val="en-US"/>
        </w:rPr>
        <w:t>d</w:t>
      </w:r>
      <w:r w:rsidR="00936860" w:rsidRPr="00124DA6">
        <w:rPr>
          <w:rFonts w:cstheme="minorHAnsi"/>
          <w:bCs/>
          <w:lang w:val="en-US"/>
        </w:rPr>
        <w:t xml:space="preserve"> by the low profitability</w:t>
      </w:r>
      <w:r w:rsidRPr="00124DA6">
        <w:rPr>
          <w:rFonts w:cstheme="minorHAnsi"/>
          <w:bCs/>
          <w:lang w:val="en-US"/>
        </w:rPr>
        <w:t xml:space="preserve">. </w:t>
      </w:r>
      <w:r w:rsidRPr="00124DA6">
        <w:rPr>
          <w:rFonts w:cstheme="minorHAnsi"/>
          <w:lang w:val="en-US"/>
        </w:rPr>
        <w:t xml:space="preserve">In addition, the slow cleaning up of unauthorized MFIs since the 2010/11 crisis is worrying. Since </w:t>
      </w:r>
      <w:r w:rsidR="009F048E" w:rsidRPr="00124DA6">
        <w:rPr>
          <w:rFonts w:cstheme="minorHAnsi"/>
          <w:lang w:val="en-US"/>
        </w:rPr>
        <w:t xml:space="preserve">the </w:t>
      </w:r>
      <w:r w:rsidR="00845930" w:rsidRPr="00124DA6">
        <w:rPr>
          <w:rFonts w:cstheme="minorHAnsi"/>
          <w:lang w:val="en-US"/>
        </w:rPr>
        <w:t xml:space="preserve">Investment Consultancy </w:t>
      </w:r>
      <w:r w:rsidR="009F048E" w:rsidRPr="00124DA6">
        <w:rPr>
          <w:rFonts w:cstheme="minorHAnsi"/>
          <w:lang w:val="en-US"/>
        </w:rPr>
        <w:t xml:space="preserve">and </w:t>
      </w:r>
      <w:proofErr w:type="spellStart"/>
      <w:r w:rsidR="00845930" w:rsidRPr="00124DA6">
        <w:rPr>
          <w:rFonts w:cstheme="minorHAnsi"/>
          <w:lang w:val="en-US"/>
        </w:rPr>
        <w:t>Computering</w:t>
      </w:r>
      <w:proofErr w:type="spellEnd"/>
      <w:r w:rsidR="00845930" w:rsidRPr="00124DA6">
        <w:rPr>
          <w:rFonts w:cstheme="minorHAnsi"/>
          <w:lang w:val="en-US"/>
        </w:rPr>
        <w:t xml:space="preserve"> </w:t>
      </w:r>
      <w:r w:rsidR="009F048E" w:rsidRPr="00124DA6">
        <w:rPr>
          <w:rFonts w:cstheme="minorHAnsi"/>
          <w:lang w:val="en-US"/>
        </w:rPr>
        <w:t>(</w:t>
      </w:r>
      <w:r w:rsidRPr="00124DA6">
        <w:rPr>
          <w:rFonts w:cstheme="minorHAnsi"/>
          <w:lang w:val="en-US"/>
        </w:rPr>
        <w:t>ICC</w:t>
      </w:r>
      <w:r w:rsidR="009F048E" w:rsidRPr="00124DA6">
        <w:rPr>
          <w:rFonts w:cstheme="minorHAnsi"/>
          <w:lang w:val="en-US"/>
        </w:rPr>
        <w:t>)</w:t>
      </w:r>
      <w:r w:rsidRPr="00124DA6">
        <w:rPr>
          <w:rFonts w:cstheme="minorHAnsi"/>
          <w:lang w:val="en-US"/>
        </w:rPr>
        <w:t xml:space="preserve"> c</w:t>
      </w:r>
      <w:r w:rsidR="009F048E" w:rsidRPr="00124DA6">
        <w:rPr>
          <w:rFonts w:cstheme="minorHAnsi"/>
          <w:lang w:val="en-US"/>
        </w:rPr>
        <w:t>risis</w:t>
      </w:r>
      <w:r w:rsidR="00936860" w:rsidRPr="00124DA6">
        <w:rPr>
          <w:rFonts w:cstheme="minorHAnsi"/>
          <w:lang w:val="en-US"/>
        </w:rPr>
        <w:t>,</w:t>
      </w:r>
      <w:r w:rsidRPr="00124DA6">
        <w:rPr>
          <w:rFonts w:cstheme="minorHAnsi"/>
          <w:lang w:val="en-US"/>
        </w:rPr>
        <w:t xml:space="preserve"> </w:t>
      </w:r>
      <w:r w:rsidR="00C702B4">
        <w:rPr>
          <w:rFonts w:cstheme="minorHAnsi"/>
          <w:lang w:val="en-US"/>
        </w:rPr>
        <w:t>fewer</w:t>
      </w:r>
      <w:r w:rsidRPr="00124DA6">
        <w:rPr>
          <w:rFonts w:cstheme="minorHAnsi"/>
          <w:lang w:val="en-US"/>
        </w:rPr>
        <w:t xml:space="preserve"> than 15 institutions </w:t>
      </w:r>
      <w:r w:rsidR="00841217" w:rsidRPr="00124DA6">
        <w:rPr>
          <w:rFonts w:cstheme="minorHAnsi"/>
          <w:lang w:val="en-US"/>
        </w:rPr>
        <w:t>(ANSSFD</w:t>
      </w:r>
      <w:r w:rsidR="00C702B4">
        <w:rPr>
          <w:rFonts w:cstheme="minorHAnsi"/>
          <w:lang w:val="en-US"/>
        </w:rPr>
        <w:t> </w:t>
      </w:r>
      <w:r w:rsidR="00841217" w:rsidRPr="00124DA6">
        <w:rPr>
          <w:rFonts w:cstheme="minorHAnsi"/>
          <w:lang w:val="en-US"/>
        </w:rPr>
        <w:t xml:space="preserve">2017) </w:t>
      </w:r>
      <w:r w:rsidRPr="00124DA6">
        <w:rPr>
          <w:rFonts w:cstheme="minorHAnsi"/>
          <w:lang w:val="en-US"/>
        </w:rPr>
        <w:t>ha</w:t>
      </w:r>
      <w:r w:rsidR="009F048E" w:rsidRPr="00124DA6">
        <w:rPr>
          <w:rFonts w:cstheme="minorHAnsi"/>
          <w:lang w:val="en-US"/>
        </w:rPr>
        <w:t>ve</w:t>
      </w:r>
      <w:r w:rsidRPr="00124DA6">
        <w:rPr>
          <w:rFonts w:cstheme="minorHAnsi"/>
          <w:lang w:val="en-US"/>
        </w:rPr>
        <w:t xml:space="preserve"> been closed by the microfinance supervisor authority.</w:t>
      </w:r>
      <w:r w:rsidR="00165C4D" w:rsidRPr="00124DA6">
        <w:rPr>
          <w:rFonts w:cstheme="minorHAnsi"/>
          <w:lang w:val="en-US"/>
        </w:rPr>
        <w:t xml:space="preserve"> </w:t>
      </w:r>
    </w:p>
    <w:p w14:paraId="5A61D141" w14:textId="77777777" w:rsidR="00CC0842" w:rsidRPr="009A0C13" w:rsidRDefault="00CC0842" w:rsidP="008250DD">
      <w:pPr>
        <w:pStyle w:val="ListParagraph"/>
        <w:numPr>
          <w:ilvl w:val="0"/>
          <w:numId w:val="6"/>
        </w:numPr>
        <w:autoSpaceDE w:val="0"/>
        <w:autoSpaceDN w:val="0"/>
        <w:adjustRightInd w:val="0"/>
        <w:spacing w:before="120" w:after="120" w:line="240" w:lineRule="auto"/>
        <w:ind w:left="1195" w:hanging="475"/>
        <w:contextualSpacing w:val="0"/>
        <w:jc w:val="both"/>
        <w:rPr>
          <w:rFonts w:cstheme="minorHAnsi"/>
          <w:lang w:val="en-US"/>
        </w:rPr>
      </w:pPr>
      <w:r w:rsidRPr="009A0C13">
        <w:rPr>
          <w:rFonts w:cstheme="minorHAnsi"/>
          <w:bCs/>
          <w:lang w:val="en-US"/>
        </w:rPr>
        <w:t>Transparency, fair and respectful treatment of clients, and mechanisms for complaint resolution emerge as the Client Protection Principles that resonate most as priorities for</w:t>
      </w:r>
      <w:r w:rsidR="00936860" w:rsidRPr="009A0C13">
        <w:rPr>
          <w:rFonts w:cstheme="minorHAnsi"/>
          <w:bCs/>
          <w:lang w:val="en-US"/>
        </w:rPr>
        <w:t xml:space="preserve"> microfinance</w:t>
      </w:r>
      <w:r w:rsidRPr="009A0C13">
        <w:rPr>
          <w:rFonts w:cstheme="minorHAnsi"/>
          <w:bCs/>
          <w:lang w:val="en-US"/>
        </w:rPr>
        <w:t xml:space="preserve"> client protection.</w:t>
      </w:r>
    </w:p>
    <w:p w14:paraId="712131FE" w14:textId="7E034077" w:rsidR="00E80338" w:rsidRPr="00B07AF0" w:rsidRDefault="00221A82" w:rsidP="00221A82">
      <w:pPr>
        <w:pStyle w:val="Heading2"/>
        <w:rPr>
          <w:b/>
          <w:lang w:val="en-US"/>
        </w:rPr>
      </w:pPr>
      <w:bookmarkStart w:id="14" w:name="_Toc3975123"/>
      <w:r w:rsidRPr="00B07AF0">
        <w:rPr>
          <w:b/>
          <w:lang w:val="en-US"/>
        </w:rPr>
        <w:t>2</w:t>
      </w:r>
      <w:r w:rsidR="00E80338" w:rsidRPr="00B07AF0">
        <w:rPr>
          <w:b/>
          <w:lang w:val="en-US"/>
        </w:rPr>
        <w:t>.1</w:t>
      </w:r>
      <w:r w:rsidRPr="00B07AF0">
        <w:rPr>
          <w:b/>
          <w:lang w:val="en-US"/>
        </w:rPr>
        <w:t xml:space="preserve"> State of the Microfinance Sector in Benin</w:t>
      </w:r>
      <w:bookmarkEnd w:id="14"/>
    </w:p>
    <w:p w14:paraId="2187CDAB" w14:textId="6697305F" w:rsidR="00221A82" w:rsidRPr="00124DA6" w:rsidRDefault="00E50A7B" w:rsidP="00E50A7B">
      <w:pPr>
        <w:pStyle w:val="Heading3"/>
        <w:ind w:firstLine="360"/>
        <w:rPr>
          <w:lang w:val="en-US"/>
        </w:rPr>
      </w:pPr>
      <w:bookmarkStart w:id="15" w:name="_Toc3975124"/>
      <w:r w:rsidRPr="00B07AF0">
        <w:rPr>
          <w:b/>
          <w:lang w:val="en-US"/>
        </w:rPr>
        <w:t xml:space="preserve">2.1.1 </w:t>
      </w:r>
      <w:r w:rsidR="00E80338" w:rsidRPr="00B07AF0">
        <w:rPr>
          <w:b/>
          <w:lang w:val="en-US"/>
        </w:rPr>
        <w:t>Microfinance</w:t>
      </w:r>
      <w:r w:rsidR="00EC099C" w:rsidRPr="00B07AF0">
        <w:rPr>
          <w:b/>
          <w:lang w:val="en-US"/>
        </w:rPr>
        <w:t xml:space="preserve"> is</w:t>
      </w:r>
      <w:r w:rsidR="00E80338" w:rsidRPr="00B07AF0">
        <w:rPr>
          <w:b/>
          <w:lang w:val="en-US"/>
        </w:rPr>
        <w:t xml:space="preserve"> a key sector for financial inclusion</w:t>
      </w:r>
      <w:bookmarkEnd w:id="15"/>
    </w:p>
    <w:p w14:paraId="71E9DE47" w14:textId="5DC28410" w:rsidR="00221A82" w:rsidRPr="00E80338" w:rsidRDefault="00221A82" w:rsidP="0047760A">
      <w:pPr>
        <w:pStyle w:val="ListParagraph"/>
        <w:numPr>
          <w:ilvl w:val="0"/>
          <w:numId w:val="47"/>
        </w:numPr>
        <w:spacing w:after="240" w:line="240" w:lineRule="auto"/>
        <w:ind w:left="-90" w:firstLine="0"/>
        <w:jc w:val="both"/>
        <w:rPr>
          <w:lang w:val="en-US"/>
        </w:rPr>
      </w:pPr>
      <w:r w:rsidRPr="00E80338">
        <w:rPr>
          <w:rFonts w:cstheme="minorHAnsi"/>
          <w:b/>
          <w:bCs/>
          <w:lang w:val="en-US"/>
        </w:rPr>
        <w:t xml:space="preserve">The microfinance </w:t>
      </w:r>
      <w:r w:rsidRPr="00E80338">
        <w:rPr>
          <w:rFonts w:cstheme="minorHAnsi"/>
          <w:b/>
          <w:lang w:val="en-US"/>
        </w:rPr>
        <w:t>sector</w:t>
      </w:r>
      <w:r w:rsidRPr="00E80338">
        <w:rPr>
          <w:rFonts w:cstheme="minorHAnsi"/>
          <w:b/>
          <w:bCs/>
          <w:lang w:val="en-US"/>
        </w:rPr>
        <w:t xml:space="preserve"> </w:t>
      </w:r>
      <w:r w:rsidRPr="00E80338">
        <w:rPr>
          <w:b/>
          <w:lang w:val="en-US"/>
        </w:rPr>
        <w:t xml:space="preserve">serves a large segment of </w:t>
      </w:r>
      <w:r w:rsidR="007650F0">
        <w:rPr>
          <w:b/>
          <w:lang w:val="en-US"/>
        </w:rPr>
        <w:t xml:space="preserve">the </w:t>
      </w:r>
      <w:r w:rsidRPr="00E80338">
        <w:rPr>
          <w:b/>
          <w:lang w:val="en-US"/>
        </w:rPr>
        <w:t>Beninese population</w:t>
      </w:r>
      <w:r w:rsidRPr="00E80338">
        <w:rPr>
          <w:lang w:val="en-US"/>
        </w:rPr>
        <w:t xml:space="preserve">. About 37 percent of adults in Benin hold an </w:t>
      </w:r>
      <w:r w:rsidRPr="00E80338">
        <w:rPr>
          <w:rFonts w:ascii="Calibri" w:hAnsi="Calibri" w:cs="Calibri"/>
          <w:lang w:val="en-US"/>
        </w:rPr>
        <w:t xml:space="preserve">account with </w:t>
      </w:r>
      <w:r w:rsidR="007650F0">
        <w:rPr>
          <w:rFonts w:ascii="Calibri" w:hAnsi="Calibri" w:cs="Calibri"/>
          <w:lang w:val="en-US"/>
        </w:rPr>
        <w:t xml:space="preserve">an </w:t>
      </w:r>
      <w:r w:rsidRPr="00E80338">
        <w:rPr>
          <w:rFonts w:ascii="Calibri" w:hAnsi="Calibri" w:cs="Calibri"/>
          <w:lang w:val="en-US"/>
        </w:rPr>
        <w:t>MFI, the second</w:t>
      </w:r>
      <w:r w:rsidR="00141BD7">
        <w:rPr>
          <w:rFonts w:ascii="Calibri" w:hAnsi="Calibri" w:cs="Calibri"/>
          <w:lang w:val="en-US"/>
        </w:rPr>
        <w:t>-</w:t>
      </w:r>
      <w:r w:rsidRPr="00E80338">
        <w:rPr>
          <w:rFonts w:ascii="Calibri" w:hAnsi="Calibri" w:cs="Calibri"/>
          <w:lang w:val="en-US"/>
        </w:rPr>
        <w:t xml:space="preserve">highest penetration in the WAEMU zone (see </w:t>
      </w:r>
      <w:r w:rsidRPr="00E80338">
        <w:rPr>
          <w:rFonts w:ascii="Calibri" w:hAnsi="Calibri" w:cs="Calibri"/>
          <w:lang w:val="en-US"/>
        </w:rPr>
        <w:fldChar w:fldCharType="begin"/>
      </w:r>
      <w:r w:rsidRPr="00E80338">
        <w:rPr>
          <w:rFonts w:ascii="Calibri" w:hAnsi="Calibri" w:cs="Calibri"/>
          <w:lang w:val="en-US"/>
        </w:rPr>
        <w:instrText xml:space="preserve"> REF _Ref520288803 \h  \* MERGEFORMAT </w:instrText>
      </w:r>
      <w:r w:rsidRPr="00E80338">
        <w:rPr>
          <w:rFonts w:ascii="Calibri" w:hAnsi="Calibri" w:cs="Calibri"/>
          <w:lang w:val="en-US"/>
        </w:rPr>
      </w:r>
      <w:r w:rsidRPr="00E80338">
        <w:rPr>
          <w:rFonts w:ascii="Calibri" w:hAnsi="Calibri" w:cs="Calibri"/>
          <w:lang w:val="en-US"/>
        </w:rPr>
        <w:fldChar w:fldCharType="separate"/>
      </w:r>
      <w:r w:rsidR="004C6E5F">
        <w:rPr>
          <w:rFonts w:ascii="Calibri" w:hAnsi="Calibri" w:cs="Calibri"/>
          <w:b/>
          <w:bCs/>
          <w:lang w:val="en-US"/>
        </w:rPr>
        <w:t>Error! Reference source not found.</w:t>
      </w:r>
      <w:r w:rsidRPr="00E80338">
        <w:rPr>
          <w:rFonts w:ascii="Calibri" w:hAnsi="Calibri" w:cs="Calibri"/>
          <w:lang w:val="en-US"/>
        </w:rPr>
        <w:fldChar w:fldCharType="end"/>
      </w:r>
      <w:r w:rsidRPr="00E80338">
        <w:rPr>
          <w:rFonts w:ascii="Calibri" w:hAnsi="Calibri" w:cs="Calibri"/>
          <w:lang w:val="en-US"/>
        </w:rPr>
        <w:t xml:space="preserve">). The </w:t>
      </w:r>
      <w:r w:rsidRPr="00E80338">
        <w:rPr>
          <w:lang w:val="en-US"/>
        </w:rPr>
        <w:t>sector reaches almost double the population served by the banking sector with approximative 2.2</w:t>
      </w:r>
      <w:r w:rsidR="00C702B4">
        <w:rPr>
          <w:lang w:val="en-US"/>
        </w:rPr>
        <w:t> </w:t>
      </w:r>
      <w:r w:rsidRPr="00E80338">
        <w:rPr>
          <w:lang w:val="en-US"/>
        </w:rPr>
        <w:t>million clients/members (Consortium Alafia</w:t>
      </w:r>
      <w:r w:rsidR="00C702B4">
        <w:rPr>
          <w:lang w:val="en-US"/>
        </w:rPr>
        <w:t> </w:t>
      </w:r>
      <w:r w:rsidRPr="00E80338">
        <w:rPr>
          <w:lang w:val="en-US"/>
        </w:rPr>
        <w:t xml:space="preserve">2017) in 2016 through 697 points of services. In 10 years, the number of clients/members served by MFIs tripled. </w:t>
      </w:r>
    </w:p>
    <w:tbl>
      <w:tblPr>
        <w:tblStyle w:val="TableGrid"/>
        <w:tblW w:w="532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
        <w:gridCol w:w="4093"/>
        <w:gridCol w:w="73"/>
        <w:gridCol w:w="549"/>
        <w:gridCol w:w="4238"/>
        <w:gridCol w:w="622"/>
      </w:tblGrid>
      <w:tr w:rsidR="00221A82" w:rsidRPr="008A6E7B" w14:paraId="10107230" w14:textId="77777777" w:rsidTr="004C2ECD">
        <w:trPr>
          <w:gridAfter w:val="1"/>
          <w:wAfter w:w="305" w:type="pct"/>
        </w:trPr>
        <w:tc>
          <w:tcPr>
            <w:tcW w:w="2348" w:type="pct"/>
            <w:gridSpan w:val="3"/>
          </w:tcPr>
          <w:p w14:paraId="34013CBC" w14:textId="0A5153C2" w:rsidR="00221A82" w:rsidRPr="00B07AF0" w:rsidRDefault="00221A82" w:rsidP="00B03F0F">
            <w:pPr>
              <w:pStyle w:val="Caption"/>
              <w:keepNext/>
              <w:rPr>
                <w:b/>
              </w:rPr>
            </w:pPr>
            <w:r w:rsidRPr="00B07AF0">
              <w:rPr>
                <w:b/>
              </w:rPr>
              <w:t>Figure</w:t>
            </w:r>
            <w:r w:rsidR="00C702B4" w:rsidRPr="00B07AF0">
              <w:rPr>
                <w:b/>
              </w:rPr>
              <w:t> </w:t>
            </w:r>
            <w:r w:rsidRPr="00B07AF0">
              <w:rPr>
                <w:b/>
              </w:rPr>
              <w:t>2.</w:t>
            </w:r>
            <w:r w:rsidRPr="00B07AF0">
              <w:rPr>
                <w:b/>
              </w:rPr>
              <w:fldChar w:fldCharType="begin"/>
            </w:r>
            <w:r w:rsidRPr="00B07AF0">
              <w:rPr>
                <w:b/>
              </w:rPr>
              <w:instrText xml:space="preserve"> SEQ Figure_2. \* ARABIC </w:instrText>
            </w:r>
            <w:r w:rsidRPr="00B07AF0">
              <w:rPr>
                <w:b/>
              </w:rPr>
              <w:fldChar w:fldCharType="separate"/>
            </w:r>
            <w:r w:rsidR="004C6E5F" w:rsidRPr="00B07AF0">
              <w:rPr>
                <w:b/>
                <w:noProof/>
              </w:rPr>
              <w:t>1</w:t>
            </w:r>
            <w:r w:rsidRPr="00B07AF0">
              <w:rPr>
                <w:b/>
              </w:rPr>
              <w:fldChar w:fldCharType="end"/>
            </w:r>
            <w:r w:rsidRPr="00B07AF0">
              <w:rPr>
                <w:rStyle w:val="Heading5Char"/>
                <w:rFonts w:eastAsia="MS Mincho" w:cs="Times New Roman"/>
                <w:b/>
              </w:rPr>
              <w:t>: Percentage of adults with MFIs account</w:t>
            </w:r>
            <w:r w:rsidRPr="00B07AF0">
              <w:rPr>
                <w:b/>
              </w:rPr>
              <w:t xml:space="preserve"> </w:t>
            </w:r>
          </w:p>
        </w:tc>
        <w:tc>
          <w:tcPr>
            <w:tcW w:w="2347" w:type="pct"/>
            <w:gridSpan w:val="2"/>
          </w:tcPr>
          <w:p w14:paraId="2E83C45A" w14:textId="6D0700F5" w:rsidR="00221A82" w:rsidRPr="00B07AF0" w:rsidRDefault="00221A82" w:rsidP="00B03F0F">
            <w:pPr>
              <w:pStyle w:val="Caption"/>
              <w:keepNext/>
              <w:rPr>
                <w:b/>
              </w:rPr>
            </w:pPr>
            <w:r w:rsidRPr="00B07AF0">
              <w:rPr>
                <w:b/>
              </w:rPr>
              <w:t>Figure</w:t>
            </w:r>
            <w:r w:rsidR="00C702B4" w:rsidRPr="00B07AF0">
              <w:rPr>
                <w:b/>
              </w:rPr>
              <w:t> </w:t>
            </w:r>
            <w:r w:rsidRPr="00B07AF0">
              <w:rPr>
                <w:b/>
              </w:rPr>
              <w:t>2.</w:t>
            </w:r>
            <w:r w:rsidRPr="00B07AF0">
              <w:rPr>
                <w:b/>
              </w:rPr>
              <w:fldChar w:fldCharType="begin"/>
            </w:r>
            <w:r w:rsidRPr="00B07AF0">
              <w:rPr>
                <w:b/>
              </w:rPr>
              <w:instrText xml:space="preserve"> SEQ Figure_2. \* ARABIC </w:instrText>
            </w:r>
            <w:r w:rsidRPr="00B07AF0">
              <w:rPr>
                <w:b/>
              </w:rPr>
              <w:fldChar w:fldCharType="separate"/>
            </w:r>
            <w:r w:rsidR="004C6E5F" w:rsidRPr="00B07AF0">
              <w:rPr>
                <w:b/>
                <w:noProof/>
              </w:rPr>
              <w:t>2</w:t>
            </w:r>
            <w:r w:rsidRPr="00B07AF0">
              <w:rPr>
                <w:b/>
              </w:rPr>
              <w:fldChar w:fldCharType="end"/>
            </w:r>
            <w:r w:rsidRPr="00B07AF0">
              <w:rPr>
                <w:rStyle w:val="Heading5Char"/>
                <w:rFonts w:eastAsia="MS Mincho" w:cs="Times New Roman"/>
                <w:b/>
              </w:rPr>
              <w:t>: MFIs clientele evolution in Benin</w:t>
            </w:r>
          </w:p>
        </w:tc>
      </w:tr>
      <w:tr w:rsidR="00221A82" w:rsidRPr="00124DA6" w14:paraId="6AB3E164" w14:textId="77777777" w:rsidTr="0047760A">
        <w:trPr>
          <w:gridAfter w:val="1"/>
          <w:wAfter w:w="305" w:type="pct"/>
        </w:trPr>
        <w:tc>
          <w:tcPr>
            <w:tcW w:w="2312" w:type="pct"/>
            <w:gridSpan w:val="2"/>
          </w:tcPr>
          <w:p w14:paraId="61F94578" w14:textId="77777777" w:rsidR="00221A82" w:rsidRPr="00124DA6" w:rsidRDefault="00221A82" w:rsidP="0047760A">
            <w:pPr>
              <w:keepNext/>
              <w:jc w:val="center"/>
            </w:pPr>
            <w:r w:rsidRPr="00124DA6">
              <w:rPr>
                <w:noProof/>
                <w:lang w:eastAsia="fr-FR"/>
              </w:rPr>
              <w:drawing>
                <wp:inline distT="0" distB="0" distL="0" distR="0" wp14:anchorId="0FC6296C" wp14:editId="33A6BD22">
                  <wp:extent cx="2571750" cy="180685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8683"/>
                          <a:stretch/>
                        </pic:blipFill>
                        <pic:spPr bwMode="auto">
                          <a:xfrm>
                            <a:off x="0" y="0"/>
                            <a:ext cx="2572516" cy="1807393"/>
                          </a:xfrm>
                          <a:prstGeom prst="rect">
                            <a:avLst/>
                          </a:prstGeom>
                          <a:noFill/>
                          <a:ln>
                            <a:noFill/>
                          </a:ln>
                          <a:extLst>
                            <a:ext uri="{53640926-AAD7-44D8-BBD7-CCE9431645EC}">
                              <a14:shadowObscured xmlns:a14="http://schemas.microsoft.com/office/drawing/2010/main"/>
                            </a:ext>
                          </a:extLst>
                        </pic:spPr>
                      </pic:pic>
                    </a:graphicData>
                  </a:graphic>
                </wp:inline>
              </w:drawing>
            </w:r>
          </w:p>
          <w:p w14:paraId="32EB08FA" w14:textId="77777777" w:rsidR="00221A82" w:rsidRPr="00124DA6" w:rsidRDefault="00221A82" w:rsidP="0047760A">
            <w:pPr>
              <w:pStyle w:val="Caption"/>
            </w:pPr>
          </w:p>
        </w:tc>
        <w:tc>
          <w:tcPr>
            <w:tcW w:w="2383" w:type="pct"/>
            <w:gridSpan w:val="3"/>
          </w:tcPr>
          <w:p w14:paraId="69011C9F" w14:textId="070CFB3B" w:rsidR="00221A82" w:rsidRPr="00124DA6" w:rsidRDefault="00221A82" w:rsidP="00E148C2">
            <w:pPr>
              <w:keepNext/>
              <w:jc w:val="center"/>
            </w:pPr>
            <w:r w:rsidRPr="00124DA6">
              <w:rPr>
                <w:noProof/>
                <w:lang w:eastAsia="fr-FR"/>
              </w:rPr>
              <w:drawing>
                <wp:inline distT="0" distB="0" distL="0" distR="0" wp14:anchorId="07579CE6" wp14:editId="1EB2A323">
                  <wp:extent cx="2870521" cy="2094230"/>
                  <wp:effectExtent l="0" t="0" r="6350" b="1270"/>
                  <wp:docPr id="23" name="Chart 23">
                    <a:extLst xmlns:a="http://schemas.openxmlformats.org/drawingml/2006/main">
                      <a:ext uri="{FF2B5EF4-FFF2-40B4-BE49-F238E27FC236}">
                        <a16:creationId xmlns:a16="http://schemas.microsoft.com/office/drawing/2014/main" id="{6F47E354-4FB7-47FB-8462-CE46273602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221A82" w:rsidRPr="00124DA6" w14:paraId="569F60B2" w14:textId="77777777" w:rsidTr="0047760A">
        <w:trPr>
          <w:gridBefore w:val="1"/>
          <w:wBefore w:w="305" w:type="pct"/>
        </w:trPr>
        <w:tc>
          <w:tcPr>
            <w:tcW w:w="2312" w:type="pct"/>
            <w:gridSpan w:val="3"/>
          </w:tcPr>
          <w:p w14:paraId="11DAAD2C" w14:textId="40BC9BC8" w:rsidR="00221A82" w:rsidRPr="00124DA6" w:rsidRDefault="00221A82" w:rsidP="00B03F0F">
            <w:pPr>
              <w:keepNext/>
              <w:rPr>
                <w:rFonts w:asciiTheme="majorHAnsi" w:hAnsiTheme="majorHAnsi" w:cstheme="majorHAnsi"/>
                <w:color w:val="2E74B5" w:themeColor="accent1" w:themeShade="BF"/>
              </w:rPr>
            </w:pPr>
            <w:r w:rsidRPr="00124DA6">
              <w:rPr>
                <w:rFonts w:asciiTheme="majorHAnsi" w:hAnsiTheme="majorHAnsi" w:cstheme="majorHAnsi"/>
                <w:i/>
                <w:color w:val="2E74B5" w:themeColor="accent1" w:themeShade="BF"/>
              </w:rPr>
              <w:t>Source</w:t>
            </w:r>
            <w:r w:rsidRPr="00124DA6">
              <w:rPr>
                <w:rFonts w:asciiTheme="majorHAnsi" w:hAnsiTheme="majorHAnsi" w:cstheme="majorHAnsi"/>
                <w:color w:val="2E74B5" w:themeColor="accent1" w:themeShade="BF"/>
              </w:rPr>
              <w:t>: FAS, WDI</w:t>
            </w:r>
            <w:r w:rsidR="00C702B4">
              <w:rPr>
                <w:rFonts w:asciiTheme="majorHAnsi" w:hAnsiTheme="majorHAnsi" w:cstheme="majorHAnsi"/>
                <w:color w:val="2E74B5" w:themeColor="accent1" w:themeShade="BF"/>
              </w:rPr>
              <w:t> </w:t>
            </w:r>
            <w:r w:rsidRPr="00124DA6">
              <w:rPr>
                <w:rFonts w:asciiTheme="majorHAnsi" w:hAnsiTheme="majorHAnsi" w:cstheme="majorHAnsi"/>
                <w:color w:val="2E74B5" w:themeColor="accent1" w:themeShade="BF"/>
              </w:rPr>
              <w:t>2015 team analysis.</w:t>
            </w:r>
          </w:p>
        </w:tc>
        <w:tc>
          <w:tcPr>
            <w:tcW w:w="2383" w:type="pct"/>
            <w:gridSpan w:val="2"/>
          </w:tcPr>
          <w:p w14:paraId="0D321D6C" w14:textId="1EB12D56" w:rsidR="00221A82" w:rsidRPr="00124DA6" w:rsidRDefault="00221A82" w:rsidP="00B03F0F">
            <w:pPr>
              <w:keepNext/>
              <w:rPr>
                <w:rFonts w:asciiTheme="majorHAnsi" w:hAnsiTheme="majorHAnsi" w:cstheme="majorHAnsi"/>
                <w:color w:val="2E74B5" w:themeColor="accent1" w:themeShade="BF"/>
              </w:rPr>
            </w:pPr>
            <w:r w:rsidRPr="00124DA6">
              <w:rPr>
                <w:rFonts w:asciiTheme="majorHAnsi" w:hAnsiTheme="majorHAnsi" w:cstheme="majorHAnsi"/>
                <w:i/>
                <w:color w:val="2E74B5" w:themeColor="accent1" w:themeShade="BF"/>
              </w:rPr>
              <w:t>Source</w:t>
            </w:r>
            <w:r w:rsidRPr="00124DA6">
              <w:rPr>
                <w:rFonts w:asciiTheme="majorHAnsi" w:hAnsiTheme="majorHAnsi" w:cstheme="majorHAnsi"/>
                <w:color w:val="2E74B5" w:themeColor="accent1" w:themeShade="BF"/>
              </w:rPr>
              <w:t>: ANSSFD</w:t>
            </w:r>
            <w:r w:rsidR="00C702B4">
              <w:rPr>
                <w:rFonts w:asciiTheme="majorHAnsi" w:hAnsiTheme="majorHAnsi" w:cstheme="majorHAnsi"/>
                <w:color w:val="2E74B5" w:themeColor="accent1" w:themeShade="BF"/>
              </w:rPr>
              <w:t> </w:t>
            </w:r>
            <w:r w:rsidRPr="00124DA6">
              <w:rPr>
                <w:rFonts w:asciiTheme="majorHAnsi" w:hAnsiTheme="majorHAnsi" w:cstheme="majorHAnsi"/>
                <w:color w:val="2E74B5" w:themeColor="accent1" w:themeShade="BF"/>
              </w:rPr>
              <w:t>2017.</w:t>
            </w:r>
          </w:p>
        </w:tc>
      </w:tr>
    </w:tbl>
    <w:p w14:paraId="3B4D69CD" w14:textId="77777777" w:rsidR="00221A82" w:rsidRDefault="00221A82" w:rsidP="00221A82">
      <w:pPr>
        <w:pStyle w:val="ListParagraph"/>
        <w:tabs>
          <w:tab w:val="left" w:pos="915"/>
        </w:tabs>
        <w:spacing w:line="240" w:lineRule="auto"/>
        <w:jc w:val="both"/>
        <w:rPr>
          <w:rFonts w:cstheme="minorHAnsi"/>
          <w:lang w:val="en-US"/>
        </w:rPr>
      </w:pPr>
    </w:p>
    <w:p w14:paraId="7DA07858" w14:textId="71FAD7AC" w:rsidR="00E80338" w:rsidRDefault="00115653" w:rsidP="00354F61">
      <w:pPr>
        <w:pStyle w:val="ListParagraph"/>
        <w:numPr>
          <w:ilvl w:val="0"/>
          <w:numId w:val="47"/>
        </w:numPr>
        <w:spacing w:after="240" w:line="240" w:lineRule="auto"/>
        <w:ind w:left="0" w:firstLine="0"/>
        <w:contextualSpacing w:val="0"/>
        <w:jc w:val="both"/>
        <w:rPr>
          <w:rFonts w:cstheme="minorHAnsi"/>
          <w:lang w:val="en-US"/>
        </w:rPr>
      </w:pPr>
      <w:r>
        <w:rPr>
          <w:rFonts w:cstheme="minorHAnsi"/>
          <w:b/>
          <w:lang w:val="en-US"/>
        </w:rPr>
        <w:t>Most microfinance customers are</w:t>
      </w:r>
      <w:r w:rsidR="00221A82" w:rsidRPr="00E80338">
        <w:rPr>
          <w:rFonts w:cstheme="minorHAnsi"/>
          <w:b/>
          <w:lang w:val="en-US"/>
        </w:rPr>
        <w:t xml:space="preserve"> women</w:t>
      </w:r>
      <w:r w:rsidR="007650F0">
        <w:rPr>
          <w:rFonts w:cstheme="minorHAnsi"/>
          <w:b/>
          <w:lang w:val="en-US"/>
        </w:rPr>
        <w:t>,</w:t>
      </w:r>
      <w:r w:rsidR="00221A82" w:rsidRPr="00E80338">
        <w:rPr>
          <w:rFonts w:cstheme="minorHAnsi"/>
          <w:b/>
          <w:lang w:val="en-US"/>
        </w:rPr>
        <w:t xml:space="preserve"> and </w:t>
      </w:r>
      <w:r w:rsidR="007650F0">
        <w:rPr>
          <w:rFonts w:cstheme="minorHAnsi"/>
          <w:b/>
          <w:lang w:val="en-US"/>
        </w:rPr>
        <w:t xml:space="preserve">they are </w:t>
      </w:r>
      <w:r w:rsidR="00221A82" w:rsidRPr="00E80338">
        <w:rPr>
          <w:rFonts w:cstheme="minorHAnsi"/>
          <w:b/>
          <w:lang w:val="en-US"/>
        </w:rPr>
        <w:t>increasingly urban</w:t>
      </w:r>
      <w:r w:rsidR="00221A82" w:rsidRPr="00E80338">
        <w:rPr>
          <w:rFonts w:cstheme="minorHAnsi"/>
          <w:lang w:val="en-US"/>
        </w:rPr>
        <w:t>. Women</w:t>
      </w:r>
      <w:r w:rsidR="00221A82" w:rsidRPr="00E80338">
        <w:rPr>
          <w:rFonts w:cstheme="minorHAnsi"/>
          <w:color w:val="222222"/>
          <w:lang w:val="en-US"/>
        </w:rPr>
        <w:t xml:space="preserve"> remain most of the users, but the percentage has steadily declined from 66 percent in 2012 to 59.4 percent in 2016. As for the </w:t>
      </w:r>
      <w:r w:rsidR="00221A82" w:rsidRPr="00E80338">
        <w:rPr>
          <w:lang w:val="en-US"/>
        </w:rPr>
        <w:t>geographical</w:t>
      </w:r>
      <w:r w:rsidR="00221A82" w:rsidRPr="00E80338">
        <w:rPr>
          <w:rFonts w:cstheme="minorHAnsi"/>
          <w:color w:val="222222"/>
          <w:lang w:val="en-US"/>
        </w:rPr>
        <w:t xml:space="preserve"> distribution of </w:t>
      </w:r>
      <w:r>
        <w:rPr>
          <w:rFonts w:cstheme="minorHAnsi"/>
          <w:color w:val="222222"/>
          <w:lang w:val="en-US"/>
        </w:rPr>
        <w:t>customers</w:t>
      </w:r>
      <w:r w:rsidR="00221A82" w:rsidRPr="00E80338">
        <w:rPr>
          <w:rFonts w:cstheme="minorHAnsi"/>
          <w:color w:val="222222"/>
          <w:lang w:val="en-US"/>
        </w:rPr>
        <w:t xml:space="preserve">, </w:t>
      </w:r>
      <w:r>
        <w:rPr>
          <w:rFonts w:cstheme="minorHAnsi"/>
          <w:color w:val="222222"/>
          <w:lang w:val="en-US"/>
        </w:rPr>
        <w:t>a</w:t>
      </w:r>
      <w:r w:rsidR="00221A82" w:rsidRPr="00E80338">
        <w:rPr>
          <w:rFonts w:cstheme="minorHAnsi"/>
          <w:color w:val="222222"/>
          <w:lang w:val="en-US"/>
        </w:rPr>
        <w:t xml:space="preserve"> majority </w:t>
      </w:r>
      <w:r>
        <w:rPr>
          <w:rFonts w:cstheme="minorHAnsi"/>
          <w:color w:val="222222"/>
          <w:lang w:val="en-US"/>
        </w:rPr>
        <w:t xml:space="preserve">remained urban </w:t>
      </w:r>
      <w:r w:rsidR="00221A82" w:rsidRPr="00E80338">
        <w:rPr>
          <w:rFonts w:cstheme="minorHAnsi"/>
          <w:color w:val="222222"/>
          <w:lang w:val="en-US"/>
        </w:rPr>
        <w:t xml:space="preserve">and varied between 57.9 percent and 62.7 percent for 2012–2016. </w:t>
      </w:r>
    </w:p>
    <w:p w14:paraId="1035CD0B" w14:textId="3F30D15A" w:rsidR="00E80338" w:rsidRPr="00E80338" w:rsidRDefault="00E80338" w:rsidP="00354F61">
      <w:pPr>
        <w:pStyle w:val="ListParagraph"/>
        <w:numPr>
          <w:ilvl w:val="0"/>
          <w:numId w:val="47"/>
        </w:numPr>
        <w:spacing w:after="240" w:line="240" w:lineRule="auto"/>
        <w:ind w:left="0" w:firstLine="0"/>
        <w:contextualSpacing w:val="0"/>
        <w:jc w:val="both"/>
        <w:rPr>
          <w:rFonts w:cstheme="minorHAnsi"/>
          <w:lang w:val="en-US"/>
        </w:rPr>
      </w:pPr>
      <w:r w:rsidRPr="00E80338">
        <w:rPr>
          <w:rFonts w:cstheme="minorHAnsi"/>
          <w:b/>
          <w:bCs/>
          <w:lang w:val="en-US"/>
        </w:rPr>
        <w:t xml:space="preserve">The sector consists of a diverse range of institutions, of widely varying size and legal status. </w:t>
      </w:r>
      <w:r w:rsidRPr="00E80338">
        <w:rPr>
          <w:rFonts w:cstheme="minorHAnsi"/>
          <w:bCs/>
          <w:lang w:val="en-US"/>
        </w:rPr>
        <w:t>In total, 100</w:t>
      </w:r>
      <w:r w:rsidRPr="00124DA6">
        <w:rPr>
          <w:rStyle w:val="FootnoteReference"/>
          <w:rFonts w:cstheme="minorHAnsi"/>
          <w:bCs/>
          <w:lang w:val="en-US"/>
        </w:rPr>
        <w:footnoteReference w:id="6"/>
      </w:r>
      <w:r w:rsidRPr="00E80338">
        <w:rPr>
          <w:rFonts w:cstheme="minorHAnsi"/>
          <w:bCs/>
          <w:lang w:val="en-US"/>
        </w:rPr>
        <w:t xml:space="preserve"> MFIs </w:t>
      </w:r>
      <w:r w:rsidRPr="00E80338">
        <w:rPr>
          <w:rFonts w:cstheme="minorHAnsi"/>
          <w:lang w:val="en-US"/>
        </w:rPr>
        <w:t>referred to as decentralized financial systems (SFD) in the WAEMU area</w:t>
      </w:r>
      <w:r w:rsidRPr="00E80338">
        <w:rPr>
          <w:rFonts w:cstheme="minorHAnsi"/>
          <w:bCs/>
          <w:lang w:val="en-US"/>
        </w:rPr>
        <w:t xml:space="preserve"> are licensed to operate in Benin. Four different legal categories are authorized: financial</w:t>
      </w:r>
      <w:r w:rsidRPr="00E80338">
        <w:rPr>
          <w:rFonts w:ascii="Calibri-Bold" w:hAnsi="Calibri-Bold" w:cs="Calibri-Bold"/>
          <w:bCs/>
          <w:lang w:val="en-US"/>
        </w:rPr>
        <w:t xml:space="preserve"> </w:t>
      </w:r>
      <w:r w:rsidRPr="00E80338">
        <w:rPr>
          <w:rFonts w:ascii="Calibri" w:hAnsi="Calibri" w:cs="Calibri"/>
          <w:lang w:val="en-US"/>
        </w:rPr>
        <w:t>cooperatives</w:t>
      </w:r>
      <w:r w:rsidRPr="00E80338">
        <w:rPr>
          <w:rFonts w:ascii="Calibri-Bold" w:hAnsi="Calibri-Bold" w:cs="Calibri-Bold"/>
          <w:bCs/>
          <w:lang w:val="en-US"/>
        </w:rPr>
        <w:t>, limited companies, credit associations, and nongovernmental organizations (NGOs). The Beninese microfinance sector is characterized by the absence of greenfield</w:t>
      </w:r>
      <w:r w:rsidRPr="00124DA6">
        <w:rPr>
          <w:rStyle w:val="FootnoteReference"/>
          <w:rFonts w:ascii="Calibri-Bold" w:hAnsi="Calibri-Bold" w:cs="Calibri-Bold"/>
          <w:bCs/>
          <w:lang w:val="en-US"/>
        </w:rPr>
        <w:footnoteReference w:id="7"/>
      </w:r>
      <w:r w:rsidRPr="00E80338">
        <w:rPr>
          <w:rFonts w:ascii="Calibri-Bold" w:hAnsi="Calibri-Bold" w:cs="Calibri-Bold"/>
          <w:bCs/>
          <w:i/>
          <w:lang w:val="en-US"/>
        </w:rPr>
        <w:t xml:space="preserve"> </w:t>
      </w:r>
      <w:r w:rsidRPr="00E80338">
        <w:rPr>
          <w:rFonts w:cstheme="minorHAnsi"/>
          <w:bCs/>
          <w:lang w:val="en-US"/>
        </w:rPr>
        <w:t>institutions (</w:t>
      </w:r>
      <w:r w:rsidRPr="00E80338">
        <w:rPr>
          <w:rFonts w:cstheme="minorHAnsi"/>
          <w:lang w:val="en-US"/>
        </w:rPr>
        <w:t>CGAP</w:t>
      </w:r>
      <w:r w:rsidR="00C702B4">
        <w:rPr>
          <w:rFonts w:cstheme="minorHAnsi"/>
          <w:lang w:val="en-US"/>
        </w:rPr>
        <w:t> </w:t>
      </w:r>
      <w:r w:rsidRPr="00E80338">
        <w:rPr>
          <w:rFonts w:cstheme="minorHAnsi"/>
          <w:lang w:val="en-US"/>
        </w:rPr>
        <w:t>2014)</w:t>
      </w:r>
      <w:r w:rsidRPr="00E80338">
        <w:rPr>
          <w:rFonts w:cstheme="minorHAnsi"/>
          <w:bCs/>
          <w:lang w:val="en-US"/>
        </w:rPr>
        <w:t xml:space="preserve">. </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E80338" w:rsidRPr="00124DA6" w14:paraId="6311DC48" w14:textId="77777777" w:rsidTr="008250DD">
        <w:trPr>
          <w:trHeight w:val="530"/>
        </w:trPr>
        <w:tc>
          <w:tcPr>
            <w:tcW w:w="5000" w:type="pct"/>
            <w:shd w:val="clear" w:color="auto" w:fill="D9D9D9" w:themeFill="background1" w:themeFillShade="D9"/>
          </w:tcPr>
          <w:p w14:paraId="0E40E1CB" w14:textId="743163C4" w:rsidR="00E80338" w:rsidRPr="00354F61" w:rsidRDefault="00E80338" w:rsidP="00B03F0F">
            <w:pPr>
              <w:spacing w:before="60" w:after="60"/>
              <w:jc w:val="center"/>
              <w:rPr>
                <w:rFonts w:asciiTheme="minorHAnsi" w:hAnsiTheme="minorHAnsi" w:cstheme="minorHAnsi"/>
                <w:b/>
                <w:color w:val="2E74B5" w:themeColor="accent1" w:themeShade="BF"/>
              </w:rPr>
            </w:pPr>
            <w:r w:rsidRPr="00354F61">
              <w:rPr>
                <w:rFonts w:asciiTheme="minorHAnsi" w:hAnsiTheme="minorHAnsi" w:cstheme="minorHAnsi"/>
                <w:b/>
                <w:color w:val="2E74B5" w:themeColor="accent1" w:themeShade="BF"/>
              </w:rPr>
              <w:t>Box</w:t>
            </w:r>
            <w:r w:rsidR="00C702B4" w:rsidRPr="00354F61">
              <w:rPr>
                <w:rFonts w:asciiTheme="minorHAnsi" w:hAnsiTheme="minorHAnsi" w:cstheme="minorHAnsi"/>
                <w:b/>
                <w:color w:val="2E74B5" w:themeColor="accent1" w:themeShade="BF"/>
              </w:rPr>
              <w:t> </w:t>
            </w:r>
            <w:r w:rsidRPr="00354F61">
              <w:rPr>
                <w:rFonts w:asciiTheme="minorHAnsi" w:hAnsiTheme="minorHAnsi" w:cstheme="minorHAnsi"/>
                <w:b/>
                <w:color w:val="2E74B5" w:themeColor="accent1" w:themeShade="BF"/>
              </w:rPr>
              <w:t>2.</w:t>
            </w:r>
            <w:r w:rsidRPr="00354F61">
              <w:rPr>
                <w:rFonts w:cstheme="minorHAnsi"/>
                <w:b/>
                <w:color w:val="2E74B5" w:themeColor="accent1" w:themeShade="BF"/>
              </w:rPr>
              <w:fldChar w:fldCharType="begin"/>
            </w:r>
            <w:r w:rsidRPr="00354F61">
              <w:rPr>
                <w:rFonts w:asciiTheme="minorHAnsi" w:hAnsiTheme="minorHAnsi" w:cstheme="minorHAnsi"/>
                <w:b/>
                <w:color w:val="2E74B5" w:themeColor="accent1" w:themeShade="BF"/>
              </w:rPr>
              <w:instrText xml:space="preserve"> SEQ Box_2. \* ARABIC </w:instrText>
            </w:r>
            <w:r w:rsidRPr="00354F61">
              <w:rPr>
                <w:rFonts w:cstheme="minorHAnsi"/>
                <w:b/>
                <w:color w:val="2E74B5" w:themeColor="accent1" w:themeShade="BF"/>
              </w:rPr>
              <w:fldChar w:fldCharType="separate"/>
            </w:r>
            <w:r w:rsidR="004C6E5F" w:rsidRPr="00354F61">
              <w:rPr>
                <w:rFonts w:asciiTheme="minorHAnsi" w:hAnsiTheme="minorHAnsi" w:cstheme="minorHAnsi"/>
                <w:b/>
                <w:noProof/>
                <w:color w:val="2E74B5" w:themeColor="accent1" w:themeShade="BF"/>
              </w:rPr>
              <w:t>1</w:t>
            </w:r>
            <w:r w:rsidRPr="00354F61">
              <w:rPr>
                <w:rFonts w:cstheme="minorHAnsi"/>
                <w:b/>
                <w:color w:val="2E74B5" w:themeColor="accent1" w:themeShade="BF"/>
              </w:rPr>
              <w:fldChar w:fldCharType="end"/>
            </w:r>
            <w:r w:rsidRPr="00354F61">
              <w:rPr>
                <w:rFonts w:asciiTheme="minorHAnsi" w:hAnsiTheme="minorHAnsi" w:cstheme="minorHAnsi"/>
                <w:b/>
                <w:color w:val="2E74B5" w:themeColor="accent1" w:themeShade="BF"/>
              </w:rPr>
              <w:t xml:space="preserve">: Institutional </w:t>
            </w:r>
            <w:r w:rsidR="00706F23" w:rsidRPr="00354F61">
              <w:rPr>
                <w:rFonts w:asciiTheme="minorHAnsi" w:hAnsiTheme="minorHAnsi" w:cstheme="minorHAnsi"/>
                <w:b/>
                <w:color w:val="2E74B5" w:themeColor="accent1" w:themeShade="BF"/>
              </w:rPr>
              <w:t>T</w:t>
            </w:r>
            <w:r w:rsidRPr="00354F61">
              <w:rPr>
                <w:rFonts w:asciiTheme="minorHAnsi" w:hAnsiTheme="minorHAnsi" w:cstheme="minorHAnsi"/>
                <w:b/>
                <w:color w:val="2E74B5" w:themeColor="accent1" w:themeShade="BF"/>
              </w:rPr>
              <w:t>ypes of MFIs in Benin</w:t>
            </w:r>
          </w:p>
          <w:p w14:paraId="6A22DD6B" w14:textId="25CD41BA" w:rsidR="00E80338" w:rsidRPr="00987734" w:rsidRDefault="00E80338" w:rsidP="00B03F0F">
            <w:pPr>
              <w:autoSpaceDE w:val="0"/>
              <w:autoSpaceDN w:val="0"/>
              <w:adjustRightInd w:val="0"/>
              <w:spacing w:after="60"/>
              <w:jc w:val="both"/>
              <w:rPr>
                <w:rFonts w:asciiTheme="minorHAnsi" w:hAnsiTheme="minorHAnsi" w:cstheme="minorHAnsi"/>
                <w:sz w:val="18"/>
                <w:szCs w:val="18"/>
              </w:rPr>
            </w:pPr>
            <w:r w:rsidRPr="00987734">
              <w:rPr>
                <w:rFonts w:asciiTheme="minorHAnsi" w:hAnsiTheme="minorHAnsi" w:cstheme="minorHAnsi"/>
                <w:b/>
                <w:bCs/>
                <w:sz w:val="18"/>
                <w:szCs w:val="18"/>
              </w:rPr>
              <w:t xml:space="preserve">Financial cooperatives: </w:t>
            </w:r>
            <w:r w:rsidRPr="00987734">
              <w:rPr>
                <w:rFonts w:asciiTheme="minorHAnsi" w:hAnsiTheme="minorHAnsi" w:cstheme="minorHAnsi"/>
                <w:sz w:val="18"/>
                <w:szCs w:val="18"/>
              </w:rPr>
              <w:t xml:space="preserve">These institutions are not-for-profit financial institutions owned and operated by their members to serve and protect members’ interests. In Benin, financial cooperatives can be stand-alone entities or part of a federated network of financial cooperatives that share services and branding and benefit from economies of scale such as the </w:t>
            </w:r>
            <w:r w:rsidRPr="00987734">
              <w:rPr>
                <w:rStyle w:val="st1"/>
                <w:rFonts w:asciiTheme="minorHAnsi" w:hAnsiTheme="minorHAnsi" w:cstheme="minorHAnsi"/>
                <w:sz w:val="18"/>
                <w:szCs w:val="18"/>
              </w:rPr>
              <w:t>Federation of Savings and Credit Unions (</w:t>
            </w:r>
            <w:proofErr w:type="spellStart"/>
            <w:r w:rsidRPr="00987734">
              <w:rPr>
                <w:rStyle w:val="st1"/>
                <w:rFonts w:asciiTheme="minorHAnsi" w:hAnsiTheme="minorHAnsi" w:cstheme="minorHAnsi"/>
                <w:i/>
                <w:sz w:val="18"/>
                <w:szCs w:val="18"/>
              </w:rPr>
              <w:t>Faitère</w:t>
            </w:r>
            <w:proofErr w:type="spellEnd"/>
            <w:r w:rsidRPr="00987734">
              <w:rPr>
                <w:rStyle w:val="st1"/>
                <w:rFonts w:asciiTheme="minorHAnsi" w:hAnsiTheme="minorHAnsi" w:cstheme="minorHAnsi"/>
                <w:i/>
                <w:sz w:val="18"/>
                <w:szCs w:val="18"/>
              </w:rPr>
              <w:t xml:space="preserve"> des </w:t>
            </w:r>
            <w:proofErr w:type="spellStart"/>
            <w:r w:rsidRPr="00987734">
              <w:rPr>
                <w:rStyle w:val="st1"/>
                <w:rFonts w:asciiTheme="minorHAnsi" w:hAnsiTheme="minorHAnsi" w:cstheme="minorHAnsi"/>
                <w:i/>
                <w:sz w:val="18"/>
                <w:szCs w:val="18"/>
              </w:rPr>
              <w:t>caisses</w:t>
            </w:r>
            <w:proofErr w:type="spellEnd"/>
            <w:r w:rsidRPr="00987734">
              <w:rPr>
                <w:rStyle w:val="st1"/>
                <w:rFonts w:asciiTheme="minorHAnsi" w:hAnsiTheme="minorHAnsi" w:cstheme="minorHAnsi"/>
                <w:i/>
                <w:sz w:val="18"/>
                <w:szCs w:val="18"/>
              </w:rPr>
              <w:t xml:space="preserve"> </w:t>
            </w:r>
            <w:proofErr w:type="spellStart"/>
            <w:r w:rsidRPr="00987734">
              <w:rPr>
                <w:rStyle w:val="st1"/>
                <w:rFonts w:asciiTheme="minorHAnsi" w:hAnsiTheme="minorHAnsi" w:cstheme="minorHAnsi"/>
                <w:i/>
                <w:sz w:val="18"/>
                <w:szCs w:val="18"/>
              </w:rPr>
              <w:t>d</w:t>
            </w:r>
            <w:r w:rsidR="00141BD7" w:rsidRPr="00987734">
              <w:rPr>
                <w:rStyle w:val="st1"/>
                <w:rFonts w:asciiTheme="minorHAnsi" w:hAnsiTheme="minorHAnsi" w:cstheme="minorHAnsi"/>
                <w:i/>
                <w:sz w:val="18"/>
                <w:szCs w:val="18"/>
              </w:rPr>
              <w:t>’</w:t>
            </w:r>
            <w:r w:rsidRPr="00987734">
              <w:rPr>
                <w:rStyle w:val="st1"/>
                <w:rFonts w:asciiTheme="minorHAnsi" w:hAnsiTheme="minorHAnsi" w:cstheme="minorHAnsi"/>
                <w:i/>
                <w:sz w:val="18"/>
                <w:szCs w:val="18"/>
              </w:rPr>
              <w:t>épargne</w:t>
            </w:r>
            <w:proofErr w:type="spellEnd"/>
            <w:r w:rsidRPr="00987734">
              <w:rPr>
                <w:rStyle w:val="st1"/>
                <w:rFonts w:asciiTheme="minorHAnsi" w:hAnsiTheme="minorHAnsi" w:cstheme="minorHAnsi"/>
                <w:i/>
                <w:sz w:val="18"/>
                <w:szCs w:val="18"/>
              </w:rPr>
              <w:t xml:space="preserve"> et de </w:t>
            </w:r>
            <w:proofErr w:type="spellStart"/>
            <w:r w:rsidRPr="00987734">
              <w:rPr>
                <w:rStyle w:val="st1"/>
                <w:rFonts w:asciiTheme="minorHAnsi" w:hAnsiTheme="minorHAnsi" w:cstheme="minorHAnsi"/>
                <w:i/>
                <w:sz w:val="18"/>
                <w:szCs w:val="18"/>
              </w:rPr>
              <w:t>crédit</w:t>
            </w:r>
            <w:proofErr w:type="spellEnd"/>
            <w:r w:rsidRPr="00987734">
              <w:rPr>
                <w:rStyle w:val="st1"/>
                <w:rFonts w:asciiTheme="minorHAnsi" w:hAnsiTheme="minorHAnsi" w:cstheme="minorHAnsi"/>
                <w:i/>
                <w:sz w:val="18"/>
                <w:szCs w:val="18"/>
              </w:rPr>
              <w:t xml:space="preserve"> </w:t>
            </w:r>
            <w:proofErr w:type="spellStart"/>
            <w:r w:rsidRPr="00987734">
              <w:rPr>
                <w:rStyle w:val="st1"/>
                <w:rFonts w:asciiTheme="minorHAnsi" w:hAnsiTheme="minorHAnsi" w:cstheme="minorHAnsi"/>
                <w:i/>
                <w:sz w:val="18"/>
                <w:szCs w:val="18"/>
              </w:rPr>
              <w:t>agricole</w:t>
            </w:r>
            <w:proofErr w:type="spellEnd"/>
            <w:r w:rsidRPr="00987734">
              <w:rPr>
                <w:rStyle w:val="st1"/>
                <w:rFonts w:asciiTheme="minorHAnsi" w:hAnsiTheme="minorHAnsi" w:cstheme="minorHAnsi"/>
                <w:i/>
                <w:sz w:val="18"/>
                <w:szCs w:val="18"/>
              </w:rPr>
              <w:t xml:space="preserve"> </w:t>
            </w:r>
            <w:proofErr w:type="spellStart"/>
            <w:r w:rsidRPr="00987734">
              <w:rPr>
                <w:rStyle w:val="st1"/>
                <w:rFonts w:asciiTheme="minorHAnsi" w:hAnsiTheme="minorHAnsi" w:cstheme="minorHAnsi"/>
                <w:i/>
                <w:sz w:val="18"/>
                <w:szCs w:val="18"/>
              </w:rPr>
              <w:t>Mutuel</w:t>
            </w:r>
            <w:proofErr w:type="spellEnd"/>
            <w:r w:rsidRPr="00987734">
              <w:rPr>
                <w:rStyle w:val="st1"/>
                <w:rFonts w:asciiTheme="minorHAnsi" w:hAnsiTheme="minorHAnsi" w:cstheme="minorHAnsi"/>
                <w:i/>
                <w:sz w:val="18"/>
                <w:szCs w:val="18"/>
              </w:rPr>
              <w:t xml:space="preserve">, </w:t>
            </w:r>
            <w:r w:rsidRPr="00987734">
              <w:rPr>
                <w:rFonts w:asciiTheme="minorHAnsi" w:hAnsiTheme="minorHAnsi" w:cstheme="minorHAnsi"/>
                <w:sz w:val="18"/>
                <w:szCs w:val="18"/>
              </w:rPr>
              <w:t xml:space="preserve">FECECAM) with 96 entities federated and FENACREP with 67 federated. </w:t>
            </w:r>
          </w:p>
          <w:p w14:paraId="5695464F" w14:textId="77777777" w:rsidR="00E80338" w:rsidRPr="00987734" w:rsidRDefault="00E80338" w:rsidP="00B03F0F">
            <w:pPr>
              <w:autoSpaceDE w:val="0"/>
              <w:autoSpaceDN w:val="0"/>
              <w:adjustRightInd w:val="0"/>
              <w:spacing w:after="60"/>
              <w:jc w:val="both"/>
              <w:rPr>
                <w:rFonts w:asciiTheme="minorHAnsi" w:hAnsiTheme="minorHAnsi" w:cstheme="minorHAnsi"/>
                <w:sz w:val="18"/>
                <w:szCs w:val="18"/>
              </w:rPr>
            </w:pPr>
            <w:r w:rsidRPr="00987734">
              <w:rPr>
                <w:rFonts w:asciiTheme="minorHAnsi" w:hAnsiTheme="minorHAnsi" w:cstheme="minorHAnsi"/>
                <w:b/>
                <w:sz w:val="18"/>
                <w:szCs w:val="18"/>
              </w:rPr>
              <w:t>Limited companies:</w:t>
            </w:r>
            <w:r w:rsidRPr="00987734">
              <w:rPr>
                <w:rFonts w:asciiTheme="minorHAnsi" w:hAnsiTheme="minorHAnsi" w:cstheme="minorHAnsi"/>
                <w:sz w:val="18"/>
                <w:szCs w:val="18"/>
              </w:rPr>
              <w:t xml:space="preserve"> These institutions are incorporated as limited company with capital,</w:t>
            </w:r>
            <w:r w:rsidRPr="00987734">
              <w:rPr>
                <w:rFonts w:asciiTheme="minorHAnsi" w:hAnsiTheme="minorHAnsi" w:cstheme="minorHAnsi"/>
                <w:sz w:val="18"/>
                <w:szCs w:val="18"/>
              </w:rPr>
              <w:br/>
              <w:t>such as FINADEV.</w:t>
            </w:r>
          </w:p>
          <w:p w14:paraId="37B728E1" w14:textId="77777777" w:rsidR="00E80338" w:rsidRPr="00987734" w:rsidRDefault="00E80338" w:rsidP="00B03F0F">
            <w:pPr>
              <w:autoSpaceDE w:val="0"/>
              <w:autoSpaceDN w:val="0"/>
              <w:adjustRightInd w:val="0"/>
              <w:spacing w:after="60"/>
              <w:jc w:val="both"/>
              <w:rPr>
                <w:rFonts w:asciiTheme="minorHAnsi" w:hAnsiTheme="minorHAnsi" w:cstheme="minorHAnsi"/>
                <w:sz w:val="18"/>
                <w:szCs w:val="18"/>
              </w:rPr>
            </w:pPr>
            <w:r w:rsidRPr="00987734">
              <w:rPr>
                <w:rFonts w:asciiTheme="minorHAnsi" w:hAnsiTheme="minorHAnsi" w:cstheme="minorHAnsi"/>
                <w:b/>
                <w:sz w:val="18"/>
                <w:szCs w:val="18"/>
              </w:rPr>
              <w:t>Credit direct associations</w:t>
            </w:r>
            <w:r w:rsidRPr="00987734">
              <w:rPr>
                <w:rFonts w:asciiTheme="minorHAnsi" w:hAnsiTheme="minorHAnsi" w:cstheme="minorHAnsi"/>
                <w:sz w:val="18"/>
                <w:szCs w:val="18"/>
              </w:rPr>
              <w:t xml:space="preserve">: These institutions focus on credit as the core of their operations, without linking it to the constitution of prior savings. The resources come from lines of credit made available by private donors or foundations and banks. This category </w:t>
            </w:r>
            <w:r w:rsidRPr="00987734">
              <w:rPr>
                <w:rStyle w:val="st1"/>
                <w:rFonts w:asciiTheme="minorHAnsi" w:hAnsiTheme="minorHAnsi" w:cstheme="minorHAnsi"/>
                <w:sz w:val="18"/>
                <w:szCs w:val="18"/>
              </w:rPr>
              <w:t>includes</w:t>
            </w:r>
            <w:r w:rsidRPr="00987734">
              <w:rPr>
                <w:rFonts w:asciiTheme="minorHAnsi" w:hAnsiTheme="minorHAnsi" w:cstheme="minorHAnsi"/>
                <w:sz w:val="18"/>
                <w:szCs w:val="18"/>
              </w:rPr>
              <w:t xml:space="preserve"> institutions such as PADME, </w:t>
            </w:r>
            <w:r w:rsidRPr="00987734">
              <w:rPr>
                <w:rFonts w:asciiTheme="minorHAnsi" w:hAnsiTheme="minorHAnsi" w:cstheme="minorHAnsi"/>
                <w:sz w:val="18"/>
                <w:szCs w:val="18"/>
                <w:lang w:eastAsia="fr-FR"/>
              </w:rPr>
              <w:t>Association for Market Solidarity of Benin (</w:t>
            </w:r>
            <w:r w:rsidRPr="00987734">
              <w:rPr>
                <w:rFonts w:asciiTheme="minorHAnsi" w:hAnsiTheme="minorHAnsi" w:cstheme="minorHAnsi"/>
                <w:sz w:val="18"/>
                <w:szCs w:val="18"/>
              </w:rPr>
              <w:t>ASMAB), and VITAL FINANCE.</w:t>
            </w:r>
          </w:p>
          <w:p w14:paraId="08A813F6" w14:textId="4E5F4939" w:rsidR="00E80338" w:rsidRPr="00987734" w:rsidRDefault="00E80338" w:rsidP="00B03F0F">
            <w:pPr>
              <w:autoSpaceDE w:val="0"/>
              <w:autoSpaceDN w:val="0"/>
              <w:adjustRightInd w:val="0"/>
              <w:spacing w:after="60"/>
              <w:jc w:val="both"/>
              <w:rPr>
                <w:rFonts w:asciiTheme="minorHAnsi" w:hAnsiTheme="minorHAnsi" w:cstheme="minorHAnsi"/>
                <w:sz w:val="18"/>
                <w:szCs w:val="18"/>
              </w:rPr>
            </w:pPr>
            <w:r w:rsidRPr="00987734">
              <w:rPr>
                <w:rFonts w:asciiTheme="minorHAnsi" w:hAnsiTheme="minorHAnsi" w:cstheme="minorHAnsi"/>
                <w:b/>
                <w:sz w:val="18"/>
                <w:szCs w:val="18"/>
              </w:rPr>
              <w:t>NGOs:</w:t>
            </w:r>
            <w:r w:rsidRPr="00987734">
              <w:rPr>
                <w:rFonts w:asciiTheme="minorHAnsi" w:hAnsiTheme="minorHAnsi" w:cstheme="minorHAnsi"/>
                <w:sz w:val="18"/>
                <w:szCs w:val="18"/>
              </w:rPr>
              <w:t xml:space="preserve"> These institutions carry out microfinance activities in disadvantaged areas that support grassroot population initiatives. </w:t>
            </w:r>
          </w:p>
          <w:p w14:paraId="33127E23" w14:textId="77777777" w:rsidR="00E80338" w:rsidRPr="00987734" w:rsidRDefault="00E80338" w:rsidP="00B03F0F">
            <w:pPr>
              <w:autoSpaceDE w:val="0"/>
              <w:autoSpaceDN w:val="0"/>
              <w:adjustRightInd w:val="0"/>
              <w:spacing w:after="60"/>
              <w:jc w:val="both"/>
              <w:rPr>
                <w:rFonts w:asciiTheme="minorHAnsi" w:hAnsiTheme="minorHAnsi" w:cstheme="minorHAnsi"/>
                <w:sz w:val="18"/>
                <w:szCs w:val="18"/>
              </w:rPr>
            </w:pPr>
            <w:r w:rsidRPr="00987734">
              <w:rPr>
                <w:rFonts w:asciiTheme="minorHAnsi" w:hAnsiTheme="minorHAnsi" w:cstheme="minorHAnsi"/>
                <w:b/>
                <w:sz w:val="18"/>
                <w:szCs w:val="18"/>
              </w:rPr>
              <w:t>Note:</w:t>
            </w:r>
            <w:r w:rsidRPr="00987734">
              <w:rPr>
                <w:rFonts w:asciiTheme="minorHAnsi" w:hAnsiTheme="minorHAnsi" w:cstheme="minorHAnsi"/>
                <w:sz w:val="18"/>
                <w:szCs w:val="18"/>
              </w:rPr>
              <w:t xml:space="preserve"> Informal savings clubs, including tontines (type of rotating saving and credit associations) and village saving and loan associations (VSLA), are not legally recognized as MFIs in Benin. Most operate with an informal structure.</w:t>
            </w:r>
          </w:p>
          <w:p w14:paraId="677DE046" w14:textId="77777777" w:rsidR="00E80338" w:rsidRPr="00124DA6" w:rsidRDefault="00E80338" w:rsidP="00B03F0F">
            <w:pPr>
              <w:keepNext/>
              <w:autoSpaceDE w:val="0"/>
              <w:autoSpaceDN w:val="0"/>
              <w:adjustRightInd w:val="0"/>
              <w:spacing w:after="60"/>
              <w:rPr>
                <w:rFonts w:asciiTheme="majorHAnsi" w:hAnsiTheme="majorHAnsi" w:cstheme="majorHAnsi"/>
                <w:color w:val="222222"/>
              </w:rPr>
            </w:pPr>
            <w:r w:rsidRPr="00E80338">
              <w:rPr>
                <w:rFonts w:asciiTheme="minorHAnsi" w:hAnsiTheme="minorHAnsi" w:cstheme="minorHAnsi"/>
                <w:i/>
                <w:color w:val="2E74B5" w:themeColor="accent1" w:themeShade="BF"/>
                <w:sz w:val="18"/>
                <w:szCs w:val="18"/>
              </w:rPr>
              <w:t>Source</w:t>
            </w:r>
            <w:r w:rsidRPr="00E80338">
              <w:rPr>
                <w:rFonts w:asciiTheme="minorHAnsi" w:hAnsiTheme="minorHAnsi" w:cstheme="minorHAnsi"/>
                <w:color w:val="2E74B5" w:themeColor="accent1" w:themeShade="BF"/>
                <w:sz w:val="18"/>
                <w:szCs w:val="18"/>
              </w:rPr>
              <w:t xml:space="preserve">: </w:t>
            </w:r>
            <w:proofErr w:type="spellStart"/>
            <w:r w:rsidRPr="00E80338">
              <w:rPr>
                <w:rFonts w:asciiTheme="minorHAnsi" w:hAnsiTheme="minorHAnsi" w:cstheme="minorHAnsi"/>
                <w:color w:val="2E74B5" w:themeColor="accent1" w:themeShade="BF"/>
                <w:sz w:val="18"/>
                <w:szCs w:val="18"/>
              </w:rPr>
              <w:t>Ministère</w:t>
            </w:r>
            <w:proofErr w:type="spellEnd"/>
            <w:r w:rsidRPr="00E80338">
              <w:rPr>
                <w:rFonts w:asciiTheme="minorHAnsi" w:hAnsiTheme="minorHAnsi" w:cstheme="minorHAnsi"/>
                <w:color w:val="2E74B5" w:themeColor="accent1" w:themeShade="BF"/>
                <w:sz w:val="18"/>
                <w:szCs w:val="18"/>
              </w:rPr>
              <w:t xml:space="preserve"> des Finances du </w:t>
            </w:r>
            <w:proofErr w:type="spellStart"/>
            <w:r w:rsidRPr="00E80338">
              <w:rPr>
                <w:rFonts w:asciiTheme="minorHAnsi" w:hAnsiTheme="minorHAnsi" w:cstheme="minorHAnsi"/>
                <w:color w:val="2E74B5" w:themeColor="accent1" w:themeShade="BF"/>
                <w:sz w:val="18"/>
                <w:szCs w:val="18"/>
              </w:rPr>
              <w:t>Bénin</w:t>
            </w:r>
            <w:proofErr w:type="spellEnd"/>
            <w:r w:rsidRPr="00E80338">
              <w:rPr>
                <w:rFonts w:asciiTheme="minorHAnsi" w:hAnsiTheme="minorHAnsi" w:cstheme="minorHAnsi"/>
                <w:color w:val="2E74B5" w:themeColor="accent1" w:themeShade="BF"/>
                <w:sz w:val="18"/>
                <w:szCs w:val="18"/>
              </w:rPr>
              <w:t xml:space="preserve">. </w:t>
            </w:r>
            <w:hyperlink r:id="rId20" w:history="1">
              <w:r w:rsidRPr="00E80338">
                <w:rPr>
                  <w:rStyle w:val="Hyperlink"/>
                  <w:rFonts w:asciiTheme="minorHAnsi" w:hAnsiTheme="minorHAnsi" w:cstheme="minorHAnsi"/>
                  <w:sz w:val="18"/>
                  <w:szCs w:val="18"/>
                </w:rPr>
                <w:t>https://www.finances.bj/thematiques/economie/microfinance/</w:t>
              </w:r>
            </w:hyperlink>
          </w:p>
        </w:tc>
      </w:tr>
    </w:tbl>
    <w:p w14:paraId="3F3CA3DA" w14:textId="77777777" w:rsidR="00E80338" w:rsidRDefault="00E80338" w:rsidP="00E80338">
      <w:pPr>
        <w:spacing w:after="0"/>
        <w:rPr>
          <w:lang w:val="en-US"/>
        </w:rPr>
      </w:pPr>
    </w:p>
    <w:p w14:paraId="1466B90A" w14:textId="76691D8E" w:rsidR="00E80338" w:rsidRPr="00E80338" w:rsidRDefault="00E80338" w:rsidP="00354F61">
      <w:pPr>
        <w:pStyle w:val="ListParagraph"/>
        <w:numPr>
          <w:ilvl w:val="0"/>
          <w:numId w:val="47"/>
        </w:numPr>
        <w:spacing w:after="0" w:line="240" w:lineRule="auto"/>
        <w:ind w:left="0" w:firstLine="0"/>
        <w:contextualSpacing w:val="0"/>
        <w:jc w:val="both"/>
        <w:rPr>
          <w:rFonts w:cstheme="minorHAnsi"/>
          <w:b/>
          <w:lang w:val="en-US"/>
        </w:rPr>
      </w:pPr>
      <w:r w:rsidRPr="00124DA6">
        <w:rPr>
          <w:rFonts w:cstheme="minorHAnsi"/>
          <w:b/>
          <w:lang w:val="en-US"/>
        </w:rPr>
        <w:t xml:space="preserve">A small number of MFIs dominated the microfinance sector in Benin. </w:t>
      </w:r>
      <w:r w:rsidR="00987734">
        <w:rPr>
          <w:rFonts w:cstheme="minorHAnsi"/>
          <w:lang w:val="en-US"/>
        </w:rPr>
        <w:t>As of July 2017, t</w:t>
      </w:r>
      <w:r w:rsidRPr="00124DA6">
        <w:rPr>
          <w:rFonts w:cstheme="minorHAnsi"/>
          <w:lang w:val="en-US"/>
        </w:rPr>
        <w:t xml:space="preserve">he five largest MFIs in the country (FECECAM, PADME, </w:t>
      </w:r>
      <w:proofErr w:type="spellStart"/>
      <w:r w:rsidRPr="00124DA6">
        <w:rPr>
          <w:rFonts w:cstheme="minorHAnsi"/>
          <w:lang w:val="en-US"/>
        </w:rPr>
        <w:t>PEBCo</w:t>
      </w:r>
      <w:proofErr w:type="spellEnd"/>
      <w:r w:rsidRPr="00124DA6">
        <w:rPr>
          <w:rFonts w:cstheme="minorHAnsi"/>
          <w:lang w:val="en-US"/>
        </w:rPr>
        <w:t>, FINADEV, and VITAL FINANCE) accounted for 75 percent of the total deposits; 71 percent of outstanding loans portfolio, and 65 percent</w:t>
      </w:r>
      <w:r w:rsidRPr="00124DA6">
        <w:rPr>
          <w:rStyle w:val="FootnoteReference"/>
          <w:rFonts w:cstheme="minorHAnsi"/>
          <w:lang w:val="en-US"/>
        </w:rPr>
        <w:footnoteReference w:id="8"/>
      </w:r>
      <w:r w:rsidRPr="00124DA6">
        <w:rPr>
          <w:rFonts w:cstheme="minorHAnsi"/>
          <w:lang w:val="en-US"/>
        </w:rPr>
        <w:t xml:space="preserve"> of clients. As of December 2017, the country </w:t>
      </w:r>
      <w:r w:rsidRPr="00124DA6">
        <w:rPr>
          <w:rFonts w:ascii="Calibri" w:hAnsi="Calibri" w:cs="Calibri"/>
          <w:lang w:val="en-US"/>
        </w:rPr>
        <w:t xml:space="preserve">has </w:t>
      </w:r>
      <w:r w:rsidRPr="00124DA6">
        <w:rPr>
          <w:rFonts w:cstheme="minorHAnsi"/>
          <w:lang w:val="en-US"/>
        </w:rPr>
        <w:t>18 large MFIs</w:t>
      </w:r>
      <w:r w:rsidRPr="00124DA6">
        <w:rPr>
          <w:rStyle w:val="FootnoteReference"/>
          <w:rFonts w:cstheme="minorHAnsi"/>
          <w:lang w:val="en-US"/>
        </w:rPr>
        <w:footnoteReference w:id="9"/>
      </w:r>
      <w:r w:rsidRPr="00124DA6">
        <w:rPr>
          <w:rFonts w:cstheme="minorHAnsi"/>
          <w:lang w:val="en-US"/>
        </w:rPr>
        <w:t xml:space="preserve"> representing 90 percent of the sector, an increase compared to 2016 where 16 institutions were considered large representing 86 percent</w:t>
      </w:r>
      <w:r w:rsidRPr="00124DA6">
        <w:rPr>
          <w:rStyle w:val="FootnoteReference"/>
          <w:rFonts w:cstheme="minorHAnsi"/>
          <w:lang w:val="en-US"/>
        </w:rPr>
        <w:footnoteReference w:id="10"/>
      </w:r>
      <w:r w:rsidRPr="00124DA6">
        <w:rPr>
          <w:rFonts w:cstheme="minorHAnsi"/>
          <w:lang w:val="en-US"/>
        </w:rPr>
        <w:t xml:space="preserve"> of the sector.</w:t>
      </w:r>
    </w:p>
    <w:p w14:paraId="43D57C1D" w14:textId="351B3F7D" w:rsidR="00E80338" w:rsidRPr="00124DA6" w:rsidRDefault="00E80338" w:rsidP="00354F61">
      <w:pPr>
        <w:pStyle w:val="ListParagraph"/>
        <w:spacing w:after="0" w:line="240" w:lineRule="auto"/>
        <w:ind w:left="0"/>
        <w:contextualSpacing w:val="0"/>
        <w:jc w:val="both"/>
        <w:rPr>
          <w:rFonts w:cstheme="minorHAnsi"/>
          <w:b/>
          <w:lang w:val="en-US"/>
        </w:rPr>
      </w:pPr>
    </w:p>
    <w:p w14:paraId="70074950" w14:textId="4B1F8DC9" w:rsidR="00E50A7B" w:rsidRPr="00C45F58" w:rsidRDefault="00E80338" w:rsidP="00C45F58">
      <w:pPr>
        <w:pStyle w:val="ListParagraph"/>
        <w:numPr>
          <w:ilvl w:val="0"/>
          <w:numId w:val="47"/>
        </w:numPr>
        <w:spacing w:after="120" w:line="240" w:lineRule="auto"/>
        <w:ind w:left="0" w:firstLine="0"/>
        <w:contextualSpacing w:val="0"/>
        <w:jc w:val="both"/>
        <w:rPr>
          <w:rFonts w:cstheme="minorHAnsi"/>
          <w:b/>
          <w:color w:val="333333"/>
          <w:lang w:val="en-US"/>
        </w:rPr>
      </w:pPr>
      <w:r>
        <w:rPr>
          <w:rFonts w:cstheme="minorHAnsi"/>
          <w:b/>
          <w:bCs/>
          <w:noProof/>
          <w:lang w:eastAsia="fr-FR"/>
        </w:rPr>
        <mc:AlternateContent>
          <mc:Choice Requires="wps">
            <w:drawing>
              <wp:anchor distT="0" distB="0" distL="114300" distR="114300" simplePos="0" relativeHeight="251655168" behindDoc="0" locked="0" layoutInCell="1" allowOverlap="1" wp14:anchorId="547C1D91" wp14:editId="462941C4">
                <wp:simplePos x="0" y="0"/>
                <wp:positionH relativeFrom="column">
                  <wp:posOffset>1619250</wp:posOffset>
                </wp:positionH>
                <wp:positionV relativeFrom="paragraph">
                  <wp:posOffset>1129665</wp:posOffset>
                </wp:positionV>
                <wp:extent cx="2692400" cy="279400"/>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2692400" cy="279400"/>
                        </a:xfrm>
                        <a:prstGeom prst="rect">
                          <a:avLst/>
                        </a:prstGeom>
                        <a:noFill/>
                        <a:ln w="6350">
                          <a:noFill/>
                        </a:ln>
                      </wps:spPr>
                      <wps:txbx>
                        <w:txbxContent>
                          <w:p w14:paraId="3E250B01" w14:textId="59E517A2" w:rsidR="003B0984" w:rsidRPr="00C45F58" w:rsidRDefault="003B0984" w:rsidP="00E50A7B">
                            <w:pPr>
                              <w:pStyle w:val="Heading5"/>
                              <w:rPr>
                                <w:b/>
                                <w:sz w:val="20"/>
                                <w:szCs w:val="20"/>
                                <w:lang w:val="en-US"/>
                              </w:rPr>
                            </w:pPr>
                            <w:r w:rsidRPr="00C45F58">
                              <w:rPr>
                                <w:b/>
                                <w:sz w:val="20"/>
                                <w:szCs w:val="20"/>
                                <w:lang w:val="en"/>
                              </w:rPr>
                              <w:t>Map 2.1: MFIs branches distribution in Benin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C1D91" id="_x0000_t202" coordsize="21600,21600" o:spt="202" path="m,l,21600r21600,l21600,xe">
                <v:stroke joinstyle="miter"/>
                <v:path gradientshapeok="t" o:connecttype="rect"/>
              </v:shapetype>
              <v:shape id="Text Box 27" o:spid="_x0000_s1028" type="#_x0000_t202" style="position:absolute;left:0;text-align:left;margin-left:127.5pt;margin-top:88.95pt;width:212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" filled="f" stroked="f" strokeweight=".5pt">
                <v:textbox>
                  <w:txbxContent>
                    <w:p w14:paraId="3E250B01" w14:textId="59E517A2" w:rsidR="003B0984" w:rsidRPr="00C45F58" w:rsidRDefault="003B0984" w:rsidP="00E50A7B">
                      <w:pPr>
                        <w:pStyle w:val="Heading5"/>
                        <w:rPr>
                          <w:b/>
                          <w:sz w:val="20"/>
                          <w:szCs w:val="20"/>
                          <w:lang w:val="en-US"/>
                        </w:rPr>
                      </w:pPr>
                      <w:r w:rsidRPr="00C45F58">
                        <w:rPr>
                          <w:b/>
                          <w:sz w:val="20"/>
                          <w:szCs w:val="20"/>
                          <w:lang w:val="en"/>
                        </w:rPr>
                        <w:t>Map 2.1: MFIs branches distribution in Benin</w:t>
                      </w:r>
                    </w:p>
                  </w:txbxContent>
                </v:textbox>
              </v:shape>
            </w:pict>
          </mc:Fallback>
        </mc:AlternateContent>
      </w:r>
      <w:r w:rsidRPr="00124DA6">
        <w:rPr>
          <w:rFonts w:cstheme="minorHAnsi"/>
          <w:b/>
          <w:bCs/>
          <w:lang w:val="en-US"/>
        </w:rPr>
        <w:t xml:space="preserve">While MFIs operate in most regions of the country, </w:t>
      </w:r>
      <w:r w:rsidR="00987734">
        <w:rPr>
          <w:rFonts w:cstheme="minorHAnsi"/>
          <w:b/>
          <w:bCs/>
          <w:lang w:val="en-US"/>
        </w:rPr>
        <w:t xml:space="preserve">many </w:t>
      </w:r>
      <w:r w:rsidRPr="00124DA6">
        <w:rPr>
          <w:rFonts w:cstheme="minorHAnsi"/>
          <w:b/>
          <w:bCs/>
          <w:lang w:val="en-US"/>
        </w:rPr>
        <w:t>point</w:t>
      </w:r>
      <w:r w:rsidR="00141BD7">
        <w:rPr>
          <w:rFonts w:cstheme="minorHAnsi"/>
          <w:b/>
          <w:bCs/>
          <w:lang w:val="en-US"/>
        </w:rPr>
        <w:t>s</w:t>
      </w:r>
      <w:r w:rsidRPr="00124DA6">
        <w:rPr>
          <w:rFonts w:cstheme="minorHAnsi"/>
          <w:b/>
          <w:bCs/>
          <w:lang w:val="en-US"/>
        </w:rPr>
        <w:t xml:space="preserve"> of services </w:t>
      </w:r>
      <w:r w:rsidR="00987734">
        <w:rPr>
          <w:rFonts w:cstheme="minorHAnsi"/>
          <w:b/>
          <w:bCs/>
          <w:lang w:val="en-US"/>
        </w:rPr>
        <w:t xml:space="preserve">are concentrated </w:t>
      </w:r>
      <w:r w:rsidRPr="00124DA6">
        <w:rPr>
          <w:rFonts w:cstheme="minorHAnsi"/>
          <w:b/>
          <w:bCs/>
          <w:lang w:val="en-US"/>
        </w:rPr>
        <w:t xml:space="preserve">in the southern coastal areas. </w:t>
      </w:r>
      <w:r w:rsidRPr="00124DA6">
        <w:rPr>
          <w:rFonts w:eastAsia="Arial Unicode MS" w:cstheme="minorHAnsi"/>
          <w:lang w:val="en-US"/>
        </w:rPr>
        <w:t xml:space="preserve">Several factors are likely to contribute to these outcomes, including proximity to the capital and the coast, agglomeration effects (the population </w:t>
      </w:r>
      <w:r w:rsidRPr="00124DA6">
        <w:rPr>
          <w:rFonts w:ascii="Calibri" w:hAnsi="Calibri" w:cs="Calibri"/>
          <w:lang w:val="en-US"/>
        </w:rPr>
        <w:t>density</w:t>
      </w:r>
      <w:r w:rsidRPr="00124DA6">
        <w:rPr>
          <w:rFonts w:eastAsia="Arial Unicode MS" w:cstheme="minorHAnsi"/>
          <w:lang w:val="en-US"/>
        </w:rPr>
        <w:t xml:space="preserve"> is high in the south, where 57 percent </w:t>
      </w:r>
      <w:r w:rsidR="002425E2">
        <w:rPr>
          <w:rFonts w:eastAsia="Arial Unicode MS" w:cstheme="minorHAnsi"/>
          <w:lang w:val="en-US"/>
        </w:rPr>
        <w:t>[</w:t>
      </w:r>
      <w:r w:rsidRPr="00124DA6">
        <w:rPr>
          <w:rFonts w:eastAsia="Arial Unicode MS" w:cstheme="minorHAnsi"/>
          <w:lang w:val="en-US"/>
        </w:rPr>
        <w:t>World Bank Group</w:t>
      </w:r>
      <w:r w:rsidR="00C702B4">
        <w:rPr>
          <w:rFonts w:eastAsia="Arial Unicode MS" w:cstheme="minorHAnsi"/>
          <w:lang w:val="en-US"/>
        </w:rPr>
        <w:t> </w:t>
      </w:r>
      <w:r w:rsidRPr="00124DA6">
        <w:rPr>
          <w:rFonts w:eastAsia="Arial Unicode MS" w:cstheme="minorHAnsi"/>
          <w:lang w:val="en-US"/>
        </w:rPr>
        <w:t>2017a</w:t>
      </w:r>
      <w:r w:rsidR="002425E2">
        <w:rPr>
          <w:rFonts w:eastAsia="Arial Unicode MS" w:cstheme="minorHAnsi"/>
          <w:lang w:val="en-US"/>
        </w:rPr>
        <w:t>]</w:t>
      </w:r>
      <w:r w:rsidRPr="00124DA6">
        <w:rPr>
          <w:rFonts w:eastAsia="Arial Unicode MS" w:cstheme="minorHAnsi"/>
          <w:lang w:val="en-US"/>
        </w:rPr>
        <w:t xml:space="preserve"> of the population can be found), and informal trade with Nigeria</w:t>
      </w:r>
      <w:r w:rsidRPr="00124DA6">
        <w:rPr>
          <w:rFonts w:cstheme="minorHAnsi"/>
          <w:b/>
          <w:bCs/>
          <w:lang w:val="en-US"/>
        </w:rPr>
        <w:t xml:space="preserve">. </w:t>
      </w:r>
      <w:r w:rsidRPr="00124DA6">
        <w:rPr>
          <w:rFonts w:ascii="Calibri" w:hAnsi="Calibri" w:cs="Calibri"/>
          <w:lang w:val="en-US"/>
        </w:rPr>
        <w:t>There are approximately 10.48 MFIs branches or outlets per 100,000 adults in Benin, which is more than the</w:t>
      </w:r>
      <w:r>
        <w:rPr>
          <w:rFonts w:ascii="Calibri" w:hAnsi="Calibri" w:cs="Calibri"/>
          <w:lang w:val="en-US"/>
        </w:rPr>
        <w:t xml:space="preserve"> double of the figure for banks.</w:t>
      </w:r>
    </w:p>
    <w:p w14:paraId="148F2439" w14:textId="77777777" w:rsidR="00C45F58" w:rsidRPr="00C45F58" w:rsidRDefault="00C45F58" w:rsidP="00C45F58">
      <w:pPr>
        <w:spacing w:after="240" w:line="240" w:lineRule="auto"/>
        <w:jc w:val="both"/>
        <w:rPr>
          <w:rFonts w:cstheme="minorHAnsi"/>
          <w:b/>
          <w:color w:val="333333"/>
          <w:lang w:val="en-US"/>
        </w:rPr>
      </w:pPr>
    </w:p>
    <w:p w14:paraId="629467AA" w14:textId="77777777" w:rsidR="00E80338" w:rsidRDefault="00E50A7B" w:rsidP="00E50A7B">
      <w:pPr>
        <w:pStyle w:val="ListParagraph"/>
        <w:spacing w:after="240" w:line="240" w:lineRule="auto"/>
        <w:ind w:left="0"/>
        <w:contextualSpacing w:val="0"/>
        <w:jc w:val="center"/>
        <w:rPr>
          <w:rFonts w:cstheme="minorHAnsi"/>
          <w:b/>
          <w:color w:val="333333"/>
          <w:lang w:val="en-US"/>
        </w:rPr>
      </w:pPr>
      <w:r>
        <w:rPr>
          <w:b/>
          <w:noProof/>
          <w:lang w:eastAsia="fr-FR"/>
        </w:rPr>
        <mc:AlternateContent>
          <mc:Choice Requires="wps">
            <w:drawing>
              <wp:anchor distT="0" distB="0" distL="114300" distR="114300" simplePos="0" relativeHeight="251661312" behindDoc="0" locked="0" layoutInCell="1" allowOverlap="1" wp14:anchorId="31001416" wp14:editId="37CCE40E">
                <wp:simplePos x="0" y="0"/>
                <wp:positionH relativeFrom="margin">
                  <wp:posOffset>1859915</wp:posOffset>
                </wp:positionH>
                <wp:positionV relativeFrom="paragraph">
                  <wp:posOffset>2274570</wp:posOffset>
                </wp:positionV>
                <wp:extent cx="2249805" cy="253365"/>
                <wp:effectExtent l="0" t="0" r="0" b="0"/>
                <wp:wrapNone/>
                <wp:docPr id="237" name="Text Box 237"/>
                <wp:cNvGraphicFramePr/>
                <a:graphic xmlns:a="http://schemas.openxmlformats.org/drawingml/2006/main">
                  <a:graphicData uri="http://schemas.microsoft.com/office/word/2010/wordprocessingShape">
                    <wps:wsp>
                      <wps:cNvSpPr txBox="1"/>
                      <wps:spPr>
                        <a:xfrm>
                          <a:off x="0" y="0"/>
                          <a:ext cx="2249805" cy="253365"/>
                        </a:xfrm>
                        <a:prstGeom prst="rect">
                          <a:avLst/>
                        </a:prstGeom>
                        <a:noFill/>
                        <a:ln w="6350">
                          <a:noFill/>
                        </a:ln>
                      </wps:spPr>
                      <wps:txbx>
                        <w:txbxContent>
                          <w:p w14:paraId="37892DFA" w14:textId="77777777" w:rsidR="003B0984" w:rsidRPr="00A1714F" w:rsidRDefault="003B0984" w:rsidP="00E50A7B">
                            <w:pPr>
                              <w:jc w:val="center"/>
                              <w:rPr>
                                <w:sz w:val="18"/>
                                <w:szCs w:val="18"/>
                                <w:lang w:val="en-CA"/>
                              </w:rPr>
                            </w:pPr>
                            <w:r w:rsidRPr="00A23A30">
                              <w:rPr>
                                <w:sz w:val="18"/>
                                <w:szCs w:val="18"/>
                                <w:lang w:val="en-CA"/>
                              </w:rPr>
                              <w:t>Source: Financial</w:t>
                            </w:r>
                            <w:r>
                              <w:rPr>
                                <w:sz w:val="18"/>
                                <w:szCs w:val="18"/>
                                <w:lang w:val="en-CA"/>
                              </w:rPr>
                              <w:t xml:space="preserve"> Inclusion Lab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001416" id="Text Box 237" o:spid="_x0000_s1029" type="#_x0000_t202" style="position:absolute;left:0;text-align:left;margin-left:146.45pt;margin-top:179.1pt;width:177.15pt;height:19.9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" filled="f" stroked="f" strokeweight=".5pt">
                <v:textbox>
                  <w:txbxContent>
                    <w:p w14:paraId="37892DFA" w14:textId="77777777" w:rsidR="003B0984" w:rsidRPr="00A1714F" w:rsidRDefault="003B0984" w:rsidP="00E50A7B">
                      <w:pPr>
                        <w:jc w:val="center"/>
                        <w:rPr>
                          <w:sz w:val="18"/>
                          <w:szCs w:val="18"/>
                          <w:lang w:val="en-CA"/>
                        </w:rPr>
                      </w:pPr>
                      <w:r w:rsidRPr="00A23A30">
                        <w:rPr>
                          <w:sz w:val="18"/>
                          <w:szCs w:val="18"/>
                          <w:lang w:val="en-CA"/>
                        </w:rPr>
                        <w:t>Source: Financial</w:t>
                      </w:r>
                      <w:r>
                        <w:rPr>
                          <w:sz w:val="18"/>
                          <w:szCs w:val="18"/>
                          <w:lang w:val="en-CA"/>
                        </w:rPr>
                        <w:t xml:space="preserve"> Inclusion Lab (2017)</w:t>
                      </w:r>
                    </w:p>
                  </w:txbxContent>
                </v:textbox>
                <w10:wrap anchorx="margin"/>
              </v:shape>
            </w:pict>
          </mc:Fallback>
        </mc:AlternateContent>
      </w:r>
      <w:r w:rsidRPr="00124DA6">
        <w:rPr>
          <w:noProof/>
          <w:lang w:eastAsia="fr-FR"/>
        </w:rPr>
        <w:drawing>
          <wp:inline distT="0" distB="0" distL="0" distR="0" wp14:anchorId="466DA3CE" wp14:editId="179DCE38">
            <wp:extent cx="2658959" cy="2362200"/>
            <wp:effectExtent l="0" t="0" r="8255" b="0"/>
            <wp:docPr id="26" name="Picture 26" descr="C:\Users\WB496085\AppData\Local\Microsoft\Windows\INetCache\Content.Word\Supply and Demand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496085\AppData\Local\Microsoft\Windows\INetCache\Content.Word\Supply and Demand Map.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98574" cy="2397394"/>
                    </a:xfrm>
                    <a:prstGeom prst="rect">
                      <a:avLst/>
                    </a:prstGeom>
                    <a:noFill/>
                    <a:ln>
                      <a:noFill/>
                    </a:ln>
                  </pic:spPr>
                </pic:pic>
              </a:graphicData>
            </a:graphic>
          </wp:inline>
        </w:drawing>
      </w:r>
    </w:p>
    <w:p w14:paraId="7259CA48" w14:textId="7964EF02" w:rsidR="00E50A7B" w:rsidRPr="00FB60FC" w:rsidRDefault="00141BD7" w:rsidP="00320347">
      <w:pPr>
        <w:pStyle w:val="Heading3"/>
        <w:numPr>
          <w:ilvl w:val="3"/>
          <w:numId w:val="44"/>
        </w:numPr>
        <w:rPr>
          <w:b/>
          <w:lang w:val="en-US"/>
        </w:rPr>
      </w:pPr>
      <w:r w:rsidRPr="00FB60FC">
        <w:rPr>
          <w:b/>
          <w:lang w:val="en-US"/>
        </w:rPr>
        <w:t xml:space="preserve"> </w:t>
      </w:r>
      <w:bookmarkStart w:id="16" w:name="_Toc3975125"/>
      <w:r w:rsidR="00E50A7B" w:rsidRPr="00FB60FC">
        <w:rPr>
          <w:b/>
          <w:lang w:val="en-US"/>
        </w:rPr>
        <w:t xml:space="preserve">Offering a </w:t>
      </w:r>
      <w:r w:rsidR="00EC099C" w:rsidRPr="00FB60FC">
        <w:rPr>
          <w:b/>
          <w:lang w:val="en-US"/>
        </w:rPr>
        <w:t xml:space="preserve">diverse </w:t>
      </w:r>
      <w:r w:rsidR="00E50A7B" w:rsidRPr="00FB60FC">
        <w:rPr>
          <w:b/>
          <w:lang w:val="en-US"/>
        </w:rPr>
        <w:t>range of financial services and products to individuals and MSMEs</w:t>
      </w:r>
      <w:r w:rsidRPr="00FB60FC">
        <w:rPr>
          <w:b/>
          <w:lang w:val="en-US"/>
        </w:rPr>
        <w:t>.</w:t>
      </w:r>
      <w:bookmarkEnd w:id="16"/>
    </w:p>
    <w:p w14:paraId="79B23113" w14:textId="2704154F" w:rsidR="00504BA8" w:rsidRDefault="00504BA8" w:rsidP="00FB60FC">
      <w:pPr>
        <w:pStyle w:val="ListParagraph"/>
        <w:numPr>
          <w:ilvl w:val="0"/>
          <w:numId w:val="47"/>
        </w:numPr>
        <w:spacing w:after="240" w:line="240" w:lineRule="auto"/>
        <w:ind w:left="0" w:firstLine="0"/>
        <w:contextualSpacing w:val="0"/>
        <w:jc w:val="both"/>
        <w:rPr>
          <w:rFonts w:ascii="Calibri" w:hAnsi="Calibri" w:cs="Calibri"/>
          <w:lang w:val="en-US"/>
        </w:rPr>
      </w:pPr>
      <w:r>
        <w:rPr>
          <w:rFonts w:cstheme="minorHAnsi"/>
          <w:b/>
          <w:color w:val="222222"/>
          <w:lang w:val="en-US"/>
        </w:rPr>
        <w:t xml:space="preserve">The microfinance sector offers a range </w:t>
      </w:r>
      <w:r w:rsidRPr="00124DA6">
        <w:rPr>
          <w:rFonts w:cstheme="minorHAnsi"/>
          <w:b/>
          <w:color w:val="222222"/>
          <w:lang w:val="en-US"/>
        </w:rPr>
        <w:t>of financial services.</w:t>
      </w:r>
      <w:r w:rsidRPr="00124DA6">
        <w:rPr>
          <w:rFonts w:cstheme="minorHAnsi"/>
          <w:color w:val="222222"/>
          <w:lang w:val="en-US"/>
        </w:rPr>
        <w:t xml:space="preserve"> </w:t>
      </w:r>
      <w:r w:rsidRPr="00124DA6">
        <w:rPr>
          <w:rFonts w:cstheme="minorHAnsi"/>
          <w:lang w:val="en-US"/>
        </w:rPr>
        <w:t xml:space="preserve">The sector offers a full range of products and services, from basic transaction services to a variety of savings, microinsurance, and instant money transfer between cashier and credit products. </w:t>
      </w:r>
      <w:r w:rsidRPr="00124DA6">
        <w:rPr>
          <w:rFonts w:ascii="Calibri" w:hAnsi="Calibri" w:cs="Calibri"/>
          <w:lang w:val="en-US"/>
        </w:rPr>
        <w:t xml:space="preserve">MFIs use a range of different delivery channels to bring their services closer to clients, including branches, roving MFI staff to serve clients directly particularly for savings known as </w:t>
      </w:r>
      <w:r w:rsidR="007650F0">
        <w:rPr>
          <w:rFonts w:ascii="Calibri" w:hAnsi="Calibri" w:cs="Calibri"/>
          <w:lang w:val="en-US"/>
        </w:rPr>
        <w:t>“</w:t>
      </w:r>
      <w:r w:rsidRPr="00124DA6">
        <w:rPr>
          <w:rFonts w:ascii="Calibri" w:hAnsi="Calibri" w:cs="Calibri"/>
          <w:lang w:val="en-US"/>
        </w:rPr>
        <w:t>SUSU collector</w:t>
      </w:r>
      <w:r w:rsidR="007650F0">
        <w:rPr>
          <w:rFonts w:ascii="Calibri" w:hAnsi="Calibri" w:cs="Calibri"/>
          <w:lang w:val="en-US"/>
        </w:rPr>
        <w:t>”</w:t>
      </w:r>
      <w:r w:rsidRPr="00124DA6">
        <w:rPr>
          <w:rFonts w:ascii="Calibri" w:hAnsi="Calibri" w:cs="Calibri"/>
          <w:lang w:val="en-US"/>
        </w:rPr>
        <w:t xml:space="preserve"> and mobile money through partnerships with mobile network operators (MNOs), while others plan to issue their own e-money. For microinsurance, some MFIs have also established partnerships with insurance companies, while others, owing to the </w:t>
      </w:r>
      <w:r w:rsidRPr="00124DA6">
        <w:rPr>
          <w:rFonts w:cstheme="minorHAnsi"/>
          <w:i/>
          <w:lang w:val="en-US"/>
        </w:rPr>
        <w:t>Con</w:t>
      </w:r>
      <w:r>
        <w:rPr>
          <w:rFonts w:cstheme="minorHAnsi"/>
          <w:i/>
          <w:lang w:val="en-US"/>
        </w:rPr>
        <w:t xml:space="preserve">ference </w:t>
      </w:r>
      <w:proofErr w:type="spellStart"/>
      <w:r>
        <w:rPr>
          <w:rFonts w:cstheme="minorHAnsi"/>
          <w:i/>
          <w:lang w:val="en-US"/>
        </w:rPr>
        <w:t>Interafricaine</w:t>
      </w:r>
      <w:proofErr w:type="spellEnd"/>
      <w:r>
        <w:rPr>
          <w:rFonts w:cstheme="minorHAnsi"/>
          <w:i/>
          <w:lang w:val="en-US"/>
        </w:rPr>
        <w:t xml:space="preserve"> des </w:t>
      </w:r>
      <w:proofErr w:type="spellStart"/>
      <w:r>
        <w:rPr>
          <w:rFonts w:cstheme="minorHAnsi"/>
          <w:i/>
          <w:lang w:val="en-US"/>
        </w:rPr>
        <w:t>Marchés</w:t>
      </w:r>
      <w:proofErr w:type="spellEnd"/>
      <w:r>
        <w:rPr>
          <w:rFonts w:cstheme="minorHAnsi"/>
          <w:i/>
          <w:lang w:val="en-US"/>
        </w:rPr>
        <w:t xml:space="preserve"> </w:t>
      </w:r>
      <w:r w:rsidRPr="00124DA6">
        <w:rPr>
          <w:rFonts w:cstheme="minorHAnsi"/>
          <w:i/>
          <w:lang w:val="en-US"/>
        </w:rPr>
        <w:t>de</w:t>
      </w:r>
      <w:r w:rsidR="002425E2">
        <w:rPr>
          <w:rFonts w:cstheme="minorHAnsi"/>
          <w:i/>
          <w:lang w:val="en-US"/>
        </w:rPr>
        <w:t xml:space="preserve"> </w:t>
      </w:r>
      <w:proofErr w:type="spellStart"/>
      <w:r w:rsidRPr="00124DA6">
        <w:rPr>
          <w:rFonts w:cstheme="minorHAnsi"/>
          <w:i/>
          <w:lang w:val="en-US"/>
        </w:rPr>
        <w:t>l’Assurance</w:t>
      </w:r>
      <w:proofErr w:type="spellEnd"/>
      <w:r w:rsidRPr="00124DA6">
        <w:rPr>
          <w:rFonts w:ascii="Calibri" w:hAnsi="Calibri" w:cs="Calibri"/>
          <w:lang w:val="en-US"/>
        </w:rPr>
        <w:t xml:space="preserve"> (CIMA) regulation on microinsurance, have established their own insurance</w:t>
      </w:r>
      <w:r>
        <w:rPr>
          <w:rFonts w:ascii="Calibri" w:hAnsi="Calibri" w:cs="Calibri"/>
          <w:lang w:val="en-US"/>
        </w:rPr>
        <w:t xml:space="preserve"> company.</w:t>
      </w:r>
    </w:p>
    <w:p w14:paraId="4411AF19" w14:textId="2A99F2B4" w:rsidR="00504BA8" w:rsidRPr="00504BA8" w:rsidRDefault="00504BA8" w:rsidP="00FB60FC">
      <w:pPr>
        <w:pStyle w:val="ListParagraph"/>
        <w:numPr>
          <w:ilvl w:val="0"/>
          <w:numId w:val="47"/>
        </w:numPr>
        <w:spacing w:after="240" w:line="240" w:lineRule="auto"/>
        <w:ind w:left="0" w:firstLine="0"/>
        <w:contextualSpacing w:val="0"/>
        <w:jc w:val="both"/>
        <w:rPr>
          <w:rFonts w:ascii="Calibri" w:hAnsi="Calibri" w:cs="Calibri"/>
          <w:lang w:val="en-US"/>
        </w:rPr>
      </w:pPr>
      <w:r w:rsidRPr="00504BA8">
        <w:rPr>
          <w:rFonts w:cstheme="minorHAnsi"/>
          <w:b/>
          <w:lang w:val="en-US"/>
        </w:rPr>
        <w:t>MFIs offer a large range of savings products to their clients/members.</w:t>
      </w:r>
      <w:r w:rsidRPr="00504BA8">
        <w:rPr>
          <w:rFonts w:cstheme="minorHAnsi"/>
          <w:lang w:val="en-US"/>
        </w:rPr>
        <w:t xml:space="preserve"> Most of the MFIs offer deposit accounts. Depending on the institution, these deposit accounts pay interest when a minimum balance is maintained in the account. Most MFIs also offer term savings accounts with an average interest rate of 5 percent </w:t>
      </w:r>
      <w:r w:rsidR="00987734">
        <w:rPr>
          <w:rFonts w:cstheme="minorHAnsi"/>
          <w:lang w:val="en-US"/>
        </w:rPr>
        <w:t>over a one</w:t>
      </w:r>
      <w:r w:rsidR="00706F23">
        <w:rPr>
          <w:rFonts w:cstheme="minorHAnsi"/>
          <w:lang w:val="en-US"/>
        </w:rPr>
        <w:t>-to-five-</w:t>
      </w:r>
      <w:r w:rsidRPr="00504BA8">
        <w:rPr>
          <w:rFonts w:cstheme="minorHAnsi"/>
          <w:lang w:val="en-US"/>
        </w:rPr>
        <w:t>year</w:t>
      </w:r>
      <w:r w:rsidR="00987734">
        <w:rPr>
          <w:rFonts w:cstheme="minorHAnsi"/>
          <w:lang w:val="en-US"/>
        </w:rPr>
        <w:t xml:space="preserve"> period</w:t>
      </w:r>
      <w:r w:rsidRPr="00504BA8">
        <w:rPr>
          <w:rFonts w:cstheme="minorHAnsi"/>
          <w:lang w:val="en-US"/>
        </w:rPr>
        <w:t xml:space="preserve">. Dedicated savings products for youth are also offered in the market. More and more MFIs offer a tontine-inspired savings product where the deposit is collected by roving MFI staff with the client on a daily, or weekly, or monthly basis. </w:t>
      </w:r>
    </w:p>
    <w:tbl>
      <w:tblPr>
        <w:tblStyle w:val="TableGrid"/>
        <w:tblW w:w="5000" w:type="pct"/>
        <w:tblLook w:val="04A0" w:firstRow="1" w:lastRow="0" w:firstColumn="1" w:lastColumn="0" w:noHBand="0" w:noVBand="1"/>
      </w:tblPr>
      <w:tblGrid>
        <w:gridCol w:w="9576"/>
      </w:tblGrid>
      <w:tr w:rsidR="00504BA8" w:rsidRPr="00504BA8" w14:paraId="4428CC0A" w14:textId="77777777" w:rsidTr="00B03F0F">
        <w:tc>
          <w:tcPr>
            <w:tcW w:w="5000" w:type="pct"/>
            <w:shd w:val="clear" w:color="auto" w:fill="D9D9D9" w:themeFill="background1" w:themeFillShade="D9"/>
          </w:tcPr>
          <w:p w14:paraId="75771C09" w14:textId="481C38F1" w:rsidR="00504BA8" w:rsidRPr="00C26318" w:rsidRDefault="00504BA8" w:rsidP="00504BA8">
            <w:pPr>
              <w:spacing w:before="60" w:after="60"/>
              <w:jc w:val="center"/>
              <w:rPr>
                <w:rFonts w:asciiTheme="minorHAnsi" w:hAnsiTheme="minorHAnsi" w:cstheme="minorHAnsi"/>
                <w:b/>
                <w:color w:val="2E74B5" w:themeColor="accent1" w:themeShade="BF"/>
              </w:rPr>
            </w:pPr>
            <w:r w:rsidRPr="00C26318">
              <w:rPr>
                <w:rFonts w:asciiTheme="minorHAnsi" w:hAnsiTheme="minorHAnsi" w:cstheme="minorHAnsi"/>
                <w:b/>
                <w:color w:val="2E74B5" w:themeColor="accent1" w:themeShade="BF"/>
              </w:rPr>
              <w:t>Box</w:t>
            </w:r>
            <w:r w:rsidR="00C702B4" w:rsidRPr="00C26318">
              <w:rPr>
                <w:rFonts w:asciiTheme="minorHAnsi" w:hAnsiTheme="minorHAnsi" w:cstheme="minorHAnsi"/>
                <w:b/>
                <w:color w:val="2E74B5" w:themeColor="accent1" w:themeShade="BF"/>
              </w:rPr>
              <w:t> </w:t>
            </w:r>
            <w:r w:rsidRPr="00C26318">
              <w:rPr>
                <w:rFonts w:asciiTheme="minorHAnsi" w:hAnsiTheme="minorHAnsi" w:cstheme="minorHAnsi"/>
                <w:b/>
                <w:color w:val="2E74B5" w:themeColor="accent1" w:themeShade="BF"/>
              </w:rPr>
              <w:t>2.</w:t>
            </w:r>
            <w:r w:rsidRPr="00C26318">
              <w:rPr>
                <w:rFonts w:cstheme="minorHAnsi"/>
                <w:b/>
                <w:color w:val="2E74B5" w:themeColor="accent1" w:themeShade="BF"/>
              </w:rPr>
              <w:fldChar w:fldCharType="begin"/>
            </w:r>
            <w:r w:rsidRPr="00C26318">
              <w:rPr>
                <w:rFonts w:asciiTheme="minorHAnsi" w:hAnsiTheme="minorHAnsi" w:cstheme="minorHAnsi"/>
                <w:b/>
                <w:color w:val="2E74B5" w:themeColor="accent1" w:themeShade="BF"/>
              </w:rPr>
              <w:instrText xml:space="preserve"> SEQ Box_2. \* ARABIC </w:instrText>
            </w:r>
            <w:r w:rsidRPr="00C26318">
              <w:rPr>
                <w:rFonts w:cstheme="minorHAnsi"/>
                <w:b/>
                <w:color w:val="2E74B5" w:themeColor="accent1" w:themeShade="BF"/>
              </w:rPr>
              <w:fldChar w:fldCharType="separate"/>
            </w:r>
            <w:r w:rsidR="004C6E5F" w:rsidRPr="00C26318">
              <w:rPr>
                <w:rFonts w:asciiTheme="minorHAnsi" w:hAnsiTheme="minorHAnsi" w:cstheme="minorHAnsi"/>
                <w:b/>
                <w:noProof/>
                <w:color w:val="2E74B5" w:themeColor="accent1" w:themeShade="BF"/>
              </w:rPr>
              <w:t>2</w:t>
            </w:r>
            <w:r w:rsidRPr="00C26318">
              <w:rPr>
                <w:rFonts w:cstheme="minorHAnsi"/>
                <w:b/>
                <w:color w:val="2E74B5" w:themeColor="accent1" w:themeShade="BF"/>
              </w:rPr>
              <w:fldChar w:fldCharType="end"/>
            </w:r>
            <w:r w:rsidRPr="00C26318">
              <w:rPr>
                <w:rFonts w:asciiTheme="minorHAnsi" w:hAnsiTheme="minorHAnsi" w:cstheme="minorHAnsi"/>
                <w:b/>
                <w:color w:val="2E74B5" w:themeColor="accent1" w:themeShade="BF"/>
              </w:rPr>
              <w:t xml:space="preserve">: Leveraging </w:t>
            </w:r>
            <w:r w:rsidR="00706F23" w:rsidRPr="00C26318">
              <w:rPr>
                <w:rFonts w:asciiTheme="minorHAnsi" w:hAnsiTheme="minorHAnsi" w:cstheme="minorHAnsi"/>
                <w:b/>
                <w:color w:val="2E74B5" w:themeColor="accent1" w:themeShade="BF"/>
              </w:rPr>
              <w:t>T</w:t>
            </w:r>
            <w:r w:rsidRPr="00C26318">
              <w:rPr>
                <w:rFonts w:asciiTheme="minorHAnsi" w:hAnsiTheme="minorHAnsi" w:cstheme="minorHAnsi"/>
                <w:b/>
                <w:color w:val="2E74B5" w:themeColor="accent1" w:themeShade="BF"/>
              </w:rPr>
              <w:t xml:space="preserve">ontine in the </w:t>
            </w:r>
            <w:r w:rsidR="00706F23" w:rsidRPr="00C26318">
              <w:rPr>
                <w:rFonts w:asciiTheme="minorHAnsi" w:hAnsiTheme="minorHAnsi" w:cstheme="minorHAnsi"/>
                <w:b/>
                <w:color w:val="2E74B5" w:themeColor="accent1" w:themeShade="BF"/>
              </w:rPr>
              <w:t>F</w:t>
            </w:r>
            <w:r w:rsidRPr="00C26318">
              <w:rPr>
                <w:rFonts w:asciiTheme="minorHAnsi" w:hAnsiTheme="minorHAnsi" w:cstheme="minorHAnsi"/>
                <w:b/>
                <w:color w:val="2E74B5" w:themeColor="accent1" w:themeShade="BF"/>
              </w:rPr>
              <w:t xml:space="preserve">ormal </w:t>
            </w:r>
            <w:r w:rsidR="00706F23" w:rsidRPr="00C26318">
              <w:rPr>
                <w:rFonts w:asciiTheme="minorHAnsi" w:hAnsiTheme="minorHAnsi" w:cstheme="minorHAnsi"/>
                <w:b/>
                <w:color w:val="2E74B5" w:themeColor="accent1" w:themeShade="BF"/>
              </w:rPr>
              <w:t>M</w:t>
            </w:r>
            <w:r w:rsidRPr="00C26318">
              <w:rPr>
                <w:rFonts w:asciiTheme="minorHAnsi" w:hAnsiTheme="minorHAnsi" w:cstheme="minorHAnsi"/>
                <w:b/>
                <w:color w:val="2E74B5" w:themeColor="accent1" w:themeShade="BF"/>
              </w:rPr>
              <w:t xml:space="preserve">icrofinance </w:t>
            </w:r>
            <w:r w:rsidR="00706F23" w:rsidRPr="00C26318">
              <w:rPr>
                <w:rFonts w:asciiTheme="minorHAnsi" w:hAnsiTheme="minorHAnsi" w:cstheme="minorHAnsi"/>
                <w:b/>
                <w:color w:val="2E74B5" w:themeColor="accent1" w:themeShade="BF"/>
              </w:rPr>
              <w:t>I</w:t>
            </w:r>
            <w:r w:rsidRPr="00C26318">
              <w:rPr>
                <w:rFonts w:asciiTheme="minorHAnsi" w:hAnsiTheme="minorHAnsi" w:cstheme="minorHAnsi"/>
                <w:b/>
                <w:color w:val="2E74B5" w:themeColor="accent1" w:themeShade="BF"/>
              </w:rPr>
              <w:t>ndustry</w:t>
            </w:r>
          </w:p>
          <w:p w14:paraId="757B69D2" w14:textId="7A51F50B" w:rsidR="00504BA8" w:rsidRPr="00504BA8" w:rsidRDefault="00504BA8" w:rsidP="00504BA8">
            <w:pPr>
              <w:autoSpaceDE w:val="0"/>
              <w:autoSpaceDN w:val="0"/>
              <w:adjustRightInd w:val="0"/>
              <w:spacing w:after="60"/>
              <w:jc w:val="both"/>
              <w:rPr>
                <w:rFonts w:asciiTheme="minorHAnsi" w:hAnsiTheme="minorHAnsi" w:cstheme="minorHAnsi"/>
                <w:sz w:val="18"/>
                <w:szCs w:val="18"/>
              </w:rPr>
            </w:pPr>
            <w:r w:rsidRPr="00504BA8">
              <w:rPr>
                <w:rFonts w:asciiTheme="minorHAnsi" w:hAnsiTheme="minorHAnsi" w:cstheme="minorHAnsi"/>
                <w:sz w:val="18"/>
                <w:szCs w:val="18"/>
              </w:rPr>
              <w:t xml:space="preserve">In Benin, the </w:t>
            </w:r>
            <w:r w:rsidRPr="00504BA8">
              <w:rPr>
                <w:rFonts w:asciiTheme="minorHAnsi" w:hAnsiTheme="minorHAnsi" w:cstheme="minorHAnsi"/>
                <w:i/>
                <w:sz w:val="18"/>
                <w:szCs w:val="18"/>
              </w:rPr>
              <w:t>Coop</w:t>
            </w:r>
            <w:r w:rsidR="00706F23">
              <w:rPr>
                <w:rFonts w:asciiTheme="minorHAnsi" w:hAnsiTheme="minorHAnsi" w:cstheme="minorHAnsi"/>
                <w:i/>
                <w:sz w:val="18"/>
                <w:szCs w:val="18"/>
              </w:rPr>
              <w:t>e</w:t>
            </w:r>
            <w:r w:rsidRPr="00504BA8">
              <w:rPr>
                <w:rFonts w:asciiTheme="minorHAnsi" w:hAnsiTheme="minorHAnsi" w:cstheme="minorHAnsi"/>
                <w:i/>
                <w:sz w:val="18"/>
                <w:szCs w:val="18"/>
              </w:rPr>
              <w:t xml:space="preserve">rative pour la Promotion de </w:t>
            </w:r>
            <w:proofErr w:type="spellStart"/>
            <w:r w:rsidRPr="00504BA8">
              <w:rPr>
                <w:rFonts w:asciiTheme="minorHAnsi" w:hAnsiTheme="minorHAnsi" w:cstheme="minorHAnsi"/>
                <w:i/>
                <w:sz w:val="18"/>
                <w:szCs w:val="18"/>
              </w:rPr>
              <w:t>l</w:t>
            </w:r>
            <w:r w:rsidR="00141BD7">
              <w:rPr>
                <w:rFonts w:asciiTheme="minorHAnsi" w:hAnsiTheme="minorHAnsi" w:cstheme="minorHAnsi"/>
                <w:i/>
                <w:sz w:val="18"/>
                <w:szCs w:val="18"/>
              </w:rPr>
              <w:t>’</w:t>
            </w:r>
            <w:r w:rsidRPr="00504BA8">
              <w:rPr>
                <w:rFonts w:asciiTheme="minorHAnsi" w:hAnsiTheme="minorHAnsi" w:cstheme="minorHAnsi"/>
                <w:i/>
                <w:sz w:val="18"/>
                <w:szCs w:val="18"/>
              </w:rPr>
              <w:t>Epargne</w:t>
            </w:r>
            <w:proofErr w:type="spellEnd"/>
            <w:r w:rsidRPr="00504BA8">
              <w:rPr>
                <w:rFonts w:asciiTheme="minorHAnsi" w:hAnsiTheme="minorHAnsi" w:cstheme="minorHAnsi"/>
                <w:i/>
                <w:sz w:val="18"/>
                <w:szCs w:val="18"/>
              </w:rPr>
              <w:t xml:space="preserve"> et du Crédit</w:t>
            </w:r>
            <w:r w:rsidRPr="00504BA8">
              <w:rPr>
                <w:rFonts w:asciiTheme="minorHAnsi" w:hAnsiTheme="minorHAnsi" w:cstheme="minorHAnsi"/>
                <w:sz w:val="18"/>
                <w:szCs w:val="18"/>
              </w:rPr>
              <w:t xml:space="preserve"> (CPEC) decided to create its own team of </w:t>
            </w:r>
            <w:proofErr w:type="spellStart"/>
            <w:r w:rsidRPr="00504BA8">
              <w:rPr>
                <w:rFonts w:asciiTheme="minorHAnsi" w:hAnsiTheme="minorHAnsi" w:cstheme="minorHAnsi"/>
                <w:sz w:val="18"/>
                <w:szCs w:val="18"/>
              </w:rPr>
              <w:t>Susu</w:t>
            </w:r>
            <w:proofErr w:type="spellEnd"/>
            <w:r w:rsidRPr="00504BA8">
              <w:rPr>
                <w:rFonts w:asciiTheme="minorHAnsi" w:hAnsiTheme="minorHAnsi" w:cstheme="minorHAnsi"/>
                <w:sz w:val="18"/>
                <w:szCs w:val="18"/>
              </w:rPr>
              <w:t xml:space="preserve"> collectors to provide doorstep banking in rural areas. “</w:t>
            </w:r>
            <w:proofErr w:type="spellStart"/>
            <w:r w:rsidRPr="00504BA8">
              <w:rPr>
                <w:rFonts w:asciiTheme="minorHAnsi" w:hAnsiTheme="minorHAnsi" w:cstheme="minorHAnsi"/>
                <w:sz w:val="18"/>
                <w:szCs w:val="18"/>
              </w:rPr>
              <w:t>Susu</w:t>
            </w:r>
            <w:proofErr w:type="spellEnd"/>
            <w:r w:rsidRPr="00504BA8">
              <w:rPr>
                <w:rFonts w:asciiTheme="minorHAnsi" w:hAnsiTheme="minorHAnsi" w:cstheme="minorHAnsi"/>
                <w:sz w:val="18"/>
                <w:szCs w:val="18"/>
              </w:rPr>
              <w:t xml:space="preserve">,” meaning “small-small,” is one of West Africa’s oldest methods for people to informally save small amounts of money. These private </w:t>
            </w:r>
            <w:proofErr w:type="spellStart"/>
            <w:r w:rsidRPr="00504BA8">
              <w:rPr>
                <w:rFonts w:asciiTheme="minorHAnsi" w:hAnsiTheme="minorHAnsi" w:cstheme="minorHAnsi"/>
                <w:sz w:val="18"/>
                <w:szCs w:val="18"/>
              </w:rPr>
              <w:t>Susu</w:t>
            </w:r>
            <w:proofErr w:type="spellEnd"/>
            <w:r w:rsidRPr="00504BA8">
              <w:rPr>
                <w:rFonts w:asciiTheme="minorHAnsi" w:hAnsiTheme="minorHAnsi" w:cstheme="minorHAnsi"/>
                <w:sz w:val="18"/>
                <w:szCs w:val="18"/>
              </w:rPr>
              <w:t xml:space="preserve"> collectors go door-to-door, collecting daily savings, mainly from low-income populations. The MFI incorporated </w:t>
            </w:r>
            <w:proofErr w:type="spellStart"/>
            <w:r w:rsidRPr="00504BA8">
              <w:rPr>
                <w:rFonts w:asciiTheme="minorHAnsi" w:hAnsiTheme="minorHAnsi" w:cstheme="minorHAnsi"/>
                <w:sz w:val="18"/>
                <w:szCs w:val="18"/>
              </w:rPr>
              <w:t>Susu</w:t>
            </w:r>
            <w:proofErr w:type="spellEnd"/>
            <w:r w:rsidRPr="00504BA8">
              <w:rPr>
                <w:rFonts w:asciiTheme="minorHAnsi" w:hAnsiTheme="minorHAnsi" w:cstheme="minorHAnsi"/>
                <w:sz w:val="18"/>
                <w:szCs w:val="18"/>
              </w:rPr>
              <w:t xml:space="preserve">-style collectors into their team after a year of developing their business model. As of October 2016, CPEC’s </w:t>
            </w:r>
            <w:proofErr w:type="spellStart"/>
            <w:r w:rsidRPr="00504BA8">
              <w:rPr>
                <w:rFonts w:asciiTheme="minorHAnsi" w:hAnsiTheme="minorHAnsi" w:cstheme="minorHAnsi"/>
                <w:sz w:val="18"/>
                <w:szCs w:val="18"/>
              </w:rPr>
              <w:t>Susu</w:t>
            </w:r>
            <w:proofErr w:type="spellEnd"/>
            <w:r w:rsidRPr="00504BA8">
              <w:rPr>
                <w:rFonts w:asciiTheme="minorHAnsi" w:hAnsiTheme="minorHAnsi" w:cstheme="minorHAnsi"/>
                <w:sz w:val="18"/>
                <w:szCs w:val="18"/>
              </w:rPr>
              <w:t xml:space="preserve"> collectors are serving 9,607 clients, who have opened over 26,000 accounts. Clients are opening multiple accounts to save toward different goals.</w:t>
            </w:r>
          </w:p>
          <w:p w14:paraId="1A979481" w14:textId="3532996A" w:rsidR="00504BA8" w:rsidRPr="00504BA8" w:rsidRDefault="00504BA8" w:rsidP="00504BA8">
            <w:pPr>
              <w:keepNext/>
              <w:autoSpaceDE w:val="0"/>
              <w:autoSpaceDN w:val="0"/>
              <w:adjustRightInd w:val="0"/>
              <w:spacing w:after="60"/>
              <w:jc w:val="both"/>
              <w:rPr>
                <w:rFonts w:asciiTheme="majorHAnsi" w:hAnsiTheme="majorHAnsi" w:cstheme="majorHAnsi"/>
                <w:b/>
              </w:rPr>
            </w:pPr>
            <w:r w:rsidRPr="00504BA8">
              <w:rPr>
                <w:rFonts w:asciiTheme="minorHAnsi" w:hAnsiTheme="minorHAnsi" w:cstheme="minorHAnsi"/>
                <w:i/>
                <w:color w:val="2E74B5" w:themeColor="accent1" w:themeShade="BF"/>
                <w:sz w:val="18"/>
                <w:szCs w:val="18"/>
              </w:rPr>
              <w:t>Source</w:t>
            </w:r>
            <w:r w:rsidRPr="00504BA8">
              <w:rPr>
                <w:rFonts w:asciiTheme="minorHAnsi" w:hAnsiTheme="minorHAnsi" w:cstheme="minorHAnsi"/>
                <w:color w:val="2E74B5" w:themeColor="accent1" w:themeShade="BF"/>
                <w:sz w:val="18"/>
                <w:szCs w:val="18"/>
              </w:rPr>
              <w:t>: UNCDF</w:t>
            </w:r>
            <w:r w:rsidR="00C702B4">
              <w:rPr>
                <w:rFonts w:asciiTheme="minorHAnsi" w:hAnsiTheme="minorHAnsi" w:cstheme="minorHAnsi"/>
                <w:color w:val="2E74B5" w:themeColor="accent1" w:themeShade="BF"/>
                <w:sz w:val="18"/>
                <w:szCs w:val="18"/>
              </w:rPr>
              <w:t> </w:t>
            </w:r>
            <w:r w:rsidRPr="00504BA8">
              <w:rPr>
                <w:rFonts w:asciiTheme="minorHAnsi" w:hAnsiTheme="minorHAnsi" w:cstheme="minorHAnsi"/>
                <w:color w:val="2E74B5" w:themeColor="accent1" w:themeShade="BF"/>
                <w:sz w:val="18"/>
                <w:szCs w:val="18"/>
              </w:rPr>
              <w:t xml:space="preserve">2017. </w:t>
            </w:r>
            <w:proofErr w:type="spellStart"/>
            <w:r w:rsidRPr="00504BA8">
              <w:rPr>
                <w:rFonts w:asciiTheme="minorHAnsi" w:hAnsiTheme="minorHAnsi" w:cstheme="minorHAnsi"/>
                <w:sz w:val="18"/>
                <w:szCs w:val="18"/>
              </w:rPr>
              <w:t>MicroLead</w:t>
            </w:r>
            <w:proofErr w:type="spellEnd"/>
            <w:r w:rsidRPr="00504BA8">
              <w:rPr>
                <w:rFonts w:asciiTheme="minorHAnsi" w:hAnsiTheme="minorHAnsi" w:cstheme="minorHAnsi"/>
                <w:sz w:val="18"/>
                <w:szCs w:val="18"/>
              </w:rPr>
              <w:t xml:space="preserve"> Handout VSLA</w:t>
            </w:r>
          </w:p>
        </w:tc>
      </w:tr>
    </w:tbl>
    <w:p w14:paraId="6788909E" w14:textId="431B9285" w:rsidR="00504BA8" w:rsidRPr="00504BA8" w:rsidRDefault="00504BA8" w:rsidP="00C26318">
      <w:pPr>
        <w:pStyle w:val="ListParagraph"/>
        <w:numPr>
          <w:ilvl w:val="0"/>
          <w:numId w:val="47"/>
        </w:numPr>
        <w:spacing w:before="240" w:after="240" w:line="240" w:lineRule="auto"/>
        <w:ind w:left="0" w:firstLine="0"/>
        <w:contextualSpacing w:val="0"/>
        <w:jc w:val="both"/>
        <w:rPr>
          <w:rFonts w:ascii="Calibri" w:hAnsi="Calibri" w:cs="Calibri"/>
          <w:lang w:val="en-US"/>
        </w:rPr>
      </w:pPr>
      <w:r w:rsidRPr="00124DA6">
        <w:rPr>
          <w:rFonts w:cstheme="minorHAnsi"/>
          <w:b/>
          <w:bCs/>
          <w:lang w:val="en-US"/>
        </w:rPr>
        <w:t>MFIs supply a range of credit products</w:t>
      </w:r>
      <w:r w:rsidR="007650F0">
        <w:rPr>
          <w:rFonts w:cstheme="minorHAnsi"/>
          <w:b/>
          <w:bCs/>
          <w:lang w:val="en-US"/>
        </w:rPr>
        <w:t>, foremost of which</w:t>
      </w:r>
      <w:r w:rsidRPr="00124DA6">
        <w:rPr>
          <w:rFonts w:cstheme="minorHAnsi"/>
          <w:b/>
          <w:bCs/>
          <w:lang w:val="en-US"/>
        </w:rPr>
        <w:t xml:space="preserve"> </w:t>
      </w:r>
      <w:r w:rsidR="007650F0">
        <w:rPr>
          <w:rFonts w:cstheme="minorHAnsi"/>
          <w:b/>
          <w:bCs/>
          <w:lang w:val="en-US"/>
        </w:rPr>
        <w:t>are</w:t>
      </w:r>
      <w:r w:rsidR="007650F0" w:rsidRPr="00124DA6">
        <w:rPr>
          <w:rFonts w:cstheme="minorHAnsi"/>
          <w:b/>
          <w:bCs/>
          <w:lang w:val="en-US"/>
        </w:rPr>
        <w:t xml:space="preserve"> </w:t>
      </w:r>
      <w:r w:rsidRPr="00124DA6">
        <w:rPr>
          <w:rFonts w:cstheme="minorHAnsi"/>
          <w:b/>
          <w:bCs/>
          <w:lang w:val="en-US"/>
        </w:rPr>
        <w:t xml:space="preserve">short-term </w:t>
      </w:r>
      <w:r w:rsidR="007650F0">
        <w:rPr>
          <w:rFonts w:cstheme="minorHAnsi"/>
          <w:b/>
          <w:bCs/>
          <w:lang w:val="en-US"/>
        </w:rPr>
        <w:t xml:space="preserve">products designed </w:t>
      </w:r>
      <w:r w:rsidRPr="00124DA6">
        <w:rPr>
          <w:rFonts w:cstheme="minorHAnsi"/>
          <w:b/>
          <w:bCs/>
          <w:lang w:val="en-US"/>
        </w:rPr>
        <w:t xml:space="preserve">for the trade sector. </w:t>
      </w:r>
      <w:r w:rsidR="001B34ED">
        <w:rPr>
          <w:rFonts w:cstheme="minorHAnsi"/>
          <w:bCs/>
          <w:lang w:val="en-US"/>
        </w:rPr>
        <w:t>Credits are mainly short-term</w:t>
      </w:r>
      <w:r w:rsidR="001B34ED" w:rsidRPr="00124DA6">
        <w:rPr>
          <w:rFonts w:cstheme="minorHAnsi"/>
          <w:bCs/>
          <w:lang w:val="en-US"/>
        </w:rPr>
        <w:t xml:space="preserve"> </w:t>
      </w:r>
      <w:r w:rsidRPr="00124DA6">
        <w:rPr>
          <w:rFonts w:cstheme="minorHAnsi"/>
          <w:bCs/>
          <w:lang w:val="en-US"/>
        </w:rPr>
        <w:t>with 65 percent (</w:t>
      </w:r>
      <w:r w:rsidRPr="00124DA6">
        <w:rPr>
          <w:rFonts w:cstheme="minorHAnsi"/>
          <w:lang w:val="en-US"/>
        </w:rPr>
        <w:t>BCEAO</w:t>
      </w:r>
      <w:r w:rsidR="00C702B4">
        <w:rPr>
          <w:rFonts w:cstheme="minorHAnsi"/>
          <w:lang w:val="en-US"/>
        </w:rPr>
        <w:t> </w:t>
      </w:r>
      <w:r w:rsidRPr="00124DA6">
        <w:rPr>
          <w:rFonts w:cstheme="minorHAnsi"/>
          <w:lang w:val="en-US"/>
        </w:rPr>
        <w:t xml:space="preserve">2017) </w:t>
      </w:r>
      <w:r w:rsidRPr="00124DA6">
        <w:rPr>
          <w:rFonts w:cstheme="minorHAnsi"/>
          <w:bCs/>
          <w:lang w:val="en-US"/>
        </w:rPr>
        <w:t xml:space="preserve">of loans having a maturity of less than 12 months. </w:t>
      </w:r>
      <w:r w:rsidRPr="00124DA6">
        <w:rPr>
          <w:rFonts w:cstheme="minorHAnsi"/>
          <w:color w:val="222222"/>
          <w:lang w:val="en-US"/>
        </w:rPr>
        <w:t xml:space="preserve">The time between the loan </w:t>
      </w:r>
      <w:r w:rsidRPr="00124DA6">
        <w:rPr>
          <w:rFonts w:ascii="Calibri" w:hAnsi="Calibri" w:cs="Calibri"/>
          <w:lang w:val="en-US"/>
        </w:rPr>
        <w:t>application</w:t>
      </w:r>
      <w:r w:rsidRPr="00124DA6">
        <w:rPr>
          <w:rFonts w:cstheme="minorHAnsi"/>
          <w:color w:val="222222"/>
          <w:lang w:val="en-US"/>
        </w:rPr>
        <w:t xml:space="preserve"> and the granting varies according to the institutions from one week to one month. </w:t>
      </w:r>
      <w:r w:rsidR="007650F0">
        <w:rPr>
          <w:rFonts w:cstheme="minorHAnsi"/>
          <w:color w:val="222222"/>
          <w:lang w:val="en-US"/>
        </w:rPr>
        <w:t>In general, c</w:t>
      </w:r>
      <w:r w:rsidRPr="00124DA6">
        <w:rPr>
          <w:rFonts w:cstheme="minorHAnsi"/>
          <w:color w:val="222222"/>
          <w:lang w:val="en-US"/>
        </w:rPr>
        <w:t xml:space="preserve">redit renewal </w:t>
      </w:r>
      <w:r w:rsidR="007650F0">
        <w:rPr>
          <w:rFonts w:cstheme="minorHAnsi"/>
          <w:color w:val="222222"/>
          <w:lang w:val="en-US"/>
        </w:rPr>
        <w:t>occurs</w:t>
      </w:r>
      <w:r w:rsidRPr="00124DA6">
        <w:rPr>
          <w:rFonts w:cstheme="minorHAnsi"/>
          <w:color w:val="222222"/>
          <w:lang w:val="en-US"/>
        </w:rPr>
        <w:t xml:space="preserve"> within the same time frame.</w:t>
      </w:r>
      <w:r w:rsidRPr="00124DA6">
        <w:rPr>
          <w:rFonts w:cstheme="minorHAnsi"/>
          <w:bCs/>
          <w:lang w:val="en-US"/>
        </w:rPr>
        <w:t xml:space="preserve"> </w:t>
      </w:r>
      <w:r w:rsidR="007650F0">
        <w:rPr>
          <w:rFonts w:cstheme="minorHAnsi"/>
          <w:bCs/>
          <w:lang w:val="en-US"/>
        </w:rPr>
        <w:t>In 73 percent of instances,</w:t>
      </w:r>
      <w:r w:rsidR="007650F0" w:rsidRPr="00124DA6">
        <w:rPr>
          <w:rFonts w:cstheme="minorHAnsi"/>
          <w:bCs/>
          <w:lang w:val="en-US"/>
        </w:rPr>
        <w:t xml:space="preserve"> </w:t>
      </w:r>
      <w:r w:rsidRPr="00124DA6">
        <w:rPr>
          <w:rFonts w:cstheme="minorHAnsi"/>
          <w:bCs/>
          <w:lang w:val="en-US"/>
        </w:rPr>
        <w:t>credit</w:t>
      </w:r>
      <w:r w:rsidR="007650F0">
        <w:rPr>
          <w:rFonts w:cstheme="minorHAnsi"/>
          <w:bCs/>
          <w:lang w:val="en-US"/>
        </w:rPr>
        <w:t>s are granted</w:t>
      </w:r>
      <w:r w:rsidRPr="00124DA6">
        <w:rPr>
          <w:rFonts w:cstheme="minorHAnsi"/>
          <w:bCs/>
          <w:lang w:val="en-US"/>
        </w:rPr>
        <w:t xml:space="preserve"> to the trade and service sectors. The agricultur</w:t>
      </w:r>
      <w:r>
        <w:rPr>
          <w:rFonts w:cstheme="minorHAnsi"/>
          <w:bCs/>
          <w:lang w:val="en-US"/>
        </w:rPr>
        <w:t>al</w:t>
      </w:r>
      <w:r w:rsidRPr="00124DA6">
        <w:rPr>
          <w:rFonts w:cstheme="minorHAnsi"/>
          <w:bCs/>
          <w:lang w:val="en-US"/>
        </w:rPr>
        <w:t xml:space="preserve"> sector accounts for about 15 percent of the loans portfolio, 2 percent for crafts, and remaining for consumption. MFIs’ association recognizes that loans registration per sector is done by loan officers and to some extent with limited </w:t>
      </w:r>
      <w:r>
        <w:rPr>
          <w:rFonts w:cstheme="minorHAnsi"/>
          <w:bCs/>
          <w:lang w:val="en-US"/>
        </w:rPr>
        <w:t>consideration of</w:t>
      </w:r>
      <w:r w:rsidRPr="00124DA6">
        <w:rPr>
          <w:rFonts w:cstheme="minorHAnsi"/>
          <w:bCs/>
          <w:lang w:val="en-US"/>
        </w:rPr>
        <w:t xml:space="preserve"> the different economic sector. Thereby, this distribution is an approximation. The MFIs’ association considers the share of the loan portfolio dedicated to agriculture higher, </w:t>
      </w:r>
      <w:r w:rsidRPr="00124DA6">
        <w:rPr>
          <w:rFonts w:cstheme="minorHAnsi"/>
          <w:lang w:val="en-US"/>
        </w:rPr>
        <w:t xml:space="preserve">signaling the need for institutions to strengthen </w:t>
      </w:r>
      <w:r w:rsidR="000673C8">
        <w:rPr>
          <w:rFonts w:cstheme="minorHAnsi"/>
          <w:lang w:val="en-US"/>
        </w:rPr>
        <w:t xml:space="preserve">the </w:t>
      </w:r>
      <w:r w:rsidRPr="00124DA6">
        <w:rPr>
          <w:rFonts w:cstheme="minorHAnsi"/>
          <w:lang w:val="en-US"/>
        </w:rPr>
        <w:t>capacity</w:t>
      </w:r>
      <w:r w:rsidR="000673C8">
        <w:rPr>
          <w:rFonts w:cstheme="minorHAnsi"/>
          <w:lang w:val="en-US"/>
        </w:rPr>
        <w:t xml:space="preserve"> of</w:t>
      </w:r>
      <w:r w:rsidRPr="00124DA6">
        <w:rPr>
          <w:rFonts w:cstheme="minorHAnsi"/>
          <w:lang w:val="en-US"/>
        </w:rPr>
        <w:t xml:space="preserve"> for their loan officers.</w:t>
      </w:r>
      <w:r w:rsidRPr="00124DA6">
        <w:rPr>
          <w:rFonts w:cstheme="minorHAnsi"/>
          <w:bCs/>
          <w:lang w:val="en-US"/>
        </w:rPr>
        <w:t xml:space="preserve"> FECECAM, the largest MFI in Benin, had a growing agriculture lending portfolio which stood at 30 percent in 2016, 23 percent in 2015, and 17 percent in 2014. In addition, </w:t>
      </w:r>
      <w:r w:rsidRPr="00124DA6">
        <w:rPr>
          <w:rFonts w:cstheme="minorHAnsi"/>
          <w:lang w:val="en-US"/>
        </w:rPr>
        <w:t>MFIs operating in urban areas have a growing portfolio for consumer credit (school fees, employees) and for liberal professions</w:t>
      </w:r>
      <w:r>
        <w:rPr>
          <w:rFonts w:cstheme="minorHAnsi"/>
          <w:lang w:val="en-US"/>
        </w:rPr>
        <w:t>.</w:t>
      </w:r>
    </w:p>
    <w:p w14:paraId="7D20F08F" w14:textId="13D0E3D7" w:rsidR="00504BA8" w:rsidRPr="00504BA8" w:rsidRDefault="00504BA8" w:rsidP="00C26318">
      <w:pPr>
        <w:pStyle w:val="ListParagraph"/>
        <w:numPr>
          <w:ilvl w:val="0"/>
          <w:numId w:val="47"/>
        </w:numPr>
        <w:spacing w:after="240" w:line="240" w:lineRule="auto"/>
        <w:ind w:left="0" w:firstLine="0"/>
        <w:contextualSpacing w:val="0"/>
        <w:jc w:val="both"/>
        <w:rPr>
          <w:rFonts w:ascii="Calibri" w:hAnsi="Calibri" w:cs="Calibri"/>
          <w:lang w:val="en-US"/>
        </w:rPr>
      </w:pPr>
      <w:r w:rsidRPr="00124DA6">
        <w:rPr>
          <w:rFonts w:cstheme="minorHAnsi"/>
          <w:b/>
          <w:lang w:val="en-US"/>
        </w:rPr>
        <w:t xml:space="preserve">MFIs offer a variety of loan products tailored to meet the needs of their clients. </w:t>
      </w:r>
      <w:r w:rsidRPr="00124DA6">
        <w:rPr>
          <w:rFonts w:cstheme="minorHAnsi"/>
          <w:lang w:val="en-US"/>
        </w:rPr>
        <w:t xml:space="preserve">Medium and small MFIs mainly provide loans to groups or individuals backed with nontraditional collateral (sewing machine, and so on). </w:t>
      </w:r>
      <w:r w:rsidRPr="00124DA6">
        <w:rPr>
          <w:rFonts w:cstheme="minorHAnsi"/>
          <w:bCs/>
          <w:lang w:val="en-US"/>
        </w:rPr>
        <w:t xml:space="preserve">Large MFIs have specific products for agriculture (inventory credit, commercialization of agriculture production, micro-leasing) and for women. In addition, their loans are </w:t>
      </w:r>
      <w:r w:rsidRPr="00124DA6">
        <w:rPr>
          <w:rFonts w:cstheme="minorHAnsi"/>
          <w:lang w:val="en-US"/>
        </w:rPr>
        <w:t>backed with the following types of collateral: personal guarantees (group caution for group lending, individual caution, and so on); financial guarantees (credit guarantees, security deposit, insurance, and so on); and materials guarantee constituted by the non-possessory pledge (pledge on vehicle</w:t>
      </w:r>
      <w:r w:rsidR="00141BD7">
        <w:rPr>
          <w:rFonts w:cstheme="minorHAnsi"/>
          <w:lang w:val="en-US"/>
        </w:rPr>
        <w:t>s</w:t>
      </w:r>
      <w:r w:rsidRPr="00124DA6">
        <w:rPr>
          <w:rFonts w:cstheme="minorHAnsi"/>
          <w:lang w:val="en-US"/>
        </w:rPr>
        <w:t xml:space="preserve">, inventory, professional equipment, land title, the establishment of an agreement to sell land in case of non-refund of credit). </w:t>
      </w:r>
      <w:r w:rsidRPr="00124DA6">
        <w:rPr>
          <w:rFonts w:cstheme="minorHAnsi"/>
          <w:color w:val="222222"/>
          <w:lang w:val="en-US"/>
        </w:rPr>
        <w:t xml:space="preserve">Overall, these collateral practices of MFIs do not fully comply with the provisions of the </w:t>
      </w:r>
      <w:r w:rsidRPr="00E63C1D">
        <w:rPr>
          <w:rFonts w:cstheme="minorHAnsi"/>
          <w:color w:val="222222"/>
          <w:lang w:val="en-US"/>
        </w:rPr>
        <w:t>OHADA</w:t>
      </w:r>
      <w:r w:rsidRPr="00124DA6">
        <w:rPr>
          <w:rFonts w:cstheme="minorHAnsi"/>
          <w:color w:val="222222"/>
          <w:lang w:val="en-US"/>
        </w:rPr>
        <w:t xml:space="preserve"> Collateral Registry</w:t>
      </w:r>
      <w:r>
        <w:rPr>
          <w:rFonts w:cstheme="minorHAnsi"/>
          <w:color w:val="222222"/>
          <w:lang w:val="en-US"/>
        </w:rPr>
        <w:t>.</w:t>
      </w:r>
    </w:p>
    <w:p w14:paraId="73B9A51E" w14:textId="7AD609C5" w:rsidR="00504BA8" w:rsidRPr="00124DA6" w:rsidRDefault="00504BA8" w:rsidP="00C26318">
      <w:pPr>
        <w:pStyle w:val="ListParagraph"/>
        <w:numPr>
          <w:ilvl w:val="0"/>
          <w:numId w:val="47"/>
        </w:numPr>
        <w:spacing w:after="240" w:line="240" w:lineRule="auto"/>
        <w:ind w:left="0" w:firstLine="0"/>
        <w:contextualSpacing w:val="0"/>
        <w:jc w:val="both"/>
        <w:rPr>
          <w:rFonts w:cstheme="minorHAnsi"/>
          <w:lang w:val="en-US"/>
        </w:rPr>
      </w:pPr>
      <w:r w:rsidRPr="00124DA6">
        <w:rPr>
          <w:rFonts w:cstheme="minorHAnsi"/>
          <w:b/>
          <w:color w:val="222222"/>
          <w:lang w:val="en-US"/>
        </w:rPr>
        <w:t xml:space="preserve">The average amount of </w:t>
      </w:r>
      <w:r w:rsidR="007650F0">
        <w:rPr>
          <w:rFonts w:cstheme="minorHAnsi"/>
          <w:b/>
          <w:color w:val="222222"/>
          <w:lang w:val="en-US"/>
        </w:rPr>
        <w:t xml:space="preserve">a </w:t>
      </w:r>
      <w:r w:rsidRPr="00124DA6">
        <w:rPr>
          <w:rFonts w:cstheme="minorHAnsi"/>
          <w:b/>
          <w:color w:val="222222"/>
          <w:lang w:val="en-US"/>
        </w:rPr>
        <w:t>credit depends mainly on the size of the MFI, its</w:t>
      </w:r>
      <w:r w:rsidRPr="00124DA6">
        <w:rPr>
          <w:rFonts w:cstheme="minorHAnsi"/>
          <w:b/>
          <w:color w:val="222222"/>
          <w:lang w:val="en-US"/>
        </w:rPr>
        <w:br/>
      </w:r>
      <w:r w:rsidR="007650F0">
        <w:rPr>
          <w:rFonts w:cstheme="minorHAnsi"/>
          <w:b/>
          <w:color w:val="222222"/>
          <w:lang w:val="en-US"/>
        </w:rPr>
        <w:t>location</w:t>
      </w:r>
      <w:r w:rsidRPr="00124DA6">
        <w:rPr>
          <w:rFonts w:cstheme="minorHAnsi"/>
          <w:b/>
          <w:color w:val="222222"/>
          <w:lang w:val="en-US"/>
        </w:rPr>
        <w:t>, and the activity to be financed</w:t>
      </w:r>
      <w:r w:rsidRPr="00124DA6">
        <w:rPr>
          <w:rFonts w:cstheme="minorHAnsi"/>
          <w:color w:val="222222"/>
          <w:lang w:val="en-US"/>
        </w:rPr>
        <w:t>. Large institutions have a greater room for maneuver</w:t>
      </w:r>
      <w:r w:rsidR="007650F0">
        <w:rPr>
          <w:rFonts w:cstheme="minorHAnsi"/>
          <w:color w:val="222222"/>
          <w:lang w:val="en-US"/>
        </w:rPr>
        <w:t>, offering credits up to</w:t>
      </w:r>
      <w:r w:rsidRPr="00124DA6">
        <w:rPr>
          <w:rFonts w:cstheme="minorHAnsi"/>
          <w:color w:val="222222"/>
          <w:lang w:val="en-US"/>
        </w:rPr>
        <w:t xml:space="preserve"> several million. Most MFIs operating in rural areas offer limited amounts of credit</w:t>
      </w:r>
      <w:r w:rsidR="007650F0">
        <w:rPr>
          <w:rFonts w:cstheme="minorHAnsi"/>
          <w:color w:val="222222"/>
          <w:lang w:val="en-US"/>
        </w:rPr>
        <w:t>,</w:t>
      </w:r>
      <w:r w:rsidRPr="00124DA6">
        <w:rPr>
          <w:rFonts w:cstheme="minorHAnsi"/>
          <w:color w:val="222222"/>
          <w:lang w:val="en-US"/>
        </w:rPr>
        <w:t xml:space="preserve"> </w:t>
      </w:r>
      <w:r w:rsidR="007650F0">
        <w:rPr>
          <w:rFonts w:cstheme="minorHAnsi"/>
          <w:color w:val="222222"/>
          <w:lang w:val="en-US"/>
        </w:rPr>
        <w:t>below</w:t>
      </w:r>
      <w:r w:rsidR="001B34ED" w:rsidRPr="00124DA6">
        <w:rPr>
          <w:rFonts w:cstheme="minorHAnsi"/>
          <w:color w:val="222222"/>
          <w:lang w:val="en-US"/>
        </w:rPr>
        <w:t xml:space="preserve"> </w:t>
      </w:r>
      <w:r w:rsidRPr="00124DA6">
        <w:rPr>
          <w:rFonts w:cstheme="minorHAnsi"/>
          <w:color w:val="222222"/>
          <w:lang w:val="en-US"/>
        </w:rPr>
        <w:t>CFAF</w:t>
      </w:r>
      <w:r w:rsidR="00C702B4">
        <w:rPr>
          <w:rFonts w:cstheme="minorHAnsi"/>
          <w:color w:val="222222"/>
          <w:lang w:val="en-US"/>
        </w:rPr>
        <w:t> </w:t>
      </w:r>
      <w:r w:rsidRPr="00124DA6">
        <w:rPr>
          <w:rFonts w:cstheme="minorHAnsi"/>
          <w:color w:val="222222"/>
          <w:lang w:val="en-US"/>
        </w:rPr>
        <w:t>500,000</w:t>
      </w:r>
      <w:r w:rsidR="007650F0">
        <w:rPr>
          <w:rFonts w:cstheme="minorHAnsi"/>
          <w:color w:val="222222"/>
          <w:lang w:val="en-US"/>
        </w:rPr>
        <w:t>,</w:t>
      </w:r>
      <w:r w:rsidR="002425E2">
        <w:rPr>
          <w:rFonts w:cstheme="minorHAnsi"/>
          <w:color w:val="222222"/>
          <w:lang w:val="en-US"/>
        </w:rPr>
        <w:t xml:space="preserve"> </w:t>
      </w:r>
      <w:r w:rsidR="009622E9">
        <w:rPr>
          <w:rFonts w:cstheme="minorHAnsi"/>
          <w:color w:val="222222"/>
          <w:lang w:val="en-US"/>
        </w:rPr>
        <w:t xml:space="preserve">thereby </w:t>
      </w:r>
      <w:r w:rsidR="009622E9" w:rsidRPr="00124DA6">
        <w:rPr>
          <w:rFonts w:cstheme="minorHAnsi"/>
          <w:color w:val="222222"/>
          <w:lang w:val="en-US"/>
        </w:rPr>
        <w:t>contribut</w:t>
      </w:r>
      <w:r w:rsidR="009622E9">
        <w:rPr>
          <w:rFonts w:cstheme="minorHAnsi"/>
          <w:color w:val="222222"/>
          <w:lang w:val="en-US"/>
        </w:rPr>
        <w:t>ing</w:t>
      </w:r>
      <w:r w:rsidRPr="00124DA6">
        <w:rPr>
          <w:rFonts w:cstheme="minorHAnsi"/>
          <w:color w:val="222222"/>
          <w:lang w:val="en-US"/>
        </w:rPr>
        <w:t xml:space="preserve"> to the limited financing of agriculture, which nevertheless requires significant </w:t>
      </w:r>
      <w:r w:rsidRPr="00124DA6">
        <w:rPr>
          <w:rFonts w:ascii="Calibri" w:hAnsi="Calibri" w:cs="Calibri"/>
          <w:lang w:val="en-US"/>
        </w:rPr>
        <w:t>credits</w:t>
      </w:r>
      <w:r w:rsidRPr="00124DA6">
        <w:rPr>
          <w:rFonts w:cstheme="minorHAnsi"/>
          <w:color w:val="222222"/>
          <w:lang w:val="en-US"/>
        </w:rPr>
        <w:t xml:space="preserve">. FECECAM is one of the rare MFIs that grants credits of several million francs for rural economy (farming and nonfarming activities). </w:t>
      </w:r>
    </w:p>
    <w:p w14:paraId="340063D0" w14:textId="7649421B" w:rsidR="00504BA8" w:rsidRDefault="00504BA8" w:rsidP="00C26318">
      <w:pPr>
        <w:pStyle w:val="ListParagraph"/>
        <w:numPr>
          <w:ilvl w:val="0"/>
          <w:numId w:val="47"/>
        </w:numPr>
        <w:spacing w:after="240" w:line="240" w:lineRule="auto"/>
        <w:ind w:left="0" w:firstLine="0"/>
        <w:contextualSpacing w:val="0"/>
        <w:jc w:val="both"/>
        <w:rPr>
          <w:rFonts w:cstheme="minorHAnsi"/>
          <w:bCs/>
          <w:lang w:val="en-US"/>
        </w:rPr>
      </w:pPr>
      <w:r w:rsidRPr="00124DA6">
        <w:rPr>
          <w:rFonts w:cstheme="minorHAnsi"/>
          <w:b/>
          <w:bCs/>
          <w:lang w:val="en-US"/>
        </w:rPr>
        <w:t>Large MFIs have specific products for micro, small, and medium enterprises (MSMEs) and refinancing of medium and small institutions.</w:t>
      </w:r>
      <w:r w:rsidRPr="00124DA6">
        <w:rPr>
          <w:rFonts w:cstheme="minorHAnsi"/>
          <w:bCs/>
          <w:lang w:val="en-US"/>
        </w:rPr>
        <w:t xml:space="preserve"> However, the definition of MSMEs’ loans differ from one institution to another. FECECAM has a refinancing loan for financial cooperatives part of their federation and other MFIs. The entities out of the federation the loan is evaluated based on </w:t>
      </w:r>
      <w:r w:rsidRPr="00124DA6">
        <w:rPr>
          <w:rFonts w:cstheme="minorHAnsi"/>
          <w:color w:val="222222"/>
          <w:lang w:val="en-US"/>
        </w:rPr>
        <w:t>their outstanding credit and the quality of their portfolios.</w:t>
      </w:r>
      <w:r w:rsidRPr="00124DA6">
        <w:rPr>
          <w:rFonts w:cstheme="minorHAnsi"/>
          <w:bCs/>
          <w:lang w:val="en-US"/>
        </w:rPr>
        <w:t xml:space="preserve"> Box</w:t>
      </w:r>
      <w:r w:rsidR="00C702B4">
        <w:rPr>
          <w:rFonts w:cstheme="minorHAnsi"/>
          <w:bCs/>
          <w:lang w:val="en-US"/>
        </w:rPr>
        <w:t> </w:t>
      </w:r>
      <w:r w:rsidRPr="00124DA6">
        <w:rPr>
          <w:rFonts w:cstheme="minorHAnsi"/>
          <w:bCs/>
          <w:lang w:val="en-US"/>
        </w:rPr>
        <w:t>2.3 provides an overview of the main loan products of FECECAM. Most MFIs offer dedicated individual or group loans to women combined with financial education.</w:t>
      </w:r>
    </w:p>
    <w:tbl>
      <w:tblPr>
        <w:tblStyle w:val="TableGrid"/>
        <w:tblW w:w="0" w:type="auto"/>
        <w:jc w:val="center"/>
        <w:shd w:val="clear" w:color="auto" w:fill="D9D9D9" w:themeFill="background1" w:themeFillShade="D9"/>
        <w:tblLook w:val="04A0" w:firstRow="1" w:lastRow="0" w:firstColumn="1" w:lastColumn="0" w:noHBand="0" w:noVBand="1"/>
      </w:tblPr>
      <w:tblGrid>
        <w:gridCol w:w="9350"/>
      </w:tblGrid>
      <w:tr w:rsidR="00504BA8" w:rsidRPr="00504BA8" w14:paraId="7BC0AA78" w14:textId="77777777" w:rsidTr="006D70CD">
        <w:trPr>
          <w:jc w:val="center"/>
        </w:trPr>
        <w:tc>
          <w:tcPr>
            <w:tcW w:w="9350" w:type="dxa"/>
            <w:shd w:val="clear" w:color="auto" w:fill="D9D9D9" w:themeFill="background1" w:themeFillShade="D9"/>
          </w:tcPr>
          <w:p w14:paraId="0E01FC68" w14:textId="7379F1DB" w:rsidR="00504BA8" w:rsidRPr="006D70CD" w:rsidRDefault="00504BA8" w:rsidP="00504BA8">
            <w:pPr>
              <w:pStyle w:val="Caption"/>
              <w:spacing w:before="60" w:after="60"/>
              <w:ind w:left="720"/>
              <w:rPr>
                <w:rFonts w:cstheme="majorHAnsi"/>
                <w:b/>
                <w:sz w:val="18"/>
              </w:rPr>
            </w:pPr>
            <w:r w:rsidRPr="006D70CD">
              <w:rPr>
                <w:b/>
                <w:sz w:val="18"/>
              </w:rPr>
              <w:t>Box</w:t>
            </w:r>
            <w:r w:rsidR="00C702B4" w:rsidRPr="006D70CD">
              <w:rPr>
                <w:b/>
                <w:sz w:val="18"/>
              </w:rPr>
              <w:t> </w:t>
            </w:r>
            <w:r w:rsidRPr="006D70CD">
              <w:rPr>
                <w:b/>
                <w:sz w:val="18"/>
              </w:rPr>
              <w:t>2.</w:t>
            </w:r>
            <w:r w:rsidRPr="006D70CD">
              <w:rPr>
                <w:b/>
                <w:sz w:val="18"/>
              </w:rPr>
              <w:fldChar w:fldCharType="begin"/>
            </w:r>
            <w:r w:rsidRPr="006D70CD">
              <w:rPr>
                <w:b/>
                <w:sz w:val="18"/>
              </w:rPr>
              <w:instrText xml:space="preserve"> SEQ Box_2. \* ARABIC </w:instrText>
            </w:r>
            <w:r w:rsidRPr="006D70CD">
              <w:rPr>
                <w:b/>
                <w:sz w:val="18"/>
              </w:rPr>
              <w:fldChar w:fldCharType="separate"/>
            </w:r>
            <w:r w:rsidR="004C6E5F" w:rsidRPr="006D70CD">
              <w:rPr>
                <w:b/>
                <w:noProof/>
                <w:sz w:val="18"/>
              </w:rPr>
              <w:t>3</w:t>
            </w:r>
            <w:r w:rsidRPr="006D70CD">
              <w:rPr>
                <w:b/>
                <w:sz w:val="18"/>
              </w:rPr>
              <w:fldChar w:fldCharType="end"/>
            </w:r>
            <w:r w:rsidRPr="006D70CD">
              <w:rPr>
                <w:rFonts w:cstheme="majorHAnsi"/>
                <w:b/>
                <w:sz w:val="18"/>
              </w:rPr>
              <w:t>: Overview of FECECAM credit products to individual, groups, and MSMEs</w:t>
            </w:r>
          </w:p>
          <w:p w14:paraId="7D3CCD16" w14:textId="425CB5FE" w:rsidR="00504BA8" w:rsidRPr="00504BA8" w:rsidRDefault="00504BA8" w:rsidP="00504BA8">
            <w:pPr>
              <w:autoSpaceDE w:val="0"/>
              <w:autoSpaceDN w:val="0"/>
              <w:adjustRightInd w:val="0"/>
              <w:spacing w:after="60"/>
              <w:rPr>
                <w:rFonts w:ascii="Calibri" w:hAnsi="Calibri" w:cs="Calibri"/>
                <w:sz w:val="18"/>
                <w:szCs w:val="18"/>
              </w:rPr>
            </w:pPr>
            <w:r w:rsidRPr="00504BA8">
              <w:rPr>
                <w:rFonts w:ascii="Calibri" w:hAnsi="Calibri" w:cs="Calibri"/>
                <w:sz w:val="18"/>
                <w:szCs w:val="18"/>
              </w:rPr>
              <w:t>The loans offered by FECECAM range from CFAF</w:t>
            </w:r>
            <w:r w:rsidR="00C702B4">
              <w:rPr>
                <w:rFonts w:ascii="Calibri" w:hAnsi="Calibri" w:cs="Calibri"/>
                <w:sz w:val="18"/>
                <w:szCs w:val="18"/>
              </w:rPr>
              <w:t> </w:t>
            </w:r>
            <w:r w:rsidRPr="00504BA8">
              <w:rPr>
                <w:rFonts w:ascii="Calibri" w:hAnsi="Calibri" w:cs="Calibri"/>
                <w:sz w:val="18"/>
                <w:szCs w:val="18"/>
              </w:rPr>
              <w:t>20,000 to CFAF</w:t>
            </w:r>
            <w:r w:rsidR="00C702B4">
              <w:rPr>
                <w:rFonts w:ascii="Calibri" w:hAnsi="Calibri" w:cs="Calibri"/>
                <w:sz w:val="18"/>
                <w:szCs w:val="18"/>
              </w:rPr>
              <w:t> </w:t>
            </w:r>
            <w:r w:rsidRPr="00504BA8">
              <w:rPr>
                <w:rFonts w:ascii="Calibri" w:hAnsi="Calibri" w:cs="Calibri"/>
                <w:sz w:val="18"/>
                <w:szCs w:val="18"/>
              </w:rPr>
              <w:t>30</w:t>
            </w:r>
            <w:r w:rsidR="00C702B4">
              <w:rPr>
                <w:rFonts w:ascii="Calibri" w:hAnsi="Calibri" w:cs="Calibri"/>
                <w:sz w:val="18"/>
                <w:szCs w:val="18"/>
              </w:rPr>
              <w:t> </w:t>
            </w:r>
            <w:r w:rsidRPr="00504BA8">
              <w:rPr>
                <w:rFonts w:ascii="Calibri" w:hAnsi="Calibri" w:cs="Calibri"/>
                <w:sz w:val="18"/>
                <w:szCs w:val="18"/>
              </w:rPr>
              <w:t>million and include the following types of loans:</w:t>
            </w:r>
          </w:p>
          <w:tbl>
            <w:tblPr>
              <w:tblW w:w="0" w:type="auto"/>
              <w:tblLook w:val="04A0" w:firstRow="1" w:lastRow="0" w:firstColumn="1" w:lastColumn="0" w:noHBand="0" w:noVBand="1"/>
            </w:tblPr>
            <w:tblGrid>
              <w:gridCol w:w="4026"/>
              <w:gridCol w:w="5098"/>
            </w:tblGrid>
            <w:tr w:rsidR="00504BA8" w:rsidRPr="00504BA8" w14:paraId="02D3744B" w14:textId="77777777" w:rsidTr="00B03F0F">
              <w:tc>
                <w:tcPr>
                  <w:tcW w:w="4026" w:type="dxa"/>
                </w:tcPr>
                <w:p w14:paraId="2094C4BF" w14:textId="77777777" w:rsidR="00504BA8" w:rsidRPr="00504BA8" w:rsidRDefault="00504BA8" w:rsidP="00504BA8">
                  <w:pPr>
                    <w:autoSpaceDE w:val="0"/>
                    <w:autoSpaceDN w:val="0"/>
                    <w:adjustRightInd w:val="0"/>
                    <w:spacing w:after="60" w:line="240" w:lineRule="auto"/>
                    <w:rPr>
                      <w:rFonts w:cstheme="minorHAnsi"/>
                      <w:sz w:val="18"/>
                      <w:szCs w:val="18"/>
                      <w:lang w:val="en-US"/>
                    </w:rPr>
                  </w:pPr>
                  <w:r w:rsidRPr="00504BA8">
                    <w:rPr>
                      <w:rFonts w:cstheme="minorHAnsi"/>
                      <w:sz w:val="18"/>
                      <w:szCs w:val="18"/>
                      <w:lang w:val="en-US"/>
                    </w:rPr>
                    <w:t>Short-term loans:</w:t>
                  </w:r>
                </w:p>
                <w:p w14:paraId="064CA1B1" w14:textId="77777777" w:rsidR="00504BA8" w:rsidRPr="00504BA8" w:rsidRDefault="00504BA8" w:rsidP="00504BA8">
                  <w:pPr>
                    <w:pStyle w:val="ListParagraph"/>
                    <w:numPr>
                      <w:ilvl w:val="0"/>
                      <w:numId w:val="26"/>
                    </w:numPr>
                    <w:autoSpaceDE w:val="0"/>
                    <w:autoSpaceDN w:val="0"/>
                    <w:adjustRightInd w:val="0"/>
                    <w:spacing w:after="0" w:line="240" w:lineRule="auto"/>
                    <w:ind w:left="144" w:hanging="144"/>
                    <w:contextualSpacing w:val="0"/>
                    <w:rPr>
                      <w:rStyle w:val="Strong"/>
                      <w:rFonts w:cstheme="minorHAnsi"/>
                      <w:b w:val="0"/>
                      <w:sz w:val="18"/>
                      <w:szCs w:val="18"/>
                      <w:lang w:val="en-US"/>
                    </w:rPr>
                  </w:pPr>
                  <w:r w:rsidRPr="00504BA8">
                    <w:rPr>
                      <w:rFonts w:cstheme="minorHAnsi"/>
                      <w:sz w:val="18"/>
                      <w:szCs w:val="18"/>
                      <w:lang w:val="en-US"/>
                    </w:rPr>
                    <w:t xml:space="preserve">Very small credit to women and men </w:t>
                  </w:r>
                  <w:r w:rsidRPr="00504BA8">
                    <w:rPr>
                      <w:rStyle w:val="Strong"/>
                      <w:rFonts w:cstheme="minorHAnsi"/>
                      <w:sz w:val="18"/>
                      <w:szCs w:val="18"/>
                      <w:lang w:val="en-US"/>
                    </w:rPr>
                    <w:t>(TPCF/TPCH)</w:t>
                  </w:r>
                </w:p>
                <w:p w14:paraId="44E3AFA9" w14:textId="77777777" w:rsidR="00504BA8" w:rsidRPr="00504BA8" w:rsidRDefault="00504BA8" w:rsidP="00504BA8">
                  <w:pPr>
                    <w:pStyle w:val="ListParagraph"/>
                    <w:numPr>
                      <w:ilvl w:val="0"/>
                      <w:numId w:val="26"/>
                    </w:numPr>
                    <w:autoSpaceDE w:val="0"/>
                    <w:autoSpaceDN w:val="0"/>
                    <w:adjustRightInd w:val="0"/>
                    <w:spacing w:after="0" w:line="240" w:lineRule="auto"/>
                    <w:ind w:left="144" w:hanging="144"/>
                    <w:contextualSpacing w:val="0"/>
                    <w:rPr>
                      <w:rStyle w:val="Strong"/>
                      <w:rFonts w:cstheme="minorHAnsi"/>
                      <w:b w:val="0"/>
                      <w:sz w:val="18"/>
                      <w:szCs w:val="18"/>
                      <w:lang w:val="en-US"/>
                    </w:rPr>
                  </w:pPr>
                  <w:r w:rsidRPr="00504BA8">
                    <w:rPr>
                      <w:rStyle w:val="Strong"/>
                      <w:rFonts w:cstheme="minorHAnsi"/>
                      <w:sz w:val="18"/>
                      <w:szCs w:val="18"/>
                      <w:lang w:val="en-US"/>
                    </w:rPr>
                    <w:t>Credit with education (CEE)</w:t>
                  </w:r>
                </w:p>
                <w:p w14:paraId="6DD6AE40" w14:textId="77777777" w:rsidR="00504BA8" w:rsidRPr="00504BA8" w:rsidRDefault="00504BA8" w:rsidP="00504BA8">
                  <w:pPr>
                    <w:pStyle w:val="ListParagraph"/>
                    <w:numPr>
                      <w:ilvl w:val="0"/>
                      <w:numId w:val="26"/>
                    </w:numPr>
                    <w:autoSpaceDE w:val="0"/>
                    <w:autoSpaceDN w:val="0"/>
                    <w:adjustRightInd w:val="0"/>
                    <w:spacing w:after="0" w:line="240" w:lineRule="auto"/>
                    <w:ind w:left="144" w:hanging="144"/>
                    <w:contextualSpacing w:val="0"/>
                    <w:rPr>
                      <w:rStyle w:val="Strong"/>
                      <w:rFonts w:cstheme="minorHAnsi"/>
                      <w:b w:val="0"/>
                      <w:sz w:val="18"/>
                      <w:szCs w:val="18"/>
                      <w:lang w:val="en-US"/>
                    </w:rPr>
                  </w:pPr>
                  <w:r w:rsidRPr="00504BA8">
                    <w:rPr>
                      <w:rStyle w:val="Strong"/>
                      <w:rFonts w:cstheme="minorHAnsi"/>
                      <w:sz w:val="18"/>
                      <w:szCs w:val="18"/>
                      <w:lang w:val="en-US"/>
                    </w:rPr>
                    <w:t>Agriculture credit to rural women (CAFER)</w:t>
                  </w:r>
                </w:p>
                <w:p w14:paraId="5FE7AE81" w14:textId="77777777" w:rsidR="00504BA8" w:rsidRPr="00504BA8" w:rsidRDefault="00504BA8" w:rsidP="00504BA8">
                  <w:pPr>
                    <w:pStyle w:val="ListParagraph"/>
                    <w:numPr>
                      <w:ilvl w:val="0"/>
                      <w:numId w:val="26"/>
                    </w:numPr>
                    <w:autoSpaceDE w:val="0"/>
                    <w:autoSpaceDN w:val="0"/>
                    <w:adjustRightInd w:val="0"/>
                    <w:spacing w:after="0" w:line="240" w:lineRule="auto"/>
                    <w:ind w:left="144" w:hanging="144"/>
                    <w:contextualSpacing w:val="0"/>
                    <w:rPr>
                      <w:rStyle w:val="Strong"/>
                      <w:rFonts w:cstheme="minorHAnsi"/>
                      <w:b w:val="0"/>
                      <w:sz w:val="18"/>
                      <w:szCs w:val="18"/>
                      <w:lang w:val="en-US"/>
                    </w:rPr>
                  </w:pPr>
                  <w:r w:rsidRPr="00504BA8">
                    <w:rPr>
                      <w:rStyle w:val="Strong"/>
                      <w:rFonts w:cstheme="minorHAnsi"/>
                      <w:sz w:val="18"/>
                      <w:szCs w:val="18"/>
                      <w:lang w:val="en-US"/>
                    </w:rPr>
                    <w:t>Credit to women in trade (CFC)</w:t>
                  </w:r>
                </w:p>
                <w:p w14:paraId="561E825F" w14:textId="77777777" w:rsidR="00504BA8" w:rsidRPr="00504BA8" w:rsidRDefault="00504BA8" w:rsidP="00504BA8">
                  <w:pPr>
                    <w:pStyle w:val="ListParagraph"/>
                    <w:numPr>
                      <w:ilvl w:val="0"/>
                      <w:numId w:val="26"/>
                    </w:numPr>
                    <w:autoSpaceDE w:val="0"/>
                    <w:autoSpaceDN w:val="0"/>
                    <w:adjustRightInd w:val="0"/>
                    <w:spacing w:after="0" w:line="240" w:lineRule="auto"/>
                    <w:ind w:left="144" w:hanging="144"/>
                    <w:contextualSpacing w:val="0"/>
                    <w:rPr>
                      <w:rStyle w:val="Strong"/>
                      <w:rFonts w:cstheme="minorHAnsi"/>
                      <w:b w:val="0"/>
                      <w:sz w:val="18"/>
                      <w:szCs w:val="18"/>
                      <w:lang w:val="en-US"/>
                    </w:rPr>
                  </w:pPr>
                  <w:r w:rsidRPr="00504BA8">
                    <w:rPr>
                      <w:rStyle w:val="Strong"/>
                      <w:rFonts w:cstheme="minorHAnsi"/>
                      <w:sz w:val="18"/>
                      <w:szCs w:val="18"/>
                      <w:lang w:val="en-US"/>
                    </w:rPr>
                    <w:t>Inventory credit (</w:t>
                  </w:r>
                  <w:proofErr w:type="spellStart"/>
                  <w:r w:rsidRPr="00504BA8">
                    <w:rPr>
                      <w:rStyle w:val="Strong"/>
                      <w:rFonts w:cstheme="minorHAnsi"/>
                      <w:sz w:val="18"/>
                      <w:szCs w:val="18"/>
                      <w:lang w:val="en-US"/>
                    </w:rPr>
                    <w:t>warrantage</w:t>
                  </w:r>
                  <w:proofErr w:type="spellEnd"/>
                  <w:r w:rsidRPr="00504BA8">
                    <w:rPr>
                      <w:rStyle w:val="Strong"/>
                      <w:rFonts w:cstheme="minorHAnsi"/>
                      <w:sz w:val="18"/>
                      <w:szCs w:val="18"/>
                      <w:lang w:val="en-US"/>
                    </w:rPr>
                    <w:t>)</w:t>
                  </w:r>
                </w:p>
                <w:p w14:paraId="6B7C6BD9" w14:textId="77777777" w:rsidR="00504BA8" w:rsidRPr="00504BA8" w:rsidRDefault="00504BA8" w:rsidP="00504BA8">
                  <w:pPr>
                    <w:pStyle w:val="ListParagraph"/>
                    <w:numPr>
                      <w:ilvl w:val="0"/>
                      <w:numId w:val="26"/>
                    </w:numPr>
                    <w:autoSpaceDE w:val="0"/>
                    <w:autoSpaceDN w:val="0"/>
                    <w:adjustRightInd w:val="0"/>
                    <w:spacing w:after="0" w:line="240" w:lineRule="auto"/>
                    <w:ind w:left="144" w:hanging="144"/>
                    <w:contextualSpacing w:val="0"/>
                    <w:rPr>
                      <w:rStyle w:val="Strong"/>
                      <w:rFonts w:cstheme="minorHAnsi"/>
                      <w:b w:val="0"/>
                      <w:sz w:val="18"/>
                      <w:szCs w:val="18"/>
                      <w:lang w:val="en-US"/>
                    </w:rPr>
                  </w:pPr>
                  <w:r w:rsidRPr="00504BA8">
                    <w:rPr>
                      <w:rStyle w:val="Strong"/>
                      <w:rFonts w:cstheme="minorHAnsi"/>
                      <w:sz w:val="18"/>
                      <w:szCs w:val="18"/>
                      <w:lang w:val="en-US"/>
                    </w:rPr>
                    <w:t xml:space="preserve">Agriculture, livestock, and fishing credit </w:t>
                  </w:r>
                </w:p>
                <w:p w14:paraId="1F424EE8" w14:textId="77777777" w:rsidR="00504BA8" w:rsidRPr="00504BA8" w:rsidRDefault="00504BA8" w:rsidP="00504BA8">
                  <w:pPr>
                    <w:pStyle w:val="ListParagraph"/>
                    <w:numPr>
                      <w:ilvl w:val="0"/>
                      <w:numId w:val="26"/>
                    </w:numPr>
                    <w:autoSpaceDE w:val="0"/>
                    <w:autoSpaceDN w:val="0"/>
                    <w:adjustRightInd w:val="0"/>
                    <w:spacing w:after="0" w:line="240" w:lineRule="auto"/>
                    <w:ind w:left="144" w:hanging="144"/>
                    <w:contextualSpacing w:val="0"/>
                    <w:rPr>
                      <w:rStyle w:val="Strong"/>
                      <w:rFonts w:cstheme="minorHAnsi"/>
                      <w:b w:val="0"/>
                      <w:sz w:val="18"/>
                      <w:szCs w:val="18"/>
                      <w:lang w:val="en-US"/>
                    </w:rPr>
                  </w:pPr>
                  <w:r w:rsidRPr="00504BA8">
                    <w:rPr>
                      <w:rStyle w:val="Strong"/>
                      <w:rFonts w:cstheme="minorHAnsi"/>
                      <w:sz w:val="18"/>
                      <w:szCs w:val="18"/>
                      <w:lang w:val="en-US"/>
                    </w:rPr>
                    <w:t>Credit for commercialization of agriculture outputs</w:t>
                  </w:r>
                </w:p>
                <w:p w14:paraId="4DD9E37C" w14:textId="77777777" w:rsidR="00504BA8" w:rsidRPr="00504BA8" w:rsidRDefault="00504BA8" w:rsidP="00504BA8">
                  <w:pPr>
                    <w:pStyle w:val="ListParagraph"/>
                    <w:numPr>
                      <w:ilvl w:val="0"/>
                      <w:numId w:val="26"/>
                    </w:numPr>
                    <w:autoSpaceDE w:val="0"/>
                    <w:autoSpaceDN w:val="0"/>
                    <w:adjustRightInd w:val="0"/>
                    <w:spacing w:after="0" w:line="240" w:lineRule="auto"/>
                    <w:ind w:left="144" w:hanging="144"/>
                    <w:contextualSpacing w:val="0"/>
                    <w:rPr>
                      <w:rFonts w:cstheme="minorHAnsi"/>
                      <w:bCs/>
                      <w:sz w:val="18"/>
                      <w:szCs w:val="18"/>
                      <w:lang w:val="en-US"/>
                    </w:rPr>
                  </w:pPr>
                  <w:r w:rsidRPr="00504BA8">
                    <w:rPr>
                      <w:rStyle w:val="Strong"/>
                      <w:rFonts w:cstheme="minorHAnsi"/>
                      <w:sz w:val="18"/>
                      <w:szCs w:val="18"/>
                      <w:lang w:val="en-US"/>
                    </w:rPr>
                    <w:t>Consumer credit</w:t>
                  </w:r>
                </w:p>
              </w:tc>
              <w:tc>
                <w:tcPr>
                  <w:tcW w:w="5098" w:type="dxa"/>
                </w:tcPr>
                <w:p w14:paraId="3AF8F7A5" w14:textId="79BEAEB5"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color w:val="222222"/>
                      <w:sz w:val="18"/>
                      <w:szCs w:val="18"/>
                      <w:lang w:val="en-US"/>
                    </w:rPr>
                    <w:t>Application fee: CFAF</w:t>
                  </w:r>
                  <w:r w:rsidR="00C702B4">
                    <w:rPr>
                      <w:rFonts w:cstheme="minorHAnsi"/>
                      <w:color w:val="222222"/>
                      <w:sz w:val="18"/>
                      <w:szCs w:val="18"/>
                      <w:lang w:val="en-US"/>
                    </w:rPr>
                    <w:t> </w:t>
                  </w:r>
                  <w:r w:rsidRPr="00504BA8">
                    <w:rPr>
                      <w:rFonts w:cstheme="minorHAnsi"/>
                      <w:color w:val="222222"/>
                      <w:sz w:val="18"/>
                      <w:szCs w:val="18"/>
                      <w:lang w:val="en-US"/>
                    </w:rPr>
                    <w:t xml:space="preserve">500 with an interest rate of 1.5 percent </w:t>
                  </w:r>
                  <w:r w:rsidRPr="00504BA8">
                    <w:rPr>
                      <w:rFonts w:cstheme="minorHAnsi"/>
                      <w:sz w:val="18"/>
                      <w:szCs w:val="18"/>
                      <w:lang w:val="en-US"/>
                    </w:rPr>
                    <w:t>per</w:t>
                  </w:r>
                  <w:r w:rsidRPr="00504BA8">
                    <w:rPr>
                      <w:rFonts w:cstheme="minorHAnsi"/>
                      <w:color w:val="222222"/>
                      <w:sz w:val="18"/>
                      <w:szCs w:val="18"/>
                      <w:lang w:val="en-US"/>
                    </w:rPr>
                    <w:t xml:space="preserve"> month </w:t>
                  </w:r>
                </w:p>
                <w:p w14:paraId="7C41487C" w14:textId="23414300"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color w:val="222222"/>
                      <w:sz w:val="18"/>
                      <w:szCs w:val="18"/>
                      <w:lang w:val="en-US"/>
                    </w:rPr>
                    <w:t xml:space="preserve">Credit </w:t>
                  </w:r>
                  <w:r w:rsidRPr="00504BA8">
                    <w:rPr>
                      <w:rFonts w:cstheme="minorHAnsi"/>
                      <w:sz w:val="18"/>
                      <w:szCs w:val="18"/>
                      <w:lang w:val="en-US"/>
                    </w:rPr>
                    <w:t>analysis</w:t>
                  </w:r>
                  <w:r w:rsidRPr="00504BA8">
                    <w:rPr>
                      <w:rFonts w:cstheme="minorHAnsi"/>
                      <w:color w:val="222222"/>
                      <w:sz w:val="18"/>
                      <w:szCs w:val="18"/>
                      <w:lang w:val="en-US"/>
                    </w:rPr>
                    <w:t xml:space="preserve"> fee: 1 percent of the capital with a minimum of CFAF</w:t>
                  </w:r>
                  <w:r w:rsidR="00C702B4">
                    <w:rPr>
                      <w:rFonts w:cstheme="minorHAnsi"/>
                      <w:color w:val="222222"/>
                      <w:sz w:val="18"/>
                      <w:szCs w:val="18"/>
                      <w:lang w:val="en-US"/>
                    </w:rPr>
                    <w:t> </w:t>
                  </w:r>
                  <w:r w:rsidRPr="00504BA8">
                    <w:rPr>
                      <w:rFonts w:cstheme="minorHAnsi"/>
                      <w:color w:val="222222"/>
                      <w:sz w:val="18"/>
                      <w:szCs w:val="18"/>
                      <w:lang w:val="en-US"/>
                    </w:rPr>
                    <w:t>1,500</w:t>
                  </w:r>
                </w:p>
                <w:p w14:paraId="6F86AB30" w14:textId="77777777"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color w:val="222222"/>
                      <w:sz w:val="18"/>
                      <w:szCs w:val="18"/>
                      <w:lang w:val="en-US"/>
                    </w:rPr>
                    <w:t xml:space="preserve">Interest on late payment: 2 percent per month (maximum 12 </w:t>
                  </w:r>
                  <w:r w:rsidRPr="00504BA8">
                    <w:rPr>
                      <w:rFonts w:cstheme="minorHAnsi"/>
                      <w:sz w:val="18"/>
                      <w:szCs w:val="18"/>
                      <w:lang w:val="en-US"/>
                    </w:rPr>
                    <w:t>months</w:t>
                  </w:r>
                  <w:r w:rsidRPr="00504BA8">
                    <w:rPr>
                      <w:rFonts w:cstheme="minorHAnsi"/>
                      <w:color w:val="222222"/>
                      <w:sz w:val="18"/>
                      <w:szCs w:val="18"/>
                      <w:lang w:val="en-US"/>
                    </w:rPr>
                    <w:t xml:space="preserve">) </w:t>
                  </w:r>
                </w:p>
                <w:p w14:paraId="1C62513E" w14:textId="19B42A8C" w:rsidR="00504BA8" w:rsidRPr="00504BA8" w:rsidRDefault="00504BA8" w:rsidP="00504BA8">
                  <w:pPr>
                    <w:autoSpaceDE w:val="0"/>
                    <w:autoSpaceDN w:val="0"/>
                    <w:adjustRightInd w:val="0"/>
                    <w:spacing w:after="60" w:line="240" w:lineRule="auto"/>
                    <w:rPr>
                      <w:rFonts w:cstheme="minorHAnsi"/>
                      <w:sz w:val="18"/>
                      <w:szCs w:val="18"/>
                      <w:lang w:val="en-US"/>
                    </w:rPr>
                  </w:pPr>
                  <w:r w:rsidRPr="00504BA8">
                    <w:rPr>
                      <w:rFonts w:cstheme="minorHAnsi"/>
                      <w:sz w:val="18"/>
                      <w:szCs w:val="18"/>
                      <w:lang w:val="en-US"/>
                    </w:rPr>
                    <w:t>Collection</w:t>
                  </w:r>
                  <w:r w:rsidRPr="00504BA8">
                    <w:rPr>
                      <w:rFonts w:cstheme="minorHAnsi"/>
                      <w:color w:val="222222"/>
                      <w:sz w:val="18"/>
                      <w:szCs w:val="18"/>
                      <w:lang w:val="en-US"/>
                    </w:rPr>
                    <w:t xml:space="preserve"> commission: CFAF</w:t>
                  </w:r>
                  <w:r w:rsidR="00C702B4">
                    <w:rPr>
                      <w:rFonts w:cstheme="minorHAnsi"/>
                      <w:color w:val="222222"/>
                      <w:sz w:val="18"/>
                      <w:szCs w:val="18"/>
                      <w:lang w:val="en-US"/>
                    </w:rPr>
                    <w:t> </w:t>
                  </w:r>
                  <w:r w:rsidRPr="00504BA8">
                    <w:rPr>
                      <w:rFonts w:cstheme="minorHAnsi"/>
                      <w:color w:val="222222"/>
                      <w:sz w:val="18"/>
                      <w:szCs w:val="18"/>
                      <w:lang w:val="en-US"/>
                    </w:rPr>
                    <w:t>3,000</w:t>
                  </w:r>
                </w:p>
              </w:tc>
            </w:tr>
            <w:tr w:rsidR="00504BA8" w:rsidRPr="00504BA8" w14:paraId="6935CAE9" w14:textId="77777777" w:rsidTr="00B03F0F">
              <w:tc>
                <w:tcPr>
                  <w:tcW w:w="4026" w:type="dxa"/>
                </w:tcPr>
                <w:p w14:paraId="052120A4" w14:textId="2FD104A4" w:rsidR="00504BA8" w:rsidRPr="00504BA8" w:rsidRDefault="00504BA8" w:rsidP="00504BA8">
                  <w:pPr>
                    <w:autoSpaceDE w:val="0"/>
                    <w:autoSpaceDN w:val="0"/>
                    <w:adjustRightInd w:val="0"/>
                    <w:spacing w:line="240" w:lineRule="auto"/>
                    <w:rPr>
                      <w:rFonts w:cstheme="minorHAnsi"/>
                      <w:sz w:val="18"/>
                      <w:szCs w:val="18"/>
                      <w:lang w:val="en-US"/>
                    </w:rPr>
                  </w:pPr>
                  <w:r w:rsidRPr="00504BA8">
                    <w:rPr>
                      <w:rFonts w:cstheme="minorHAnsi"/>
                      <w:sz w:val="18"/>
                      <w:szCs w:val="18"/>
                      <w:lang w:val="en-US"/>
                    </w:rPr>
                    <w:t>Medium</w:t>
                  </w:r>
                  <w:r w:rsidR="00141BD7">
                    <w:rPr>
                      <w:rFonts w:cstheme="minorHAnsi"/>
                      <w:sz w:val="18"/>
                      <w:szCs w:val="18"/>
                      <w:lang w:val="en-US"/>
                    </w:rPr>
                    <w:t>—</w:t>
                  </w:r>
                  <w:r w:rsidRPr="00504BA8">
                    <w:rPr>
                      <w:rFonts w:cstheme="minorHAnsi"/>
                      <w:sz w:val="18"/>
                      <w:szCs w:val="18"/>
                      <w:lang w:val="en-US"/>
                    </w:rPr>
                    <w:t>and long-term credit</w:t>
                  </w:r>
                </w:p>
              </w:tc>
              <w:tc>
                <w:tcPr>
                  <w:tcW w:w="5098" w:type="dxa"/>
                </w:tcPr>
                <w:p w14:paraId="62EDDA51" w14:textId="00ABE1DF"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sz w:val="18"/>
                      <w:szCs w:val="18"/>
                      <w:lang w:val="en-US"/>
                    </w:rPr>
                    <w:t>Application</w:t>
                  </w:r>
                  <w:r w:rsidRPr="00504BA8">
                    <w:rPr>
                      <w:rFonts w:cstheme="minorHAnsi"/>
                      <w:color w:val="222222"/>
                      <w:sz w:val="18"/>
                      <w:szCs w:val="18"/>
                      <w:lang w:val="en-US"/>
                    </w:rPr>
                    <w:t xml:space="preserve"> fee: CFAF</w:t>
                  </w:r>
                  <w:r w:rsidR="00C702B4">
                    <w:rPr>
                      <w:rFonts w:cstheme="minorHAnsi"/>
                      <w:color w:val="222222"/>
                      <w:sz w:val="18"/>
                      <w:szCs w:val="18"/>
                      <w:lang w:val="en-US"/>
                    </w:rPr>
                    <w:t> </w:t>
                  </w:r>
                  <w:r w:rsidRPr="00504BA8">
                    <w:rPr>
                      <w:rFonts w:cstheme="minorHAnsi"/>
                      <w:color w:val="222222"/>
                      <w:sz w:val="18"/>
                      <w:szCs w:val="18"/>
                      <w:lang w:val="en-US"/>
                    </w:rPr>
                    <w:t xml:space="preserve">500 with an interest rate of 1.5 percent per month </w:t>
                  </w:r>
                </w:p>
                <w:p w14:paraId="59DD42BC" w14:textId="5D04D6C4"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sz w:val="18"/>
                      <w:szCs w:val="18"/>
                      <w:lang w:val="en-US"/>
                    </w:rPr>
                    <w:t>Application</w:t>
                  </w:r>
                  <w:r w:rsidRPr="00504BA8">
                    <w:rPr>
                      <w:rFonts w:cstheme="minorHAnsi"/>
                      <w:color w:val="222222"/>
                      <w:sz w:val="18"/>
                      <w:szCs w:val="18"/>
                      <w:lang w:val="en-US"/>
                    </w:rPr>
                    <w:t xml:space="preserve"> analysis fee: 1 percent of the capital with a minimum of CFAF</w:t>
                  </w:r>
                  <w:r w:rsidR="00C702B4">
                    <w:rPr>
                      <w:rFonts w:cstheme="minorHAnsi"/>
                      <w:color w:val="222222"/>
                      <w:sz w:val="18"/>
                      <w:szCs w:val="18"/>
                      <w:lang w:val="en-US"/>
                    </w:rPr>
                    <w:t> </w:t>
                  </w:r>
                  <w:r w:rsidRPr="00504BA8">
                    <w:rPr>
                      <w:rFonts w:cstheme="minorHAnsi"/>
                      <w:color w:val="222222"/>
                      <w:sz w:val="18"/>
                      <w:szCs w:val="18"/>
                      <w:lang w:val="en-US"/>
                    </w:rPr>
                    <w:t>1,500</w:t>
                  </w:r>
                </w:p>
                <w:p w14:paraId="185617BE" w14:textId="77777777"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color w:val="222222"/>
                      <w:sz w:val="18"/>
                      <w:szCs w:val="18"/>
                      <w:lang w:val="en-US"/>
                    </w:rPr>
                    <w:t xml:space="preserve">Late </w:t>
                  </w:r>
                  <w:r w:rsidRPr="00504BA8">
                    <w:rPr>
                      <w:rFonts w:cstheme="minorHAnsi"/>
                      <w:sz w:val="18"/>
                      <w:szCs w:val="18"/>
                      <w:lang w:val="en-US"/>
                    </w:rPr>
                    <w:t>payment</w:t>
                  </w:r>
                  <w:r w:rsidRPr="00504BA8">
                    <w:rPr>
                      <w:rFonts w:cstheme="minorHAnsi"/>
                      <w:color w:val="222222"/>
                      <w:sz w:val="18"/>
                      <w:szCs w:val="18"/>
                      <w:lang w:val="en-US"/>
                    </w:rPr>
                    <w:t xml:space="preserve"> interest: 2 percent per month (maximum up to 12 months)</w:t>
                  </w:r>
                </w:p>
                <w:p w14:paraId="39D987A6" w14:textId="1DB0043C" w:rsidR="00504BA8" w:rsidRPr="00504BA8" w:rsidRDefault="00504BA8" w:rsidP="00504BA8">
                  <w:pPr>
                    <w:autoSpaceDE w:val="0"/>
                    <w:autoSpaceDN w:val="0"/>
                    <w:adjustRightInd w:val="0"/>
                    <w:spacing w:after="60" w:line="240" w:lineRule="auto"/>
                    <w:rPr>
                      <w:rFonts w:cstheme="minorHAnsi"/>
                      <w:sz w:val="18"/>
                      <w:szCs w:val="18"/>
                      <w:lang w:val="en-US"/>
                    </w:rPr>
                  </w:pPr>
                  <w:r w:rsidRPr="00504BA8">
                    <w:rPr>
                      <w:rFonts w:cstheme="minorHAnsi"/>
                      <w:sz w:val="18"/>
                      <w:szCs w:val="18"/>
                      <w:lang w:val="en-US"/>
                    </w:rPr>
                    <w:t>Collection</w:t>
                  </w:r>
                  <w:r w:rsidRPr="00504BA8">
                    <w:rPr>
                      <w:rFonts w:cstheme="minorHAnsi"/>
                      <w:color w:val="222222"/>
                      <w:sz w:val="18"/>
                      <w:szCs w:val="18"/>
                      <w:lang w:val="en-US"/>
                    </w:rPr>
                    <w:t xml:space="preserve"> commission: CFAF</w:t>
                  </w:r>
                  <w:r w:rsidR="00C702B4">
                    <w:rPr>
                      <w:rFonts w:cstheme="minorHAnsi"/>
                      <w:color w:val="222222"/>
                      <w:sz w:val="18"/>
                      <w:szCs w:val="18"/>
                      <w:lang w:val="en-US"/>
                    </w:rPr>
                    <w:t> </w:t>
                  </w:r>
                  <w:r w:rsidRPr="00504BA8">
                    <w:rPr>
                      <w:rFonts w:cstheme="minorHAnsi"/>
                      <w:color w:val="222222"/>
                      <w:sz w:val="18"/>
                      <w:szCs w:val="18"/>
                      <w:lang w:val="en-US"/>
                    </w:rPr>
                    <w:t>3,000</w:t>
                  </w:r>
                </w:p>
              </w:tc>
            </w:tr>
            <w:tr w:rsidR="00504BA8" w:rsidRPr="008A6E7B" w14:paraId="2666C7AC" w14:textId="77777777" w:rsidTr="00B03F0F">
              <w:tc>
                <w:tcPr>
                  <w:tcW w:w="4026" w:type="dxa"/>
                </w:tcPr>
                <w:p w14:paraId="4FB64428" w14:textId="77777777" w:rsidR="00504BA8" w:rsidRPr="00504BA8" w:rsidRDefault="00504BA8" w:rsidP="00504BA8">
                  <w:pPr>
                    <w:autoSpaceDE w:val="0"/>
                    <w:autoSpaceDN w:val="0"/>
                    <w:adjustRightInd w:val="0"/>
                    <w:spacing w:line="240" w:lineRule="auto"/>
                    <w:rPr>
                      <w:rFonts w:cstheme="minorHAnsi"/>
                      <w:sz w:val="18"/>
                      <w:szCs w:val="18"/>
                      <w:lang w:val="en-US"/>
                    </w:rPr>
                  </w:pPr>
                  <w:r w:rsidRPr="00504BA8">
                    <w:rPr>
                      <w:rFonts w:cstheme="minorHAnsi"/>
                      <w:sz w:val="18"/>
                      <w:szCs w:val="18"/>
                      <w:lang w:val="en-US"/>
                    </w:rPr>
                    <w:t>Credit to MSME:</w:t>
                  </w:r>
                </w:p>
              </w:tc>
              <w:tc>
                <w:tcPr>
                  <w:tcW w:w="5098" w:type="dxa"/>
                </w:tcPr>
                <w:p w14:paraId="1E618182" w14:textId="049F2760"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color w:val="222222"/>
                      <w:sz w:val="18"/>
                      <w:szCs w:val="18"/>
                      <w:lang w:val="en-US"/>
                    </w:rPr>
                    <w:t>Application fee: CFAF</w:t>
                  </w:r>
                  <w:r w:rsidR="00C702B4">
                    <w:rPr>
                      <w:rFonts w:cstheme="minorHAnsi"/>
                      <w:color w:val="222222"/>
                      <w:sz w:val="18"/>
                      <w:szCs w:val="18"/>
                      <w:lang w:val="en-US"/>
                    </w:rPr>
                    <w:t> </w:t>
                  </w:r>
                  <w:r w:rsidRPr="00504BA8">
                    <w:rPr>
                      <w:rFonts w:cstheme="minorHAnsi"/>
                      <w:color w:val="222222"/>
                      <w:sz w:val="18"/>
                      <w:szCs w:val="18"/>
                      <w:lang w:val="en-US"/>
                    </w:rPr>
                    <w:t xml:space="preserve">500 with an </w:t>
                  </w:r>
                  <w:r w:rsidRPr="00504BA8">
                    <w:rPr>
                      <w:rStyle w:val="shorttext"/>
                      <w:rFonts w:cstheme="minorHAnsi"/>
                      <w:color w:val="222222"/>
                      <w:sz w:val="18"/>
                      <w:szCs w:val="18"/>
                      <w:lang w:val="en-US"/>
                    </w:rPr>
                    <w:t>interest rate of 19 percent per year</w:t>
                  </w:r>
                </w:p>
                <w:p w14:paraId="1DB21CF0" w14:textId="77777777"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sz w:val="18"/>
                      <w:szCs w:val="18"/>
                      <w:lang w:val="en-US"/>
                    </w:rPr>
                    <w:t>Application</w:t>
                  </w:r>
                  <w:r w:rsidRPr="00504BA8">
                    <w:rPr>
                      <w:rFonts w:cstheme="minorHAnsi"/>
                      <w:color w:val="222222"/>
                      <w:sz w:val="18"/>
                      <w:szCs w:val="18"/>
                      <w:lang w:val="en-US"/>
                    </w:rPr>
                    <w:t xml:space="preserve"> analysis: 1 percent of the amount granted</w:t>
                  </w:r>
                </w:p>
                <w:p w14:paraId="550CEC51" w14:textId="68B63C7A" w:rsidR="00504BA8" w:rsidRPr="00504BA8" w:rsidRDefault="00504BA8" w:rsidP="00504BA8">
                  <w:pPr>
                    <w:autoSpaceDE w:val="0"/>
                    <w:autoSpaceDN w:val="0"/>
                    <w:adjustRightInd w:val="0"/>
                    <w:spacing w:after="60" w:line="240" w:lineRule="auto"/>
                    <w:rPr>
                      <w:rFonts w:cstheme="minorHAnsi"/>
                      <w:sz w:val="18"/>
                      <w:szCs w:val="18"/>
                      <w:lang w:val="en-US"/>
                    </w:rPr>
                  </w:pPr>
                  <w:r w:rsidRPr="00504BA8">
                    <w:rPr>
                      <w:rFonts w:cstheme="minorHAnsi"/>
                      <w:sz w:val="18"/>
                      <w:szCs w:val="18"/>
                      <w:lang w:val="en-US"/>
                    </w:rPr>
                    <w:t>Microenterprise loan: CFAF</w:t>
                  </w:r>
                  <w:r w:rsidR="00C702B4">
                    <w:rPr>
                      <w:rFonts w:cstheme="minorHAnsi"/>
                      <w:sz w:val="18"/>
                      <w:szCs w:val="18"/>
                      <w:lang w:val="en-US"/>
                    </w:rPr>
                    <w:t> </w:t>
                  </w:r>
                  <w:r w:rsidRPr="00504BA8">
                    <w:rPr>
                      <w:rFonts w:cstheme="minorHAnsi"/>
                      <w:sz w:val="18"/>
                      <w:szCs w:val="18"/>
                      <w:lang w:val="en-US"/>
                    </w:rPr>
                    <w:t xml:space="preserve">30,000 to 500,000 </w:t>
                  </w:r>
                </w:p>
                <w:p w14:paraId="6BD2C40D" w14:textId="323B13C6" w:rsidR="00504BA8" w:rsidRPr="00504BA8" w:rsidRDefault="00504BA8" w:rsidP="00504BA8">
                  <w:pPr>
                    <w:autoSpaceDE w:val="0"/>
                    <w:autoSpaceDN w:val="0"/>
                    <w:adjustRightInd w:val="0"/>
                    <w:spacing w:after="60" w:line="240" w:lineRule="auto"/>
                    <w:rPr>
                      <w:rFonts w:cstheme="minorHAnsi"/>
                      <w:sz w:val="18"/>
                      <w:szCs w:val="18"/>
                      <w:lang w:val="en-US"/>
                    </w:rPr>
                  </w:pPr>
                  <w:r w:rsidRPr="00504BA8">
                    <w:rPr>
                      <w:rFonts w:cstheme="minorHAnsi"/>
                      <w:sz w:val="18"/>
                      <w:szCs w:val="18"/>
                      <w:lang w:val="en-US"/>
                    </w:rPr>
                    <w:t>Small-enterprise Loan: CFAF</w:t>
                  </w:r>
                  <w:r w:rsidR="00C702B4">
                    <w:rPr>
                      <w:rFonts w:cstheme="minorHAnsi"/>
                      <w:sz w:val="18"/>
                      <w:szCs w:val="18"/>
                      <w:lang w:val="en-US"/>
                    </w:rPr>
                    <w:t> </w:t>
                  </w:r>
                  <w:r w:rsidRPr="00504BA8">
                    <w:rPr>
                      <w:rFonts w:cstheme="minorHAnsi"/>
                      <w:sz w:val="18"/>
                      <w:szCs w:val="18"/>
                      <w:lang w:val="en-US"/>
                    </w:rPr>
                    <w:t xml:space="preserve">500,000 to 3,000,000 </w:t>
                  </w:r>
                </w:p>
                <w:p w14:paraId="0FB824C1" w14:textId="1F726BA6"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sz w:val="18"/>
                      <w:szCs w:val="18"/>
                      <w:lang w:val="en-US"/>
                    </w:rPr>
                    <w:t>Medium-enterprise loan: CFAF</w:t>
                  </w:r>
                  <w:r w:rsidR="00C702B4">
                    <w:rPr>
                      <w:rFonts w:cstheme="minorHAnsi"/>
                      <w:sz w:val="18"/>
                      <w:szCs w:val="18"/>
                      <w:lang w:val="en-US"/>
                    </w:rPr>
                    <w:t> </w:t>
                  </w:r>
                  <w:r w:rsidRPr="00504BA8">
                    <w:rPr>
                      <w:rFonts w:cstheme="minorHAnsi"/>
                      <w:sz w:val="18"/>
                      <w:szCs w:val="18"/>
                      <w:lang w:val="en-US"/>
                    </w:rPr>
                    <w:t>3,000.000 to 30,000,000</w:t>
                  </w:r>
                </w:p>
              </w:tc>
            </w:tr>
            <w:tr w:rsidR="00504BA8" w:rsidRPr="008A6E7B" w14:paraId="090326BA" w14:textId="77777777" w:rsidTr="00B03F0F">
              <w:tc>
                <w:tcPr>
                  <w:tcW w:w="4026" w:type="dxa"/>
                </w:tcPr>
                <w:p w14:paraId="5006D6DE" w14:textId="77777777" w:rsidR="00504BA8" w:rsidRPr="00504BA8" w:rsidRDefault="00504BA8" w:rsidP="00504BA8">
                  <w:pPr>
                    <w:autoSpaceDE w:val="0"/>
                    <w:autoSpaceDN w:val="0"/>
                    <w:adjustRightInd w:val="0"/>
                    <w:spacing w:line="240" w:lineRule="auto"/>
                    <w:rPr>
                      <w:rFonts w:cstheme="minorHAnsi"/>
                      <w:sz w:val="18"/>
                      <w:szCs w:val="18"/>
                      <w:lang w:val="en-US"/>
                    </w:rPr>
                  </w:pPr>
                  <w:r w:rsidRPr="00504BA8">
                    <w:rPr>
                      <w:rFonts w:cstheme="minorHAnsi"/>
                      <w:sz w:val="18"/>
                      <w:szCs w:val="18"/>
                      <w:lang w:val="en-US"/>
                    </w:rPr>
                    <w:t>Credit to microentrepreneur (CEM):</w:t>
                  </w:r>
                </w:p>
              </w:tc>
              <w:tc>
                <w:tcPr>
                  <w:tcW w:w="5098" w:type="dxa"/>
                </w:tcPr>
                <w:p w14:paraId="316DE422" w14:textId="0398752F"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sz w:val="18"/>
                      <w:szCs w:val="18"/>
                      <w:lang w:val="en-US"/>
                    </w:rPr>
                    <w:t>Application</w:t>
                  </w:r>
                  <w:r w:rsidRPr="00504BA8">
                    <w:rPr>
                      <w:rFonts w:cstheme="minorHAnsi"/>
                      <w:color w:val="222222"/>
                      <w:sz w:val="18"/>
                      <w:szCs w:val="18"/>
                      <w:lang w:val="en-US"/>
                    </w:rPr>
                    <w:t xml:space="preserve"> fee: CFAF</w:t>
                  </w:r>
                  <w:r w:rsidR="00C702B4">
                    <w:rPr>
                      <w:rFonts w:cstheme="minorHAnsi"/>
                      <w:color w:val="222222"/>
                      <w:sz w:val="18"/>
                      <w:szCs w:val="18"/>
                      <w:lang w:val="en-US"/>
                    </w:rPr>
                    <w:t> </w:t>
                  </w:r>
                  <w:r w:rsidRPr="00504BA8">
                    <w:rPr>
                      <w:rFonts w:cstheme="minorHAnsi"/>
                      <w:color w:val="222222"/>
                      <w:sz w:val="18"/>
                      <w:szCs w:val="18"/>
                      <w:lang w:val="en-US"/>
                    </w:rPr>
                    <w:t>500 with an i</w:t>
                  </w:r>
                  <w:r w:rsidRPr="00504BA8">
                    <w:rPr>
                      <w:rStyle w:val="shorttext"/>
                      <w:rFonts w:cstheme="minorHAnsi"/>
                      <w:color w:val="222222"/>
                      <w:sz w:val="18"/>
                      <w:szCs w:val="18"/>
                      <w:lang w:val="en-US"/>
                    </w:rPr>
                    <w:t xml:space="preserve">nterest rate of 19 percent per year </w:t>
                  </w:r>
                </w:p>
                <w:p w14:paraId="5FD5ABE4" w14:textId="77777777"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sz w:val="18"/>
                      <w:szCs w:val="18"/>
                      <w:lang w:val="en-US"/>
                    </w:rPr>
                    <w:t>Application</w:t>
                  </w:r>
                  <w:r w:rsidRPr="00504BA8">
                    <w:rPr>
                      <w:rFonts w:cstheme="minorHAnsi"/>
                      <w:color w:val="222222"/>
                      <w:sz w:val="18"/>
                      <w:szCs w:val="18"/>
                      <w:lang w:val="en-US"/>
                    </w:rPr>
                    <w:t xml:space="preserve"> analysis: 1 percent of the amount granted</w:t>
                  </w:r>
                </w:p>
                <w:p w14:paraId="233024DE" w14:textId="6635BFFE"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color w:val="222222"/>
                      <w:sz w:val="18"/>
                      <w:szCs w:val="18"/>
                      <w:lang w:val="en-US"/>
                    </w:rPr>
                    <w:t xml:space="preserve">Conditions: Hold a savings account for more than three </w:t>
                  </w:r>
                  <w:r w:rsidRPr="00504BA8">
                    <w:rPr>
                      <w:rFonts w:cstheme="minorHAnsi"/>
                      <w:sz w:val="18"/>
                      <w:szCs w:val="18"/>
                      <w:lang w:val="en-US"/>
                    </w:rPr>
                    <w:t>months</w:t>
                  </w:r>
                  <w:r w:rsidRPr="00504BA8">
                    <w:rPr>
                      <w:rFonts w:cstheme="minorHAnsi"/>
                      <w:color w:val="222222"/>
                      <w:sz w:val="18"/>
                      <w:szCs w:val="18"/>
                      <w:lang w:val="en-US"/>
                    </w:rPr>
                    <w:t xml:space="preserve"> and constitute a prior saving of at least 10 percent of the amount of credit requested. Beyond CFAF</w:t>
                  </w:r>
                  <w:r w:rsidR="00C702B4">
                    <w:rPr>
                      <w:rFonts w:cstheme="minorHAnsi"/>
                      <w:color w:val="222222"/>
                      <w:sz w:val="18"/>
                      <w:szCs w:val="18"/>
                      <w:lang w:val="en-US"/>
                    </w:rPr>
                    <w:t> </w:t>
                  </w:r>
                  <w:r w:rsidRPr="00504BA8">
                    <w:rPr>
                      <w:rFonts w:cstheme="minorHAnsi"/>
                      <w:color w:val="222222"/>
                      <w:sz w:val="18"/>
                      <w:szCs w:val="18"/>
                      <w:lang w:val="en-US"/>
                    </w:rPr>
                    <w:t>200,000, physical collateral is required. The minimum amount of credit is CFAF</w:t>
                  </w:r>
                  <w:r w:rsidR="00C702B4">
                    <w:rPr>
                      <w:rFonts w:cstheme="minorHAnsi"/>
                      <w:color w:val="222222"/>
                      <w:sz w:val="18"/>
                      <w:szCs w:val="18"/>
                      <w:lang w:val="en-US"/>
                    </w:rPr>
                    <w:t> </w:t>
                  </w:r>
                  <w:r w:rsidRPr="00504BA8">
                    <w:rPr>
                      <w:rFonts w:cstheme="minorHAnsi"/>
                      <w:color w:val="222222"/>
                      <w:sz w:val="18"/>
                      <w:szCs w:val="18"/>
                      <w:lang w:val="en-US"/>
                    </w:rPr>
                    <w:t>20,000 and the maximum amount is CFAF</w:t>
                  </w:r>
                  <w:r w:rsidR="00C702B4">
                    <w:rPr>
                      <w:rFonts w:cstheme="minorHAnsi"/>
                      <w:color w:val="222222"/>
                      <w:sz w:val="18"/>
                      <w:szCs w:val="18"/>
                      <w:lang w:val="en-US"/>
                    </w:rPr>
                    <w:t> </w:t>
                  </w:r>
                  <w:r w:rsidRPr="00504BA8">
                    <w:rPr>
                      <w:rFonts w:cstheme="minorHAnsi"/>
                      <w:color w:val="222222"/>
                      <w:sz w:val="18"/>
                      <w:szCs w:val="18"/>
                      <w:lang w:val="en-US"/>
                    </w:rPr>
                    <w:t xml:space="preserve">5,000,000. </w:t>
                  </w:r>
                </w:p>
              </w:tc>
            </w:tr>
            <w:tr w:rsidR="00504BA8" w:rsidRPr="008A6E7B" w14:paraId="7ABCBCD0" w14:textId="77777777" w:rsidTr="00B03F0F">
              <w:tc>
                <w:tcPr>
                  <w:tcW w:w="4026" w:type="dxa"/>
                </w:tcPr>
                <w:p w14:paraId="58F16B63" w14:textId="77777777" w:rsidR="00504BA8" w:rsidRPr="00504BA8" w:rsidRDefault="00504BA8" w:rsidP="00504BA8">
                  <w:pPr>
                    <w:autoSpaceDE w:val="0"/>
                    <w:autoSpaceDN w:val="0"/>
                    <w:adjustRightInd w:val="0"/>
                    <w:spacing w:line="240" w:lineRule="auto"/>
                    <w:rPr>
                      <w:rFonts w:cstheme="minorHAnsi"/>
                      <w:sz w:val="18"/>
                      <w:szCs w:val="18"/>
                      <w:lang w:val="en-US"/>
                    </w:rPr>
                  </w:pPr>
                  <w:r w:rsidRPr="00504BA8">
                    <w:rPr>
                      <w:rFonts w:cstheme="minorHAnsi"/>
                      <w:sz w:val="18"/>
                      <w:szCs w:val="18"/>
                      <w:lang w:val="en-US"/>
                    </w:rPr>
                    <w:t xml:space="preserve">Credit for </w:t>
                  </w:r>
                  <w:proofErr w:type="spellStart"/>
                  <w:r w:rsidRPr="00504BA8">
                    <w:rPr>
                      <w:rFonts w:cstheme="minorHAnsi"/>
                      <w:sz w:val="18"/>
                      <w:szCs w:val="18"/>
                      <w:lang w:val="en-US"/>
                    </w:rPr>
                    <w:t>prefinancing</w:t>
                  </w:r>
                  <w:proofErr w:type="spellEnd"/>
                  <w:r w:rsidRPr="00504BA8">
                    <w:rPr>
                      <w:rFonts w:cstheme="minorHAnsi"/>
                      <w:sz w:val="18"/>
                      <w:szCs w:val="18"/>
                      <w:lang w:val="en-US"/>
                    </w:rPr>
                    <w:t xml:space="preserve"> of tendering contracts:</w:t>
                  </w:r>
                </w:p>
              </w:tc>
              <w:tc>
                <w:tcPr>
                  <w:tcW w:w="5098" w:type="dxa"/>
                </w:tcPr>
                <w:p w14:paraId="40B1892F" w14:textId="77777777"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color w:val="222222"/>
                      <w:sz w:val="18"/>
                      <w:szCs w:val="18"/>
                      <w:lang w:val="en-US"/>
                    </w:rPr>
                    <w:t xml:space="preserve">Credit to subcontractors (government and private </w:t>
                  </w:r>
                  <w:r w:rsidRPr="00504BA8">
                    <w:rPr>
                      <w:rFonts w:cstheme="minorHAnsi"/>
                      <w:sz w:val="18"/>
                      <w:szCs w:val="18"/>
                      <w:lang w:val="en-US"/>
                    </w:rPr>
                    <w:t>companies</w:t>
                  </w:r>
                  <w:r w:rsidRPr="00504BA8">
                    <w:rPr>
                      <w:rFonts w:cstheme="minorHAnsi"/>
                      <w:color w:val="222222"/>
                      <w:sz w:val="18"/>
                      <w:szCs w:val="18"/>
                      <w:lang w:val="en-US"/>
                    </w:rPr>
                    <w:t>)</w:t>
                  </w:r>
                </w:p>
                <w:p w14:paraId="75E8B034" w14:textId="77777777" w:rsidR="00504BA8" w:rsidRPr="00504BA8" w:rsidRDefault="00504BA8" w:rsidP="00504BA8">
                  <w:pPr>
                    <w:autoSpaceDE w:val="0"/>
                    <w:autoSpaceDN w:val="0"/>
                    <w:adjustRightInd w:val="0"/>
                    <w:spacing w:after="60" w:line="240" w:lineRule="auto"/>
                    <w:rPr>
                      <w:rFonts w:cstheme="minorHAnsi"/>
                      <w:sz w:val="18"/>
                      <w:szCs w:val="18"/>
                      <w:lang w:val="en-US"/>
                    </w:rPr>
                  </w:pPr>
                  <w:r w:rsidRPr="00504BA8">
                    <w:rPr>
                      <w:rFonts w:cstheme="minorHAnsi"/>
                      <w:sz w:val="18"/>
                      <w:szCs w:val="18"/>
                      <w:lang w:val="en-US"/>
                    </w:rPr>
                    <w:t>Interest</w:t>
                  </w:r>
                  <w:r w:rsidRPr="00504BA8">
                    <w:rPr>
                      <w:rFonts w:cstheme="minorHAnsi"/>
                      <w:color w:val="222222"/>
                      <w:sz w:val="18"/>
                      <w:szCs w:val="18"/>
                      <w:lang w:val="en-US"/>
                    </w:rPr>
                    <w:t xml:space="preserve"> rate: 19 percent per year </w:t>
                  </w:r>
                </w:p>
              </w:tc>
            </w:tr>
            <w:tr w:rsidR="00504BA8" w:rsidRPr="008A6E7B" w14:paraId="00021914" w14:textId="77777777" w:rsidTr="00B03F0F">
              <w:tc>
                <w:tcPr>
                  <w:tcW w:w="4026" w:type="dxa"/>
                </w:tcPr>
                <w:p w14:paraId="35A47691" w14:textId="77777777" w:rsidR="00504BA8" w:rsidRPr="00504BA8" w:rsidRDefault="00504BA8" w:rsidP="00504BA8">
                  <w:pPr>
                    <w:autoSpaceDE w:val="0"/>
                    <w:autoSpaceDN w:val="0"/>
                    <w:adjustRightInd w:val="0"/>
                    <w:spacing w:line="240" w:lineRule="auto"/>
                    <w:rPr>
                      <w:rFonts w:cstheme="minorHAnsi"/>
                      <w:sz w:val="18"/>
                      <w:szCs w:val="18"/>
                      <w:lang w:val="en-US"/>
                    </w:rPr>
                  </w:pPr>
                  <w:r w:rsidRPr="00504BA8">
                    <w:rPr>
                      <w:rFonts w:cstheme="minorHAnsi"/>
                      <w:sz w:val="18"/>
                      <w:szCs w:val="18"/>
                      <w:lang w:val="en-US"/>
                    </w:rPr>
                    <w:t>Credit to civil servant:</w:t>
                  </w:r>
                </w:p>
              </w:tc>
              <w:tc>
                <w:tcPr>
                  <w:tcW w:w="5098" w:type="dxa"/>
                </w:tcPr>
                <w:p w14:paraId="01656E06" w14:textId="77777777" w:rsidR="00504BA8" w:rsidRPr="00504BA8" w:rsidRDefault="00504BA8" w:rsidP="00504BA8">
                  <w:pPr>
                    <w:autoSpaceDE w:val="0"/>
                    <w:autoSpaceDN w:val="0"/>
                    <w:adjustRightInd w:val="0"/>
                    <w:spacing w:after="60" w:line="240" w:lineRule="auto"/>
                    <w:rPr>
                      <w:rFonts w:cstheme="minorHAnsi"/>
                      <w:color w:val="222222"/>
                      <w:sz w:val="18"/>
                      <w:szCs w:val="18"/>
                      <w:lang w:val="en-US"/>
                    </w:rPr>
                  </w:pPr>
                  <w:r w:rsidRPr="00504BA8">
                    <w:rPr>
                      <w:rFonts w:cstheme="minorHAnsi"/>
                      <w:color w:val="222222"/>
                      <w:sz w:val="18"/>
                      <w:szCs w:val="18"/>
                      <w:lang w:val="en-US"/>
                    </w:rPr>
                    <w:t>Credit to civilian agents, civil servants, and military agents</w:t>
                  </w:r>
                </w:p>
                <w:p w14:paraId="2B3A8B63" w14:textId="77777777" w:rsidR="00504BA8" w:rsidRPr="00504BA8" w:rsidRDefault="00504BA8" w:rsidP="00504BA8">
                  <w:pPr>
                    <w:autoSpaceDE w:val="0"/>
                    <w:autoSpaceDN w:val="0"/>
                    <w:adjustRightInd w:val="0"/>
                    <w:spacing w:after="60" w:line="240" w:lineRule="auto"/>
                    <w:rPr>
                      <w:rFonts w:cstheme="minorHAnsi"/>
                      <w:sz w:val="18"/>
                      <w:szCs w:val="18"/>
                      <w:lang w:val="en-US"/>
                    </w:rPr>
                  </w:pPr>
                  <w:r w:rsidRPr="00504BA8">
                    <w:rPr>
                      <w:rFonts w:cstheme="minorHAnsi"/>
                      <w:sz w:val="18"/>
                      <w:szCs w:val="18"/>
                      <w:lang w:val="en-US"/>
                    </w:rPr>
                    <w:t>Interest</w:t>
                  </w:r>
                  <w:r w:rsidRPr="00504BA8">
                    <w:rPr>
                      <w:rFonts w:cstheme="minorHAnsi"/>
                      <w:color w:val="222222"/>
                      <w:sz w:val="18"/>
                      <w:szCs w:val="18"/>
                      <w:lang w:val="en-US"/>
                    </w:rPr>
                    <w:t xml:space="preserve"> rate: 12 percent per year</w:t>
                  </w:r>
                </w:p>
              </w:tc>
            </w:tr>
          </w:tbl>
          <w:p w14:paraId="6B88D783" w14:textId="77777777" w:rsidR="00504BA8" w:rsidRPr="000673C8" w:rsidRDefault="000673C8" w:rsidP="00504BA8">
            <w:pPr>
              <w:pStyle w:val="ListParagraph"/>
              <w:keepNext/>
              <w:autoSpaceDE w:val="0"/>
              <w:autoSpaceDN w:val="0"/>
              <w:adjustRightInd w:val="0"/>
              <w:spacing w:after="60"/>
              <w:ind w:left="0"/>
              <w:jc w:val="both"/>
              <w:rPr>
                <w:sz w:val="18"/>
                <w:szCs w:val="18"/>
                <w:lang w:val="fr-CA"/>
              </w:rPr>
            </w:pPr>
            <w:r w:rsidRPr="000673C8">
              <w:rPr>
                <w:rFonts w:ascii="Calibri" w:hAnsi="Calibri" w:cs="Calibri"/>
                <w:sz w:val="18"/>
                <w:szCs w:val="18"/>
                <w:lang w:val="fr-CA"/>
              </w:rPr>
              <w:t>Huber, C (2015) Rapport Due Diligence Faitière Des caisses d’Épargne et de Crédit Agricole Mutuel du Bénin</w:t>
            </w:r>
          </w:p>
        </w:tc>
      </w:tr>
    </w:tbl>
    <w:p w14:paraId="2958C6F0" w14:textId="77777777" w:rsidR="00504BA8" w:rsidRPr="000673C8" w:rsidRDefault="00504BA8" w:rsidP="00504BA8">
      <w:pPr>
        <w:pStyle w:val="ListParagraph"/>
        <w:spacing w:after="240" w:line="240" w:lineRule="auto"/>
        <w:ind w:left="0"/>
        <w:contextualSpacing w:val="0"/>
        <w:jc w:val="both"/>
        <w:rPr>
          <w:rFonts w:cstheme="minorHAnsi"/>
          <w:bCs/>
          <w:sz w:val="18"/>
          <w:szCs w:val="18"/>
          <w:lang w:val="fr-CA"/>
        </w:rPr>
      </w:pPr>
    </w:p>
    <w:p w14:paraId="4DD4BD14" w14:textId="7ED2ED6C" w:rsidR="000673C8" w:rsidRDefault="000673C8" w:rsidP="006D70CD">
      <w:pPr>
        <w:pStyle w:val="ListParagraph"/>
        <w:numPr>
          <w:ilvl w:val="0"/>
          <w:numId w:val="47"/>
        </w:numPr>
        <w:spacing w:after="240" w:line="240" w:lineRule="auto"/>
        <w:ind w:left="0" w:firstLine="0"/>
        <w:contextualSpacing w:val="0"/>
        <w:jc w:val="both"/>
        <w:rPr>
          <w:rFonts w:ascii="Calibri" w:hAnsi="Calibri" w:cs="Calibri"/>
          <w:lang w:val="en-US"/>
        </w:rPr>
      </w:pPr>
      <w:r w:rsidRPr="00124DA6">
        <w:rPr>
          <w:rFonts w:cstheme="minorHAnsi"/>
          <w:b/>
          <w:bCs/>
          <w:lang w:val="en-US"/>
        </w:rPr>
        <w:t>Several MFIs have established partnerships with mobile money operators to offer cash transfer and payment services to their clients, and two institutions applied for e-</w:t>
      </w:r>
      <w:r w:rsidRPr="00124DA6">
        <w:rPr>
          <w:rFonts w:cstheme="minorHAnsi"/>
          <w:b/>
          <w:lang w:val="en-US"/>
        </w:rPr>
        <w:t xml:space="preserve">money issuer license. </w:t>
      </w:r>
      <w:r w:rsidRPr="00124DA6">
        <w:rPr>
          <w:rFonts w:cstheme="minorHAnsi"/>
          <w:lang w:val="en-US"/>
        </w:rPr>
        <w:t xml:space="preserve">MFIs have established partnership with the two mobile money operators in the country (MTN Money and </w:t>
      </w:r>
      <w:proofErr w:type="spellStart"/>
      <w:r w:rsidRPr="00124DA6">
        <w:rPr>
          <w:rFonts w:cstheme="minorHAnsi"/>
          <w:lang w:val="en-US"/>
        </w:rPr>
        <w:t>Moov</w:t>
      </w:r>
      <w:proofErr w:type="spellEnd"/>
      <w:r w:rsidRPr="00124DA6">
        <w:rPr>
          <w:rFonts w:cstheme="minorHAnsi"/>
          <w:lang w:val="en-US"/>
        </w:rPr>
        <w:t>), mainly for</w:t>
      </w:r>
      <w:r>
        <w:rPr>
          <w:rFonts w:cstheme="minorHAnsi"/>
          <w:lang w:val="en-US"/>
        </w:rPr>
        <w:t xml:space="preserve"> P2P transfers</w:t>
      </w:r>
      <w:r w:rsidR="00EC099C">
        <w:rPr>
          <w:rFonts w:cstheme="minorHAnsi"/>
          <w:lang w:val="en-US"/>
        </w:rPr>
        <w:t>,</w:t>
      </w:r>
      <w:r>
        <w:rPr>
          <w:rFonts w:cstheme="minorHAnsi"/>
          <w:lang w:val="en-US"/>
        </w:rPr>
        <w:t xml:space="preserve"> and </w:t>
      </w:r>
      <w:r w:rsidR="001B34ED">
        <w:rPr>
          <w:rFonts w:cstheme="minorHAnsi"/>
          <w:lang w:val="en-US"/>
        </w:rPr>
        <w:t xml:space="preserve">to </w:t>
      </w:r>
      <w:r>
        <w:rPr>
          <w:rFonts w:cstheme="minorHAnsi"/>
          <w:lang w:val="en-US"/>
        </w:rPr>
        <w:t>a lesser extent</w:t>
      </w:r>
      <w:r w:rsidRPr="00124DA6">
        <w:rPr>
          <w:rFonts w:cstheme="minorHAnsi"/>
          <w:lang w:val="en-US"/>
        </w:rPr>
        <w:t xml:space="preserve"> </w:t>
      </w:r>
      <w:r>
        <w:rPr>
          <w:rFonts w:cstheme="minorHAnsi"/>
          <w:lang w:val="en-US"/>
        </w:rPr>
        <w:t>for “</w:t>
      </w:r>
      <w:r w:rsidRPr="00124DA6">
        <w:rPr>
          <w:rFonts w:cstheme="minorHAnsi"/>
          <w:lang w:val="en-US"/>
        </w:rPr>
        <w:t>second generation</w:t>
      </w:r>
      <w:r>
        <w:rPr>
          <w:rFonts w:cstheme="minorHAnsi"/>
          <w:lang w:val="en-US"/>
        </w:rPr>
        <w:t>”</w:t>
      </w:r>
      <w:r w:rsidRPr="00124DA6">
        <w:rPr>
          <w:rFonts w:cstheme="minorHAnsi"/>
          <w:lang w:val="en-US"/>
        </w:rPr>
        <w:t xml:space="preserve"> product</w:t>
      </w:r>
      <w:r>
        <w:rPr>
          <w:rFonts w:cstheme="minorHAnsi"/>
          <w:lang w:val="en-US"/>
        </w:rPr>
        <w:t>s</w:t>
      </w:r>
      <w:r w:rsidRPr="00124DA6">
        <w:rPr>
          <w:rFonts w:cstheme="minorHAnsi"/>
          <w:lang w:val="en-US"/>
        </w:rPr>
        <w:t xml:space="preserve"> (</w:t>
      </w:r>
      <w:r w:rsidR="001B34ED">
        <w:rPr>
          <w:rFonts w:cstheme="minorHAnsi"/>
          <w:lang w:val="en-US"/>
        </w:rPr>
        <w:t>e.g.</w:t>
      </w:r>
      <w:r>
        <w:rPr>
          <w:rFonts w:cstheme="minorHAnsi"/>
          <w:lang w:val="en-US"/>
        </w:rPr>
        <w:t xml:space="preserve">: </w:t>
      </w:r>
      <w:r w:rsidRPr="00124DA6">
        <w:rPr>
          <w:rFonts w:cstheme="minorHAnsi"/>
          <w:lang w:val="en-US"/>
        </w:rPr>
        <w:t>loan reimbursement</w:t>
      </w:r>
      <w:r>
        <w:rPr>
          <w:rFonts w:cstheme="minorHAnsi"/>
          <w:lang w:val="en-US"/>
        </w:rPr>
        <w:t>s</w:t>
      </w:r>
      <w:r w:rsidRPr="00124DA6">
        <w:rPr>
          <w:rFonts w:cstheme="minorHAnsi"/>
          <w:lang w:val="en-US"/>
        </w:rPr>
        <w:t xml:space="preserve">). </w:t>
      </w:r>
      <w:r w:rsidRPr="00124DA6">
        <w:rPr>
          <w:rFonts w:ascii="Calibri" w:hAnsi="Calibri" w:cs="Calibri"/>
          <w:lang w:val="en-US"/>
        </w:rPr>
        <w:t>Mobile money services are available not only to account holders, but also to the public. This</w:t>
      </w:r>
      <w:r w:rsidR="00EC099C">
        <w:rPr>
          <w:rFonts w:ascii="Calibri" w:hAnsi="Calibri" w:cs="Calibri"/>
          <w:lang w:val="en-US"/>
        </w:rPr>
        <w:t xml:space="preserve"> initiative</w:t>
      </w:r>
      <w:r w:rsidRPr="00124DA6">
        <w:rPr>
          <w:rFonts w:ascii="Calibri" w:hAnsi="Calibri" w:cs="Calibri"/>
          <w:lang w:val="en-US"/>
        </w:rPr>
        <w:t xml:space="preserve"> broadens MFIs’ access to a base of potential new customers</w:t>
      </w:r>
      <w:r w:rsidRPr="00124DA6">
        <w:rPr>
          <w:rFonts w:cstheme="minorHAnsi"/>
          <w:lang w:val="en-US"/>
        </w:rPr>
        <w:t xml:space="preserve">, as </w:t>
      </w:r>
      <w:r w:rsidR="00EC099C">
        <w:rPr>
          <w:rFonts w:cstheme="minorHAnsi"/>
          <w:lang w:val="en-US"/>
        </w:rPr>
        <w:t xml:space="preserve">there are </w:t>
      </w:r>
      <w:r w:rsidRPr="00124DA6">
        <w:rPr>
          <w:rFonts w:cstheme="minorHAnsi"/>
          <w:lang w:val="en-US"/>
        </w:rPr>
        <w:t>5.52</w:t>
      </w:r>
      <w:r w:rsidR="00C702B4">
        <w:rPr>
          <w:rFonts w:cstheme="minorHAnsi"/>
          <w:lang w:val="en-US"/>
        </w:rPr>
        <w:t> </w:t>
      </w:r>
      <w:r w:rsidRPr="00124DA6">
        <w:rPr>
          <w:rFonts w:cstheme="minorHAnsi"/>
          <w:lang w:val="en-US"/>
        </w:rPr>
        <w:t xml:space="preserve">million </w:t>
      </w:r>
      <w:r w:rsidR="00EC099C">
        <w:rPr>
          <w:rFonts w:cstheme="minorHAnsi"/>
          <w:lang w:val="en-US"/>
        </w:rPr>
        <w:t xml:space="preserve">mobile money </w:t>
      </w:r>
      <w:r w:rsidRPr="00124DA6">
        <w:rPr>
          <w:rFonts w:cstheme="minorHAnsi"/>
          <w:lang w:val="en-US"/>
        </w:rPr>
        <w:t xml:space="preserve">clients in Benin. ASMAB, a medium size MFI as of December 2017, had an e-money issuer license. This institution plans to establish partnership with other small- and medium-size MFIs to </w:t>
      </w:r>
      <w:r w:rsidRPr="00124DA6">
        <w:rPr>
          <w:rStyle w:val="shorttext"/>
          <w:rFonts w:cstheme="minorHAnsi"/>
          <w:color w:val="222222"/>
          <w:lang w:val="en-US"/>
        </w:rPr>
        <w:t xml:space="preserve">maximize the use of this license. </w:t>
      </w:r>
      <w:r w:rsidRPr="00124DA6">
        <w:rPr>
          <w:rFonts w:ascii="Calibri" w:hAnsi="Calibri" w:cs="Calibri"/>
          <w:lang w:val="en-US"/>
        </w:rPr>
        <w:t>FECECAM, the largest MFI in the country, applied for the license. It will offer e-money through its own network</w:t>
      </w:r>
      <w:r>
        <w:rPr>
          <w:rFonts w:ascii="Calibri" w:hAnsi="Calibri" w:cs="Calibri"/>
          <w:lang w:val="en-US"/>
        </w:rPr>
        <w:t>.</w:t>
      </w:r>
    </w:p>
    <w:p w14:paraId="75668493" w14:textId="1395A758" w:rsidR="000673C8" w:rsidRPr="000673C8" w:rsidRDefault="000673C8" w:rsidP="006D70CD">
      <w:pPr>
        <w:pStyle w:val="ListParagraph"/>
        <w:numPr>
          <w:ilvl w:val="0"/>
          <w:numId w:val="47"/>
        </w:numPr>
        <w:spacing w:after="240" w:line="240" w:lineRule="auto"/>
        <w:ind w:left="0" w:firstLine="0"/>
        <w:contextualSpacing w:val="0"/>
        <w:jc w:val="both"/>
        <w:rPr>
          <w:rFonts w:ascii="Calibri" w:hAnsi="Calibri" w:cs="Calibri"/>
          <w:lang w:val="en-US"/>
        </w:rPr>
      </w:pPr>
      <w:r w:rsidRPr="00124DA6">
        <w:rPr>
          <w:rFonts w:cstheme="minorHAnsi"/>
          <w:b/>
          <w:bCs/>
          <w:lang w:val="en-US"/>
        </w:rPr>
        <w:t xml:space="preserve">MFIs are in partnership with instant money transfer companies as well. </w:t>
      </w:r>
      <w:r w:rsidRPr="00124DA6">
        <w:rPr>
          <w:rFonts w:cstheme="minorHAnsi"/>
          <w:bCs/>
          <w:lang w:val="en-US"/>
        </w:rPr>
        <w:t xml:space="preserve">Medium and large MFIs have partnerships with instant money transfer companies such as MoneyGram and Western Union. FECECAM </w:t>
      </w:r>
      <w:r w:rsidR="00141BD7">
        <w:rPr>
          <w:rFonts w:ascii="Calibri" w:hAnsi="Calibri" w:cs="Calibri"/>
          <w:lang w:val="en-US"/>
        </w:rPr>
        <w:t>also has</w:t>
      </w:r>
      <w:r w:rsidRPr="00124DA6">
        <w:rPr>
          <w:rFonts w:cstheme="minorHAnsi"/>
          <w:bCs/>
          <w:lang w:val="en-US"/>
        </w:rPr>
        <w:t xml:space="preserve"> an instant transfer </w:t>
      </w:r>
      <w:r w:rsidR="00141BD7">
        <w:rPr>
          <w:rFonts w:cstheme="minorHAnsi"/>
          <w:bCs/>
          <w:lang w:val="en-US"/>
        </w:rPr>
        <w:t>among</w:t>
      </w:r>
      <w:r w:rsidRPr="00124DA6">
        <w:rPr>
          <w:rFonts w:cstheme="minorHAnsi"/>
          <w:bCs/>
          <w:lang w:val="en-US"/>
        </w:rPr>
        <w:t xml:space="preserve"> their branches. However, </w:t>
      </w:r>
      <w:r w:rsidRPr="00124DA6">
        <w:rPr>
          <w:rFonts w:cstheme="minorHAnsi"/>
          <w:color w:val="222222"/>
          <w:lang w:val="en-US"/>
        </w:rPr>
        <w:t>the take-up and income of this service has dropped since the blazing development of mobile money services</w:t>
      </w:r>
      <w:r>
        <w:rPr>
          <w:rFonts w:cstheme="minorHAnsi"/>
          <w:color w:val="222222"/>
          <w:lang w:val="en-US"/>
        </w:rPr>
        <w:t>.</w:t>
      </w:r>
    </w:p>
    <w:p w14:paraId="78F8F336" w14:textId="3CC1D476" w:rsidR="00DB0355" w:rsidRPr="00597761" w:rsidRDefault="000673C8" w:rsidP="006D70CD">
      <w:pPr>
        <w:pStyle w:val="ListParagraph"/>
        <w:numPr>
          <w:ilvl w:val="0"/>
          <w:numId w:val="47"/>
        </w:numPr>
        <w:spacing w:before="240" w:after="240" w:line="240" w:lineRule="auto"/>
        <w:ind w:left="0" w:firstLine="0"/>
        <w:contextualSpacing w:val="0"/>
        <w:jc w:val="both"/>
        <w:rPr>
          <w:rFonts w:ascii="Calibri" w:hAnsi="Calibri" w:cs="Calibri"/>
          <w:lang w:val="en-US"/>
        </w:rPr>
      </w:pPr>
      <w:r w:rsidRPr="00124DA6">
        <w:rPr>
          <w:rFonts w:cstheme="minorHAnsi"/>
          <w:b/>
          <w:bCs/>
          <w:lang w:val="en-US"/>
        </w:rPr>
        <w:t xml:space="preserve">MFIs </w:t>
      </w:r>
      <w:r>
        <w:rPr>
          <w:rFonts w:cstheme="minorHAnsi"/>
          <w:b/>
          <w:bCs/>
          <w:lang w:val="en-US"/>
        </w:rPr>
        <w:t xml:space="preserve">built partnership </w:t>
      </w:r>
      <w:r w:rsidRPr="00124DA6">
        <w:rPr>
          <w:rFonts w:cstheme="minorHAnsi"/>
          <w:b/>
          <w:bCs/>
          <w:lang w:val="en-US"/>
        </w:rPr>
        <w:t xml:space="preserve">with insurance companies. </w:t>
      </w:r>
      <w:r w:rsidRPr="00124DA6">
        <w:rPr>
          <w:rFonts w:cstheme="minorHAnsi"/>
          <w:bCs/>
          <w:lang w:val="en-US"/>
        </w:rPr>
        <w:t>The</w:t>
      </w:r>
      <w:r w:rsidR="00943568">
        <w:rPr>
          <w:rFonts w:cstheme="minorHAnsi"/>
          <w:bCs/>
          <w:lang w:val="en-US"/>
        </w:rPr>
        <w:t>ir</w:t>
      </w:r>
      <w:r w:rsidRPr="00124DA6">
        <w:rPr>
          <w:rFonts w:cstheme="minorHAnsi"/>
          <w:bCs/>
          <w:lang w:val="en-US"/>
        </w:rPr>
        <w:t xml:space="preserve"> distribution partnership</w:t>
      </w:r>
      <w:r w:rsidR="00943568">
        <w:rPr>
          <w:rFonts w:cstheme="minorHAnsi"/>
          <w:bCs/>
          <w:lang w:val="en-US"/>
        </w:rPr>
        <w:t>s</w:t>
      </w:r>
      <w:r w:rsidRPr="00124DA6">
        <w:rPr>
          <w:rFonts w:cstheme="minorHAnsi"/>
          <w:bCs/>
          <w:lang w:val="en-US"/>
        </w:rPr>
        <w:t xml:space="preserve"> </w:t>
      </w:r>
      <w:r w:rsidR="00943568">
        <w:rPr>
          <w:rFonts w:cstheme="minorHAnsi"/>
          <w:bCs/>
          <w:lang w:val="en-US"/>
        </w:rPr>
        <w:t>allow</w:t>
      </w:r>
      <w:r w:rsidR="00943568" w:rsidRPr="00124DA6">
        <w:rPr>
          <w:rFonts w:cstheme="minorHAnsi"/>
          <w:bCs/>
          <w:lang w:val="en-US"/>
        </w:rPr>
        <w:t xml:space="preserve"> </w:t>
      </w:r>
      <w:r w:rsidRPr="00124DA6">
        <w:rPr>
          <w:rFonts w:cstheme="minorHAnsi"/>
          <w:bCs/>
          <w:lang w:val="en-US"/>
        </w:rPr>
        <w:t xml:space="preserve">them to </w:t>
      </w:r>
      <w:r w:rsidRPr="00124DA6">
        <w:rPr>
          <w:rFonts w:cstheme="minorHAnsi"/>
          <w:lang w:val="en-US"/>
        </w:rPr>
        <w:t xml:space="preserve">extend microinsurance services, </w:t>
      </w:r>
      <w:r w:rsidR="00EC099C">
        <w:rPr>
          <w:rFonts w:cstheme="minorHAnsi"/>
          <w:lang w:val="en-US"/>
        </w:rPr>
        <w:t>to</w:t>
      </w:r>
      <w:r w:rsidR="00EC099C" w:rsidRPr="00124DA6">
        <w:rPr>
          <w:rFonts w:cstheme="minorHAnsi"/>
          <w:lang w:val="en-US"/>
        </w:rPr>
        <w:t xml:space="preserve"> </w:t>
      </w:r>
      <w:r w:rsidRPr="00124DA6">
        <w:rPr>
          <w:rFonts w:cstheme="minorHAnsi"/>
          <w:lang w:val="en-US"/>
        </w:rPr>
        <w:t>the agricultur</w:t>
      </w:r>
      <w:r>
        <w:rPr>
          <w:rFonts w:cstheme="minorHAnsi"/>
          <w:lang w:val="en-US"/>
        </w:rPr>
        <w:t>al</w:t>
      </w:r>
      <w:r w:rsidRPr="00124DA6">
        <w:rPr>
          <w:rFonts w:cstheme="minorHAnsi"/>
          <w:lang w:val="en-US"/>
        </w:rPr>
        <w:t xml:space="preserve"> sector. Indeed, several MFIs established </w:t>
      </w:r>
      <w:r w:rsidRPr="00124DA6">
        <w:rPr>
          <w:rFonts w:ascii="Calibri" w:hAnsi="Calibri" w:cs="Calibri"/>
          <w:lang w:val="en-US"/>
        </w:rPr>
        <w:t>partnerships</w:t>
      </w:r>
      <w:r w:rsidRPr="00124DA6">
        <w:rPr>
          <w:rFonts w:cstheme="minorHAnsi"/>
          <w:lang w:val="en-US"/>
        </w:rPr>
        <w:t xml:space="preserve"> with </w:t>
      </w:r>
      <w:r w:rsidRPr="00124DA6">
        <w:rPr>
          <w:lang w:val="en-US"/>
        </w:rPr>
        <w:t>Mutual Agriculture Insurance of Benin</w:t>
      </w:r>
      <w:r w:rsidRPr="00124DA6">
        <w:rPr>
          <w:rFonts w:cstheme="minorHAnsi"/>
          <w:lang w:val="en-US"/>
        </w:rPr>
        <w:t xml:space="preserve"> (</w:t>
      </w:r>
      <w:r w:rsidRPr="00124DA6">
        <w:rPr>
          <w:rFonts w:cstheme="minorHAnsi"/>
          <w:i/>
          <w:lang w:val="en-US"/>
        </w:rPr>
        <w:t xml:space="preserve">Assurance </w:t>
      </w:r>
      <w:proofErr w:type="spellStart"/>
      <w:r w:rsidRPr="00124DA6">
        <w:rPr>
          <w:rFonts w:cstheme="minorHAnsi"/>
          <w:i/>
          <w:lang w:val="en-US"/>
        </w:rPr>
        <w:t>Mutuelle</w:t>
      </w:r>
      <w:proofErr w:type="spellEnd"/>
      <w:r w:rsidRPr="00124DA6">
        <w:rPr>
          <w:rFonts w:cstheme="minorHAnsi"/>
          <w:i/>
          <w:lang w:val="en-US"/>
        </w:rPr>
        <w:t xml:space="preserve"> Agricole du Benin, </w:t>
      </w:r>
      <w:r w:rsidRPr="00124DA6">
        <w:rPr>
          <w:rFonts w:cstheme="minorHAnsi"/>
          <w:lang w:val="en-US"/>
        </w:rPr>
        <w:t xml:space="preserve">AMAB). Since 2015, FECECAM </w:t>
      </w:r>
      <w:r w:rsidR="00943568">
        <w:rPr>
          <w:rFonts w:cstheme="minorHAnsi"/>
          <w:lang w:val="en-US"/>
        </w:rPr>
        <w:t>can</w:t>
      </w:r>
      <w:r w:rsidR="00943568" w:rsidRPr="00124DA6">
        <w:rPr>
          <w:rFonts w:cstheme="minorHAnsi"/>
          <w:lang w:val="en-US"/>
        </w:rPr>
        <w:t xml:space="preserve"> </w:t>
      </w:r>
      <w:r w:rsidRPr="00124DA6">
        <w:rPr>
          <w:rFonts w:cstheme="minorHAnsi"/>
          <w:lang w:val="en-US"/>
        </w:rPr>
        <w:t>operate a microinsurance company. The MFI created an autonomous company (CIF-V-Benin) and offers different coverage: credit, funeral, and so on</w:t>
      </w:r>
      <w:r>
        <w:rPr>
          <w:rFonts w:cstheme="minorHAnsi"/>
          <w:lang w:val="en-US"/>
        </w:rPr>
        <w:t>.</w:t>
      </w:r>
    </w:p>
    <w:p w14:paraId="23ED14C4" w14:textId="53182FDD" w:rsidR="00597761" w:rsidRPr="006D70CD" w:rsidRDefault="00597761" w:rsidP="00597761">
      <w:pPr>
        <w:pStyle w:val="Heading3"/>
        <w:numPr>
          <w:ilvl w:val="3"/>
          <w:numId w:val="44"/>
        </w:numPr>
        <w:rPr>
          <w:b/>
          <w:lang w:val="en-US"/>
        </w:rPr>
      </w:pPr>
      <w:bookmarkStart w:id="17" w:name="_Toc3975126"/>
      <w:proofErr w:type="gramStart"/>
      <w:r w:rsidRPr="006D70CD">
        <w:rPr>
          <w:b/>
          <w:lang w:val="en-US"/>
        </w:rPr>
        <w:t>In spite of</w:t>
      </w:r>
      <w:proofErr w:type="gramEnd"/>
      <w:r w:rsidRPr="006D70CD">
        <w:rPr>
          <w:b/>
          <w:lang w:val="en-US"/>
        </w:rPr>
        <w:t xml:space="preserve"> promotion efforts and the enhance regulatory and supervisory framework</w:t>
      </w:r>
      <w:bookmarkEnd w:id="17"/>
    </w:p>
    <w:p w14:paraId="594270AE" w14:textId="2E786424" w:rsidR="00597761" w:rsidRPr="00124DA6" w:rsidRDefault="00597761" w:rsidP="004A71B1">
      <w:pPr>
        <w:pStyle w:val="ListParagraph"/>
        <w:numPr>
          <w:ilvl w:val="0"/>
          <w:numId w:val="47"/>
        </w:numPr>
        <w:spacing w:after="240" w:line="240" w:lineRule="auto"/>
        <w:ind w:left="0" w:firstLine="0"/>
        <w:contextualSpacing w:val="0"/>
        <w:jc w:val="both"/>
        <w:rPr>
          <w:rFonts w:ascii="Arial" w:hAnsi="Arial" w:cs="Arial"/>
          <w:color w:val="222222"/>
          <w:lang w:val="en-US"/>
        </w:rPr>
      </w:pPr>
      <w:r w:rsidRPr="00124DA6">
        <w:rPr>
          <w:rFonts w:cstheme="minorHAnsi"/>
          <w:b/>
          <w:color w:val="222222"/>
          <w:lang w:val="en-US"/>
        </w:rPr>
        <w:t xml:space="preserve">The </w:t>
      </w:r>
      <w:proofErr w:type="spellStart"/>
      <w:r w:rsidRPr="00124DA6">
        <w:rPr>
          <w:rFonts w:cstheme="minorHAnsi"/>
          <w:b/>
          <w:color w:val="222222"/>
          <w:lang w:val="en-US"/>
        </w:rPr>
        <w:t>GoB</w:t>
      </w:r>
      <w:proofErr w:type="spellEnd"/>
      <w:r w:rsidRPr="00124DA6">
        <w:rPr>
          <w:rFonts w:cstheme="minorHAnsi"/>
          <w:b/>
          <w:color w:val="222222"/>
          <w:lang w:val="en-US"/>
        </w:rPr>
        <w:t xml:space="preserve"> implements various actions </w:t>
      </w:r>
      <w:r w:rsidR="00943568">
        <w:rPr>
          <w:rFonts w:cstheme="minorHAnsi"/>
          <w:b/>
          <w:color w:val="222222"/>
          <w:lang w:val="en-US"/>
        </w:rPr>
        <w:t>designed to promote</w:t>
      </w:r>
      <w:r w:rsidR="00943568" w:rsidRPr="00124DA6">
        <w:rPr>
          <w:rFonts w:cstheme="minorHAnsi"/>
          <w:b/>
          <w:color w:val="222222"/>
          <w:lang w:val="en-US"/>
        </w:rPr>
        <w:t xml:space="preserve"> </w:t>
      </w:r>
      <w:r w:rsidRPr="00124DA6">
        <w:rPr>
          <w:rFonts w:cstheme="minorHAnsi"/>
          <w:b/>
          <w:color w:val="222222"/>
          <w:lang w:val="en-US"/>
        </w:rPr>
        <w:t>the microfinance sector, particularly in terms of taxation</w:t>
      </w:r>
      <w:r w:rsidRPr="00124DA6">
        <w:rPr>
          <w:rFonts w:ascii="Arial" w:hAnsi="Arial" w:cs="Arial"/>
          <w:color w:val="222222"/>
          <w:lang w:val="en-US"/>
        </w:rPr>
        <w:t xml:space="preserve">. </w:t>
      </w:r>
      <w:r w:rsidRPr="00124DA6">
        <w:rPr>
          <w:rFonts w:cstheme="minorHAnsi"/>
          <w:color w:val="222222"/>
          <w:lang w:val="en-US"/>
        </w:rPr>
        <w:t xml:space="preserve">The </w:t>
      </w:r>
      <w:proofErr w:type="spellStart"/>
      <w:r w:rsidRPr="00124DA6">
        <w:rPr>
          <w:rFonts w:cstheme="minorHAnsi"/>
          <w:color w:val="222222"/>
          <w:lang w:val="en-US"/>
        </w:rPr>
        <w:t>GoB</w:t>
      </w:r>
      <w:proofErr w:type="spellEnd"/>
      <w:r w:rsidRPr="00124DA6">
        <w:rPr>
          <w:rFonts w:cstheme="minorHAnsi"/>
          <w:color w:val="222222"/>
          <w:lang w:val="en-US"/>
        </w:rPr>
        <w:t xml:space="preserve"> has set up two exemptions from taxation for MFIs and their customers. According to the tax regulations applicable to MFIs in the WAEMU, savings and credit cooperatives benefit from an exemption from all direct or indirect taxes or fees relating to their collection operations, savings, and credit distribution. Their members are also exempt from all taxes on shares, income from their savings, and interest </w:t>
      </w:r>
      <w:r w:rsidRPr="00124DA6">
        <w:rPr>
          <w:rFonts w:ascii="Calibri" w:hAnsi="Calibri" w:cs="Calibri"/>
          <w:lang w:val="en-US"/>
        </w:rPr>
        <w:t>payments</w:t>
      </w:r>
      <w:r w:rsidRPr="00124DA6">
        <w:rPr>
          <w:rFonts w:cstheme="minorHAnsi"/>
          <w:color w:val="222222"/>
          <w:lang w:val="en-US"/>
        </w:rPr>
        <w:t xml:space="preserve"> on credits they have obtained from the institution. On the other hand, the MFIs constituted in the form of capital companies are subject to the common law tax of each of the WAEMU countries. For all types of MFIs, the </w:t>
      </w:r>
      <w:proofErr w:type="spellStart"/>
      <w:r w:rsidRPr="00124DA6">
        <w:rPr>
          <w:rFonts w:cstheme="minorHAnsi"/>
          <w:color w:val="222222"/>
          <w:lang w:val="en-US"/>
        </w:rPr>
        <w:t>GoB</w:t>
      </w:r>
      <w:proofErr w:type="spellEnd"/>
      <w:r w:rsidRPr="00124DA6">
        <w:rPr>
          <w:rFonts w:cstheme="minorHAnsi"/>
          <w:color w:val="222222"/>
          <w:lang w:val="en-US"/>
        </w:rPr>
        <w:t xml:space="preserve"> has implemented an exemption from the Financial Activities Tax on refinancing as well as the exemption from taxes on the credit to their customers.</w:t>
      </w:r>
    </w:p>
    <w:p w14:paraId="64E9A182" w14:textId="31FABF2B" w:rsidR="00597761" w:rsidRPr="00124DA6" w:rsidRDefault="00597761" w:rsidP="004A71B1">
      <w:pPr>
        <w:pStyle w:val="ListParagraph"/>
        <w:numPr>
          <w:ilvl w:val="0"/>
          <w:numId w:val="47"/>
        </w:numPr>
        <w:spacing w:after="240" w:line="240" w:lineRule="auto"/>
        <w:ind w:left="0" w:firstLine="0"/>
        <w:contextualSpacing w:val="0"/>
        <w:jc w:val="both"/>
        <w:rPr>
          <w:rFonts w:ascii="Arial" w:hAnsi="Arial" w:cs="Arial"/>
          <w:color w:val="222222"/>
          <w:lang w:val="en-US"/>
        </w:rPr>
      </w:pPr>
      <w:r w:rsidRPr="00124DA6">
        <w:rPr>
          <w:rFonts w:cstheme="minorHAnsi"/>
          <w:b/>
          <w:color w:val="222222"/>
          <w:lang w:val="en-US"/>
        </w:rPr>
        <w:t>The state also has a national microfinance strategy (2015–2019) and has established the Directorate of Financial Inclusion and Economic Empowerment (DIFAE) to facilitate the implementation of the strategy.</w:t>
      </w:r>
      <w:r w:rsidRPr="00124DA6">
        <w:rPr>
          <w:rFonts w:cstheme="minorHAnsi"/>
          <w:color w:val="222222"/>
          <w:lang w:val="en-US"/>
        </w:rPr>
        <w:t xml:space="preserve"> The strategy</w:t>
      </w:r>
      <w:r w:rsidR="00141BD7">
        <w:rPr>
          <w:rFonts w:cstheme="minorHAnsi"/>
          <w:color w:val="222222"/>
          <w:lang w:val="en-US"/>
        </w:rPr>
        <w:t>’</w:t>
      </w:r>
      <w:r w:rsidRPr="00124DA6">
        <w:rPr>
          <w:rFonts w:cstheme="minorHAnsi"/>
          <w:color w:val="222222"/>
          <w:lang w:val="en-US"/>
        </w:rPr>
        <w:t xml:space="preserve">s development objective is to promote the sustainable access of a majority of poor and low-income households and microentrepreneurs to a wide range of </w:t>
      </w:r>
      <w:r w:rsidRPr="00124DA6">
        <w:rPr>
          <w:rFonts w:ascii="Calibri-Bold" w:hAnsi="Calibri-Bold" w:cs="Calibri-Bold"/>
          <w:bCs/>
          <w:lang w:val="en-US"/>
        </w:rPr>
        <w:t>financial</w:t>
      </w:r>
      <w:r w:rsidRPr="00124DA6">
        <w:rPr>
          <w:rFonts w:cstheme="minorHAnsi"/>
          <w:color w:val="222222"/>
          <w:lang w:val="en-US"/>
        </w:rPr>
        <w:t xml:space="preserve"> services by 2025 throughout the country through sustainable MFIs that operate in a healthy sector and fully integrated into the financial system. The strategy highlights the need to </w:t>
      </w:r>
      <w:r w:rsidR="00943568">
        <w:rPr>
          <w:rFonts w:cstheme="minorHAnsi"/>
          <w:color w:val="222222"/>
          <w:lang w:val="en-US"/>
        </w:rPr>
        <w:t>connect</w:t>
      </w:r>
      <w:r w:rsidR="00943568" w:rsidRPr="00124DA6">
        <w:rPr>
          <w:rFonts w:cstheme="minorHAnsi"/>
          <w:color w:val="222222"/>
          <w:lang w:val="en-US"/>
        </w:rPr>
        <w:t xml:space="preserve"> </w:t>
      </w:r>
      <w:r w:rsidRPr="00124DA6">
        <w:rPr>
          <w:rFonts w:cstheme="minorHAnsi"/>
          <w:color w:val="222222"/>
          <w:lang w:val="en-US"/>
        </w:rPr>
        <w:t xml:space="preserve">with rural development policies or strategies, urban development, micro and small enterprise promotion, and poverty reduction. Thus, four main </w:t>
      </w:r>
      <w:r w:rsidR="00943568">
        <w:rPr>
          <w:rFonts w:cstheme="minorHAnsi"/>
          <w:color w:val="222222"/>
          <w:lang w:val="en-US"/>
        </w:rPr>
        <w:t>components</w:t>
      </w:r>
      <w:r w:rsidR="00943568" w:rsidRPr="00124DA6">
        <w:rPr>
          <w:rFonts w:cstheme="minorHAnsi"/>
          <w:color w:val="222222"/>
          <w:lang w:val="en-US"/>
        </w:rPr>
        <w:t xml:space="preserve"> </w:t>
      </w:r>
      <w:r w:rsidRPr="00124DA6">
        <w:rPr>
          <w:rFonts w:cstheme="minorHAnsi"/>
          <w:color w:val="222222"/>
          <w:lang w:val="en-US"/>
        </w:rPr>
        <w:t xml:space="preserve">have been </w:t>
      </w:r>
      <w:r w:rsidR="00943568">
        <w:rPr>
          <w:rFonts w:cstheme="minorHAnsi"/>
          <w:color w:val="222222"/>
          <w:lang w:val="en-US"/>
        </w:rPr>
        <w:t>identified</w:t>
      </w:r>
      <w:r w:rsidRPr="00124DA6">
        <w:rPr>
          <w:rFonts w:cstheme="minorHAnsi"/>
          <w:color w:val="222222"/>
          <w:lang w:val="en-US"/>
        </w:rPr>
        <w:t>:</w:t>
      </w:r>
    </w:p>
    <w:p w14:paraId="71E5D5BC" w14:textId="0725BDA8" w:rsidR="00597761" w:rsidRPr="00124DA6" w:rsidRDefault="00597761" w:rsidP="004A71B1">
      <w:pPr>
        <w:pStyle w:val="ListParagraph"/>
        <w:numPr>
          <w:ilvl w:val="0"/>
          <w:numId w:val="4"/>
        </w:numPr>
        <w:spacing w:after="0" w:line="240" w:lineRule="auto"/>
        <w:ind w:left="0" w:firstLine="0"/>
        <w:contextualSpacing w:val="0"/>
        <w:jc w:val="both"/>
        <w:rPr>
          <w:rFonts w:cstheme="minorHAnsi"/>
          <w:color w:val="222222"/>
          <w:lang w:val="en-US"/>
        </w:rPr>
      </w:pPr>
      <w:r w:rsidRPr="00124DA6">
        <w:rPr>
          <w:rFonts w:cstheme="minorHAnsi"/>
          <w:color w:val="222222"/>
          <w:lang w:val="en-US"/>
        </w:rPr>
        <w:t>Cleanup of the microfinance sector</w:t>
      </w:r>
      <w:r w:rsidR="009622E9">
        <w:rPr>
          <w:rFonts w:cstheme="minorHAnsi"/>
          <w:color w:val="222222"/>
          <w:lang w:val="en-US"/>
        </w:rPr>
        <w:t>;</w:t>
      </w:r>
    </w:p>
    <w:p w14:paraId="19458183" w14:textId="2AC14694" w:rsidR="00597761" w:rsidRPr="00124DA6" w:rsidRDefault="009622E9" w:rsidP="004A71B1">
      <w:pPr>
        <w:pStyle w:val="ListParagraph"/>
        <w:numPr>
          <w:ilvl w:val="0"/>
          <w:numId w:val="4"/>
        </w:numPr>
        <w:spacing w:after="0" w:line="240" w:lineRule="auto"/>
        <w:ind w:left="0" w:firstLine="0"/>
        <w:contextualSpacing w:val="0"/>
        <w:jc w:val="both"/>
        <w:rPr>
          <w:rFonts w:cstheme="minorHAnsi"/>
          <w:color w:val="222222"/>
          <w:lang w:val="en-US"/>
        </w:rPr>
      </w:pPr>
      <w:r>
        <w:rPr>
          <w:rFonts w:cstheme="minorHAnsi"/>
          <w:color w:val="222222"/>
          <w:lang w:val="en-US"/>
        </w:rPr>
        <w:t>Establishment of a professional</w:t>
      </w:r>
      <w:r w:rsidRPr="00124DA6">
        <w:rPr>
          <w:rFonts w:cstheme="minorHAnsi"/>
          <w:color w:val="222222"/>
          <w:lang w:val="en-US"/>
        </w:rPr>
        <w:t xml:space="preserve"> </w:t>
      </w:r>
      <w:r w:rsidR="00597761" w:rsidRPr="00124DA6">
        <w:rPr>
          <w:rFonts w:cstheme="minorHAnsi"/>
          <w:color w:val="222222"/>
          <w:lang w:val="en-US"/>
        </w:rPr>
        <w:t>microfinance sector</w:t>
      </w:r>
      <w:r>
        <w:rPr>
          <w:rFonts w:cstheme="minorHAnsi"/>
          <w:color w:val="222222"/>
          <w:lang w:val="en-US"/>
        </w:rPr>
        <w:t>;</w:t>
      </w:r>
    </w:p>
    <w:p w14:paraId="1A864DF1" w14:textId="13E28B2D" w:rsidR="00597761" w:rsidRDefault="00597761" w:rsidP="004A71B1">
      <w:pPr>
        <w:pStyle w:val="ListParagraph"/>
        <w:numPr>
          <w:ilvl w:val="0"/>
          <w:numId w:val="4"/>
        </w:numPr>
        <w:spacing w:after="0" w:line="240" w:lineRule="auto"/>
        <w:ind w:left="0" w:firstLine="0"/>
        <w:contextualSpacing w:val="0"/>
        <w:jc w:val="both"/>
        <w:rPr>
          <w:rFonts w:cstheme="minorHAnsi"/>
          <w:color w:val="222222"/>
          <w:lang w:val="en-US"/>
        </w:rPr>
      </w:pPr>
      <w:r w:rsidRPr="00124DA6">
        <w:rPr>
          <w:rFonts w:cstheme="minorHAnsi"/>
          <w:color w:val="222222"/>
          <w:lang w:val="en-US"/>
        </w:rPr>
        <w:t>Promotion of financing of agriculture and innovative products</w:t>
      </w:r>
      <w:r w:rsidR="009622E9">
        <w:rPr>
          <w:rFonts w:cstheme="minorHAnsi"/>
          <w:color w:val="222222"/>
          <w:lang w:val="en-US"/>
        </w:rPr>
        <w:t>;</w:t>
      </w:r>
    </w:p>
    <w:p w14:paraId="2D68D7BD" w14:textId="2C3C9F05" w:rsidR="00597761" w:rsidRDefault="00597761" w:rsidP="004A71B1">
      <w:pPr>
        <w:pStyle w:val="ListParagraph"/>
        <w:numPr>
          <w:ilvl w:val="0"/>
          <w:numId w:val="4"/>
        </w:numPr>
        <w:spacing w:after="0" w:line="240" w:lineRule="auto"/>
        <w:ind w:left="0" w:firstLine="0"/>
        <w:contextualSpacing w:val="0"/>
        <w:jc w:val="both"/>
        <w:rPr>
          <w:rFonts w:cstheme="minorHAnsi"/>
          <w:color w:val="222222"/>
          <w:lang w:val="en-US"/>
        </w:rPr>
      </w:pPr>
      <w:r w:rsidRPr="00E34534">
        <w:rPr>
          <w:rFonts w:cstheme="minorHAnsi"/>
          <w:color w:val="222222"/>
          <w:lang w:val="en-US"/>
        </w:rPr>
        <w:t>Strengthened MFIs’ access to adequate financial resources</w:t>
      </w:r>
      <w:r w:rsidR="009622E9">
        <w:rPr>
          <w:rFonts w:cstheme="minorHAnsi"/>
          <w:color w:val="222222"/>
          <w:lang w:val="en-US"/>
        </w:rPr>
        <w:t>.</w:t>
      </w:r>
    </w:p>
    <w:p w14:paraId="2A29488D" w14:textId="77777777" w:rsidR="00597761" w:rsidRPr="00E34534" w:rsidRDefault="00597761" w:rsidP="004A71B1">
      <w:pPr>
        <w:pStyle w:val="ListParagraph"/>
        <w:spacing w:after="0" w:line="240" w:lineRule="auto"/>
        <w:ind w:left="0"/>
        <w:contextualSpacing w:val="0"/>
        <w:jc w:val="both"/>
        <w:rPr>
          <w:rFonts w:cstheme="minorHAnsi"/>
          <w:color w:val="222222"/>
          <w:lang w:val="en-US"/>
        </w:rPr>
      </w:pPr>
    </w:p>
    <w:p w14:paraId="0CD1095D" w14:textId="53BD5B3B" w:rsidR="00597761" w:rsidRPr="00124DA6" w:rsidRDefault="00597761" w:rsidP="004A71B1">
      <w:pPr>
        <w:pStyle w:val="ListParagraph"/>
        <w:numPr>
          <w:ilvl w:val="0"/>
          <w:numId w:val="47"/>
        </w:numPr>
        <w:spacing w:after="240" w:line="240" w:lineRule="auto"/>
        <w:ind w:left="0" w:firstLine="0"/>
        <w:contextualSpacing w:val="0"/>
        <w:jc w:val="both"/>
        <w:rPr>
          <w:rFonts w:cstheme="minorHAnsi"/>
          <w:color w:val="222222"/>
          <w:lang w:val="en-US"/>
        </w:rPr>
      </w:pPr>
      <w:r w:rsidRPr="00124DA6">
        <w:rPr>
          <w:rFonts w:cstheme="minorHAnsi"/>
          <w:b/>
          <w:color w:val="222222"/>
          <w:lang w:val="en-US"/>
        </w:rPr>
        <w:t xml:space="preserve">The </w:t>
      </w:r>
      <w:proofErr w:type="spellStart"/>
      <w:r w:rsidRPr="00124DA6">
        <w:rPr>
          <w:rFonts w:cstheme="minorHAnsi"/>
          <w:b/>
          <w:color w:val="222222"/>
          <w:lang w:val="en-US"/>
        </w:rPr>
        <w:t>GoB</w:t>
      </w:r>
      <w:proofErr w:type="spellEnd"/>
      <w:r w:rsidRPr="00124DA6">
        <w:rPr>
          <w:rFonts w:cstheme="minorHAnsi"/>
          <w:b/>
          <w:color w:val="222222"/>
          <w:lang w:val="en-US"/>
        </w:rPr>
        <w:t xml:space="preserve"> initiated actions to develop a financial inclusion strategy for 2019 to be </w:t>
      </w:r>
      <w:r w:rsidR="00943568">
        <w:rPr>
          <w:rFonts w:cstheme="minorHAnsi"/>
          <w:b/>
          <w:color w:val="222222"/>
          <w:lang w:val="en-US"/>
        </w:rPr>
        <w:t>led</w:t>
      </w:r>
      <w:r w:rsidR="00943568" w:rsidRPr="00124DA6">
        <w:rPr>
          <w:rFonts w:cstheme="minorHAnsi"/>
          <w:b/>
          <w:color w:val="222222"/>
          <w:lang w:val="en-US"/>
        </w:rPr>
        <w:t xml:space="preserve"> </w:t>
      </w:r>
      <w:r w:rsidRPr="00124DA6">
        <w:rPr>
          <w:rFonts w:cstheme="minorHAnsi"/>
          <w:b/>
          <w:color w:val="222222"/>
          <w:lang w:val="en-US"/>
        </w:rPr>
        <w:t>by the DIFAE.</w:t>
      </w:r>
      <w:r w:rsidRPr="00124DA6">
        <w:rPr>
          <w:rFonts w:cstheme="minorHAnsi"/>
          <w:color w:val="222222"/>
          <w:lang w:val="en-US"/>
        </w:rPr>
        <w:t xml:space="preserve"> A </w:t>
      </w:r>
      <w:proofErr w:type="spellStart"/>
      <w:r w:rsidRPr="00124DA6">
        <w:rPr>
          <w:rFonts w:cstheme="minorHAnsi"/>
          <w:color w:val="222222"/>
          <w:lang w:val="en-US"/>
        </w:rPr>
        <w:t>finscope</w:t>
      </w:r>
      <w:proofErr w:type="spellEnd"/>
      <w:r w:rsidRPr="00124DA6">
        <w:rPr>
          <w:rFonts w:cstheme="minorHAnsi"/>
          <w:color w:val="222222"/>
          <w:lang w:val="en-US"/>
        </w:rPr>
        <w:t xml:space="preserve"> supply study </w:t>
      </w:r>
      <w:r w:rsidRPr="00124DA6">
        <w:rPr>
          <w:rFonts w:cstheme="minorHAnsi"/>
          <w:lang w:val="en-US"/>
        </w:rPr>
        <w:t>will</w:t>
      </w:r>
      <w:r w:rsidRPr="00124DA6">
        <w:rPr>
          <w:rFonts w:cstheme="minorHAnsi"/>
          <w:color w:val="222222"/>
          <w:lang w:val="en-US"/>
        </w:rPr>
        <w:t xml:space="preserve"> be conducted in 2018. This new financial inclusion strategy will capitalize on the </w:t>
      </w:r>
      <w:r w:rsidRPr="00124DA6">
        <w:rPr>
          <w:rFonts w:ascii="Calibri" w:hAnsi="Calibri" w:cs="Calibri"/>
          <w:lang w:val="en-US"/>
        </w:rPr>
        <w:t>achievements</w:t>
      </w:r>
      <w:r w:rsidRPr="00124DA6">
        <w:rPr>
          <w:rFonts w:cstheme="minorHAnsi"/>
          <w:color w:val="222222"/>
          <w:lang w:val="en-US"/>
        </w:rPr>
        <w:t xml:space="preserve"> of microfinance strategy and address consumer </w:t>
      </w:r>
      <w:r w:rsidRPr="00124DA6">
        <w:rPr>
          <w:rFonts w:ascii="Calibri-Bold" w:hAnsi="Calibri-Bold" w:cs="Calibri-Bold"/>
          <w:bCs/>
          <w:lang w:val="en-US"/>
        </w:rPr>
        <w:t>protection</w:t>
      </w:r>
      <w:r w:rsidRPr="00124DA6">
        <w:rPr>
          <w:rFonts w:cstheme="minorHAnsi"/>
          <w:color w:val="222222"/>
          <w:lang w:val="en-US"/>
        </w:rPr>
        <w:t xml:space="preserve"> issues in financial services.</w:t>
      </w:r>
    </w:p>
    <w:p w14:paraId="4A60FAD8" w14:textId="29E03E04" w:rsidR="00597761" w:rsidRPr="00597761" w:rsidRDefault="00597761" w:rsidP="004A71B1">
      <w:pPr>
        <w:pStyle w:val="ListParagraph"/>
        <w:numPr>
          <w:ilvl w:val="0"/>
          <w:numId w:val="47"/>
        </w:numPr>
        <w:spacing w:after="240" w:line="240" w:lineRule="auto"/>
        <w:ind w:left="0" w:firstLine="0"/>
        <w:contextualSpacing w:val="0"/>
        <w:jc w:val="both"/>
        <w:rPr>
          <w:rFonts w:cstheme="minorHAnsi"/>
          <w:color w:val="222222"/>
          <w:lang w:val="en-US"/>
        </w:rPr>
      </w:pPr>
      <w:r w:rsidRPr="00124DA6">
        <w:rPr>
          <w:rFonts w:cstheme="minorHAnsi"/>
          <w:b/>
          <w:color w:val="222222"/>
          <w:lang w:val="en-US"/>
        </w:rPr>
        <w:t xml:space="preserve">In 2007, the </w:t>
      </w:r>
      <w:proofErr w:type="spellStart"/>
      <w:r w:rsidRPr="00124DA6">
        <w:rPr>
          <w:rFonts w:cstheme="minorHAnsi"/>
          <w:b/>
          <w:color w:val="222222"/>
          <w:lang w:val="en-US"/>
        </w:rPr>
        <w:t>GoB</w:t>
      </w:r>
      <w:proofErr w:type="spellEnd"/>
      <w:r w:rsidRPr="00124DA6">
        <w:rPr>
          <w:rFonts w:cstheme="minorHAnsi"/>
          <w:b/>
          <w:color w:val="222222"/>
          <w:lang w:val="en-US"/>
        </w:rPr>
        <w:t xml:space="preserve"> set up the National </w:t>
      </w:r>
      <w:r w:rsidRPr="00124DA6">
        <w:rPr>
          <w:rFonts w:cstheme="minorHAnsi"/>
          <w:b/>
          <w:noProof/>
          <w:color w:val="222222"/>
          <w:lang w:val="en-US"/>
        </w:rPr>
        <w:t>Microfinance</w:t>
      </w:r>
      <w:r w:rsidRPr="00124DA6">
        <w:rPr>
          <w:rFonts w:cstheme="minorHAnsi"/>
          <w:b/>
          <w:color w:val="222222"/>
          <w:lang w:val="en-US"/>
        </w:rPr>
        <w:t xml:space="preserve"> Funds (FNM)</w:t>
      </w:r>
      <w:r w:rsidR="00943568">
        <w:rPr>
          <w:rFonts w:cstheme="minorHAnsi"/>
          <w:b/>
          <w:color w:val="222222"/>
          <w:lang w:val="en-US"/>
        </w:rPr>
        <w:t>. Its mission</w:t>
      </w:r>
      <w:r w:rsidRPr="00124DA6">
        <w:rPr>
          <w:rFonts w:cstheme="minorHAnsi"/>
          <w:b/>
          <w:color w:val="222222"/>
          <w:lang w:val="en-US"/>
        </w:rPr>
        <w:t xml:space="preserve"> </w:t>
      </w:r>
      <w:r w:rsidR="00943568">
        <w:rPr>
          <w:rFonts w:cstheme="minorHAnsi"/>
          <w:b/>
          <w:color w:val="222222"/>
          <w:lang w:val="en-US"/>
        </w:rPr>
        <w:t>is</w:t>
      </w:r>
      <w:r w:rsidRPr="00124DA6">
        <w:rPr>
          <w:rFonts w:cstheme="minorHAnsi"/>
          <w:b/>
          <w:color w:val="222222"/>
          <w:lang w:val="en-US"/>
        </w:rPr>
        <w:t xml:space="preserve"> to </w:t>
      </w:r>
      <w:r w:rsidR="009622E9">
        <w:rPr>
          <w:rFonts w:cstheme="minorHAnsi"/>
          <w:b/>
          <w:color w:val="222222"/>
          <w:lang w:val="en-US"/>
        </w:rPr>
        <w:t>“</w:t>
      </w:r>
      <w:r w:rsidRPr="00124DA6">
        <w:rPr>
          <w:rFonts w:cstheme="minorHAnsi"/>
          <w:b/>
          <w:color w:val="222222"/>
          <w:lang w:val="en-US"/>
        </w:rPr>
        <w:t>strengthen the financial and operational capacities of MFIs to permanently satisfy the needs of local financial services expressed by their beneficiaries, which are those who do not have access to the traditional financial system</w:t>
      </w:r>
      <w:r w:rsidR="00141BD7">
        <w:rPr>
          <w:rFonts w:cstheme="minorHAnsi"/>
          <w:b/>
          <w:color w:val="222222"/>
          <w:lang w:val="en-US"/>
        </w:rPr>
        <w:t>”.</w:t>
      </w:r>
      <w:r w:rsidRPr="00124DA6">
        <w:rPr>
          <w:rFonts w:cstheme="minorHAnsi"/>
          <w:color w:val="222222"/>
          <w:lang w:val="en-US"/>
        </w:rPr>
        <w:t xml:space="preserve"> The FNM has three main </w:t>
      </w:r>
      <w:r w:rsidR="00943568">
        <w:rPr>
          <w:rFonts w:cstheme="minorHAnsi"/>
          <w:color w:val="222222"/>
          <w:lang w:val="en-US"/>
        </w:rPr>
        <w:t>responsibilities</w:t>
      </w:r>
      <w:r w:rsidRPr="00124DA6">
        <w:rPr>
          <w:rFonts w:cstheme="minorHAnsi"/>
          <w:color w:val="222222"/>
          <w:lang w:val="en-US"/>
        </w:rPr>
        <w:t xml:space="preserve">: facilitating MFIs’ access to adapted financial resources, strengthening the </w:t>
      </w:r>
      <w:r w:rsidRPr="00124DA6">
        <w:rPr>
          <w:rFonts w:ascii="Calibri" w:hAnsi="Calibri" w:cs="Calibri"/>
          <w:lang w:val="en-US"/>
        </w:rPr>
        <w:t>capacity</w:t>
      </w:r>
      <w:r w:rsidRPr="00124DA6">
        <w:rPr>
          <w:rFonts w:cstheme="minorHAnsi"/>
          <w:color w:val="222222"/>
          <w:lang w:val="en-US"/>
        </w:rPr>
        <w:t xml:space="preserve"> of MFIs to develop innovative products with a social and technological vocation, and strengthening the governance and sustainability of FNM actions. The FNM uses various instruments including lines of credit, refinancing mechanisms, capacity building and institutional support, and the facilitation fund.</w:t>
      </w:r>
    </w:p>
    <w:p w14:paraId="058403F1" w14:textId="1AB7E331" w:rsidR="00597761" w:rsidRPr="004A71B1" w:rsidRDefault="00597761" w:rsidP="00597761">
      <w:pPr>
        <w:pStyle w:val="Caption"/>
        <w:keepNext/>
        <w:rPr>
          <w:b/>
          <w:sz w:val="22"/>
          <w:szCs w:val="22"/>
          <w:lang w:val="en-US"/>
        </w:rPr>
      </w:pPr>
      <w:r w:rsidRPr="004A71B1">
        <w:rPr>
          <w:b/>
          <w:sz w:val="22"/>
          <w:szCs w:val="22"/>
          <w:lang w:val="en-US"/>
        </w:rPr>
        <w:t>Table</w:t>
      </w:r>
      <w:r w:rsidR="00C702B4" w:rsidRPr="004A71B1">
        <w:rPr>
          <w:b/>
          <w:sz w:val="22"/>
          <w:szCs w:val="22"/>
          <w:lang w:val="en-US"/>
        </w:rPr>
        <w:t> </w:t>
      </w:r>
      <w:r w:rsidRPr="004A71B1">
        <w:rPr>
          <w:b/>
          <w:sz w:val="22"/>
          <w:szCs w:val="22"/>
          <w:lang w:val="en-US"/>
        </w:rPr>
        <w:t xml:space="preserve">2.5: FNM instruments to support the microfinance sector </w:t>
      </w:r>
    </w:p>
    <w:tbl>
      <w:tblPr>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7"/>
        <w:gridCol w:w="3330"/>
        <w:gridCol w:w="1593"/>
        <w:gridCol w:w="1481"/>
        <w:gridCol w:w="12"/>
        <w:gridCol w:w="1051"/>
        <w:gridCol w:w="16"/>
      </w:tblGrid>
      <w:tr w:rsidR="00597761" w:rsidRPr="004A71B1" w14:paraId="6F3F6CD4" w14:textId="77777777" w:rsidTr="00ED301F">
        <w:trPr>
          <w:gridAfter w:val="1"/>
          <w:wAfter w:w="9" w:type="pct"/>
          <w:trHeight w:val="434"/>
          <w:tblHeader/>
        </w:trPr>
        <w:tc>
          <w:tcPr>
            <w:tcW w:w="1163" w:type="pct"/>
            <w:vAlign w:val="center"/>
          </w:tcPr>
          <w:p w14:paraId="3497F55D" w14:textId="77777777" w:rsidR="00597761" w:rsidRPr="004A71B1" w:rsidRDefault="00597761" w:rsidP="009A0C13">
            <w:pPr>
              <w:pStyle w:val="Default"/>
              <w:jc w:val="center"/>
              <w:rPr>
                <w:rFonts w:asciiTheme="minorHAnsi" w:hAnsiTheme="minorHAnsi" w:cstheme="minorHAnsi"/>
                <w:b/>
                <w:sz w:val="19"/>
                <w:szCs w:val="19"/>
                <w:lang w:val="en-US"/>
              </w:rPr>
            </w:pPr>
            <w:r w:rsidRPr="004A71B1">
              <w:rPr>
                <w:rFonts w:asciiTheme="minorHAnsi" w:hAnsiTheme="minorHAnsi" w:cstheme="minorHAnsi"/>
                <w:b/>
                <w:sz w:val="19"/>
                <w:szCs w:val="19"/>
                <w:lang w:val="en-US"/>
              </w:rPr>
              <w:t>Products</w:t>
            </w:r>
          </w:p>
        </w:tc>
        <w:tc>
          <w:tcPr>
            <w:tcW w:w="1708" w:type="pct"/>
            <w:vAlign w:val="center"/>
          </w:tcPr>
          <w:p w14:paraId="44ACCF32" w14:textId="77777777" w:rsidR="00597761" w:rsidRPr="004A71B1" w:rsidRDefault="00597761" w:rsidP="009A0C13">
            <w:pPr>
              <w:pStyle w:val="Default"/>
              <w:jc w:val="center"/>
              <w:rPr>
                <w:rFonts w:asciiTheme="minorHAnsi" w:hAnsiTheme="minorHAnsi" w:cstheme="minorHAnsi"/>
                <w:b/>
                <w:sz w:val="19"/>
                <w:szCs w:val="19"/>
                <w:lang w:val="en-US"/>
              </w:rPr>
            </w:pPr>
            <w:r w:rsidRPr="004A71B1">
              <w:rPr>
                <w:rFonts w:asciiTheme="minorHAnsi" w:hAnsiTheme="minorHAnsi" w:cstheme="minorHAnsi"/>
                <w:b/>
                <w:bCs/>
                <w:sz w:val="19"/>
                <w:szCs w:val="19"/>
                <w:lang w:val="en-US"/>
              </w:rPr>
              <w:t>Cost of funding and interest rate charged to beneficiaries</w:t>
            </w:r>
          </w:p>
        </w:tc>
        <w:tc>
          <w:tcPr>
            <w:tcW w:w="817" w:type="pct"/>
            <w:vAlign w:val="center"/>
          </w:tcPr>
          <w:p w14:paraId="349585E9" w14:textId="77777777" w:rsidR="00597761" w:rsidRPr="004A71B1" w:rsidRDefault="00597761" w:rsidP="009A0C13">
            <w:pPr>
              <w:pStyle w:val="Default"/>
              <w:jc w:val="center"/>
              <w:rPr>
                <w:rFonts w:asciiTheme="minorHAnsi" w:hAnsiTheme="minorHAnsi" w:cstheme="minorHAnsi"/>
                <w:b/>
                <w:sz w:val="19"/>
                <w:szCs w:val="19"/>
                <w:lang w:val="en-US"/>
              </w:rPr>
            </w:pPr>
            <w:r w:rsidRPr="004A71B1">
              <w:rPr>
                <w:rFonts w:asciiTheme="minorHAnsi" w:hAnsiTheme="minorHAnsi" w:cstheme="minorHAnsi"/>
                <w:b/>
                <w:sz w:val="19"/>
                <w:szCs w:val="19"/>
                <w:lang w:val="en-US"/>
              </w:rPr>
              <w:t>Cumulative disbursement (CFAF)</w:t>
            </w:r>
          </w:p>
        </w:tc>
        <w:tc>
          <w:tcPr>
            <w:tcW w:w="759" w:type="pct"/>
            <w:vAlign w:val="center"/>
          </w:tcPr>
          <w:p w14:paraId="673EFFD4" w14:textId="77777777" w:rsidR="00597761" w:rsidRPr="004A71B1" w:rsidRDefault="00597761" w:rsidP="009A0C13">
            <w:pPr>
              <w:pStyle w:val="Default"/>
              <w:jc w:val="center"/>
              <w:rPr>
                <w:rFonts w:asciiTheme="minorHAnsi" w:hAnsiTheme="minorHAnsi" w:cstheme="minorHAnsi"/>
                <w:b/>
                <w:sz w:val="19"/>
                <w:szCs w:val="19"/>
                <w:lang w:val="en-US"/>
              </w:rPr>
            </w:pPr>
            <w:r w:rsidRPr="004A71B1">
              <w:rPr>
                <w:rFonts w:asciiTheme="minorHAnsi" w:hAnsiTheme="minorHAnsi" w:cstheme="minorHAnsi"/>
                <w:b/>
                <w:sz w:val="19"/>
                <w:szCs w:val="19"/>
                <w:lang w:val="en-US"/>
              </w:rPr>
              <w:t>Reimbursement rate (%)</w:t>
            </w:r>
          </w:p>
        </w:tc>
        <w:tc>
          <w:tcPr>
            <w:tcW w:w="545" w:type="pct"/>
            <w:gridSpan w:val="2"/>
            <w:vAlign w:val="center"/>
          </w:tcPr>
          <w:p w14:paraId="76E94D17" w14:textId="77777777" w:rsidR="00597761" w:rsidRPr="004A71B1" w:rsidRDefault="00597761" w:rsidP="009A0C13">
            <w:pPr>
              <w:pStyle w:val="Default"/>
              <w:jc w:val="center"/>
              <w:rPr>
                <w:rFonts w:asciiTheme="minorHAnsi" w:hAnsiTheme="minorHAnsi" w:cstheme="minorHAnsi"/>
                <w:b/>
                <w:sz w:val="19"/>
                <w:szCs w:val="19"/>
                <w:lang w:val="en-US"/>
              </w:rPr>
            </w:pPr>
            <w:r w:rsidRPr="004A71B1">
              <w:rPr>
                <w:rFonts w:asciiTheme="minorHAnsi" w:hAnsiTheme="minorHAnsi" w:cstheme="minorHAnsi"/>
                <w:b/>
                <w:sz w:val="19"/>
                <w:szCs w:val="19"/>
                <w:lang w:val="en-US"/>
              </w:rPr>
              <w:t>Numbers of MFIs</w:t>
            </w:r>
          </w:p>
        </w:tc>
      </w:tr>
      <w:tr w:rsidR="00597761" w:rsidRPr="004A71B1" w14:paraId="5E669B5E" w14:textId="77777777" w:rsidTr="00ED301F">
        <w:trPr>
          <w:trHeight w:val="197"/>
        </w:trPr>
        <w:tc>
          <w:tcPr>
            <w:tcW w:w="5000" w:type="pct"/>
            <w:gridSpan w:val="7"/>
            <w:shd w:val="clear" w:color="auto" w:fill="70AD47" w:themeFill="accent6"/>
          </w:tcPr>
          <w:p w14:paraId="6F3EFC6C" w14:textId="77777777" w:rsidR="00597761" w:rsidRPr="004A71B1" w:rsidRDefault="00597761" w:rsidP="009A0C13">
            <w:pPr>
              <w:pStyle w:val="Default"/>
              <w:jc w:val="both"/>
              <w:rPr>
                <w:rFonts w:asciiTheme="minorHAnsi" w:hAnsiTheme="minorHAnsi" w:cstheme="minorHAnsi"/>
                <w:b/>
                <w:sz w:val="19"/>
                <w:szCs w:val="19"/>
                <w:lang w:val="en-US"/>
              </w:rPr>
            </w:pPr>
            <w:r w:rsidRPr="004A71B1">
              <w:rPr>
                <w:rFonts w:asciiTheme="minorHAnsi" w:hAnsiTheme="minorHAnsi" w:cstheme="minorHAnsi"/>
                <w:b/>
                <w:sz w:val="19"/>
                <w:szCs w:val="19"/>
                <w:lang w:val="en-US"/>
              </w:rPr>
              <w:t>Lines of credit</w:t>
            </w:r>
          </w:p>
        </w:tc>
      </w:tr>
      <w:tr w:rsidR="00597761" w:rsidRPr="004A71B1" w14:paraId="4B1D78D5" w14:textId="77777777" w:rsidTr="00ED301F">
        <w:trPr>
          <w:gridAfter w:val="1"/>
          <w:wAfter w:w="9" w:type="pct"/>
          <w:trHeight w:val="651"/>
        </w:trPr>
        <w:tc>
          <w:tcPr>
            <w:tcW w:w="1163" w:type="pct"/>
          </w:tcPr>
          <w:p w14:paraId="216340CA"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bCs/>
                <w:sz w:val="19"/>
                <w:szCs w:val="19"/>
                <w:lang w:val="en-US"/>
              </w:rPr>
              <w:t>Microcredit for the Very Poor (MCPP))</w:t>
            </w:r>
          </w:p>
        </w:tc>
        <w:tc>
          <w:tcPr>
            <w:tcW w:w="1708" w:type="pct"/>
            <w:vMerge w:val="restart"/>
          </w:tcPr>
          <w:p w14:paraId="77B93E7A"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MFIs’ cost of funding: 2% for the first phase and 3% for the second phase. Maturity: 3–5 years</w:t>
            </w:r>
          </w:p>
          <w:p w14:paraId="189EB7E6" w14:textId="0624A205" w:rsidR="00597761" w:rsidRPr="004A71B1" w:rsidRDefault="002425E2"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i</w:t>
            </w:r>
            <w:r w:rsidR="00597761" w:rsidRPr="004A71B1">
              <w:rPr>
                <w:rFonts w:asciiTheme="minorHAnsi" w:hAnsiTheme="minorHAnsi" w:cstheme="minorHAnsi"/>
                <w:sz w:val="19"/>
                <w:szCs w:val="19"/>
                <w:lang w:val="en-US"/>
              </w:rPr>
              <w:t>nterest rate</w:t>
            </w:r>
            <w:r w:rsidRPr="004A71B1">
              <w:rPr>
                <w:rFonts w:asciiTheme="minorHAnsi" w:hAnsiTheme="minorHAnsi" w:cstheme="minorHAnsi"/>
                <w:sz w:val="19"/>
                <w:szCs w:val="19"/>
                <w:lang w:val="en-US"/>
              </w:rPr>
              <w:t>s</w:t>
            </w:r>
            <w:r w:rsidR="00597761" w:rsidRPr="004A71B1">
              <w:rPr>
                <w:rFonts w:asciiTheme="minorHAnsi" w:hAnsiTheme="minorHAnsi" w:cstheme="minorHAnsi"/>
                <w:sz w:val="19"/>
                <w:szCs w:val="19"/>
                <w:lang w:val="en-US"/>
              </w:rPr>
              <w:t xml:space="preserve"> charged to clients</w:t>
            </w:r>
            <w:r w:rsidR="00C702B4" w:rsidRPr="004A71B1">
              <w:rPr>
                <w:rFonts w:asciiTheme="minorHAnsi" w:hAnsiTheme="minorHAnsi" w:cstheme="minorHAnsi"/>
                <w:sz w:val="19"/>
                <w:szCs w:val="19"/>
                <w:lang w:val="en-US"/>
              </w:rPr>
              <w:t> </w:t>
            </w:r>
            <w:r w:rsidR="00597761" w:rsidRPr="004A71B1">
              <w:rPr>
                <w:rFonts w:asciiTheme="minorHAnsi" w:hAnsiTheme="minorHAnsi" w:cstheme="minorHAnsi"/>
                <w:sz w:val="19"/>
                <w:szCs w:val="19"/>
                <w:lang w:val="en-US"/>
              </w:rPr>
              <w:t xml:space="preserve">8% per year for the first phase and 10% per year for the second phase </w:t>
            </w:r>
          </w:p>
          <w:p w14:paraId="1C01A37C" w14:textId="77777777" w:rsidR="00597761" w:rsidRPr="004A71B1" w:rsidRDefault="00597761" w:rsidP="009A0C13">
            <w:pPr>
              <w:pStyle w:val="Default"/>
              <w:rPr>
                <w:rFonts w:asciiTheme="minorHAnsi" w:hAnsiTheme="minorHAnsi" w:cstheme="minorHAnsi"/>
                <w:sz w:val="19"/>
                <w:szCs w:val="19"/>
                <w:lang w:val="en-US"/>
              </w:rPr>
            </w:pPr>
          </w:p>
        </w:tc>
        <w:tc>
          <w:tcPr>
            <w:tcW w:w="817" w:type="pct"/>
          </w:tcPr>
          <w:p w14:paraId="05E996FB"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61,506,790,136</w:t>
            </w:r>
          </w:p>
        </w:tc>
        <w:tc>
          <w:tcPr>
            <w:tcW w:w="759" w:type="pct"/>
          </w:tcPr>
          <w:p w14:paraId="6D51C0DF" w14:textId="77777777" w:rsidR="00597761" w:rsidRPr="004A71B1" w:rsidRDefault="00597761" w:rsidP="009A0C13">
            <w:pPr>
              <w:pStyle w:val="Default"/>
              <w:tabs>
                <w:tab w:val="decimal" w:pos="760"/>
              </w:tabs>
              <w:rPr>
                <w:rFonts w:asciiTheme="minorHAnsi" w:hAnsiTheme="minorHAnsi" w:cstheme="minorHAnsi"/>
                <w:sz w:val="19"/>
                <w:szCs w:val="19"/>
                <w:lang w:val="en-US"/>
              </w:rPr>
            </w:pPr>
            <w:r w:rsidRPr="004A71B1">
              <w:rPr>
                <w:rFonts w:asciiTheme="minorHAnsi" w:hAnsiTheme="minorHAnsi" w:cstheme="minorHAnsi"/>
                <w:sz w:val="19"/>
                <w:szCs w:val="19"/>
                <w:lang w:val="en-US"/>
              </w:rPr>
              <w:t>79.4</w:t>
            </w:r>
          </w:p>
        </w:tc>
        <w:tc>
          <w:tcPr>
            <w:tcW w:w="545" w:type="pct"/>
            <w:gridSpan w:val="2"/>
          </w:tcPr>
          <w:p w14:paraId="746112DC"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14</w:t>
            </w:r>
          </w:p>
        </w:tc>
      </w:tr>
      <w:tr w:rsidR="00597761" w:rsidRPr="004A71B1" w14:paraId="4067ED33" w14:textId="77777777" w:rsidTr="00ED301F">
        <w:trPr>
          <w:gridAfter w:val="1"/>
          <w:wAfter w:w="9" w:type="pct"/>
          <w:trHeight w:val="651"/>
        </w:trPr>
        <w:tc>
          <w:tcPr>
            <w:tcW w:w="1163" w:type="pct"/>
          </w:tcPr>
          <w:p w14:paraId="44B16769" w14:textId="46684640"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bCs/>
                <w:sz w:val="19"/>
                <w:szCs w:val="19"/>
                <w:lang w:val="en-US"/>
              </w:rPr>
              <w:t>MCPP</w:t>
            </w:r>
            <w:r w:rsidR="00141BD7" w:rsidRPr="004A71B1">
              <w:rPr>
                <w:rFonts w:asciiTheme="minorHAnsi" w:hAnsiTheme="minorHAnsi" w:cstheme="minorHAnsi"/>
                <w:bCs/>
                <w:sz w:val="19"/>
                <w:szCs w:val="19"/>
                <w:lang w:val="en-US"/>
              </w:rPr>
              <w:t>—</w:t>
            </w:r>
            <w:r w:rsidRPr="004A71B1">
              <w:rPr>
                <w:rFonts w:asciiTheme="minorHAnsi" w:hAnsiTheme="minorHAnsi" w:cstheme="minorHAnsi"/>
                <w:bCs/>
                <w:sz w:val="19"/>
                <w:szCs w:val="19"/>
                <w:lang w:val="en-US"/>
              </w:rPr>
              <w:t xml:space="preserve"> New Generation </w:t>
            </w:r>
          </w:p>
        </w:tc>
        <w:tc>
          <w:tcPr>
            <w:tcW w:w="1708" w:type="pct"/>
            <w:vMerge/>
          </w:tcPr>
          <w:p w14:paraId="64D8ED6D" w14:textId="77777777" w:rsidR="00597761" w:rsidRPr="004A71B1" w:rsidRDefault="00597761" w:rsidP="009A0C13">
            <w:pPr>
              <w:pStyle w:val="Default"/>
              <w:rPr>
                <w:rFonts w:asciiTheme="minorHAnsi" w:hAnsiTheme="minorHAnsi" w:cstheme="minorHAnsi"/>
                <w:sz w:val="19"/>
                <w:szCs w:val="19"/>
                <w:lang w:val="en-US"/>
              </w:rPr>
            </w:pPr>
          </w:p>
        </w:tc>
        <w:tc>
          <w:tcPr>
            <w:tcW w:w="817" w:type="pct"/>
          </w:tcPr>
          <w:p w14:paraId="711956F8"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7,074,800,000</w:t>
            </w:r>
          </w:p>
        </w:tc>
        <w:tc>
          <w:tcPr>
            <w:tcW w:w="759" w:type="pct"/>
          </w:tcPr>
          <w:p w14:paraId="742A6944" w14:textId="77777777" w:rsidR="00597761" w:rsidRPr="004A71B1" w:rsidRDefault="00597761" w:rsidP="009A0C13">
            <w:pPr>
              <w:pStyle w:val="Default"/>
              <w:tabs>
                <w:tab w:val="decimal" w:pos="760"/>
              </w:tabs>
              <w:rPr>
                <w:rFonts w:asciiTheme="minorHAnsi" w:hAnsiTheme="minorHAnsi" w:cstheme="minorHAnsi"/>
                <w:sz w:val="19"/>
                <w:szCs w:val="19"/>
                <w:lang w:val="en-US"/>
              </w:rPr>
            </w:pPr>
            <w:r w:rsidRPr="004A71B1">
              <w:rPr>
                <w:rFonts w:asciiTheme="minorHAnsi" w:hAnsiTheme="minorHAnsi" w:cstheme="minorHAnsi"/>
                <w:sz w:val="19"/>
                <w:szCs w:val="19"/>
                <w:lang w:val="en-US"/>
              </w:rPr>
              <w:t>79</w:t>
            </w:r>
          </w:p>
        </w:tc>
        <w:tc>
          <w:tcPr>
            <w:tcW w:w="545" w:type="pct"/>
            <w:gridSpan w:val="2"/>
            <w:vMerge w:val="restart"/>
          </w:tcPr>
          <w:p w14:paraId="1A155B9A"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10</w:t>
            </w:r>
          </w:p>
        </w:tc>
      </w:tr>
      <w:tr w:rsidR="00597761" w:rsidRPr="004A71B1" w14:paraId="763B3806" w14:textId="77777777" w:rsidTr="00ED301F">
        <w:trPr>
          <w:gridAfter w:val="1"/>
          <w:wAfter w:w="9" w:type="pct"/>
          <w:trHeight w:val="434"/>
        </w:trPr>
        <w:tc>
          <w:tcPr>
            <w:tcW w:w="1163" w:type="pct"/>
          </w:tcPr>
          <w:p w14:paraId="6E039797" w14:textId="295BD414"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bCs/>
                <w:sz w:val="19"/>
                <w:szCs w:val="19"/>
                <w:lang w:val="en-US"/>
              </w:rPr>
              <w:t>MCPP</w:t>
            </w:r>
            <w:r w:rsidR="00141BD7" w:rsidRPr="004A71B1">
              <w:rPr>
                <w:rFonts w:asciiTheme="minorHAnsi" w:hAnsiTheme="minorHAnsi" w:cstheme="minorHAnsi"/>
                <w:bCs/>
                <w:sz w:val="19"/>
                <w:szCs w:val="19"/>
                <w:lang w:val="en-US"/>
              </w:rPr>
              <w:t>—</w:t>
            </w:r>
            <w:r w:rsidRPr="004A71B1">
              <w:rPr>
                <w:rFonts w:asciiTheme="minorHAnsi" w:hAnsiTheme="minorHAnsi" w:cstheme="minorHAnsi"/>
                <w:bCs/>
                <w:sz w:val="19"/>
                <w:szCs w:val="19"/>
                <w:lang w:val="en-US"/>
              </w:rPr>
              <w:t xml:space="preserve"> supported by BOAD</w:t>
            </w:r>
          </w:p>
        </w:tc>
        <w:tc>
          <w:tcPr>
            <w:tcW w:w="1708" w:type="pct"/>
            <w:vMerge/>
          </w:tcPr>
          <w:p w14:paraId="1ADB626F" w14:textId="77777777" w:rsidR="00597761" w:rsidRPr="004A71B1" w:rsidRDefault="00597761" w:rsidP="009A0C13">
            <w:pPr>
              <w:pStyle w:val="Default"/>
              <w:rPr>
                <w:rFonts w:asciiTheme="minorHAnsi" w:hAnsiTheme="minorHAnsi" w:cstheme="minorHAnsi"/>
                <w:sz w:val="19"/>
                <w:szCs w:val="19"/>
                <w:lang w:val="en-US"/>
              </w:rPr>
            </w:pPr>
          </w:p>
        </w:tc>
        <w:tc>
          <w:tcPr>
            <w:tcW w:w="817" w:type="pct"/>
          </w:tcPr>
          <w:p w14:paraId="6D5C096C"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7,074,800,000</w:t>
            </w:r>
          </w:p>
        </w:tc>
        <w:tc>
          <w:tcPr>
            <w:tcW w:w="759" w:type="pct"/>
          </w:tcPr>
          <w:p w14:paraId="7EE270E9" w14:textId="77777777" w:rsidR="00597761" w:rsidRPr="004A71B1" w:rsidRDefault="00597761" w:rsidP="009A0C13">
            <w:pPr>
              <w:pStyle w:val="Default"/>
              <w:tabs>
                <w:tab w:val="decimal" w:pos="760"/>
              </w:tabs>
              <w:rPr>
                <w:rFonts w:asciiTheme="minorHAnsi" w:hAnsiTheme="minorHAnsi" w:cstheme="minorHAnsi"/>
                <w:sz w:val="19"/>
                <w:szCs w:val="19"/>
                <w:lang w:val="en-US"/>
              </w:rPr>
            </w:pPr>
            <w:r w:rsidRPr="004A71B1">
              <w:rPr>
                <w:rFonts w:asciiTheme="minorHAnsi" w:hAnsiTheme="minorHAnsi" w:cstheme="minorHAnsi"/>
                <w:sz w:val="19"/>
                <w:szCs w:val="19"/>
                <w:lang w:val="en-US"/>
              </w:rPr>
              <w:t>84.6</w:t>
            </w:r>
          </w:p>
        </w:tc>
        <w:tc>
          <w:tcPr>
            <w:tcW w:w="545" w:type="pct"/>
            <w:gridSpan w:val="2"/>
            <w:vMerge/>
          </w:tcPr>
          <w:p w14:paraId="5012A470" w14:textId="77777777" w:rsidR="00597761" w:rsidRPr="004A71B1" w:rsidRDefault="00597761" w:rsidP="009A0C13">
            <w:pPr>
              <w:pStyle w:val="Default"/>
              <w:jc w:val="center"/>
              <w:rPr>
                <w:rFonts w:asciiTheme="minorHAnsi" w:hAnsiTheme="minorHAnsi" w:cstheme="minorHAnsi"/>
                <w:sz w:val="19"/>
                <w:szCs w:val="19"/>
                <w:lang w:val="en-US"/>
              </w:rPr>
            </w:pPr>
          </w:p>
        </w:tc>
      </w:tr>
      <w:tr w:rsidR="00597761" w:rsidRPr="004A71B1" w14:paraId="66EF9D20" w14:textId="77777777" w:rsidTr="00ED301F">
        <w:trPr>
          <w:gridAfter w:val="1"/>
          <w:wAfter w:w="9" w:type="pct"/>
          <w:trHeight w:val="434"/>
        </w:trPr>
        <w:tc>
          <w:tcPr>
            <w:tcW w:w="1163" w:type="pct"/>
          </w:tcPr>
          <w:p w14:paraId="58E12821" w14:textId="42E3BA0A" w:rsidR="00597761" w:rsidRPr="004A71B1" w:rsidRDefault="00597761" w:rsidP="009A0C13">
            <w:pPr>
              <w:pStyle w:val="Default"/>
              <w:rPr>
                <w:rFonts w:asciiTheme="minorHAnsi" w:hAnsiTheme="minorHAnsi" w:cstheme="minorHAnsi"/>
                <w:bCs/>
                <w:sz w:val="19"/>
                <w:szCs w:val="19"/>
                <w:lang w:val="en-US"/>
              </w:rPr>
            </w:pPr>
            <w:r w:rsidRPr="004A71B1">
              <w:rPr>
                <w:rFonts w:asciiTheme="minorHAnsi" w:hAnsiTheme="minorHAnsi" w:cstheme="minorHAnsi"/>
                <w:bCs/>
                <w:sz w:val="19"/>
                <w:szCs w:val="19"/>
                <w:lang w:val="en-US"/>
              </w:rPr>
              <w:t>MCPP</w:t>
            </w:r>
            <w:r w:rsidR="00141BD7" w:rsidRPr="004A71B1">
              <w:rPr>
                <w:rFonts w:asciiTheme="minorHAnsi" w:hAnsiTheme="minorHAnsi" w:cstheme="minorHAnsi"/>
                <w:bCs/>
                <w:sz w:val="19"/>
                <w:szCs w:val="19"/>
                <w:lang w:val="en-US"/>
              </w:rPr>
              <w:t>—</w:t>
            </w:r>
            <w:r w:rsidRPr="004A71B1">
              <w:rPr>
                <w:rFonts w:asciiTheme="minorHAnsi" w:hAnsiTheme="minorHAnsi" w:cstheme="minorHAnsi"/>
                <w:bCs/>
                <w:sz w:val="19"/>
                <w:szCs w:val="19"/>
                <w:lang w:val="en-US"/>
              </w:rPr>
              <w:t xml:space="preserve"> supported by PIAMF</w:t>
            </w:r>
          </w:p>
        </w:tc>
        <w:tc>
          <w:tcPr>
            <w:tcW w:w="1708" w:type="pct"/>
            <w:vMerge/>
          </w:tcPr>
          <w:p w14:paraId="50CD4DD5" w14:textId="77777777" w:rsidR="00597761" w:rsidRPr="004A71B1" w:rsidRDefault="00597761" w:rsidP="009A0C13">
            <w:pPr>
              <w:pStyle w:val="Default"/>
              <w:rPr>
                <w:rFonts w:asciiTheme="minorHAnsi" w:hAnsiTheme="minorHAnsi" w:cstheme="minorHAnsi"/>
                <w:sz w:val="19"/>
                <w:szCs w:val="19"/>
                <w:lang w:val="en-US"/>
              </w:rPr>
            </w:pPr>
          </w:p>
        </w:tc>
        <w:tc>
          <w:tcPr>
            <w:tcW w:w="817" w:type="pct"/>
          </w:tcPr>
          <w:p w14:paraId="6F2FC808"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11,921,100,750</w:t>
            </w:r>
          </w:p>
        </w:tc>
        <w:tc>
          <w:tcPr>
            <w:tcW w:w="759" w:type="pct"/>
          </w:tcPr>
          <w:p w14:paraId="1719CB14" w14:textId="77777777" w:rsidR="00597761" w:rsidRPr="004A71B1" w:rsidRDefault="00597761" w:rsidP="009A0C13">
            <w:pPr>
              <w:pStyle w:val="Default"/>
              <w:tabs>
                <w:tab w:val="decimal" w:pos="760"/>
              </w:tabs>
              <w:rPr>
                <w:rFonts w:asciiTheme="minorHAnsi" w:hAnsiTheme="minorHAnsi" w:cstheme="minorHAnsi"/>
                <w:sz w:val="19"/>
                <w:szCs w:val="19"/>
                <w:lang w:val="en-US"/>
              </w:rPr>
            </w:pPr>
            <w:r w:rsidRPr="004A71B1">
              <w:rPr>
                <w:rFonts w:asciiTheme="minorHAnsi" w:hAnsiTheme="minorHAnsi" w:cstheme="minorHAnsi"/>
                <w:sz w:val="19"/>
                <w:szCs w:val="19"/>
                <w:lang w:val="en-US"/>
              </w:rPr>
              <w:t>75.3</w:t>
            </w:r>
          </w:p>
        </w:tc>
        <w:tc>
          <w:tcPr>
            <w:tcW w:w="545" w:type="pct"/>
            <w:gridSpan w:val="2"/>
            <w:vMerge/>
          </w:tcPr>
          <w:p w14:paraId="53906E98" w14:textId="77777777" w:rsidR="00597761" w:rsidRPr="004A71B1" w:rsidRDefault="00597761" w:rsidP="009A0C13">
            <w:pPr>
              <w:pStyle w:val="Default"/>
              <w:jc w:val="center"/>
              <w:rPr>
                <w:rFonts w:asciiTheme="minorHAnsi" w:hAnsiTheme="minorHAnsi" w:cstheme="minorHAnsi"/>
                <w:sz w:val="19"/>
                <w:szCs w:val="19"/>
                <w:lang w:val="en-US"/>
              </w:rPr>
            </w:pPr>
          </w:p>
        </w:tc>
      </w:tr>
      <w:tr w:rsidR="00597761" w:rsidRPr="004A71B1" w14:paraId="32972F1D" w14:textId="77777777" w:rsidTr="00ED301F">
        <w:trPr>
          <w:gridAfter w:val="1"/>
          <w:wAfter w:w="9" w:type="pct"/>
          <w:trHeight w:val="434"/>
        </w:trPr>
        <w:tc>
          <w:tcPr>
            <w:tcW w:w="1163" w:type="pct"/>
          </w:tcPr>
          <w:p w14:paraId="116BC1A6" w14:textId="3564E302" w:rsidR="00597761" w:rsidRPr="004A71B1" w:rsidRDefault="00597761" w:rsidP="009A0C13">
            <w:pPr>
              <w:pStyle w:val="Default"/>
              <w:rPr>
                <w:rFonts w:asciiTheme="minorHAnsi" w:hAnsiTheme="minorHAnsi" w:cstheme="minorHAnsi"/>
                <w:bCs/>
                <w:sz w:val="19"/>
                <w:szCs w:val="19"/>
                <w:lang w:val="en-US"/>
              </w:rPr>
            </w:pPr>
            <w:r w:rsidRPr="004A71B1">
              <w:rPr>
                <w:rFonts w:asciiTheme="minorHAnsi" w:hAnsiTheme="minorHAnsi" w:cstheme="minorHAnsi"/>
                <w:bCs/>
                <w:sz w:val="19"/>
                <w:szCs w:val="19"/>
                <w:lang w:val="en-US"/>
              </w:rPr>
              <w:t>MCPP</w:t>
            </w:r>
            <w:r w:rsidR="00141BD7" w:rsidRPr="004A71B1">
              <w:rPr>
                <w:rFonts w:asciiTheme="minorHAnsi" w:hAnsiTheme="minorHAnsi" w:cstheme="minorHAnsi"/>
                <w:bCs/>
                <w:sz w:val="19"/>
                <w:szCs w:val="19"/>
                <w:lang w:val="en-US"/>
              </w:rPr>
              <w:t>—</w:t>
            </w:r>
            <w:r w:rsidRPr="004A71B1">
              <w:rPr>
                <w:rFonts w:asciiTheme="minorHAnsi" w:hAnsiTheme="minorHAnsi" w:cstheme="minorHAnsi"/>
                <w:bCs/>
                <w:sz w:val="19"/>
                <w:szCs w:val="19"/>
                <w:lang w:val="en-US"/>
              </w:rPr>
              <w:t xml:space="preserve"> supported by BADEA</w:t>
            </w:r>
          </w:p>
        </w:tc>
        <w:tc>
          <w:tcPr>
            <w:tcW w:w="1708" w:type="pct"/>
            <w:vMerge/>
          </w:tcPr>
          <w:p w14:paraId="6DF0BBCB" w14:textId="77777777" w:rsidR="00597761" w:rsidRPr="004A71B1" w:rsidRDefault="00597761" w:rsidP="009A0C13">
            <w:pPr>
              <w:pStyle w:val="Default"/>
              <w:rPr>
                <w:rFonts w:asciiTheme="minorHAnsi" w:hAnsiTheme="minorHAnsi" w:cstheme="minorHAnsi"/>
                <w:sz w:val="19"/>
                <w:szCs w:val="19"/>
                <w:lang w:val="en-US"/>
              </w:rPr>
            </w:pPr>
          </w:p>
        </w:tc>
        <w:tc>
          <w:tcPr>
            <w:tcW w:w="817" w:type="pct"/>
          </w:tcPr>
          <w:p w14:paraId="47614751"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1,069,968,000</w:t>
            </w:r>
          </w:p>
        </w:tc>
        <w:tc>
          <w:tcPr>
            <w:tcW w:w="759" w:type="pct"/>
          </w:tcPr>
          <w:p w14:paraId="79F9CFE7" w14:textId="77777777" w:rsidR="00597761" w:rsidRPr="004A71B1" w:rsidRDefault="00597761" w:rsidP="009A0C13">
            <w:pPr>
              <w:pStyle w:val="Default"/>
              <w:tabs>
                <w:tab w:val="decimal" w:pos="760"/>
              </w:tabs>
              <w:rPr>
                <w:rFonts w:asciiTheme="minorHAnsi" w:hAnsiTheme="minorHAnsi" w:cstheme="minorHAnsi"/>
                <w:sz w:val="19"/>
                <w:szCs w:val="19"/>
                <w:lang w:val="en-US"/>
              </w:rPr>
            </w:pPr>
            <w:r w:rsidRPr="004A71B1">
              <w:rPr>
                <w:rFonts w:asciiTheme="minorHAnsi" w:hAnsiTheme="minorHAnsi" w:cstheme="minorHAnsi"/>
                <w:sz w:val="19"/>
                <w:szCs w:val="19"/>
                <w:lang w:val="en-US"/>
              </w:rPr>
              <w:t>85</w:t>
            </w:r>
          </w:p>
        </w:tc>
        <w:tc>
          <w:tcPr>
            <w:tcW w:w="545" w:type="pct"/>
            <w:gridSpan w:val="2"/>
            <w:vMerge/>
          </w:tcPr>
          <w:p w14:paraId="7FA9DD2E" w14:textId="77777777" w:rsidR="00597761" w:rsidRPr="004A71B1" w:rsidRDefault="00597761" w:rsidP="009A0C13">
            <w:pPr>
              <w:pStyle w:val="Default"/>
              <w:jc w:val="center"/>
              <w:rPr>
                <w:rFonts w:asciiTheme="minorHAnsi" w:hAnsiTheme="minorHAnsi" w:cstheme="minorHAnsi"/>
                <w:sz w:val="19"/>
                <w:szCs w:val="19"/>
                <w:lang w:val="en-US"/>
              </w:rPr>
            </w:pPr>
          </w:p>
        </w:tc>
      </w:tr>
      <w:tr w:rsidR="00597761" w:rsidRPr="004A71B1" w14:paraId="7BE0A416" w14:textId="77777777" w:rsidTr="00ED301F">
        <w:trPr>
          <w:gridAfter w:val="1"/>
          <w:wAfter w:w="9" w:type="pct"/>
          <w:trHeight w:val="651"/>
        </w:trPr>
        <w:tc>
          <w:tcPr>
            <w:tcW w:w="1163" w:type="pct"/>
          </w:tcPr>
          <w:p w14:paraId="6CF739AF" w14:textId="7A65813D" w:rsidR="00597761" w:rsidRPr="004A71B1" w:rsidRDefault="00597761" w:rsidP="009A0C13">
            <w:pPr>
              <w:pStyle w:val="Default"/>
              <w:rPr>
                <w:rFonts w:asciiTheme="minorHAnsi" w:hAnsiTheme="minorHAnsi" w:cstheme="minorHAnsi"/>
                <w:bCs/>
                <w:sz w:val="19"/>
                <w:szCs w:val="19"/>
                <w:lang w:val="en-US"/>
              </w:rPr>
            </w:pPr>
            <w:r w:rsidRPr="004A71B1">
              <w:rPr>
                <w:rFonts w:asciiTheme="minorHAnsi" w:hAnsiTheme="minorHAnsi" w:cstheme="minorHAnsi"/>
                <w:bCs/>
                <w:sz w:val="19"/>
                <w:szCs w:val="19"/>
                <w:lang w:val="en-US"/>
              </w:rPr>
              <w:t>PIAD-AGR (Intermediary program to support the development of income</w:t>
            </w:r>
            <w:r w:rsidR="00C702B4" w:rsidRPr="004A71B1">
              <w:rPr>
                <w:rFonts w:asciiTheme="minorHAnsi" w:hAnsiTheme="minorHAnsi" w:cstheme="minorHAnsi"/>
                <w:bCs/>
                <w:sz w:val="19"/>
                <w:szCs w:val="19"/>
                <w:lang w:val="en-US"/>
              </w:rPr>
              <w:t>-</w:t>
            </w:r>
            <w:r w:rsidRPr="004A71B1">
              <w:rPr>
                <w:rFonts w:asciiTheme="minorHAnsi" w:hAnsiTheme="minorHAnsi" w:cstheme="minorHAnsi"/>
                <w:bCs/>
                <w:sz w:val="19"/>
                <w:szCs w:val="19"/>
                <w:lang w:val="en-US"/>
              </w:rPr>
              <w:t xml:space="preserve">generating activities) </w:t>
            </w:r>
          </w:p>
        </w:tc>
        <w:tc>
          <w:tcPr>
            <w:tcW w:w="1708" w:type="pct"/>
          </w:tcPr>
          <w:p w14:paraId="636CD9B8"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MFIs’ cost of funding: 4% for 12 months</w:t>
            </w:r>
          </w:p>
          <w:p w14:paraId="61E95E74" w14:textId="231C063C"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Interest rate charged to clients</w:t>
            </w:r>
            <w:r w:rsidR="00C702B4" w:rsidRPr="004A71B1">
              <w:rPr>
                <w:rFonts w:asciiTheme="minorHAnsi" w:hAnsiTheme="minorHAnsi" w:cstheme="minorHAnsi"/>
                <w:sz w:val="19"/>
                <w:szCs w:val="19"/>
                <w:lang w:val="en-US"/>
              </w:rPr>
              <w:t> </w:t>
            </w:r>
            <w:r w:rsidRPr="004A71B1">
              <w:rPr>
                <w:rFonts w:asciiTheme="minorHAnsi" w:hAnsiTheme="minorHAnsi" w:cstheme="minorHAnsi"/>
                <w:sz w:val="19"/>
                <w:szCs w:val="19"/>
                <w:lang w:val="en-US"/>
              </w:rPr>
              <w:t>10% for 12 months</w:t>
            </w:r>
          </w:p>
          <w:p w14:paraId="50D97696"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Credit amount: CFAF 50,000–100,000</w:t>
            </w:r>
          </w:p>
        </w:tc>
        <w:tc>
          <w:tcPr>
            <w:tcW w:w="817" w:type="pct"/>
          </w:tcPr>
          <w:p w14:paraId="41A7284B"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4,483,633,000</w:t>
            </w:r>
          </w:p>
        </w:tc>
        <w:tc>
          <w:tcPr>
            <w:tcW w:w="759" w:type="pct"/>
          </w:tcPr>
          <w:p w14:paraId="44C189E1" w14:textId="77777777" w:rsidR="00597761" w:rsidRPr="004A71B1" w:rsidRDefault="00597761" w:rsidP="009A0C13">
            <w:pPr>
              <w:pStyle w:val="Default"/>
              <w:tabs>
                <w:tab w:val="decimal" w:pos="760"/>
              </w:tabs>
              <w:rPr>
                <w:rFonts w:asciiTheme="minorHAnsi" w:hAnsiTheme="minorHAnsi" w:cstheme="minorHAnsi"/>
                <w:sz w:val="19"/>
                <w:szCs w:val="19"/>
                <w:lang w:val="en-US"/>
              </w:rPr>
            </w:pPr>
            <w:r w:rsidRPr="004A71B1">
              <w:rPr>
                <w:rFonts w:asciiTheme="minorHAnsi" w:hAnsiTheme="minorHAnsi" w:cstheme="minorHAnsi"/>
                <w:sz w:val="19"/>
                <w:szCs w:val="19"/>
                <w:lang w:val="en-US"/>
              </w:rPr>
              <w:t>85.9</w:t>
            </w:r>
          </w:p>
        </w:tc>
        <w:tc>
          <w:tcPr>
            <w:tcW w:w="545" w:type="pct"/>
            <w:gridSpan w:val="2"/>
          </w:tcPr>
          <w:p w14:paraId="4FD36543"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9</w:t>
            </w:r>
          </w:p>
        </w:tc>
      </w:tr>
      <w:tr w:rsidR="00597761" w:rsidRPr="004A71B1" w14:paraId="6E9C2226" w14:textId="77777777" w:rsidTr="00ED301F">
        <w:trPr>
          <w:gridAfter w:val="1"/>
          <w:wAfter w:w="9" w:type="pct"/>
          <w:trHeight w:val="434"/>
        </w:trPr>
        <w:tc>
          <w:tcPr>
            <w:tcW w:w="1163" w:type="pct"/>
          </w:tcPr>
          <w:p w14:paraId="7403DDA5" w14:textId="77777777" w:rsidR="00597761" w:rsidRPr="004A71B1" w:rsidRDefault="00597761" w:rsidP="009A0C13">
            <w:pPr>
              <w:pStyle w:val="Default"/>
              <w:rPr>
                <w:rFonts w:asciiTheme="minorHAnsi" w:hAnsiTheme="minorHAnsi" w:cstheme="minorHAnsi"/>
                <w:bCs/>
                <w:sz w:val="19"/>
                <w:szCs w:val="19"/>
                <w:lang w:val="en-US"/>
              </w:rPr>
            </w:pPr>
            <w:r w:rsidRPr="004A71B1">
              <w:rPr>
                <w:rFonts w:asciiTheme="minorHAnsi" w:hAnsiTheme="minorHAnsi" w:cstheme="minorHAnsi"/>
                <w:bCs/>
                <w:sz w:val="19"/>
                <w:szCs w:val="19"/>
                <w:lang w:val="en-US"/>
              </w:rPr>
              <w:t>Credit for market users (CUM))</w:t>
            </w:r>
          </w:p>
        </w:tc>
        <w:tc>
          <w:tcPr>
            <w:tcW w:w="1708" w:type="pct"/>
          </w:tcPr>
          <w:p w14:paraId="535AF44F"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MFIs’ cost of funding: 3% for 12 months</w:t>
            </w:r>
          </w:p>
          <w:p w14:paraId="635B4DCB" w14:textId="0527F60E"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Interest rate charged to clients</w:t>
            </w:r>
            <w:r w:rsidR="00C702B4" w:rsidRPr="004A71B1">
              <w:rPr>
                <w:rFonts w:asciiTheme="minorHAnsi" w:hAnsiTheme="minorHAnsi" w:cstheme="minorHAnsi"/>
                <w:sz w:val="19"/>
                <w:szCs w:val="19"/>
                <w:lang w:val="en-US"/>
              </w:rPr>
              <w:t> </w:t>
            </w:r>
            <w:r w:rsidRPr="004A71B1">
              <w:rPr>
                <w:rFonts w:asciiTheme="minorHAnsi" w:hAnsiTheme="minorHAnsi" w:cstheme="minorHAnsi"/>
                <w:sz w:val="19"/>
                <w:szCs w:val="19"/>
                <w:lang w:val="en-US"/>
              </w:rPr>
              <w:t>10% for 12 months</w:t>
            </w:r>
          </w:p>
        </w:tc>
        <w:tc>
          <w:tcPr>
            <w:tcW w:w="817" w:type="pct"/>
          </w:tcPr>
          <w:p w14:paraId="40C44F72"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1,000,000,000</w:t>
            </w:r>
          </w:p>
        </w:tc>
        <w:tc>
          <w:tcPr>
            <w:tcW w:w="759" w:type="pct"/>
          </w:tcPr>
          <w:p w14:paraId="46289511" w14:textId="77777777" w:rsidR="00597761" w:rsidRPr="004A71B1" w:rsidRDefault="00597761" w:rsidP="009A0C13">
            <w:pPr>
              <w:pStyle w:val="Default"/>
              <w:tabs>
                <w:tab w:val="decimal" w:pos="760"/>
              </w:tabs>
              <w:rPr>
                <w:rFonts w:asciiTheme="minorHAnsi" w:hAnsiTheme="minorHAnsi" w:cstheme="minorHAnsi"/>
                <w:sz w:val="19"/>
                <w:szCs w:val="19"/>
                <w:lang w:val="en-US"/>
              </w:rPr>
            </w:pPr>
            <w:r w:rsidRPr="004A71B1">
              <w:rPr>
                <w:rFonts w:asciiTheme="minorHAnsi" w:hAnsiTheme="minorHAnsi" w:cstheme="minorHAnsi"/>
                <w:sz w:val="19"/>
                <w:szCs w:val="19"/>
                <w:lang w:val="en-US"/>
              </w:rPr>
              <w:t>70.9</w:t>
            </w:r>
          </w:p>
        </w:tc>
        <w:tc>
          <w:tcPr>
            <w:tcW w:w="545" w:type="pct"/>
            <w:gridSpan w:val="2"/>
          </w:tcPr>
          <w:p w14:paraId="1DEB800D" w14:textId="77777777" w:rsidR="00597761" w:rsidRPr="004A71B1" w:rsidRDefault="00597761" w:rsidP="009A0C13">
            <w:pPr>
              <w:pStyle w:val="Default"/>
              <w:jc w:val="center"/>
              <w:rPr>
                <w:rFonts w:asciiTheme="minorHAnsi" w:hAnsiTheme="minorHAnsi" w:cstheme="minorHAnsi"/>
                <w:sz w:val="19"/>
                <w:szCs w:val="19"/>
                <w:lang w:val="en-US"/>
              </w:rPr>
            </w:pPr>
          </w:p>
        </w:tc>
      </w:tr>
      <w:tr w:rsidR="00597761" w:rsidRPr="004A71B1" w14:paraId="125B811D" w14:textId="77777777" w:rsidTr="00ED301F">
        <w:trPr>
          <w:gridAfter w:val="1"/>
          <w:wAfter w:w="9" w:type="pct"/>
          <w:trHeight w:val="651"/>
        </w:trPr>
        <w:tc>
          <w:tcPr>
            <w:tcW w:w="1163" w:type="pct"/>
          </w:tcPr>
          <w:p w14:paraId="76D70B2E" w14:textId="77777777" w:rsidR="00597761" w:rsidRPr="004A71B1" w:rsidRDefault="00597761" w:rsidP="009A0C13">
            <w:pPr>
              <w:pStyle w:val="Default"/>
              <w:rPr>
                <w:rFonts w:asciiTheme="minorHAnsi" w:hAnsiTheme="minorHAnsi" w:cstheme="minorHAnsi"/>
                <w:bCs/>
                <w:sz w:val="19"/>
                <w:szCs w:val="19"/>
                <w:lang w:val="en-US"/>
              </w:rPr>
            </w:pPr>
            <w:r w:rsidRPr="004A71B1">
              <w:rPr>
                <w:rFonts w:asciiTheme="minorHAnsi" w:hAnsiTheme="minorHAnsi" w:cstheme="minorHAnsi"/>
                <w:bCs/>
                <w:sz w:val="19"/>
                <w:szCs w:val="19"/>
                <w:lang w:val="en-US"/>
              </w:rPr>
              <w:t>Funding targeting PAFILAV beneficiaries (FC-PAFILAV)</w:t>
            </w:r>
          </w:p>
        </w:tc>
        <w:tc>
          <w:tcPr>
            <w:tcW w:w="1708" w:type="pct"/>
          </w:tcPr>
          <w:p w14:paraId="32D4DBD2"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Cost of funding: 5% maturity 36 months</w:t>
            </w:r>
          </w:p>
          <w:p w14:paraId="2B01E7B9"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Conditions to beneficiaries: reimbursement link to beneficiaries’ cash flow calendar</w:t>
            </w:r>
          </w:p>
        </w:tc>
        <w:tc>
          <w:tcPr>
            <w:tcW w:w="817" w:type="pct"/>
          </w:tcPr>
          <w:p w14:paraId="03237549"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bCs/>
                <w:sz w:val="19"/>
                <w:szCs w:val="19"/>
                <w:lang w:val="en-US"/>
              </w:rPr>
              <w:t>1,255,375,000</w:t>
            </w:r>
          </w:p>
        </w:tc>
        <w:tc>
          <w:tcPr>
            <w:tcW w:w="759" w:type="pct"/>
          </w:tcPr>
          <w:p w14:paraId="0257132B" w14:textId="77777777" w:rsidR="00597761" w:rsidRPr="004A71B1" w:rsidRDefault="00597761" w:rsidP="009A0C13">
            <w:pPr>
              <w:pStyle w:val="Default"/>
              <w:tabs>
                <w:tab w:val="decimal" w:pos="760"/>
              </w:tabs>
              <w:rPr>
                <w:rFonts w:asciiTheme="minorHAnsi" w:hAnsiTheme="minorHAnsi" w:cstheme="minorHAnsi"/>
                <w:sz w:val="19"/>
                <w:szCs w:val="19"/>
                <w:lang w:val="en-US"/>
              </w:rPr>
            </w:pPr>
            <w:r w:rsidRPr="004A71B1">
              <w:rPr>
                <w:rFonts w:asciiTheme="minorHAnsi" w:hAnsiTheme="minorHAnsi" w:cstheme="minorHAnsi"/>
                <w:sz w:val="19"/>
                <w:szCs w:val="19"/>
                <w:lang w:val="en-US"/>
              </w:rPr>
              <w:t>75.3</w:t>
            </w:r>
          </w:p>
        </w:tc>
        <w:tc>
          <w:tcPr>
            <w:tcW w:w="545" w:type="pct"/>
            <w:gridSpan w:val="2"/>
          </w:tcPr>
          <w:p w14:paraId="6186FB17" w14:textId="77777777" w:rsidR="00597761" w:rsidRPr="004A71B1" w:rsidRDefault="00597761" w:rsidP="009A0C13">
            <w:pPr>
              <w:pStyle w:val="Default"/>
              <w:jc w:val="center"/>
              <w:rPr>
                <w:rFonts w:asciiTheme="minorHAnsi" w:hAnsiTheme="minorHAnsi" w:cstheme="minorHAnsi"/>
                <w:sz w:val="19"/>
                <w:szCs w:val="19"/>
                <w:lang w:val="en-US"/>
              </w:rPr>
            </w:pPr>
          </w:p>
        </w:tc>
      </w:tr>
      <w:tr w:rsidR="00597761" w:rsidRPr="004A71B1" w14:paraId="27873499" w14:textId="77777777" w:rsidTr="00ED301F">
        <w:trPr>
          <w:gridAfter w:val="1"/>
          <w:wAfter w:w="9" w:type="pct"/>
          <w:trHeight w:val="651"/>
        </w:trPr>
        <w:tc>
          <w:tcPr>
            <w:tcW w:w="1163" w:type="pct"/>
          </w:tcPr>
          <w:p w14:paraId="5B74E69D"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bCs/>
                <w:sz w:val="19"/>
                <w:szCs w:val="19"/>
                <w:lang w:val="en-US"/>
              </w:rPr>
              <w:t>Funding targeting PACER beneficiaries (PACER)</w:t>
            </w:r>
          </w:p>
        </w:tc>
        <w:tc>
          <w:tcPr>
            <w:tcW w:w="1708" w:type="pct"/>
          </w:tcPr>
          <w:p w14:paraId="2EBFEDE7"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 xml:space="preserve">Cost of funding: 5% maturity 36 months </w:t>
            </w:r>
          </w:p>
          <w:p w14:paraId="14167ABB"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Conditions to beneficiaries: reimbursement link to beneficiaries’ cash flow calendar</w:t>
            </w:r>
          </w:p>
        </w:tc>
        <w:tc>
          <w:tcPr>
            <w:tcW w:w="817" w:type="pct"/>
          </w:tcPr>
          <w:p w14:paraId="3D6F1A2C"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bCs/>
                <w:sz w:val="19"/>
                <w:szCs w:val="19"/>
                <w:lang w:val="en-US"/>
              </w:rPr>
              <w:t>156,250,643</w:t>
            </w:r>
          </w:p>
        </w:tc>
        <w:tc>
          <w:tcPr>
            <w:tcW w:w="759" w:type="pct"/>
          </w:tcPr>
          <w:p w14:paraId="6A4BD356" w14:textId="77777777" w:rsidR="00597761" w:rsidRPr="004A71B1" w:rsidRDefault="00597761" w:rsidP="009A0C13">
            <w:pPr>
              <w:pStyle w:val="Default"/>
              <w:tabs>
                <w:tab w:val="decimal" w:pos="760"/>
              </w:tabs>
              <w:rPr>
                <w:rFonts w:asciiTheme="minorHAnsi" w:hAnsiTheme="minorHAnsi" w:cstheme="minorHAnsi"/>
                <w:sz w:val="19"/>
                <w:szCs w:val="19"/>
                <w:lang w:val="en-US"/>
              </w:rPr>
            </w:pPr>
            <w:r w:rsidRPr="004A71B1">
              <w:rPr>
                <w:rFonts w:asciiTheme="minorHAnsi" w:hAnsiTheme="minorHAnsi" w:cstheme="minorHAnsi"/>
                <w:sz w:val="19"/>
                <w:szCs w:val="19"/>
                <w:lang w:val="en-US"/>
              </w:rPr>
              <w:t>88.9</w:t>
            </w:r>
          </w:p>
        </w:tc>
        <w:tc>
          <w:tcPr>
            <w:tcW w:w="545" w:type="pct"/>
            <w:gridSpan w:val="2"/>
          </w:tcPr>
          <w:p w14:paraId="79F783C6" w14:textId="77777777" w:rsidR="00597761" w:rsidRPr="004A71B1" w:rsidRDefault="00597761" w:rsidP="009A0C13">
            <w:pPr>
              <w:pStyle w:val="Default"/>
              <w:jc w:val="center"/>
              <w:rPr>
                <w:rFonts w:asciiTheme="minorHAnsi" w:hAnsiTheme="minorHAnsi" w:cstheme="minorHAnsi"/>
                <w:sz w:val="19"/>
                <w:szCs w:val="19"/>
                <w:lang w:val="en-US"/>
              </w:rPr>
            </w:pPr>
          </w:p>
        </w:tc>
      </w:tr>
      <w:tr w:rsidR="00597761" w:rsidRPr="004A71B1" w14:paraId="23BBBDD2" w14:textId="77777777" w:rsidTr="00ED301F">
        <w:trPr>
          <w:trHeight w:val="217"/>
        </w:trPr>
        <w:tc>
          <w:tcPr>
            <w:tcW w:w="4453" w:type="pct"/>
            <w:gridSpan w:val="5"/>
            <w:shd w:val="clear" w:color="auto" w:fill="92D050"/>
          </w:tcPr>
          <w:p w14:paraId="08F99A31" w14:textId="77777777" w:rsidR="00597761" w:rsidRPr="004A71B1" w:rsidRDefault="00597761" w:rsidP="009A0C13">
            <w:pPr>
              <w:pStyle w:val="Default"/>
              <w:jc w:val="both"/>
              <w:rPr>
                <w:rFonts w:asciiTheme="minorHAnsi" w:hAnsiTheme="minorHAnsi" w:cstheme="minorHAnsi"/>
                <w:sz w:val="19"/>
                <w:szCs w:val="19"/>
                <w:lang w:val="en-US"/>
              </w:rPr>
            </w:pPr>
            <w:r w:rsidRPr="004A71B1">
              <w:rPr>
                <w:rFonts w:asciiTheme="minorHAnsi" w:hAnsiTheme="minorHAnsi" w:cstheme="minorHAnsi"/>
                <w:b/>
                <w:sz w:val="19"/>
                <w:szCs w:val="19"/>
                <w:lang w:val="en-US"/>
              </w:rPr>
              <w:t>Refinancing</w:t>
            </w:r>
          </w:p>
        </w:tc>
        <w:tc>
          <w:tcPr>
            <w:tcW w:w="547" w:type="pct"/>
            <w:gridSpan w:val="2"/>
            <w:shd w:val="clear" w:color="auto" w:fill="92D050"/>
          </w:tcPr>
          <w:p w14:paraId="6A9CFDA6" w14:textId="77777777" w:rsidR="00597761" w:rsidRPr="004A71B1" w:rsidRDefault="00597761" w:rsidP="009A0C13">
            <w:pPr>
              <w:pStyle w:val="Default"/>
              <w:jc w:val="both"/>
              <w:rPr>
                <w:rFonts w:asciiTheme="minorHAnsi" w:hAnsiTheme="minorHAnsi" w:cstheme="minorHAnsi"/>
                <w:sz w:val="19"/>
                <w:szCs w:val="19"/>
                <w:lang w:val="en-US"/>
              </w:rPr>
            </w:pPr>
          </w:p>
        </w:tc>
      </w:tr>
      <w:tr w:rsidR="00597761" w:rsidRPr="004A71B1" w14:paraId="179D2A4F" w14:textId="77777777" w:rsidTr="00ED301F">
        <w:trPr>
          <w:gridAfter w:val="1"/>
          <w:wAfter w:w="9" w:type="pct"/>
          <w:trHeight w:val="575"/>
        </w:trPr>
        <w:tc>
          <w:tcPr>
            <w:tcW w:w="1163" w:type="pct"/>
          </w:tcPr>
          <w:p w14:paraId="746DE612" w14:textId="77777777" w:rsidR="00597761" w:rsidRPr="004A71B1" w:rsidRDefault="00597761" w:rsidP="009A0C13">
            <w:pPr>
              <w:pStyle w:val="Default"/>
              <w:rPr>
                <w:rFonts w:asciiTheme="minorHAnsi" w:hAnsiTheme="minorHAnsi" w:cstheme="minorHAnsi"/>
                <w:bCs/>
                <w:sz w:val="19"/>
                <w:szCs w:val="19"/>
                <w:lang w:val="en-US"/>
              </w:rPr>
            </w:pPr>
            <w:r w:rsidRPr="004A71B1">
              <w:rPr>
                <w:rFonts w:asciiTheme="minorHAnsi" w:hAnsiTheme="minorHAnsi" w:cstheme="minorHAnsi"/>
                <w:bCs/>
                <w:sz w:val="19"/>
                <w:szCs w:val="19"/>
                <w:lang w:val="en-US"/>
              </w:rPr>
              <w:t>Strengthening MFIs financial capacities (RCF)</w:t>
            </w:r>
          </w:p>
        </w:tc>
        <w:tc>
          <w:tcPr>
            <w:tcW w:w="1708" w:type="pct"/>
          </w:tcPr>
          <w:p w14:paraId="37203700" w14:textId="69172AC9"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Cost of funding: 5% maturity</w:t>
            </w:r>
            <w:r w:rsidR="00C702B4" w:rsidRPr="004A71B1">
              <w:rPr>
                <w:rFonts w:asciiTheme="minorHAnsi" w:hAnsiTheme="minorHAnsi" w:cstheme="minorHAnsi"/>
                <w:sz w:val="19"/>
                <w:szCs w:val="19"/>
                <w:lang w:val="en-US"/>
              </w:rPr>
              <w:t> </w:t>
            </w:r>
            <w:r w:rsidRPr="004A71B1">
              <w:rPr>
                <w:rFonts w:asciiTheme="minorHAnsi" w:hAnsiTheme="minorHAnsi" w:cstheme="minorHAnsi"/>
                <w:sz w:val="19"/>
                <w:szCs w:val="19"/>
                <w:lang w:val="en-US"/>
              </w:rPr>
              <w:t>15 to 36 months</w:t>
            </w:r>
          </w:p>
          <w:p w14:paraId="69EADB95"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Conditions to beneficiaries: MFI own conditions</w:t>
            </w:r>
          </w:p>
        </w:tc>
        <w:tc>
          <w:tcPr>
            <w:tcW w:w="817" w:type="pct"/>
          </w:tcPr>
          <w:p w14:paraId="71F6C223"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27,226,000,000</w:t>
            </w:r>
          </w:p>
        </w:tc>
        <w:tc>
          <w:tcPr>
            <w:tcW w:w="759" w:type="pct"/>
          </w:tcPr>
          <w:p w14:paraId="22829ED8" w14:textId="77777777" w:rsidR="00597761" w:rsidRPr="004A71B1" w:rsidRDefault="00597761" w:rsidP="009A0C13">
            <w:pPr>
              <w:pStyle w:val="Default"/>
              <w:tabs>
                <w:tab w:val="decimal" w:pos="748"/>
              </w:tabs>
              <w:rPr>
                <w:rFonts w:asciiTheme="minorHAnsi" w:hAnsiTheme="minorHAnsi" w:cstheme="minorHAnsi"/>
                <w:sz w:val="19"/>
                <w:szCs w:val="19"/>
                <w:lang w:val="en-US"/>
              </w:rPr>
            </w:pPr>
            <w:r w:rsidRPr="004A71B1">
              <w:rPr>
                <w:rFonts w:asciiTheme="minorHAnsi" w:hAnsiTheme="minorHAnsi" w:cstheme="minorHAnsi"/>
                <w:sz w:val="19"/>
                <w:szCs w:val="19"/>
                <w:lang w:val="en-US"/>
              </w:rPr>
              <w:t>92.5</w:t>
            </w:r>
          </w:p>
        </w:tc>
        <w:tc>
          <w:tcPr>
            <w:tcW w:w="545" w:type="pct"/>
            <w:gridSpan w:val="2"/>
          </w:tcPr>
          <w:p w14:paraId="08148E21"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40</w:t>
            </w:r>
          </w:p>
        </w:tc>
      </w:tr>
      <w:tr w:rsidR="00597761" w:rsidRPr="004A71B1" w14:paraId="5CBF610C" w14:textId="77777777" w:rsidTr="00ED301F">
        <w:trPr>
          <w:gridAfter w:val="1"/>
          <w:wAfter w:w="9" w:type="pct"/>
          <w:trHeight w:val="651"/>
        </w:trPr>
        <w:tc>
          <w:tcPr>
            <w:tcW w:w="1163" w:type="pct"/>
          </w:tcPr>
          <w:p w14:paraId="036CD386" w14:textId="77777777" w:rsidR="00597761" w:rsidRPr="004A71B1" w:rsidRDefault="00597761" w:rsidP="009A0C13">
            <w:pPr>
              <w:pStyle w:val="Default"/>
              <w:rPr>
                <w:rFonts w:asciiTheme="minorHAnsi" w:hAnsiTheme="minorHAnsi" w:cstheme="minorHAnsi"/>
                <w:bCs/>
                <w:sz w:val="19"/>
                <w:szCs w:val="19"/>
                <w:lang w:val="en-US"/>
              </w:rPr>
            </w:pPr>
            <w:r w:rsidRPr="004A71B1">
              <w:rPr>
                <w:rFonts w:asciiTheme="minorHAnsi" w:hAnsiTheme="minorHAnsi" w:cstheme="minorHAnsi"/>
                <w:bCs/>
                <w:sz w:val="19"/>
                <w:szCs w:val="19"/>
                <w:lang w:val="en-US"/>
              </w:rPr>
              <w:t>Financing for Agricultural and rural activities (FARR)</w:t>
            </w:r>
          </w:p>
        </w:tc>
        <w:tc>
          <w:tcPr>
            <w:tcW w:w="1708" w:type="pct"/>
          </w:tcPr>
          <w:p w14:paraId="00FB5F5A"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Cost of funding: 5% maturity 36 months</w:t>
            </w:r>
          </w:p>
          <w:p w14:paraId="46859E7E"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Conditions to beneficiaries: 10% per year for production and investment and 12% per year for transformation</w:t>
            </w:r>
          </w:p>
        </w:tc>
        <w:tc>
          <w:tcPr>
            <w:tcW w:w="817" w:type="pct"/>
          </w:tcPr>
          <w:p w14:paraId="0F1E145B"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8,615,000,000</w:t>
            </w:r>
          </w:p>
        </w:tc>
        <w:tc>
          <w:tcPr>
            <w:tcW w:w="759" w:type="pct"/>
          </w:tcPr>
          <w:p w14:paraId="0FFF9811" w14:textId="77777777" w:rsidR="00597761" w:rsidRPr="004A71B1" w:rsidRDefault="00597761" w:rsidP="009A0C13">
            <w:pPr>
              <w:pStyle w:val="Default"/>
              <w:tabs>
                <w:tab w:val="decimal" w:pos="748"/>
              </w:tabs>
              <w:rPr>
                <w:rFonts w:asciiTheme="minorHAnsi" w:hAnsiTheme="minorHAnsi" w:cstheme="minorHAnsi"/>
                <w:sz w:val="19"/>
                <w:szCs w:val="19"/>
                <w:lang w:val="en-US"/>
              </w:rPr>
            </w:pPr>
            <w:r w:rsidRPr="004A71B1">
              <w:rPr>
                <w:rFonts w:asciiTheme="minorHAnsi" w:hAnsiTheme="minorHAnsi" w:cstheme="minorHAnsi"/>
                <w:sz w:val="19"/>
                <w:szCs w:val="19"/>
                <w:lang w:val="en-US"/>
              </w:rPr>
              <w:t>85.4</w:t>
            </w:r>
          </w:p>
        </w:tc>
        <w:tc>
          <w:tcPr>
            <w:tcW w:w="545" w:type="pct"/>
            <w:gridSpan w:val="2"/>
          </w:tcPr>
          <w:p w14:paraId="5B796FB5"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20</w:t>
            </w:r>
          </w:p>
        </w:tc>
      </w:tr>
      <w:tr w:rsidR="00597761" w:rsidRPr="004A71B1" w14:paraId="2DFBD162" w14:textId="77777777" w:rsidTr="00ED301F">
        <w:trPr>
          <w:gridAfter w:val="1"/>
          <w:wAfter w:w="9" w:type="pct"/>
          <w:trHeight w:val="651"/>
        </w:trPr>
        <w:tc>
          <w:tcPr>
            <w:tcW w:w="1163" w:type="pct"/>
          </w:tcPr>
          <w:p w14:paraId="34FAF196"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bCs/>
                <w:sz w:val="19"/>
                <w:szCs w:val="19"/>
                <w:lang w:val="en-US"/>
              </w:rPr>
              <w:t>Financing for micro and very small enterprises (MTPE)</w:t>
            </w:r>
          </w:p>
        </w:tc>
        <w:tc>
          <w:tcPr>
            <w:tcW w:w="1708" w:type="pct"/>
          </w:tcPr>
          <w:p w14:paraId="1A12D45F"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Cost of funding: 5% maturity 60 months</w:t>
            </w:r>
          </w:p>
          <w:p w14:paraId="5F6A01EC"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Islamic finance conditions to beneficiaries</w:t>
            </w:r>
          </w:p>
        </w:tc>
        <w:tc>
          <w:tcPr>
            <w:tcW w:w="817" w:type="pct"/>
          </w:tcPr>
          <w:p w14:paraId="00D8AA88"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1,149,770,638</w:t>
            </w:r>
          </w:p>
        </w:tc>
        <w:tc>
          <w:tcPr>
            <w:tcW w:w="759" w:type="pct"/>
          </w:tcPr>
          <w:p w14:paraId="1312D72F" w14:textId="77777777" w:rsidR="00597761" w:rsidRPr="004A71B1" w:rsidRDefault="00597761" w:rsidP="009A0C13">
            <w:pPr>
              <w:pStyle w:val="Default"/>
              <w:tabs>
                <w:tab w:val="decimal" w:pos="748"/>
              </w:tabs>
              <w:rPr>
                <w:rFonts w:asciiTheme="minorHAnsi" w:hAnsiTheme="minorHAnsi" w:cstheme="minorHAnsi"/>
                <w:sz w:val="19"/>
                <w:szCs w:val="19"/>
                <w:lang w:val="en-US"/>
              </w:rPr>
            </w:pPr>
            <w:r w:rsidRPr="004A71B1">
              <w:rPr>
                <w:rFonts w:asciiTheme="minorHAnsi" w:hAnsiTheme="minorHAnsi" w:cstheme="minorHAnsi"/>
                <w:sz w:val="19"/>
                <w:szCs w:val="19"/>
                <w:lang w:val="en-US"/>
              </w:rPr>
              <w:t>33.8</w:t>
            </w:r>
          </w:p>
        </w:tc>
        <w:tc>
          <w:tcPr>
            <w:tcW w:w="545" w:type="pct"/>
            <w:gridSpan w:val="2"/>
          </w:tcPr>
          <w:p w14:paraId="54D5ED42"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5</w:t>
            </w:r>
          </w:p>
        </w:tc>
      </w:tr>
      <w:tr w:rsidR="00597761" w:rsidRPr="008A6E7B" w14:paraId="5E3533ED" w14:textId="77777777" w:rsidTr="00ED301F">
        <w:trPr>
          <w:trHeight w:val="287"/>
        </w:trPr>
        <w:tc>
          <w:tcPr>
            <w:tcW w:w="4453" w:type="pct"/>
            <w:gridSpan w:val="5"/>
            <w:shd w:val="clear" w:color="auto" w:fill="92D050"/>
          </w:tcPr>
          <w:p w14:paraId="309C7B03" w14:textId="77777777" w:rsidR="00597761" w:rsidRPr="004A71B1" w:rsidRDefault="00597761" w:rsidP="009A0C13">
            <w:pPr>
              <w:pStyle w:val="Default"/>
              <w:jc w:val="both"/>
              <w:rPr>
                <w:rFonts w:asciiTheme="minorHAnsi" w:hAnsiTheme="minorHAnsi" w:cstheme="minorHAnsi"/>
                <w:b/>
                <w:sz w:val="19"/>
                <w:szCs w:val="19"/>
                <w:lang w:val="en-US"/>
              </w:rPr>
            </w:pPr>
            <w:r w:rsidRPr="004A71B1">
              <w:rPr>
                <w:rFonts w:asciiTheme="minorHAnsi" w:hAnsiTheme="minorHAnsi" w:cstheme="minorHAnsi"/>
                <w:b/>
                <w:bCs/>
                <w:sz w:val="19"/>
                <w:szCs w:val="19"/>
                <w:lang w:val="en-US"/>
              </w:rPr>
              <w:t>Capacity building and institutional support</w:t>
            </w:r>
          </w:p>
        </w:tc>
        <w:tc>
          <w:tcPr>
            <w:tcW w:w="547" w:type="pct"/>
            <w:gridSpan w:val="2"/>
            <w:shd w:val="clear" w:color="auto" w:fill="92D050"/>
          </w:tcPr>
          <w:p w14:paraId="7E27F6D5" w14:textId="77777777" w:rsidR="00597761" w:rsidRPr="004A71B1" w:rsidRDefault="00597761" w:rsidP="009A0C13">
            <w:pPr>
              <w:pStyle w:val="Default"/>
              <w:jc w:val="both"/>
              <w:rPr>
                <w:rFonts w:asciiTheme="minorHAnsi" w:hAnsiTheme="minorHAnsi" w:cstheme="minorHAnsi"/>
                <w:bCs/>
                <w:sz w:val="19"/>
                <w:szCs w:val="19"/>
                <w:lang w:val="en-US"/>
              </w:rPr>
            </w:pPr>
          </w:p>
        </w:tc>
      </w:tr>
      <w:tr w:rsidR="00597761" w:rsidRPr="004A71B1" w14:paraId="2DDF4ADD" w14:textId="77777777" w:rsidTr="00ED301F">
        <w:trPr>
          <w:gridAfter w:val="1"/>
          <w:wAfter w:w="9" w:type="pct"/>
          <w:trHeight w:val="434"/>
        </w:trPr>
        <w:tc>
          <w:tcPr>
            <w:tcW w:w="1163" w:type="pct"/>
          </w:tcPr>
          <w:p w14:paraId="3A15F054" w14:textId="77777777" w:rsidR="00597761" w:rsidRPr="004A71B1" w:rsidRDefault="00597761" w:rsidP="009A0C13">
            <w:pPr>
              <w:pStyle w:val="Default"/>
              <w:rPr>
                <w:rFonts w:asciiTheme="minorHAnsi" w:hAnsiTheme="minorHAnsi" w:cstheme="minorHAnsi"/>
                <w:bCs/>
                <w:sz w:val="19"/>
                <w:szCs w:val="19"/>
                <w:lang w:val="en-US"/>
              </w:rPr>
            </w:pPr>
            <w:r w:rsidRPr="004A71B1">
              <w:rPr>
                <w:rFonts w:asciiTheme="minorHAnsi" w:hAnsiTheme="minorHAnsi" w:cstheme="minorHAnsi"/>
                <w:bCs/>
                <w:sz w:val="19"/>
                <w:szCs w:val="19"/>
                <w:lang w:val="en-US"/>
              </w:rPr>
              <w:t>Trainings</w:t>
            </w:r>
          </w:p>
        </w:tc>
        <w:tc>
          <w:tcPr>
            <w:tcW w:w="1708" w:type="pct"/>
            <w:vMerge w:val="restart"/>
          </w:tcPr>
          <w:p w14:paraId="76B18933"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Partnership agreement with the FNM on specific capacities development needed to support the MFIs’ growth</w:t>
            </w:r>
          </w:p>
        </w:tc>
        <w:tc>
          <w:tcPr>
            <w:tcW w:w="817" w:type="pct"/>
          </w:tcPr>
          <w:p w14:paraId="13E95CB2"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bCs/>
                <w:sz w:val="19"/>
                <w:szCs w:val="19"/>
                <w:lang w:val="en-US"/>
              </w:rPr>
              <w:t>1,369,289,759</w:t>
            </w:r>
          </w:p>
        </w:tc>
        <w:tc>
          <w:tcPr>
            <w:tcW w:w="759" w:type="pct"/>
          </w:tcPr>
          <w:p w14:paraId="7A95D32E" w14:textId="77777777" w:rsidR="00597761" w:rsidRPr="004A71B1" w:rsidRDefault="00597761" w:rsidP="009A0C13">
            <w:pPr>
              <w:pStyle w:val="Default"/>
              <w:jc w:val="center"/>
              <w:rPr>
                <w:rFonts w:asciiTheme="minorHAnsi" w:hAnsiTheme="minorHAnsi" w:cstheme="minorHAnsi"/>
                <w:sz w:val="19"/>
                <w:szCs w:val="19"/>
                <w:lang w:val="en-US"/>
              </w:rPr>
            </w:pPr>
          </w:p>
        </w:tc>
        <w:tc>
          <w:tcPr>
            <w:tcW w:w="545" w:type="pct"/>
            <w:gridSpan w:val="2"/>
          </w:tcPr>
          <w:p w14:paraId="60D38697" w14:textId="77777777" w:rsidR="00597761" w:rsidRPr="004A71B1" w:rsidRDefault="00597761" w:rsidP="009A0C13">
            <w:pPr>
              <w:pStyle w:val="Default"/>
              <w:jc w:val="center"/>
              <w:rPr>
                <w:rFonts w:asciiTheme="minorHAnsi" w:hAnsiTheme="minorHAnsi" w:cstheme="minorHAnsi"/>
                <w:sz w:val="19"/>
                <w:szCs w:val="19"/>
                <w:lang w:val="en-US"/>
              </w:rPr>
            </w:pPr>
          </w:p>
        </w:tc>
      </w:tr>
      <w:tr w:rsidR="00597761" w:rsidRPr="004A71B1" w14:paraId="311EE810" w14:textId="77777777" w:rsidTr="00ED301F">
        <w:trPr>
          <w:gridAfter w:val="1"/>
          <w:wAfter w:w="9" w:type="pct"/>
          <w:trHeight w:val="557"/>
        </w:trPr>
        <w:tc>
          <w:tcPr>
            <w:tcW w:w="1163" w:type="pct"/>
          </w:tcPr>
          <w:p w14:paraId="6A47CB5C" w14:textId="77777777" w:rsidR="00597761" w:rsidRPr="004A71B1" w:rsidRDefault="00597761" w:rsidP="009A0C13">
            <w:pPr>
              <w:pStyle w:val="Default"/>
              <w:rPr>
                <w:rFonts w:asciiTheme="minorHAnsi" w:hAnsiTheme="minorHAnsi" w:cstheme="minorHAnsi"/>
                <w:bCs/>
                <w:sz w:val="19"/>
                <w:szCs w:val="19"/>
                <w:lang w:val="en-US"/>
              </w:rPr>
            </w:pPr>
            <w:r w:rsidRPr="004A71B1">
              <w:rPr>
                <w:rFonts w:asciiTheme="minorHAnsi" w:hAnsiTheme="minorHAnsi" w:cstheme="minorHAnsi"/>
                <w:bCs/>
                <w:sz w:val="19"/>
                <w:szCs w:val="19"/>
                <w:lang w:val="en-US"/>
              </w:rPr>
              <w:t>Institutional support</w:t>
            </w:r>
          </w:p>
        </w:tc>
        <w:tc>
          <w:tcPr>
            <w:tcW w:w="1708" w:type="pct"/>
            <w:vMerge/>
          </w:tcPr>
          <w:p w14:paraId="5F5188C6" w14:textId="77777777" w:rsidR="00597761" w:rsidRPr="004A71B1" w:rsidRDefault="00597761" w:rsidP="009A0C13">
            <w:pPr>
              <w:pStyle w:val="Default"/>
              <w:jc w:val="both"/>
              <w:rPr>
                <w:rFonts w:asciiTheme="minorHAnsi" w:hAnsiTheme="minorHAnsi" w:cstheme="minorHAnsi"/>
                <w:sz w:val="19"/>
                <w:szCs w:val="19"/>
                <w:lang w:val="en-US"/>
              </w:rPr>
            </w:pPr>
          </w:p>
        </w:tc>
        <w:tc>
          <w:tcPr>
            <w:tcW w:w="817" w:type="pct"/>
          </w:tcPr>
          <w:p w14:paraId="55F8F38A"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1,731,721,094</w:t>
            </w:r>
          </w:p>
        </w:tc>
        <w:tc>
          <w:tcPr>
            <w:tcW w:w="759" w:type="pct"/>
          </w:tcPr>
          <w:p w14:paraId="4AA3C648" w14:textId="77777777" w:rsidR="00597761" w:rsidRPr="004A71B1" w:rsidRDefault="00597761" w:rsidP="009A0C13">
            <w:pPr>
              <w:pStyle w:val="Default"/>
              <w:jc w:val="center"/>
              <w:rPr>
                <w:rFonts w:asciiTheme="minorHAnsi" w:hAnsiTheme="minorHAnsi" w:cstheme="minorHAnsi"/>
                <w:sz w:val="19"/>
                <w:szCs w:val="19"/>
                <w:lang w:val="en-US"/>
              </w:rPr>
            </w:pPr>
          </w:p>
        </w:tc>
        <w:tc>
          <w:tcPr>
            <w:tcW w:w="545" w:type="pct"/>
            <w:gridSpan w:val="2"/>
          </w:tcPr>
          <w:p w14:paraId="07FA8722" w14:textId="77777777" w:rsidR="00597761" w:rsidRPr="004A71B1" w:rsidRDefault="00597761" w:rsidP="009A0C13">
            <w:pPr>
              <w:pStyle w:val="Default"/>
              <w:jc w:val="center"/>
              <w:rPr>
                <w:rFonts w:asciiTheme="minorHAnsi" w:hAnsiTheme="minorHAnsi" w:cstheme="minorHAnsi"/>
                <w:sz w:val="19"/>
                <w:szCs w:val="19"/>
                <w:lang w:val="en-US"/>
              </w:rPr>
            </w:pPr>
          </w:p>
        </w:tc>
      </w:tr>
      <w:tr w:rsidR="00597761" w:rsidRPr="004A71B1" w14:paraId="5AE91C60" w14:textId="77777777" w:rsidTr="00ED301F">
        <w:trPr>
          <w:trHeight w:val="217"/>
        </w:trPr>
        <w:tc>
          <w:tcPr>
            <w:tcW w:w="4453" w:type="pct"/>
            <w:gridSpan w:val="5"/>
            <w:shd w:val="clear" w:color="auto" w:fill="92D050"/>
          </w:tcPr>
          <w:p w14:paraId="09B976F2" w14:textId="77777777" w:rsidR="00597761" w:rsidRPr="004A71B1" w:rsidRDefault="00597761" w:rsidP="009A0C13">
            <w:pPr>
              <w:pStyle w:val="Default"/>
              <w:jc w:val="both"/>
              <w:rPr>
                <w:rFonts w:asciiTheme="minorHAnsi" w:hAnsiTheme="minorHAnsi" w:cstheme="minorHAnsi"/>
                <w:b/>
                <w:sz w:val="19"/>
                <w:szCs w:val="19"/>
                <w:lang w:val="en-US"/>
              </w:rPr>
            </w:pPr>
            <w:r w:rsidRPr="004A71B1">
              <w:rPr>
                <w:rFonts w:asciiTheme="minorHAnsi" w:hAnsiTheme="minorHAnsi" w:cstheme="minorHAnsi"/>
                <w:b/>
                <w:sz w:val="19"/>
                <w:szCs w:val="19"/>
                <w:lang w:val="en-US"/>
              </w:rPr>
              <w:t>Facilitation funds</w:t>
            </w:r>
          </w:p>
        </w:tc>
        <w:tc>
          <w:tcPr>
            <w:tcW w:w="547" w:type="pct"/>
            <w:gridSpan w:val="2"/>
            <w:shd w:val="clear" w:color="auto" w:fill="92D050"/>
          </w:tcPr>
          <w:p w14:paraId="2B14E02E" w14:textId="77777777" w:rsidR="00597761" w:rsidRPr="004A71B1" w:rsidRDefault="00597761" w:rsidP="009A0C13">
            <w:pPr>
              <w:pStyle w:val="Default"/>
              <w:jc w:val="both"/>
              <w:rPr>
                <w:rFonts w:asciiTheme="minorHAnsi" w:hAnsiTheme="minorHAnsi" w:cstheme="minorHAnsi"/>
                <w:sz w:val="19"/>
                <w:szCs w:val="19"/>
                <w:lang w:val="en-US"/>
              </w:rPr>
            </w:pPr>
          </w:p>
        </w:tc>
      </w:tr>
      <w:tr w:rsidR="00597761" w:rsidRPr="004A71B1" w14:paraId="1A369B34" w14:textId="77777777" w:rsidTr="00ED301F">
        <w:trPr>
          <w:gridAfter w:val="1"/>
          <w:wAfter w:w="9" w:type="pct"/>
          <w:trHeight w:val="434"/>
        </w:trPr>
        <w:tc>
          <w:tcPr>
            <w:tcW w:w="1163" w:type="pct"/>
          </w:tcPr>
          <w:p w14:paraId="3BF27CA5" w14:textId="77777777" w:rsidR="00597761" w:rsidRPr="004A71B1" w:rsidRDefault="00597761" w:rsidP="009A0C13">
            <w:pPr>
              <w:pStyle w:val="Default"/>
              <w:rPr>
                <w:rFonts w:asciiTheme="minorHAnsi" w:hAnsiTheme="minorHAnsi" w:cstheme="minorHAnsi"/>
                <w:bCs/>
                <w:sz w:val="19"/>
                <w:szCs w:val="19"/>
                <w:lang w:val="en-US"/>
              </w:rPr>
            </w:pPr>
          </w:p>
        </w:tc>
        <w:tc>
          <w:tcPr>
            <w:tcW w:w="1708" w:type="pct"/>
          </w:tcPr>
          <w:p w14:paraId="60A4A3C0" w14:textId="38D14799"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Interest rate charged to MFIs by banks is 5% and charged to MSMEs</w:t>
            </w:r>
            <w:r w:rsidR="00C702B4" w:rsidRPr="004A71B1">
              <w:rPr>
                <w:rFonts w:asciiTheme="minorHAnsi" w:hAnsiTheme="minorHAnsi" w:cstheme="minorHAnsi"/>
                <w:sz w:val="19"/>
                <w:szCs w:val="19"/>
                <w:lang w:val="en-US"/>
              </w:rPr>
              <w:t> </w:t>
            </w:r>
            <w:r w:rsidRPr="004A71B1">
              <w:rPr>
                <w:rFonts w:asciiTheme="minorHAnsi" w:hAnsiTheme="minorHAnsi" w:cstheme="minorHAnsi"/>
                <w:sz w:val="19"/>
                <w:szCs w:val="19"/>
                <w:lang w:val="en-US"/>
              </w:rPr>
              <w:t>10%</w:t>
            </w:r>
          </w:p>
          <w:p w14:paraId="272AE67A" w14:textId="77777777" w:rsidR="00597761" w:rsidRPr="004A71B1" w:rsidRDefault="00597761" w:rsidP="009A0C13">
            <w:pPr>
              <w:pStyle w:val="Default"/>
              <w:rPr>
                <w:rFonts w:asciiTheme="minorHAnsi" w:hAnsiTheme="minorHAnsi" w:cstheme="minorHAnsi"/>
                <w:sz w:val="19"/>
                <w:szCs w:val="19"/>
                <w:lang w:val="en-US"/>
              </w:rPr>
            </w:pPr>
            <w:r w:rsidRPr="004A71B1">
              <w:rPr>
                <w:rFonts w:asciiTheme="minorHAnsi" w:hAnsiTheme="minorHAnsi" w:cstheme="minorHAnsi"/>
                <w:sz w:val="19"/>
                <w:szCs w:val="19"/>
                <w:lang w:val="en-US"/>
              </w:rPr>
              <w:t>Short and medium-term loans</w:t>
            </w:r>
          </w:p>
        </w:tc>
        <w:tc>
          <w:tcPr>
            <w:tcW w:w="817" w:type="pct"/>
          </w:tcPr>
          <w:p w14:paraId="33D8951C" w14:textId="77777777" w:rsidR="00597761" w:rsidRPr="004A71B1" w:rsidRDefault="00597761" w:rsidP="009A0C13">
            <w:pPr>
              <w:pStyle w:val="Defaul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3,030,460,000</w:t>
            </w:r>
          </w:p>
        </w:tc>
        <w:tc>
          <w:tcPr>
            <w:tcW w:w="759" w:type="pct"/>
          </w:tcPr>
          <w:p w14:paraId="16DD3541" w14:textId="77777777" w:rsidR="00597761" w:rsidRPr="004A71B1" w:rsidRDefault="00597761" w:rsidP="009A0C13">
            <w:pPr>
              <w:pStyle w:val="Default"/>
              <w:jc w:val="center"/>
              <w:rPr>
                <w:rFonts w:asciiTheme="minorHAnsi" w:hAnsiTheme="minorHAnsi" w:cstheme="minorHAnsi"/>
                <w:sz w:val="19"/>
                <w:szCs w:val="19"/>
                <w:lang w:val="en-US"/>
              </w:rPr>
            </w:pPr>
          </w:p>
        </w:tc>
        <w:tc>
          <w:tcPr>
            <w:tcW w:w="545" w:type="pct"/>
            <w:gridSpan w:val="2"/>
          </w:tcPr>
          <w:p w14:paraId="3F50CF89" w14:textId="77777777" w:rsidR="00597761" w:rsidRPr="004A71B1" w:rsidRDefault="00597761" w:rsidP="009A0C13">
            <w:pPr>
              <w:pStyle w:val="Default"/>
              <w:keepNext/>
              <w:jc w:val="center"/>
              <w:rPr>
                <w:rFonts w:asciiTheme="minorHAnsi" w:hAnsiTheme="minorHAnsi" w:cstheme="minorHAnsi"/>
                <w:sz w:val="19"/>
                <w:szCs w:val="19"/>
                <w:lang w:val="en-US"/>
              </w:rPr>
            </w:pPr>
            <w:r w:rsidRPr="004A71B1">
              <w:rPr>
                <w:rFonts w:asciiTheme="minorHAnsi" w:hAnsiTheme="minorHAnsi" w:cstheme="minorHAnsi"/>
                <w:sz w:val="19"/>
                <w:szCs w:val="19"/>
                <w:lang w:val="en-US"/>
              </w:rPr>
              <w:t>6</w:t>
            </w:r>
          </w:p>
        </w:tc>
      </w:tr>
    </w:tbl>
    <w:p w14:paraId="3BECEAF7" w14:textId="4FB4859C" w:rsidR="00597761" w:rsidRDefault="00597761" w:rsidP="00597761">
      <w:pPr>
        <w:pStyle w:val="Default"/>
        <w:rPr>
          <w:rFonts w:asciiTheme="majorHAnsi" w:hAnsiTheme="majorHAnsi" w:cstheme="majorHAnsi"/>
          <w:color w:val="2E74B5" w:themeColor="accent1" w:themeShade="BF"/>
          <w:sz w:val="20"/>
          <w:szCs w:val="20"/>
          <w:lang w:val="en-US"/>
        </w:rPr>
      </w:pPr>
      <w:r w:rsidRPr="00124DA6">
        <w:rPr>
          <w:rFonts w:asciiTheme="majorHAnsi" w:hAnsiTheme="majorHAnsi" w:cstheme="majorHAnsi"/>
          <w:i/>
          <w:color w:val="2E74B5" w:themeColor="accent1" w:themeShade="BF"/>
          <w:sz w:val="20"/>
          <w:szCs w:val="20"/>
          <w:lang w:val="en-US"/>
        </w:rPr>
        <w:t>Source</w:t>
      </w:r>
      <w:r w:rsidRPr="00124DA6">
        <w:rPr>
          <w:rFonts w:asciiTheme="majorHAnsi" w:hAnsiTheme="majorHAnsi" w:cstheme="majorHAnsi"/>
          <w:color w:val="2E74B5" w:themeColor="accent1" w:themeShade="BF"/>
          <w:sz w:val="20"/>
          <w:szCs w:val="20"/>
          <w:lang w:val="en-US"/>
        </w:rPr>
        <w:t>: FNM</w:t>
      </w:r>
      <w:r w:rsidR="00C702B4">
        <w:rPr>
          <w:rFonts w:asciiTheme="majorHAnsi" w:hAnsiTheme="majorHAnsi" w:cstheme="majorHAnsi"/>
          <w:color w:val="2E74B5" w:themeColor="accent1" w:themeShade="BF"/>
          <w:sz w:val="20"/>
          <w:szCs w:val="20"/>
          <w:lang w:val="en-US"/>
        </w:rPr>
        <w:t> </w:t>
      </w:r>
      <w:r w:rsidRPr="00124DA6">
        <w:rPr>
          <w:rFonts w:asciiTheme="majorHAnsi" w:hAnsiTheme="majorHAnsi" w:cstheme="majorHAnsi"/>
          <w:color w:val="2E74B5" w:themeColor="accent1" w:themeShade="BF"/>
          <w:sz w:val="20"/>
          <w:szCs w:val="20"/>
          <w:lang w:val="en-US"/>
        </w:rPr>
        <w:t xml:space="preserve">2017. </w:t>
      </w:r>
    </w:p>
    <w:p w14:paraId="0AFECDBD" w14:textId="77777777" w:rsidR="00597761" w:rsidRPr="00124DA6" w:rsidRDefault="00597761" w:rsidP="00597761">
      <w:pPr>
        <w:pStyle w:val="Default"/>
        <w:rPr>
          <w:rFonts w:asciiTheme="majorHAnsi" w:hAnsiTheme="majorHAnsi" w:cstheme="majorHAnsi"/>
          <w:color w:val="2E74B5" w:themeColor="accent1" w:themeShade="BF"/>
          <w:sz w:val="20"/>
          <w:szCs w:val="20"/>
          <w:lang w:val="en-US"/>
        </w:rPr>
      </w:pPr>
    </w:p>
    <w:p w14:paraId="6C27947D" w14:textId="582B01DC" w:rsidR="00597761" w:rsidRPr="00124DA6" w:rsidRDefault="00597761" w:rsidP="00AF7AD2">
      <w:pPr>
        <w:pStyle w:val="ListParagraph"/>
        <w:numPr>
          <w:ilvl w:val="0"/>
          <w:numId w:val="47"/>
        </w:numPr>
        <w:spacing w:after="240" w:line="240" w:lineRule="auto"/>
        <w:ind w:left="0" w:firstLine="0"/>
        <w:contextualSpacing w:val="0"/>
        <w:jc w:val="both"/>
        <w:rPr>
          <w:rFonts w:cstheme="minorHAnsi"/>
          <w:color w:val="222222"/>
          <w:lang w:val="en-US"/>
        </w:rPr>
      </w:pPr>
      <w:r w:rsidRPr="00124DA6">
        <w:rPr>
          <w:rFonts w:cstheme="minorHAnsi"/>
          <w:b/>
          <w:color w:val="222222"/>
          <w:lang w:val="en-US"/>
        </w:rPr>
        <w:t xml:space="preserve">In accordance with the 2012 microfinance law, MFIs have </w:t>
      </w:r>
      <w:r w:rsidR="009622E9">
        <w:rPr>
          <w:rFonts w:cstheme="minorHAnsi"/>
          <w:b/>
          <w:color w:val="222222"/>
          <w:lang w:val="en-US"/>
        </w:rPr>
        <w:t>established their</w:t>
      </w:r>
      <w:r w:rsidR="009622E9" w:rsidRPr="00124DA6">
        <w:rPr>
          <w:rFonts w:cstheme="minorHAnsi"/>
          <w:b/>
          <w:color w:val="222222"/>
          <w:lang w:val="en-US"/>
        </w:rPr>
        <w:t xml:space="preserve"> </w:t>
      </w:r>
      <w:r w:rsidRPr="00124DA6">
        <w:rPr>
          <w:rFonts w:cstheme="minorHAnsi"/>
          <w:b/>
          <w:color w:val="222222"/>
          <w:lang w:val="en-US"/>
        </w:rPr>
        <w:t>professional association</w:t>
      </w:r>
      <w:r w:rsidR="009622E9">
        <w:rPr>
          <w:rFonts w:cstheme="minorHAnsi"/>
          <w:b/>
          <w:color w:val="222222"/>
          <w:lang w:val="en-US"/>
        </w:rPr>
        <w:t xml:space="preserve"> </w:t>
      </w:r>
      <w:r w:rsidR="002425E2">
        <w:rPr>
          <w:rFonts w:cstheme="minorHAnsi"/>
          <w:b/>
          <w:color w:val="222222"/>
          <w:lang w:val="en-US"/>
        </w:rPr>
        <w:t>—</w:t>
      </w:r>
      <w:r w:rsidR="009622E9">
        <w:rPr>
          <w:rFonts w:cstheme="minorHAnsi"/>
          <w:b/>
          <w:color w:val="222222"/>
          <w:lang w:val="en-US"/>
        </w:rPr>
        <w:t xml:space="preserve"> namely, the</w:t>
      </w:r>
      <w:r w:rsidRPr="00124DA6">
        <w:rPr>
          <w:rFonts w:cstheme="minorHAnsi"/>
          <w:b/>
          <w:color w:val="222222"/>
          <w:lang w:val="en-US"/>
        </w:rPr>
        <w:t xml:space="preserve"> </w:t>
      </w:r>
      <w:r w:rsidRPr="003501A8">
        <w:rPr>
          <w:rFonts w:cstheme="minorHAnsi"/>
          <w:b/>
          <w:szCs w:val="20"/>
          <w:lang w:val="en-US"/>
        </w:rPr>
        <w:t>Professional Association of Decentralized Financial Services (</w:t>
      </w:r>
      <w:r w:rsidRPr="00124DA6">
        <w:rPr>
          <w:rFonts w:cstheme="minorHAnsi"/>
          <w:b/>
          <w:color w:val="222222"/>
          <w:lang w:val="en-US"/>
        </w:rPr>
        <w:t>APSFD)-Benin, formerly known as the Alafia Consortium</w:t>
      </w:r>
      <w:r w:rsidRPr="00124DA6">
        <w:rPr>
          <w:rFonts w:cstheme="minorHAnsi"/>
          <w:color w:val="222222"/>
          <w:lang w:val="en-US"/>
        </w:rPr>
        <w:t xml:space="preserve">. APSFD-Benin is well established and recognized by all the industry players. Its activity </w:t>
      </w:r>
      <w:r w:rsidR="009622E9">
        <w:rPr>
          <w:rFonts w:cstheme="minorHAnsi"/>
          <w:color w:val="222222"/>
          <w:lang w:val="en-US"/>
        </w:rPr>
        <w:t>revolves</w:t>
      </w:r>
      <w:r w:rsidRPr="00124DA6">
        <w:rPr>
          <w:rFonts w:cstheme="minorHAnsi"/>
          <w:color w:val="222222"/>
          <w:lang w:val="en-US"/>
        </w:rPr>
        <w:t xml:space="preserve"> around three programs: the defense of the interests of its members and the </w:t>
      </w:r>
      <w:r w:rsidRPr="00124DA6">
        <w:rPr>
          <w:rFonts w:cstheme="minorHAnsi"/>
          <w:lang w:val="en-US"/>
        </w:rPr>
        <w:t>promotion</w:t>
      </w:r>
      <w:r w:rsidRPr="00124DA6">
        <w:rPr>
          <w:rFonts w:cstheme="minorHAnsi"/>
          <w:color w:val="222222"/>
          <w:lang w:val="en-US"/>
        </w:rPr>
        <w:t xml:space="preserve"> of the sector, support for the professionalization and development of members, strengthening of the institutional capacity of the association, and development of </w:t>
      </w:r>
      <w:r w:rsidRPr="00124DA6">
        <w:rPr>
          <w:rFonts w:ascii="Calibri-Bold" w:hAnsi="Calibri-Bold" w:cs="Calibri-Bold"/>
          <w:bCs/>
          <w:lang w:val="en-US"/>
        </w:rPr>
        <w:t>cooperation</w:t>
      </w:r>
      <w:r w:rsidRPr="00124DA6">
        <w:rPr>
          <w:rFonts w:cstheme="minorHAnsi"/>
          <w:color w:val="222222"/>
          <w:lang w:val="en-US"/>
        </w:rPr>
        <w:t xml:space="preserve"> among the members. Each year, about 50 activities are defined within these programs. The association plays an important role in providing capacity building to MFIs’ staff, elected bodies. It conducts more than 50 training every year.</w:t>
      </w:r>
    </w:p>
    <w:p w14:paraId="45786E87" w14:textId="64B76A0E" w:rsidR="00597761" w:rsidRDefault="00597761" w:rsidP="00AF7AD2">
      <w:pPr>
        <w:pStyle w:val="ListParagraph"/>
        <w:numPr>
          <w:ilvl w:val="0"/>
          <w:numId w:val="47"/>
        </w:numPr>
        <w:spacing w:after="240" w:line="240" w:lineRule="auto"/>
        <w:ind w:left="0" w:firstLine="0"/>
        <w:contextualSpacing w:val="0"/>
        <w:jc w:val="both"/>
        <w:rPr>
          <w:rFonts w:cstheme="minorHAnsi"/>
          <w:color w:val="222222"/>
          <w:lang w:val="en-US"/>
        </w:rPr>
      </w:pPr>
      <w:r w:rsidRPr="00124DA6">
        <w:rPr>
          <w:rFonts w:cstheme="minorHAnsi"/>
          <w:b/>
          <w:color w:val="222222"/>
          <w:lang w:val="en-US"/>
        </w:rPr>
        <w:t>APSFD-Benin is dependent on subsidies, which accounted for 65 percent of its budget</w:t>
      </w:r>
      <w:r w:rsidR="00E46EB9">
        <w:rPr>
          <w:rFonts w:cstheme="minorHAnsi"/>
          <w:b/>
          <w:color w:val="222222"/>
          <w:lang w:val="en-US"/>
        </w:rPr>
        <w:t xml:space="preserve"> in 2016</w:t>
      </w:r>
      <w:r w:rsidRPr="00124DA6">
        <w:rPr>
          <w:rFonts w:cstheme="minorHAnsi"/>
          <w:color w:val="222222"/>
          <w:lang w:val="en-US"/>
        </w:rPr>
        <w:t xml:space="preserve">. </w:t>
      </w:r>
      <w:r w:rsidR="00E46EB9">
        <w:rPr>
          <w:rFonts w:cstheme="minorHAnsi"/>
          <w:color w:val="222222"/>
          <w:lang w:val="en-US"/>
        </w:rPr>
        <w:t>That same year</w:t>
      </w:r>
      <w:r w:rsidRPr="00124DA6">
        <w:rPr>
          <w:rFonts w:cstheme="minorHAnsi"/>
          <w:color w:val="222222"/>
          <w:lang w:val="en-US"/>
        </w:rPr>
        <w:t>, APSFD</w:t>
      </w:r>
      <w:r w:rsidR="00141BD7">
        <w:rPr>
          <w:rFonts w:cstheme="minorHAnsi"/>
          <w:color w:val="222222"/>
          <w:lang w:val="en-US"/>
        </w:rPr>
        <w:t>’</w:t>
      </w:r>
      <w:r w:rsidRPr="00124DA6">
        <w:rPr>
          <w:rFonts w:cstheme="minorHAnsi"/>
          <w:color w:val="222222"/>
          <w:lang w:val="en-US"/>
        </w:rPr>
        <w:t xml:space="preserve">s resources </w:t>
      </w:r>
      <w:r w:rsidRPr="00124DA6">
        <w:rPr>
          <w:rFonts w:ascii="Calibri" w:hAnsi="Calibri" w:cs="Calibri"/>
          <w:lang w:val="en-US"/>
        </w:rPr>
        <w:t>amounted</w:t>
      </w:r>
      <w:r w:rsidRPr="00124DA6">
        <w:rPr>
          <w:rFonts w:cstheme="minorHAnsi"/>
          <w:color w:val="222222"/>
          <w:lang w:val="en-US"/>
        </w:rPr>
        <w:t xml:space="preserve"> to CFAF</w:t>
      </w:r>
      <w:r w:rsidR="00C702B4">
        <w:rPr>
          <w:rFonts w:cstheme="minorHAnsi"/>
          <w:color w:val="222222"/>
          <w:lang w:val="en-US"/>
        </w:rPr>
        <w:t> </w:t>
      </w:r>
      <w:r w:rsidRPr="00124DA6">
        <w:rPr>
          <w:rFonts w:cstheme="minorHAnsi"/>
          <w:color w:val="222222"/>
          <w:lang w:val="en-US"/>
        </w:rPr>
        <w:t>258.6</w:t>
      </w:r>
      <w:r w:rsidR="00C702B4">
        <w:rPr>
          <w:rFonts w:cstheme="minorHAnsi"/>
          <w:color w:val="222222"/>
          <w:lang w:val="en-US"/>
        </w:rPr>
        <w:t> </w:t>
      </w:r>
      <w:r w:rsidRPr="00124DA6">
        <w:rPr>
          <w:rFonts w:cstheme="minorHAnsi"/>
          <w:color w:val="222222"/>
          <w:lang w:val="en-US"/>
        </w:rPr>
        <w:t>million, of which CFAF</w:t>
      </w:r>
      <w:r w:rsidR="00C702B4">
        <w:rPr>
          <w:rFonts w:cstheme="minorHAnsi"/>
          <w:color w:val="222222"/>
          <w:lang w:val="en-US"/>
        </w:rPr>
        <w:t> </w:t>
      </w:r>
      <w:r w:rsidRPr="00124DA6">
        <w:rPr>
          <w:rFonts w:cstheme="minorHAnsi"/>
          <w:color w:val="222222"/>
          <w:lang w:val="en-US"/>
        </w:rPr>
        <w:t>38.5</w:t>
      </w:r>
      <w:r w:rsidR="00C702B4">
        <w:rPr>
          <w:rFonts w:cstheme="minorHAnsi"/>
          <w:color w:val="222222"/>
          <w:lang w:val="en-US"/>
        </w:rPr>
        <w:t> </w:t>
      </w:r>
      <w:r w:rsidRPr="00124DA6">
        <w:rPr>
          <w:rFonts w:cstheme="minorHAnsi"/>
          <w:color w:val="222222"/>
          <w:lang w:val="en-US"/>
        </w:rPr>
        <w:t>million came from the MFIs’ contributions, CFAF</w:t>
      </w:r>
      <w:r w:rsidR="00C702B4">
        <w:rPr>
          <w:rFonts w:cstheme="minorHAnsi"/>
          <w:color w:val="222222"/>
          <w:lang w:val="en-US"/>
        </w:rPr>
        <w:t> </w:t>
      </w:r>
      <w:r w:rsidRPr="00124DA6">
        <w:rPr>
          <w:rFonts w:cstheme="minorHAnsi"/>
          <w:color w:val="222222"/>
          <w:lang w:val="en-US"/>
        </w:rPr>
        <w:t>50.7</w:t>
      </w:r>
      <w:r w:rsidR="00C702B4">
        <w:rPr>
          <w:rFonts w:cstheme="minorHAnsi"/>
          <w:color w:val="222222"/>
          <w:lang w:val="en-US"/>
        </w:rPr>
        <w:t> </w:t>
      </w:r>
      <w:r w:rsidRPr="00124DA6">
        <w:rPr>
          <w:rFonts w:cstheme="minorHAnsi"/>
          <w:color w:val="222222"/>
          <w:lang w:val="en-US"/>
        </w:rPr>
        <w:t>million from the income generated by the activity, and CFAF</w:t>
      </w:r>
      <w:r w:rsidR="00C702B4">
        <w:rPr>
          <w:rFonts w:cstheme="minorHAnsi"/>
          <w:color w:val="222222"/>
          <w:lang w:val="en-US"/>
        </w:rPr>
        <w:t> </w:t>
      </w:r>
      <w:r w:rsidRPr="00124DA6">
        <w:rPr>
          <w:rFonts w:cstheme="minorHAnsi"/>
          <w:color w:val="222222"/>
          <w:lang w:val="en-US"/>
        </w:rPr>
        <w:t>169.3</w:t>
      </w:r>
      <w:r w:rsidR="00C702B4">
        <w:rPr>
          <w:rFonts w:cstheme="minorHAnsi"/>
          <w:color w:val="222222"/>
          <w:lang w:val="en-US"/>
        </w:rPr>
        <w:t> </w:t>
      </w:r>
      <w:r w:rsidRPr="00124DA6">
        <w:rPr>
          <w:rFonts w:cstheme="minorHAnsi"/>
          <w:color w:val="222222"/>
          <w:lang w:val="en-US"/>
        </w:rPr>
        <w:t xml:space="preserve">million from subsidies. When an organization </w:t>
      </w:r>
      <w:r w:rsidR="00E46EB9">
        <w:rPr>
          <w:rFonts w:cstheme="minorHAnsi"/>
          <w:color w:val="222222"/>
          <w:lang w:val="en-US"/>
        </w:rPr>
        <w:t>relies</w:t>
      </w:r>
      <w:r w:rsidRPr="00124DA6">
        <w:rPr>
          <w:rFonts w:cstheme="minorHAnsi"/>
          <w:color w:val="222222"/>
          <w:lang w:val="en-US"/>
        </w:rPr>
        <w:t xml:space="preserve"> on grants, the budget forecast exercise is difficult and unpredictable. In 2016, actual resources accounted for only 69 percent of the estimated budget</w:t>
      </w:r>
      <w:r>
        <w:rPr>
          <w:rFonts w:cstheme="minorHAnsi"/>
          <w:color w:val="222222"/>
          <w:lang w:val="en-US"/>
        </w:rPr>
        <w:t>.</w:t>
      </w:r>
    </w:p>
    <w:p w14:paraId="38351945" w14:textId="75299C1F" w:rsidR="00597761" w:rsidRPr="00E46EB9" w:rsidRDefault="00597761" w:rsidP="00AF7AD2">
      <w:pPr>
        <w:pStyle w:val="ListParagraph"/>
        <w:numPr>
          <w:ilvl w:val="0"/>
          <w:numId w:val="47"/>
        </w:numPr>
        <w:spacing w:after="240" w:line="240" w:lineRule="auto"/>
        <w:ind w:left="0" w:firstLine="0"/>
        <w:contextualSpacing w:val="0"/>
        <w:jc w:val="both"/>
        <w:rPr>
          <w:rFonts w:cstheme="minorHAnsi"/>
          <w:lang w:val="en-US"/>
        </w:rPr>
      </w:pPr>
      <w:r w:rsidRPr="00124DA6">
        <w:rPr>
          <w:rFonts w:cstheme="minorHAnsi"/>
          <w:b/>
          <w:lang w:val="en-US"/>
        </w:rPr>
        <w:t xml:space="preserve">The </w:t>
      </w:r>
      <w:r>
        <w:rPr>
          <w:rFonts w:cstheme="minorHAnsi"/>
          <w:b/>
          <w:lang w:val="en-US"/>
        </w:rPr>
        <w:t xml:space="preserve">regulatory and supervisory framework </w:t>
      </w:r>
      <w:r w:rsidRPr="00124DA6">
        <w:rPr>
          <w:rFonts w:cstheme="minorHAnsi"/>
          <w:b/>
          <w:lang w:val="en-US"/>
        </w:rPr>
        <w:t xml:space="preserve">has significantly </w:t>
      </w:r>
      <w:r>
        <w:rPr>
          <w:rFonts w:cstheme="minorHAnsi"/>
          <w:b/>
          <w:lang w:val="en-US"/>
        </w:rPr>
        <w:t xml:space="preserve">been </w:t>
      </w:r>
      <w:r w:rsidRPr="00124DA6">
        <w:rPr>
          <w:rFonts w:cstheme="minorHAnsi"/>
          <w:b/>
          <w:lang w:val="en-US"/>
        </w:rPr>
        <w:t>strengthened</w:t>
      </w:r>
      <w:r>
        <w:rPr>
          <w:rFonts w:cstheme="minorHAnsi"/>
          <w:b/>
          <w:lang w:val="en-US"/>
        </w:rPr>
        <w:t xml:space="preserve"> to clean</w:t>
      </w:r>
      <w:r w:rsidR="00E46EB9">
        <w:rPr>
          <w:rFonts w:cstheme="minorHAnsi"/>
          <w:b/>
          <w:lang w:val="en-US"/>
        </w:rPr>
        <w:t xml:space="preserve"> up</w:t>
      </w:r>
      <w:r>
        <w:rPr>
          <w:rFonts w:cstheme="minorHAnsi"/>
          <w:b/>
          <w:lang w:val="en-US"/>
        </w:rPr>
        <w:t xml:space="preserve"> and consolidate the sector</w:t>
      </w:r>
      <w:r w:rsidRPr="00124DA6">
        <w:rPr>
          <w:rFonts w:cstheme="minorHAnsi"/>
          <w:b/>
          <w:lang w:val="en-US"/>
        </w:rPr>
        <w:t>.</w:t>
      </w:r>
      <w:r w:rsidRPr="00124DA6">
        <w:rPr>
          <w:rFonts w:cstheme="minorHAnsi"/>
          <w:lang w:val="en-US"/>
        </w:rPr>
        <w:t xml:space="preserve"> </w:t>
      </w:r>
      <w:r w:rsidRPr="00E46EB9">
        <w:rPr>
          <w:rFonts w:asciiTheme="majorHAnsi" w:hAnsiTheme="majorHAnsi" w:cstheme="minorHAnsi"/>
          <w:lang w:val="en-US"/>
        </w:rPr>
        <w:t xml:space="preserve">The microfinance sector is governed by a new law on microfinance promulgated in Benin on March 21, 2012, under No. 2012-14. The new legal framework is expected to </w:t>
      </w:r>
      <w:r w:rsidR="00E46EB9">
        <w:rPr>
          <w:rFonts w:asciiTheme="majorHAnsi" w:hAnsiTheme="majorHAnsi" w:cstheme="minorHAnsi"/>
          <w:lang w:val="en-US"/>
        </w:rPr>
        <w:t>further consolidate</w:t>
      </w:r>
      <w:r w:rsidR="00E46EB9" w:rsidRPr="00E46EB9">
        <w:rPr>
          <w:rFonts w:asciiTheme="majorHAnsi" w:hAnsiTheme="majorHAnsi" w:cstheme="minorHAnsi"/>
          <w:lang w:val="en-US"/>
        </w:rPr>
        <w:t xml:space="preserve"> </w:t>
      </w:r>
      <w:r w:rsidRPr="00E46EB9">
        <w:rPr>
          <w:rFonts w:asciiTheme="majorHAnsi" w:hAnsiTheme="majorHAnsi" w:cstheme="minorHAnsi"/>
          <w:lang w:val="en-US"/>
        </w:rPr>
        <w:t xml:space="preserve">the sector and </w:t>
      </w:r>
      <w:r w:rsidR="00E46EB9">
        <w:rPr>
          <w:rFonts w:asciiTheme="majorHAnsi" w:hAnsiTheme="majorHAnsi" w:cstheme="minorHAnsi"/>
          <w:lang w:val="en-US"/>
        </w:rPr>
        <w:t>reduce</w:t>
      </w:r>
      <w:r w:rsidRPr="00E46EB9">
        <w:rPr>
          <w:rFonts w:asciiTheme="majorHAnsi" w:hAnsiTheme="majorHAnsi" w:cstheme="minorHAnsi"/>
          <w:lang w:val="en-US"/>
        </w:rPr>
        <w:t xml:space="preserve"> the number of MFIs over time. </w:t>
      </w:r>
      <w:r w:rsidRPr="00E46EB9">
        <w:rPr>
          <w:rFonts w:asciiTheme="majorHAnsi" w:hAnsiTheme="majorHAnsi" w:cstheme="minorHAnsi"/>
          <w:bCs/>
          <w:lang w:val="en-US"/>
        </w:rPr>
        <w:t xml:space="preserve">Under the new law, the </w:t>
      </w:r>
      <w:r w:rsidRPr="00E46EB9">
        <w:rPr>
          <w:rFonts w:asciiTheme="majorHAnsi" w:hAnsiTheme="majorHAnsi" w:cs="Calibri-Bold"/>
          <w:bCs/>
          <w:lang w:val="en-US"/>
        </w:rPr>
        <w:t>BCEAO</w:t>
      </w:r>
      <w:r w:rsidRPr="00E46EB9">
        <w:rPr>
          <w:rFonts w:asciiTheme="majorHAnsi" w:hAnsiTheme="majorHAnsi" w:cstheme="minorHAnsi"/>
          <w:bCs/>
          <w:lang w:val="en-US"/>
        </w:rPr>
        <w:t xml:space="preserve"> must approve any new license issuance and</w:t>
      </w:r>
      <w:r w:rsidRPr="00E46EB9">
        <w:rPr>
          <w:rFonts w:asciiTheme="majorHAnsi" w:hAnsiTheme="majorHAnsi" w:cstheme="minorHAnsi"/>
          <w:b/>
          <w:bCs/>
          <w:lang w:val="en-US"/>
        </w:rPr>
        <w:t xml:space="preserve"> </w:t>
      </w:r>
      <w:r w:rsidRPr="00E46EB9">
        <w:rPr>
          <w:rFonts w:asciiTheme="majorHAnsi" w:hAnsiTheme="majorHAnsi" w:cstheme="minorHAnsi"/>
          <w:lang w:val="en-US"/>
        </w:rPr>
        <w:t>is also in charge for recommending the revocation of licenses. Box</w:t>
      </w:r>
      <w:r w:rsidR="00C702B4" w:rsidRPr="00E46EB9">
        <w:rPr>
          <w:rFonts w:asciiTheme="majorHAnsi" w:hAnsiTheme="majorHAnsi" w:cstheme="minorHAnsi"/>
          <w:lang w:val="en-US"/>
        </w:rPr>
        <w:t> </w:t>
      </w:r>
      <w:r w:rsidRPr="00E46EB9">
        <w:rPr>
          <w:rFonts w:asciiTheme="majorHAnsi" w:hAnsiTheme="majorHAnsi" w:cstheme="minorHAnsi"/>
          <w:lang w:val="en-US"/>
        </w:rPr>
        <w:t>2.5 provides a comparative analysis of the previous law (PARMEC) and the new microfinance law of 2012, which now regulates microfinance in the entire WAEMU zone.</w:t>
      </w:r>
    </w:p>
    <w:p w14:paraId="5DF05D53" w14:textId="58574660" w:rsidR="00597761" w:rsidRPr="00AF7AD2" w:rsidRDefault="00AF7AD2" w:rsidP="00AF7AD2">
      <w:pPr>
        <w:keepNext/>
        <w:spacing w:after="60"/>
        <w:jc w:val="center"/>
        <w:rPr>
          <w:rFonts w:asciiTheme="majorHAnsi" w:hAnsiTheme="majorHAnsi" w:cstheme="majorHAnsi"/>
          <w:b/>
          <w:color w:val="2E74B5" w:themeColor="accent1" w:themeShade="BF"/>
          <w:lang w:val="en-US"/>
        </w:rPr>
      </w:pPr>
      <w:r w:rsidRPr="00AF7AD2">
        <w:rPr>
          <w:rFonts w:asciiTheme="majorHAnsi" w:hAnsiTheme="majorHAnsi" w:cstheme="majorHAnsi"/>
          <w:b/>
          <w:noProof/>
          <w:color w:val="2E74B5" w:themeColor="accent1" w:themeShade="BF"/>
          <w:lang w:eastAsia="fr-FR"/>
        </w:rPr>
        <w:drawing>
          <wp:anchor distT="0" distB="0" distL="114300" distR="114300" simplePos="0" relativeHeight="251673600" behindDoc="0" locked="0" layoutInCell="1" allowOverlap="1" wp14:anchorId="51ECCFB5" wp14:editId="56531410">
            <wp:simplePos x="0" y="0"/>
            <wp:positionH relativeFrom="column">
              <wp:posOffset>311150</wp:posOffset>
            </wp:positionH>
            <wp:positionV relativeFrom="paragraph">
              <wp:posOffset>336550</wp:posOffset>
            </wp:positionV>
            <wp:extent cx="5314950" cy="3963670"/>
            <wp:effectExtent l="133350" t="114300" r="152400" b="15113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t="3210" r="335"/>
                    <a:stretch/>
                  </pic:blipFill>
                  <pic:spPr bwMode="auto">
                    <a:xfrm>
                      <a:off x="0" y="0"/>
                      <a:ext cx="5314950" cy="3963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761" w:rsidRPr="00AF7AD2">
        <w:rPr>
          <w:rFonts w:asciiTheme="majorHAnsi" w:hAnsiTheme="majorHAnsi" w:cstheme="majorHAnsi"/>
          <w:b/>
          <w:color w:val="2E74B5" w:themeColor="accent1" w:themeShade="BF"/>
          <w:lang w:val="en-US"/>
        </w:rPr>
        <w:t>Box</w:t>
      </w:r>
      <w:r w:rsidR="00C702B4" w:rsidRPr="00AF7AD2">
        <w:rPr>
          <w:rFonts w:asciiTheme="majorHAnsi" w:hAnsiTheme="majorHAnsi" w:cstheme="majorHAnsi"/>
          <w:b/>
          <w:color w:val="2E74B5" w:themeColor="accent1" w:themeShade="BF"/>
          <w:lang w:val="en-US"/>
        </w:rPr>
        <w:t> </w:t>
      </w:r>
      <w:r w:rsidR="00597761" w:rsidRPr="00AF7AD2">
        <w:rPr>
          <w:rFonts w:asciiTheme="majorHAnsi" w:hAnsiTheme="majorHAnsi" w:cstheme="majorHAnsi"/>
          <w:b/>
          <w:color w:val="2E74B5" w:themeColor="accent1" w:themeShade="BF"/>
          <w:lang w:val="en-US"/>
        </w:rPr>
        <w:t>2.4: Comparison between the PARMEC law and the new microfinance law</w:t>
      </w:r>
    </w:p>
    <w:p w14:paraId="693928F1" w14:textId="7F2A3DB8" w:rsidR="00597761" w:rsidRPr="00B03F0F" w:rsidRDefault="00597761" w:rsidP="00597761">
      <w:pPr>
        <w:keepNext/>
        <w:keepLines/>
        <w:jc w:val="both"/>
        <w:rPr>
          <w:rFonts w:asciiTheme="majorHAnsi" w:hAnsiTheme="majorHAnsi" w:cstheme="majorHAnsi"/>
          <w:color w:val="2E74B5" w:themeColor="accent1" w:themeShade="BF"/>
        </w:rPr>
      </w:pPr>
      <w:proofErr w:type="gramStart"/>
      <w:r w:rsidRPr="00124DA6">
        <w:rPr>
          <w:rFonts w:asciiTheme="majorHAnsi" w:hAnsiTheme="majorHAnsi" w:cstheme="majorHAnsi"/>
          <w:i/>
          <w:color w:val="2E74B5" w:themeColor="accent1" w:themeShade="BF"/>
        </w:rPr>
        <w:t>Source</w:t>
      </w:r>
      <w:r w:rsidRPr="00124DA6">
        <w:rPr>
          <w:rFonts w:asciiTheme="majorHAnsi" w:hAnsiTheme="majorHAnsi" w:cstheme="majorHAnsi"/>
          <w:color w:val="2E74B5" w:themeColor="accent1" w:themeShade="BF"/>
        </w:rPr>
        <w:t>:</w:t>
      </w:r>
      <w:proofErr w:type="gramEnd"/>
      <w:r w:rsidRPr="00124DA6">
        <w:rPr>
          <w:rFonts w:asciiTheme="majorHAnsi" w:hAnsiTheme="majorHAnsi" w:cstheme="majorHAnsi"/>
          <w:color w:val="2E74B5" w:themeColor="accent1" w:themeShade="BF"/>
        </w:rPr>
        <w:t xml:space="preserve"> World Bank Group</w:t>
      </w:r>
      <w:r w:rsidR="00C702B4">
        <w:rPr>
          <w:rFonts w:asciiTheme="majorHAnsi" w:hAnsiTheme="majorHAnsi" w:cstheme="majorHAnsi"/>
          <w:color w:val="2E74B5" w:themeColor="accent1" w:themeShade="BF"/>
        </w:rPr>
        <w:t> </w:t>
      </w:r>
      <w:r w:rsidRPr="00124DA6">
        <w:rPr>
          <w:rFonts w:asciiTheme="majorHAnsi" w:hAnsiTheme="majorHAnsi" w:cstheme="majorHAnsi"/>
          <w:color w:val="2E74B5" w:themeColor="accent1" w:themeShade="BF"/>
        </w:rPr>
        <w:t>2018.</w:t>
      </w:r>
    </w:p>
    <w:p w14:paraId="50E4A60D" w14:textId="4B093CEB" w:rsidR="00597761" w:rsidRPr="00124DA6" w:rsidRDefault="00597761" w:rsidP="00AF7AD2">
      <w:pPr>
        <w:pStyle w:val="ListParagraph"/>
        <w:numPr>
          <w:ilvl w:val="0"/>
          <w:numId w:val="47"/>
        </w:numPr>
        <w:spacing w:after="240" w:line="240" w:lineRule="auto"/>
        <w:ind w:left="0" w:firstLine="0"/>
        <w:contextualSpacing w:val="0"/>
        <w:jc w:val="both"/>
        <w:rPr>
          <w:rFonts w:cstheme="minorHAnsi"/>
          <w:color w:val="222222"/>
          <w:lang w:val="en-US"/>
        </w:rPr>
      </w:pPr>
      <w:r w:rsidRPr="00124DA6">
        <w:rPr>
          <w:rFonts w:cstheme="minorHAnsi"/>
          <w:b/>
          <w:lang w:val="en-US"/>
        </w:rPr>
        <w:t xml:space="preserve">Under the new microfinance law in WAEMU countries, the supervision of </w:t>
      </w:r>
      <w:r w:rsidR="00C702B4">
        <w:rPr>
          <w:rFonts w:cstheme="minorHAnsi"/>
          <w:b/>
          <w:lang w:val="en-US"/>
        </w:rPr>
        <w:t xml:space="preserve">the </w:t>
      </w:r>
      <w:r w:rsidRPr="00124DA6">
        <w:rPr>
          <w:rFonts w:cstheme="minorHAnsi"/>
          <w:b/>
          <w:lang w:val="en-US"/>
        </w:rPr>
        <w:t xml:space="preserve">sector involved the BCEAO, Banking Commission, and the Ministry of Economy and Finance through ANSSFD. </w:t>
      </w:r>
      <w:r w:rsidR="00E46EB9">
        <w:rPr>
          <w:rFonts w:ascii="Calibri-Bold" w:hAnsi="Calibri-Bold" w:cs="Calibri-Bold"/>
          <w:bCs/>
          <w:lang w:val="en-US"/>
        </w:rPr>
        <w:t>Established</w:t>
      </w:r>
      <w:r w:rsidR="00E46EB9" w:rsidRPr="00124DA6">
        <w:rPr>
          <w:rFonts w:cstheme="minorHAnsi"/>
          <w:color w:val="222222"/>
          <w:lang w:val="en-US"/>
        </w:rPr>
        <w:t xml:space="preserve"> </w:t>
      </w:r>
      <w:r w:rsidRPr="00124DA6">
        <w:rPr>
          <w:rFonts w:cstheme="minorHAnsi"/>
          <w:color w:val="222222"/>
          <w:lang w:val="en-US"/>
        </w:rPr>
        <w:t xml:space="preserve">by decree in 2015, ANSSFD is a public institution with legal status, administrative, and financial autonomy, under the supervision of the </w:t>
      </w:r>
      <w:r w:rsidRPr="00124DA6">
        <w:rPr>
          <w:rFonts w:ascii="Calibri" w:hAnsi="Calibri" w:cs="Calibri"/>
          <w:lang w:val="en-US"/>
        </w:rPr>
        <w:t>Minister</w:t>
      </w:r>
      <w:r w:rsidRPr="00124DA6">
        <w:rPr>
          <w:rFonts w:cstheme="minorHAnsi"/>
          <w:color w:val="222222"/>
          <w:lang w:val="en-US"/>
        </w:rPr>
        <w:t xml:space="preserve"> of Economy and Finance. Its mission is the prevention, supervision, and protection of the microfinance sector in Benin. ANSSFD is responsible </w:t>
      </w:r>
      <w:r w:rsidR="000574C1">
        <w:rPr>
          <w:rFonts w:cstheme="minorHAnsi"/>
          <w:color w:val="222222"/>
          <w:lang w:val="en-US"/>
        </w:rPr>
        <w:t>for</w:t>
      </w:r>
      <w:r w:rsidR="00AF7AD2">
        <w:rPr>
          <w:rFonts w:cstheme="minorHAnsi"/>
          <w:color w:val="222222"/>
          <w:lang w:val="en-US"/>
        </w:rPr>
        <w:t>:</w:t>
      </w:r>
    </w:p>
    <w:p w14:paraId="6EC32E44" w14:textId="6FB46D1E" w:rsidR="00597761" w:rsidRPr="00124DA6" w:rsidRDefault="000574C1" w:rsidP="00597761">
      <w:pPr>
        <w:pStyle w:val="ListParagraph"/>
        <w:numPr>
          <w:ilvl w:val="0"/>
          <w:numId w:val="24"/>
        </w:numPr>
        <w:autoSpaceDE w:val="0"/>
        <w:autoSpaceDN w:val="0"/>
        <w:adjustRightInd w:val="0"/>
        <w:spacing w:after="0" w:line="240" w:lineRule="auto"/>
        <w:ind w:left="1195" w:hanging="475"/>
        <w:contextualSpacing w:val="0"/>
        <w:jc w:val="both"/>
        <w:rPr>
          <w:rFonts w:cstheme="minorHAnsi"/>
          <w:color w:val="222222"/>
          <w:lang w:val="en-US"/>
        </w:rPr>
      </w:pPr>
      <w:r>
        <w:rPr>
          <w:rFonts w:cstheme="minorHAnsi"/>
          <w:color w:val="222222"/>
          <w:lang w:val="en-US"/>
        </w:rPr>
        <w:t>Ensuring</w:t>
      </w:r>
      <w:r w:rsidR="00597761" w:rsidRPr="00124DA6">
        <w:rPr>
          <w:rFonts w:cstheme="minorHAnsi"/>
          <w:color w:val="222222"/>
          <w:lang w:val="en-US"/>
        </w:rPr>
        <w:t xml:space="preserve"> application of microfinance regulations;</w:t>
      </w:r>
    </w:p>
    <w:p w14:paraId="50D2D5F9" w14:textId="77CAFCC0" w:rsidR="00597761" w:rsidRPr="00124DA6" w:rsidRDefault="000574C1" w:rsidP="00597761">
      <w:pPr>
        <w:pStyle w:val="ListParagraph"/>
        <w:numPr>
          <w:ilvl w:val="0"/>
          <w:numId w:val="24"/>
        </w:numPr>
        <w:autoSpaceDE w:val="0"/>
        <w:autoSpaceDN w:val="0"/>
        <w:adjustRightInd w:val="0"/>
        <w:spacing w:after="0" w:line="240" w:lineRule="auto"/>
        <w:ind w:left="1195" w:hanging="475"/>
        <w:contextualSpacing w:val="0"/>
        <w:jc w:val="both"/>
        <w:rPr>
          <w:rFonts w:cstheme="minorHAnsi"/>
          <w:color w:val="222222"/>
          <w:lang w:val="en-US"/>
        </w:rPr>
      </w:pPr>
      <w:r>
        <w:rPr>
          <w:rFonts w:cstheme="minorHAnsi"/>
          <w:color w:val="222222"/>
          <w:lang w:val="en-US"/>
        </w:rPr>
        <w:t>Examining</w:t>
      </w:r>
      <w:r w:rsidRPr="00124DA6">
        <w:rPr>
          <w:rFonts w:cstheme="minorHAnsi"/>
          <w:color w:val="222222"/>
          <w:lang w:val="en-US"/>
        </w:rPr>
        <w:t xml:space="preserve"> </w:t>
      </w:r>
      <w:r w:rsidR="00597761" w:rsidRPr="00124DA6">
        <w:rPr>
          <w:rFonts w:cstheme="minorHAnsi"/>
          <w:color w:val="222222"/>
          <w:lang w:val="en-US"/>
        </w:rPr>
        <w:t>MFIs’ licenses applications and submit them to the Ministry of Finance;</w:t>
      </w:r>
    </w:p>
    <w:p w14:paraId="43678141" w14:textId="414F3E79" w:rsidR="00597761" w:rsidRPr="00124DA6" w:rsidRDefault="000574C1" w:rsidP="00597761">
      <w:pPr>
        <w:pStyle w:val="ListParagraph"/>
        <w:numPr>
          <w:ilvl w:val="0"/>
          <w:numId w:val="24"/>
        </w:numPr>
        <w:autoSpaceDE w:val="0"/>
        <w:autoSpaceDN w:val="0"/>
        <w:adjustRightInd w:val="0"/>
        <w:spacing w:after="0" w:line="240" w:lineRule="auto"/>
        <w:ind w:left="1195" w:hanging="475"/>
        <w:contextualSpacing w:val="0"/>
        <w:jc w:val="both"/>
        <w:rPr>
          <w:rFonts w:cstheme="minorHAnsi"/>
          <w:color w:val="222222"/>
          <w:lang w:val="en-US"/>
        </w:rPr>
      </w:pPr>
      <w:r>
        <w:rPr>
          <w:rFonts w:cstheme="minorHAnsi"/>
          <w:color w:val="222222"/>
          <w:lang w:val="en-US"/>
        </w:rPr>
        <w:t>Ensuring</w:t>
      </w:r>
      <w:r w:rsidRPr="00124DA6">
        <w:rPr>
          <w:rFonts w:cstheme="minorHAnsi"/>
          <w:color w:val="222222"/>
          <w:lang w:val="en-US"/>
        </w:rPr>
        <w:t xml:space="preserve"> </w:t>
      </w:r>
      <w:r w:rsidR="00597761" w:rsidRPr="00124DA6">
        <w:rPr>
          <w:rFonts w:cstheme="minorHAnsi"/>
          <w:color w:val="222222"/>
          <w:lang w:val="en-US"/>
        </w:rPr>
        <w:t>the consolidation of the microfinance sector;</w:t>
      </w:r>
    </w:p>
    <w:p w14:paraId="74D6859C" w14:textId="181C7104" w:rsidR="00597761" w:rsidRPr="00124DA6" w:rsidRDefault="000574C1" w:rsidP="00597761">
      <w:pPr>
        <w:pStyle w:val="ListParagraph"/>
        <w:numPr>
          <w:ilvl w:val="0"/>
          <w:numId w:val="24"/>
        </w:numPr>
        <w:autoSpaceDE w:val="0"/>
        <w:autoSpaceDN w:val="0"/>
        <w:adjustRightInd w:val="0"/>
        <w:spacing w:after="0" w:line="240" w:lineRule="auto"/>
        <w:ind w:left="1195" w:hanging="475"/>
        <w:contextualSpacing w:val="0"/>
        <w:jc w:val="both"/>
        <w:rPr>
          <w:rFonts w:cstheme="minorHAnsi"/>
          <w:color w:val="222222"/>
          <w:lang w:val="en-US"/>
        </w:rPr>
      </w:pPr>
      <w:r>
        <w:rPr>
          <w:rFonts w:cstheme="minorHAnsi"/>
          <w:color w:val="222222"/>
          <w:lang w:val="en-US"/>
        </w:rPr>
        <w:t>Providing</w:t>
      </w:r>
      <w:r w:rsidRPr="00124DA6">
        <w:rPr>
          <w:rFonts w:cstheme="minorHAnsi"/>
          <w:color w:val="222222"/>
          <w:lang w:val="en-US"/>
        </w:rPr>
        <w:t xml:space="preserve"> </w:t>
      </w:r>
      <w:r w:rsidR="00597761" w:rsidRPr="00124DA6">
        <w:rPr>
          <w:rFonts w:cstheme="minorHAnsi"/>
          <w:color w:val="222222"/>
          <w:lang w:val="en-US"/>
        </w:rPr>
        <w:t>on-site and off-site inspections and permanent monitoring of the industry;</w:t>
      </w:r>
    </w:p>
    <w:p w14:paraId="64D09A32" w14:textId="16285DC1" w:rsidR="00597761" w:rsidRPr="00124DA6" w:rsidRDefault="000574C1" w:rsidP="00597761">
      <w:pPr>
        <w:pStyle w:val="ListParagraph"/>
        <w:numPr>
          <w:ilvl w:val="0"/>
          <w:numId w:val="24"/>
        </w:numPr>
        <w:autoSpaceDE w:val="0"/>
        <w:autoSpaceDN w:val="0"/>
        <w:adjustRightInd w:val="0"/>
        <w:spacing w:after="0" w:line="240" w:lineRule="auto"/>
        <w:ind w:left="1195" w:hanging="475"/>
        <w:contextualSpacing w:val="0"/>
        <w:jc w:val="both"/>
        <w:rPr>
          <w:rFonts w:cstheme="minorHAnsi"/>
          <w:color w:val="222222"/>
          <w:lang w:val="en-US"/>
        </w:rPr>
      </w:pPr>
      <w:r>
        <w:rPr>
          <w:rFonts w:cstheme="minorHAnsi"/>
          <w:color w:val="222222"/>
          <w:lang w:val="en-US"/>
        </w:rPr>
        <w:t>Overseeing</w:t>
      </w:r>
      <w:r w:rsidRPr="00124DA6">
        <w:rPr>
          <w:rFonts w:cstheme="minorHAnsi"/>
          <w:color w:val="222222"/>
          <w:lang w:val="en-US"/>
        </w:rPr>
        <w:t xml:space="preserve"> </w:t>
      </w:r>
      <w:r w:rsidR="00597761" w:rsidRPr="00124DA6">
        <w:rPr>
          <w:rFonts w:cstheme="minorHAnsi"/>
          <w:color w:val="222222"/>
          <w:lang w:val="en-US"/>
        </w:rPr>
        <w:t>the entire microfinance</w:t>
      </w:r>
      <w:r>
        <w:rPr>
          <w:rFonts w:cstheme="minorHAnsi"/>
          <w:color w:val="222222"/>
          <w:lang w:val="en-US"/>
        </w:rPr>
        <w:t xml:space="preserve"> sector,</w:t>
      </w:r>
      <w:r w:rsidR="00597761" w:rsidRPr="00124DA6">
        <w:rPr>
          <w:rFonts w:cstheme="minorHAnsi"/>
          <w:color w:val="222222"/>
          <w:lang w:val="en-US"/>
        </w:rPr>
        <w:t xml:space="preserve"> including the informal MFIs;</w:t>
      </w:r>
    </w:p>
    <w:p w14:paraId="31B858FD" w14:textId="25A16A8A" w:rsidR="00597761" w:rsidRDefault="000574C1" w:rsidP="00597761">
      <w:pPr>
        <w:pStyle w:val="ListParagraph"/>
        <w:numPr>
          <w:ilvl w:val="0"/>
          <w:numId w:val="24"/>
        </w:numPr>
        <w:autoSpaceDE w:val="0"/>
        <w:autoSpaceDN w:val="0"/>
        <w:adjustRightInd w:val="0"/>
        <w:spacing w:after="0" w:line="240" w:lineRule="auto"/>
        <w:ind w:left="1195" w:hanging="475"/>
        <w:contextualSpacing w:val="0"/>
        <w:jc w:val="both"/>
        <w:rPr>
          <w:rFonts w:cstheme="minorHAnsi"/>
          <w:color w:val="222222"/>
          <w:lang w:val="en-US"/>
        </w:rPr>
      </w:pPr>
      <w:r>
        <w:rPr>
          <w:rFonts w:cstheme="minorHAnsi"/>
          <w:color w:val="222222"/>
          <w:lang w:val="en-US"/>
        </w:rPr>
        <w:t>Acting</w:t>
      </w:r>
      <w:r w:rsidRPr="00124DA6">
        <w:rPr>
          <w:rFonts w:cstheme="minorHAnsi"/>
          <w:color w:val="222222"/>
          <w:lang w:val="en-US"/>
        </w:rPr>
        <w:t xml:space="preserve"> </w:t>
      </w:r>
      <w:r w:rsidR="00597761" w:rsidRPr="00124DA6">
        <w:rPr>
          <w:rFonts w:cstheme="minorHAnsi"/>
          <w:color w:val="222222"/>
          <w:lang w:val="en-US"/>
        </w:rPr>
        <w:t>in liaison with the relevant structures at the closure of informal microfinance initiatives; and</w:t>
      </w:r>
    </w:p>
    <w:p w14:paraId="083AC02C" w14:textId="049D785E" w:rsidR="00597761" w:rsidRDefault="000574C1" w:rsidP="00597761">
      <w:pPr>
        <w:pStyle w:val="ListParagraph"/>
        <w:numPr>
          <w:ilvl w:val="0"/>
          <w:numId w:val="24"/>
        </w:numPr>
        <w:autoSpaceDE w:val="0"/>
        <w:autoSpaceDN w:val="0"/>
        <w:adjustRightInd w:val="0"/>
        <w:spacing w:after="0" w:line="240" w:lineRule="auto"/>
        <w:ind w:left="1195" w:hanging="475"/>
        <w:contextualSpacing w:val="0"/>
        <w:jc w:val="both"/>
        <w:rPr>
          <w:rFonts w:cstheme="minorHAnsi"/>
          <w:color w:val="222222"/>
          <w:lang w:val="en-US"/>
        </w:rPr>
      </w:pPr>
      <w:r>
        <w:rPr>
          <w:rFonts w:cstheme="minorHAnsi"/>
          <w:color w:val="222222"/>
          <w:lang w:val="en-US"/>
        </w:rPr>
        <w:t>Updating</w:t>
      </w:r>
      <w:r w:rsidRPr="00B03F0F">
        <w:rPr>
          <w:rFonts w:cstheme="minorHAnsi"/>
          <w:color w:val="222222"/>
          <w:lang w:val="en-US"/>
        </w:rPr>
        <w:t xml:space="preserve"> </w:t>
      </w:r>
      <w:r w:rsidR="00597761" w:rsidRPr="00B03F0F">
        <w:rPr>
          <w:rFonts w:cstheme="minorHAnsi"/>
          <w:color w:val="222222"/>
          <w:lang w:val="en-US"/>
        </w:rPr>
        <w:t xml:space="preserve">the microfinance database </w:t>
      </w:r>
      <w:r>
        <w:rPr>
          <w:rFonts w:cstheme="minorHAnsi"/>
          <w:color w:val="222222"/>
          <w:lang w:val="en-US"/>
        </w:rPr>
        <w:t>by collecting</w:t>
      </w:r>
      <w:r w:rsidRPr="00B03F0F">
        <w:rPr>
          <w:rFonts w:cstheme="minorHAnsi"/>
          <w:color w:val="222222"/>
          <w:lang w:val="en-US"/>
        </w:rPr>
        <w:t xml:space="preserve"> </w:t>
      </w:r>
      <w:r w:rsidR="00597761" w:rsidRPr="00B03F0F">
        <w:rPr>
          <w:rFonts w:cstheme="minorHAnsi"/>
          <w:color w:val="222222"/>
          <w:lang w:val="en-US"/>
        </w:rPr>
        <w:t xml:space="preserve">processing, and </w:t>
      </w:r>
      <w:r>
        <w:rPr>
          <w:rFonts w:cstheme="minorHAnsi"/>
          <w:color w:val="222222"/>
          <w:lang w:val="en-US"/>
        </w:rPr>
        <w:t>disseminating</w:t>
      </w:r>
      <w:r w:rsidRPr="00B03F0F">
        <w:rPr>
          <w:rFonts w:cstheme="minorHAnsi"/>
          <w:color w:val="222222"/>
          <w:lang w:val="en-US"/>
        </w:rPr>
        <w:t xml:space="preserve"> </w:t>
      </w:r>
      <w:r w:rsidR="00597761" w:rsidRPr="00B03F0F">
        <w:rPr>
          <w:rFonts w:cstheme="minorHAnsi"/>
          <w:color w:val="222222"/>
          <w:lang w:val="en-US"/>
        </w:rPr>
        <w:t>statistical information on licensed MFIs</w:t>
      </w:r>
    </w:p>
    <w:p w14:paraId="63D76250" w14:textId="77777777" w:rsidR="00597761" w:rsidRPr="00B03F0F" w:rsidRDefault="00597761" w:rsidP="00597761">
      <w:pPr>
        <w:pStyle w:val="ListParagraph"/>
        <w:autoSpaceDE w:val="0"/>
        <w:autoSpaceDN w:val="0"/>
        <w:adjustRightInd w:val="0"/>
        <w:spacing w:after="0" w:line="240" w:lineRule="auto"/>
        <w:ind w:left="1195"/>
        <w:contextualSpacing w:val="0"/>
        <w:jc w:val="both"/>
        <w:rPr>
          <w:rFonts w:cstheme="minorHAnsi"/>
          <w:color w:val="222222"/>
          <w:lang w:val="en-US"/>
        </w:rPr>
      </w:pPr>
    </w:p>
    <w:p w14:paraId="58E37938" w14:textId="77777777" w:rsidR="00597761" w:rsidRPr="003621D1" w:rsidRDefault="00597761" w:rsidP="00441DDA">
      <w:pPr>
        <w:pStyle w:val="ListParagraph"/>
        <w:numPr>
          <w:ilvl w:val="0"/>
          <w:numId w:val="47"/>
        </w:numPr>
        <w:spacing w:after="240" w:line="240" w:lineRule="auto"/>
        <w:ind w:left="0" w:firstLine="0"/>
        <w:contextualSpacing w:val="0"/>
        <w:jc w:val="both"/>
        <w:rPr>
          <w:rFonts w:cstheme="minorHAnsi"/>
          <w:b/>
          <w:color w:val="222222"/>
          <w:lang w:val="en-US"/>
        </w:rPr>
      </w:pPr>
      <w:r w:rsidRPr="003621D1">
        <w:rPr>
          <w:rFonts w:cstheme="minorHAnsi"/>
          <w:b/>
          <w:color w:val="222222"/>
          <w:lang w:val="en-US"/>
        </w:rPr>
        <w:t xml:space="preserve">The WAMU </w:t>
      </w:r>
      <w:r w:rsidRPr="003621D1">
        <w:rPr>
          <w:rFonts w:cstheme="minorHAnsi"/>
          <w:b/>
          <w:lang w:val="en-US"/>
        </w:rPr>
        <w:t>Banking</w:t>
      </w:r>
      <w:r w:rsidRPr="003621D1">
        <w:rPr>
          <w:rFonts w:cstheme="minorHAnsi"/>
          <w:b/>
          <w:color w:val="222222"/>
          <w:lang w:val="en-US"/>
        </w:rPr>
        <w:t xml:space="preserve"> Commission and the BCEAO </w:t>
      </w:r>
      <w:proofErr w:type="gramStart"/>
      <w:r w:rsidRPr="003621D1">
        <w:rPr>
          <w:rFonts w:cstheme="minorHAnsi"/>
          <w:b/>
          <w:color w:val="222222"/>
          <w:lang w:val="en-US"/>
        </w:rPr>
        <w:t>are in charge of</w:t>
      </w:r>
      <w:proofErr w:type="gramEnd"/>
    </w:p>
    <w:p w14:paraId="29AE313C" w14:textId="281F7302" w:rsidR="00597761" w:rsidRPr="00124DA6" w:rsidRDefault="00C702B4" w:rsidP="00441DDA">
      <w:pPr>
        <w:pStyle w:val="ListParagraph"/>
        <w:numPr>
          <w:ilvl w:val="0"/>
          <w:numId w:val="24"/>
        </w:numPr>
        <w:autoSpaceDE w:val="0"/>
        <w:autoSpaceDN w:val="0"/>
        <w:adjustRightInd w:val="0"/>
        <w:spacing w:after="0" w:line="240" w:lineRule="auto"/>
        <w:ind w:left="0" w:firstLine="0"/>
        <w:contextualSpacing w:val="0"/>
        <w:jc w:val="both"/>
        <w:rPr>
          <w:rFonts w:cstheme="minorHAnsi"/>
          <w:color w:val="222222"/>
          <w:lang w:val="en-US"/>
        </w:rPr>
      </w:pPr>
      <w:r>
        <w:rPr>
          <w:rFonts w:cstheme="minorHAnsi"/>
          <w:color w:val="222222"/>
          <w:lang w:val="en-US"/>
        </w:rPr>
        <w:t>a</w:t>
      </w:r>
      <w:r w:rsidR="00597761" w:rsidRPr="00124DA6">
        <w:rPr>
          <w:rFonts w:cstheme="minorHAnsi"/>
          <w:color w:val="222222"/>
          <w:lang w:val="en-US"/>
        </w:rPr>
        <w:t>pproval and withdrawal of licenses of credit institutions;</w:t>
      </w:r>
    </w:p>
    <w:p w14:paraId="1AA3A71C" w14:textId="77777777" w:rsidR="00597761" w:rsidRPr="00124DA6" w:rsidRDefault="00597761" w:rsidP="00441DDA">
      <w:pPr>
        <w:pStyle w:val="ListParagraph"/>
        <w:numPr>
          <w:ilvl w:val="0"/>
          <w:numId w:val="24"/>
        </w:numPr>
        <w:autoSpaceDE w:val="0"/>
        <w:autoSpaceDN w:val="0"/>
        <w:adjustRightInd w:val="0"/>
        <w:spacing w:after="0" w:line="240" w:lineRule="auto"/>
        <w:ind w:left="0" w:firstLine="0"/>
        <w:contextualSpacing w:val="0"/>
        <w:jc w:val="both"/>
        <w:rPr>
          <w:rFonts w:cstheme="minorHAnsi"/>
          <w:color w:val="222222"/>
          <w:lang w:val="en-US"/>
        </w:rPr>
      </w:pPr>
      <w:r w:rsidRPr="00124DA6">
        <w:rPr>
          <w:rFonts w:cstheme="minorHAnsi"/>
          <w:color w:val="222222"/>
          <w:lang w:val="en-US"/>
        </w:rPr>
        <w:t>Control of credit institutions and MFIs;</w:t>
      </w:r>
    </w:p>
    <w:p w14:paraId="134EAE9F" w14:textId="77777777" w:rsidR="00597761" w:rsidRPr="00124DA6" w:rsidRDefault="00597761" w:rsidP="00441DDA">
      <w:pPr>
        <w:pStyle w:val="ListParagraph"/>
        <w:numPr>
          <w:ilvl w:val="0"/>
          <w:numId w:val="24"/>
        </w:numPr>
        <w:autoSpaceDE w:val="0"/>
        <w:autoSpaceDN w:val="0"/>
        <w:adjustRightInd w:val="0"/>
        <w:spacing w:after="0" w:line="240" w:lineRule="auto"/>
        <w:ind w:left="0" w:firstLine="0"/>
        <w:contextualSpacing w:val="0"/>
        <w:jc w:val="both"/>
        <w:rPr>
          <w:rFonts w:cstheme="minorHAnsi"/>
          <w:color w:val="222222"/>
          <w:lang w:val="en-US"/>
        </w:rPr>
      </w:pPr>
      <w:r w:rsidRPr="00124DA6">
        <w:rPr>
          <w:rFonts w:cstheme="minorHAnsi"/>
          <w:color w:val="222222"/>
          <w:lang w:val="en-US"/>
        </w:rPr>
        <w:t>Administrative measures and disciplinary sanctions against instituti</w:t>
      </w:r>
      <w:r>
        <w:rPr>
          <w:rFonts w:cstheme="minorHAnsi"/>
          <w:color w:val="222222"/>
          <w:lang w:val="en-US"/>
        </w:rPr>
        <w:t xml:space="preserve">ons or responsible managers; </w:t>
      </w:r>
    </w:p>
    <w:p w14:paraId="4C8DCE3F" w14:textId="77777777" w:rsidR="00597761" w:rsidRDefault="00597761" w:rsidP="00441DDA">
      <w:pPr>
        <w:pStyle w:val="ListParagraph"/>
        <w:numPr>
          <w:ilvl w:val="0"/>
          <w:numId w:val="24"/>
        </w:numPr>
        <w:autoSpaceDE w:val="0"/>
        <w:autoSpaceDN w:val="0"/>
        <w:adjustRightInd w:val="0"/>
        <w:spacing w:after="0" w:line="240" w:lineRule="auto"/>
        <w:ind w:left="0" w:firstLine="0"/>
        <w:contextualSpacing w:val="0"/>
        <w:jc w:val="both"/>
        <w:rPr>
          <w:rFonts w:cstheme="minorHAnsi"/>
          <w:color w:val="222222"/>
          <w:lang w:val="en-US"/>
        </w:rPr>
      </w:pPr>
      <w:r w:rsidRPr="00124DA6">
        <w:rPr>
          <w:rFonts w:cstheme="minorHAnsi"/>
          <w:color w:val="222222"/>
          <w:lang w:val="en-US"/>
        </w:rPr>
        <w:t>Appointment of temporary administrators or liquidators of credit institutions.</w:t>
      </w:r>
    </w:p>
    <w:p w14:paraId="772E2179" w14:textId="77777777" w:rsidR="00597761" w:rsidRPr="00124DA6" w:rsidRDefault="00597761" w:rsidP="00441DDA">
      <w:pPr>
        <w:pStyle w:val="ListParagraph"/>
        <w:autoSpaceDE w:val="0"/>
        <w:autoSpaceDN w:val="0"/>
        <w:adjustRightInd w:val="0"/>
        <w:spacing w:after="0" w:line="240" w:lineRule="auto"/>
        <w:ind w:left="0"/>
        <w:contextualSpacing w:val="0"/>
        <w:jc w:val="both"/>
        <w:rPr>
          <w:rFonts w:cstheme="minorHAnsi"/>
          <w:color w:val="222222"/>
          <w:lang w:val="en-US"/>
        </w:rPr>
      </w:pPr>
    </w:p>
    <w:p w14:paraId="3FC70FF3" w14:textId="49D845B1" w:rsidR="00597761" w:rsidRPr="00124DA6" w:rsidRDefault="00597761" w:rsidP="00441DDA">
      <w:pPr>
        <w:pStyle w:val="ListParagraph"/>
        <w:numPr>
          <w:ilvl w:val="0"/>
          <w:numId w:val="47"/>
        </w:numPr>
        <w:spacing w:after="240" w:line="240" w:lineRule="auto"/>
        <w:ind w:left="0" w:firstLine="0"/>
        <w:contextualSpacing w:val="0"/>
        <w:jc w:val="both"/>
        <w:rPr>
          <w:rFonts w:cstheme="minorHAnsi"/>
          <w:lang w:val="en-US"/>
        </w:rPr>
      </w:pPr>
      <w:r w:rsidRPr="00124DA6">
        <w:rPr>
          <w:rFonts w:cstheme="minorHAnsi"/>
          <w:b/>
          <w:color w:val="222222"/>
          <w:lang w:val="en-US"/>
        </w:rPr>
        <w:t xml:space="preserve">The Banking Commission and the BCEAO </w:t>
      </w:r>
      <w:r w:rsidR="00B311EF">
        <w:rPr>
          <w:rFonts w:cstheme="minorHAnsi"/>
          <w:b/>
          <w:color w:val="222222"/>
          <w:lang w:val="en-US"/>
        </w:rPr>
        <w:t xml:space="preserve">directly </w:t>
      </w:r>
      <w:r w:rsidRPr="00124DA6">
        <w:rPr>
          <w:rFonts w:cstheme="minorHAnsi"/>
          <w:b/>
          <w:color w:val="222222"/>
          <w:lang w:val="en-US"/>
        </w:rPr>
        <w:t>oversee and apply sanction to the large MFIs referred to in Article</w:t>
      </w:r>
      <w:r w:rsidR="00C702B4">
        <w:rPr>
          <w:rFonts w:cstheme="minorHAnsi"/>
          <w:b/>
          <w:color w:val="222222"/>
          <w:lang w:val="en-US"/>
        </w:rPr>
        <w:t> </w:t>
      </w:r>
      <w:r w:rsidRPr="00124DA6">
        <w:rPr>
          <w:rFonts w:cstheme="minorHAnsi"/>
          <w:b/>
          <w:color w:val="222222"/>
          <w:lang w:val="en-US"/>
        </w:rPr>
        <w:t>44, and ANSSFD is responsible for the remaining MFIs</w:t>
      </w:r>
      <w:r w:rsidRPr="00124DA6">
        <w:rPr>
          <w:rFonts w:cstheme="minorHAnsi"/>
          <w:color w:val="222222"/>
          <w:lang w:val="en-US"/>
        </w:rPr>
        <w:t xml:space="preserve">. </w:t>
      </w:r>
      <w:r w:rsidRPr="00124DA6">
        <w:rPr>
          <w:rFonts w:cstheme="minorHAnsi"/>
          <w:lang w:val="en-US"/>
        </w:rPr>
        <w:t>Indeed, Article</w:t>
      </w:r>
      <w:r w:rsidR="00C702B4">
        <w:rPr>
          <w:rFonts w:cstheme="minorHAnsi"/>
          <w:lang w:val="en-US"/>
        </w:rPr>
        <w:t> </w:t>
      </w:r>
      <w:r w:rsidRPr="00124DA6">
        <w:rPr>
          <w:rFonts w:cstheme="minorHAnsi"/>
          <w:lang w:val="en-US"/>
        </w:rPr>
        <w:t>44 of the law concerns all MFIs whose outstanding deposit or credit reaches at least CFAF</w:t>
      </w:r>
      <w:r w:rsidR="00C702B4">
        <w:rPr>
          <w:rFonts w:cstheme="minorHAnsi"/>
          <w:lang w:val="en-US"/>
        </w:rPr>
        <w:t> </w:t>
      </w:r>
      <w:r w:rsidRPr="00124DA6">
        <w:rPr>
          <w:rFonts w:cstheme="minorHAnsi"/>
          <w:lang w:val="en-US"/>
        </w:rPr>
        <w:t>2</w:t>
      </w:r>
      <w:r w:rsidR="00C702B4">
        <w:rPr>
          <w:rFonts w:cstheme="minorHAnsi"/>
          <w:lang w:val="en-US"/>
        </w:rPr>
        <w:t> </w:t>
      </w:r>
      <w:r w:rsidRPr="00124DA6">
        <w:rPr>
          <w:rFonts w:cstheme="minorHAnsi"/>
          <w:lang w:val="en-US"/>
        </w:rPr>
        <w:t xml:space="preserve">billion at the end of two consecutive years (Instruction 007-06-2010). In the case of Benin, 16 MFIs are covered and in accordance with the law, these MFIs must transmit all the performance indicators (profitability, portfolio quality, productivity, </w:t>
      </w:r>
      <w:r w:rsidRPr="00124DA6">
        <w:rPr>
          <w:rFonts w:ascii="Calibri" w:hAnsi="Calibri" w:cs="Calibri"/>
          <w:lang w:val="en-US"/>
        </w:rPr>
        <w:t>balance</w:t>
      </w:r>
      <w:r w:rsidRPr="00124DA6">
        <w:rPr>
          <w:rFonts w:cstheme="minorHAnsi"/>
          <w:lang w:val="en-US"/>
        </w:rPr>
        <w:t xml:space="preserve"> sheet management, and operations) and prudential norms to the BCEAO monthly. ANSSFD continues to oversee all remaining MFIs in the country and works in collaboration with the BCEAO. The law obliges MFIs not covered </w:t>
      </w:r>
      <w:r w:rsidRPr="00124DA6">
        <w:rPr>
          <w:rFonts w:ascii="Calibri-Bold" w:hAnsi="Calibri-Bold" w:cs="Calibri-Bold"/>
          <w:bCs/>
          <w:lang w:val="en-US"/>
        </w:rPr>
        <w:t>by</w:t>
      </w:r>
      <w:r w:rsidRPr="00124DA6">
        <w:rPr>
          <w:rFonts w:cstheme="minorHAnsi"/>
          <w:lang w:val="en-US"/>
        </w:rPr>
        <w:t xml:space="preserve"> Article</w:t>
      </w:r>
      <w:r w:rsidR="00C702B4">
        <w:rPr>
          <w:rFonts w:cstheme="minorHAnsi"/>
          <w:lang w:val="en-US"/>
        </w:rPr>
        <w:t> </w:t>
      </w:r>
      <w:r w:rsidRPr="00124DA6">
        <w:rPr>
          <w:rFonts w:cstheme="minorHAnsi"/>
          <w:lang w:val="en-US"/>
        </w:rPr>
        <w:t>44 to transmit their indicators on a quarterly basis except for the liquidity and capitalization ratios that are communicated monthly. Fines can be imposed on MFIs that are late in complying with the submission of financial statements, but none has been levied thus far, implying lack of enforcement of the rules. As of July 2017, 72 percent (</w:t>
      </w:r>
      <w:r w:rsidRPr="00124DA6">
        <w:rPr>
          <w:lang w:val="en-US"/>
        </w:rPr>
        <w:t>ANSSFD</w:t>
      </w:r>
      <w:r w:rsidR="00C702B4">
        <w:rPr>
          <w:lang w:val="en-US"/>
        </w:rPr>
        <w:t> </w:t>
      </w:r>
      <w:r w:rsidRPr="00124DA6">
        <w:rPr>
          <w:lang w:val="en-US"/>
        </w:rPr>
        <w:t xml:space="preserve">2017) </w:t>
      </w:r>
      <w:r w:rsidRPr="00124DA6">
        <w:rPr>
          <w:rFonts w:cstheme="minorHAnsi"/>
          <w:lang w:val="en-US"/>
        </w:rPr>
        <w:t>of MFIs transmitted in time their report to ANSSFD, with no sanction taken against noncompliant licensed MFIs.</w:t>
      </w:r>
    </w:p>
    <w:p w14:paraId="52BBB3D2" w14:textId="70794E18" w:rsidR="00597761" w:rsidRPr="00597761" w:rsidRDefault="00597761" w:rsidP="00441DDA">
      <w:pPr>
        <w:pStyle w:val="ListParagraph"/>
        <w:numPr>
          <w:ilvl w:val="0"/>
          <w:numId w:val="47"/>
        </w:numPr>
        <w:spacing w:after="240" w:line="240" w:lineRule="auto"/>
        <w:ind w:left="0" w:firstLine="0"/>
        <w:contextualSpacing w:val="0"/>
        <w:jc w:val="both"/>
        <w:rPr>
          <w:rFonts w:cstheme="minorHAnsi"/>
          <w:color w:val="222222"/>
          <w:lang w:val="en-US"/>
        </w:rPr>
      </w:pPr>
      <w:r w:rsidRPr="00124DA6">
        <w:rPr>
          <w:rFonts w:cstheme="minorHAnsi"/>
          <w:b/>
          <w:lang w:val="en-US"/>
        </w:rPr>
        <w:t xml:space="preserve">The new law </w:t>
      </w:r>
      <w:r w:rsidR="004B1209">
        <w:rPr>
          <w:rFonts w:cstheme="minorHAnsi"/>
          <w:b/>
          <w:lang w:val="en-US"/>
        </w:rPr>
        <w:t>includes</w:t>
      </w:r>
      <w:r w:rsidR="004B1209" w:rsidRPr="00124DA6">
        <w:rPr>
          <w:rFonts w:cstheme="minorHAnsi"/>
          <w:b/>
          <w:lang w:val="en-US"/>
        </w:rPr>
        <w:t xml:space="preserve"> </w:t>
      </w:r>
      <w:r w:rsidRPr="00124DA6">
        <w:rPr>
          <w:rFonts w:cstheme="minorHAnsi"/>
          <w:b/>
          <w:lang w:val="en-US"/>
        </w:rPr>
        <w:t>provision for a tiered approach to supervision and off-site and on-site inspections</w:t>
      </w:r>
      <w:r w:rsidRPr="00124DA6">
        <w:rPr>
          <w:rFonts w:cstheme="minorHAnsi"/>
          <w:lang w:val="en-US"/>
        </w:rPr>
        <w:t>. The tiered approach is implemented according to the following five-level hierarchy: network-confederation-</w:t>
      </w:r>
      <w:r w:rsidRPr="00124DA6">
        <w:rPr>
          <w:rFonts w:ascii="Calibri-Bold" w:hAnsi="Calibri-Bold" w:cs="Calibri-Bold"/>
          <w:bCs/>
          <w:lang w:val="en-US"/>
        </w:rPr>
        <w:t>federation</w:t>
      </w:r>
      <w:r w:rsidRPr="00124DA6">
        <w:rPr>
          <w:rFonts w:cstheme="minorHAnsi"/>
          <w:lang w:val="en-US"/>
        </w:rPr>
        <w:t xml:space="preserve">-union-credit union. Each higher level has internal supervision and control requirements over the lower level, conducts audits, and represents the lower-order entities at the next higher level. Each lower-level entity </w:t>
      </w:r>
      <w:r w:rsidRPr="00124DA6">
        <w:rPr>
          <w:rFonts w:ascii="Calibri" w:hAnsi="Calibri" w:cs="Calibri"/>
          <w:lang w:val="en-US"/>
        </w:rPr>
        <w:t>can</w:t>
      </w:r>
      <w:r w:rsidRPr="00124DA6">
        <w:rPr>
          <w:rFonts w:cstheme="minorHAnsi"/>
          <w:lang w:val="en-US"/>
        </w:rPr>
        <w:t xml:space="preserve"> belong to only one higher-level entity. The supervisory authorities carry out off-site inspection of </w:t>
      </w:r>
      <w:r w:rsidRPr="00124DA6">
        <w:rPr>
          <w:rFonts w:ascii="Calibri" w:hAnsi="Calibri" w:cs="Calibri"/>
          <w:lang w:val="en-US"/>
        </w:rPr>
        <w:t xml:space="preserve">the statistical and financial reports submitted by the MFIs. Following on-site supervision, a report is transmitted to the MFI </w:t>
      </w:r>
      <w:r w:rsidR="00B311EF">
        <w:rPr>
          <w:rFonts w:ascii="Calibri" w:hAnsi="Calibri" w:cs="Calibri"/>
          <w:lang w:val="en-US"/>
        </w:rPr>
        <w:t xml:space="preserve">along </w:t>
      </w:r>
      <w:r w:rsidRPr="00124DA6">
        <w:rPr>
          <w:rFonts w:ascii="Calibri" w:hAnsi="Calibri" w:cs="Calibri"/>
          <w:lang w:val="en-US"/>
        </w:rPr>
        <w:t xml:space="preserve">with recommendations. </w:t>
      </w:r>
    </w:p>
    <w:p w14:paraId="22B0463E" w14:textId="5ABB2204" w:rsidR="000673C8" w:rsidRPr="00441DDA" w:rsidRDefault="00597761" w:rsidP="00320347">
      <w:pPr>
        <w:pStyle w:val="Heading3"/>
        <w:numPr>
          <w:ilvl w:val="3"/>
          <w:numId w:val="44"/>
        </w:numPr>
        <w:rPr>
          <w:b/>
          <w:lang w:val="en-US"/>
        </w:rPr>
      </w:pPr>
      <w:bookmarkStart w:id="18" w:name="_Toc3975127"/>
      <w:r w:rsidRPr="00441DDA">
        <w:rPr>
          <w:b/>
          <w:lang w:val="en-US"/>
        </w:rPr>
        <w:t>T</w:t>
      </w:r>
      <w:r w:rsidR="000673C8" w:rsidRPr="00441DDA">
        <w:rPr>
          <w:b/>
          <w:lang w:val="en-US"/>
        </w:rPr>
        <w:t>he</w:t>
      </w:r>
      <w:r w:rsidRPr="00441DDA">
        <w:rPr>
          <w:b/>
          <w:lang w:val="en-US"/>
        </w:rPr>
        <w:t xml:space="preserve"> </w:t>
      </w:r>
      <w:r w:rsidR="000673C8" w:rsidRPr="00441DDA">
        <w:rPr>
          <w:b/>
          <w:lang w:val="en-US"/>
        </w:rPr>
        <w:t xml:space="preserve">sector </w:t>
      </w:r>
      <w:r w:rsidR="00ED23FD" w:rsidRPr="00441DDA">
        <w:rPr>
          <w:b/>
          <w:lang w:val="en-US"/>
        </w:rPr>
        <w:t xml:space="preserve">remains </w:t>
      </w:r>
      <w:r w:rsidR="000673C8" w:rsidRPr="00441DDA">
        <w:rPr>
          <w:b/>
          <w:lang w:val="en-US"/>
        </w:rPr>
        <w:t>relatively small and</w:t>
      </w:r>
      <w:r w:rsidRPr="00441DDA">
        <w:rPr>
          <w:b/>
          <w:lang w:val="en-US"/>
        </w:rPr>
        <w:t xml:space="preserve"> </w:t>
      </w:r>
      <w:r w:rsidR="000673C8" w:rsidRPr="00441DDA">
        <w:rPr>
          <w:b/>
          <w:lang w:val="en-US"/>
        </w:rPr>
        <w:t>fragile</w:t>
      </w:r>
      <w:r w:rsidR="00EC099C" w:rsidRPr="00441DDA">
        <w:rPr>
          <w:b/>
          <w:lang w:val="en-US"/>
        </w:rPr>
        <w:t>.</w:t>
      </w:r>
      <w:bookmarkEnd w:id="18"/>
    </w:p>
    <w:p w14:paraId="5F837643" w14:textId="59F6F709" w:rsidR="00320347" w:rsidRPr="00DB0355" w:rsidRDefault="000673C8" w:rsidP="006474A0">
      <w:pPr>
        <w:pStyle w:val="ListParagraph"/>
        <w:numPr>
          <w:ilvl w:val="0"/>
          <w:numId w:val="47"/>
        </w:numPr>
        <w:spacing w:after="240" w:line="240" w:lineRule="auto"/>
        <w:ind w:left="0" w:firstLine="0"/>
        <w:contextualSpacing w:val="0"/>
        <w:jc w:val="both"/>
        <w:rPr>
          <w:rFonts w:ascii="Calibri" w:hAnsi="Calibri" w:cs="Calibri"/>
          <w:lang w:val="en-US"/>
        </w:rPr>
      </w:pPr>
      <w:r w:rsidRPr="00DB0355">
        <w:rPr>
          <w:rFonts w:cstheme="minorHAnsi"/>
          <w:b/>
          <w:lang w:val="en-US"/>
        </w:rPr>
        <w:t xml:space="preserve">The </w:t>
      </w:r>
      <w:r w:rsidRPr="00DB0355">
        <w:rPr>
          <w:rFonts w:ascii="Calibri-Bold" w:hAnsi="Calibri-Bold" w:cs="Calibri-Bold"/>
          <w:b/>
          <w:bCs/>
          <w:lang w:val="en-US"/>
        </w:rPr>
        <w:t>total value of the microfinance</w:t>
      </w:r>
      <w:r w:rsidRPr="00124DA6">
        <w:rPr>
          <w:rFonts w:ascii="Calibri-Bold" w:hAnsi="Calibri-Bold" w:cs="Calibri-Bold"/>
          <w:b/>
          <w:bCs/>
          <w:lang w:val="en-US"/>
        </w:rPr>
        <w:t xml:space="preserve"> sector’s assets</w:t>
      </w:r>
      <w:r w:rsidRPr="00124DA6">
        <w:rPr>
          <w:rFonts w:cstheme="minorHAnsi"/>
          <w:b/>
          <w:lang w:val="en-US"/>
        </w:rPr>
        <w:t xml:space="preserve"> almost tripled in 10 years. </w:t>
      </w:r>
      <w:r w:rsidRPr="00124DA6">
        <w:rPr>
          <w:rFonts w:cstheme="minorHAnsi"/>
          <w:lang w:val="en-US"/>
        </w:rPr>
        <w:t>Between 2006 and 2016, the total sector assets grew from CFAF</w:t>
      </w:r>
      <w:r w:rsidR="00C702B4">
        <w:rPr>
          <w:rFonts w:cstheme="minorHAnsi"/>
          <w:lang w:val="en-US"/>
        </w:rPr>
        <w:t> </w:t>
      </w:r>
      <w:r w:rsidRPr="00124DA6">
        <w:rPr>
          <w:rFonts w:cstheme="minorHAnsi"/>
          <w:lang w:val="en-US"/>
        </w:rPr>
        <w:t>88.75</w:t>
      </w:r>
      <w:r w:rsidR="00C702B4">
        <w:rPr>
          <w:rFonts w:cstheme="minorHAnsi"/>
          <w:lang w:val="en-US"/>
        </w:rPr>
        <w:t> </w:t>
      </w:r>
      <w:r w:rsidRPr="00124DA6">
        <w:rPr>
          <w:rFonts w:cstheme="minorHAnsi"/>
          <w:lang w:val="en-US"/>
        </w:rPr>
        <w:t>billion to CFAF</w:t>
      </w:r>
      <w:r w:rsidR="00C702B4">
        <w:rPr>
          <w:rFonts w:cstheme="minorHAnsi"/>
          <w:lang w:val="en-US"/>
        </w:rPr>
        <w:t> </w:t>
      </w:r>
      <w:r w:rsidRPr="00124DA6">
        <w:rPr>
          <w:rFonts w:cstheme="minorHAnsi"/>
          <w:lang w:val="en-US"/>
        </w:rPr>
        <w:t>233.31</w:t>
      </w:r>
      <w:r w:rsidR="00C702B4">
        <w:rPr>
          <w:rFonts w:cstheme="minorHAnsi"/>
          <w:lang w:val="en-US"/>
        </w:rPr>
        <w:t> </w:t>
      </w:r>
      <w:r w:rsidRPr="00124DA6">
        <w:rPr>
          <w:rFonts w:cstheme="minorHAnsi"/>
          <w:lang w:val="en-US"/>
        </w:rPr>
        <w:t xml:space="preserve">billion, </w:t>
      </w:r>
      <w:r w:rsidR="00B311EF">
        <w:rPr>
          <w:rFonts w:cstheme="minorHAnsi"/>
          <w:lang w:val="en-US"/>
        </w:rPr>
        <w:t>which corresponds to</w:t>
      </w:r>
      <w:r w:rsidR="00B311EF" w:rsidRPr="00124DA6">
        <w:rPr>
          <w:rFonts w:cstheme="minorHAnsi"/>
          <w:lang w:val="en-US"/>
        </w:rPr>
        <w:t xml:space="preserve"> </w:t>
      </w:r>
      <w:r w:rsidRPr="00124DA6">
        <w:rPr>
          <w:rFonts w:cstheme="minorHAnsi"/>
          <w:lang w:val="en-US"/>
        </w:rPr>
        <w:t xml:space="preserve">a growth of 163 percent. </w:t>
      </w:r>
    </w:p>
    <w:p w14:paraId="515CDBF4" w14:textId="17181C70" w:rsidR="00221A82" w:rsidRPr="00124DA6" w:rsidRDefault="00221A82" w:rsidP="006474A0">
      <w:pPr>
        <w:pStyle w:val="ListParagraph"/>
        <w:numPr>
          <w:ilvl w:val="0"/>
          <w:numId w:val="47"/>
        </w:numPr>
        <w:spacing w:after="240" w:line="240" w:lineRule="auto"/>
        <w:ind w:left="0" w:firstLine="0"/>
        <w:contextualSpacing w:val="0"/>
        <w:jc w:val="both"/>
        <w:rPr>
          <w:rFonts w:ascii="Calibri" w:hAnsi="Calibri" w:cs="Calibri"/>
          <w:lang w:val="en-US"/>
        </w:rPr>
      </w:pPr>
      <w:r w:rsidRPr="00124DA6">
        <w:rPr>
          <w:rFonts w:cstheme="minorHAnsi"/>
          <w:b/>
          <w:lang w:val="en-US"/>
        </w:rPr>
        <w:t xml:space="preserve">Despite </w:t>
      </w:r>
      <w:r w:rsidR="00B311EF">
        <w:rPr>
          <w:rFonts w:cstheme="minorHAnsi"/>
          <w:b/>
          <w:lang w:val="en-US"/>
        </w:rPr>
        <w:t>the</w:t>
      </w:r>
      <w:r w:rsidR="00B311EF" w:rsidRPr="00124DA6">
        <w:rPr>
          <w:rFonts w:cstheme="minorHAnsi"/>
          <w:b/>
          <w:lang w:val="en-US"/>
        </w:rPr>
        <w:t xml:space="preserve"> </w:t>
      </w:r>
      <w:r w:rsidRPr="00124DA6">
        <w:rPr>
          <w:rFonts w:cstheme="minorHAnsi"/>
          <w:b/>
          <w:lang w:val="en-US"/>
        </w:rPr>
        <w:t xml:space="preserve">important </w:t>
      </w:r>
      <w:r w:rsidR="00B311EF">
        <w:rPr>
          <w:rFonts w:cstheme="minorHAnsi"/>
          <w:b/>
          <w:lang w:val="en-US"/>
        </w:rPr>
        <w:t xml:space="preserve">scope of its </w:t>
      </w:r>
      <w:r w:rsidRPr="00124DA6">
        <w:rPr>
          <w:rFonts w:cstheme="minorHAnsi"/>
          <w:b/>
          <w:lang w:val="en-US"/>
        </w:rPr>
        <w:t>clientele, the microfinance sector weighs relatively small</w:t>
      </w:r>
      <w:r w:rsidRPr="00124DA6">
        <w:rPr>
          <w:rFonts w:cstheme="minorHAnsi"/>
          <w:lang w:val="en-US"/>
        </w:rPr>
        <w:t xml:space="preserve"> </w:t>
      </w:r>
      <w:r w:rsidRPr="00124DA6">
        <w:rPr>
          <w:rFonts w:cstheme="minorHAnsi"/>
          <w:b/>
          <w:lang w:val="en-US"/>
        </w:rPr>
        <w:t>in the financial sector.</w:t>
      </w:r>
      <w:r w:rsidRPr="00124DA6">
        <w:rPr>
          <w:rFonts w:cstheme="minorHAnsi"/>
          <w:lang w:val="en-US"/>
        </w:rPr>
        <w:t xml:space="preserve"> The financial sector in Benin is bank centric. </w:t>
      </w:r>
      <w:r w:rsidRPr="00124DA6">
        <w:rPr>
          <w:rFonts w:ascii="Calibri" w:hAnsi="Calibri" w:cs="Calibri"/>
          <w:lang w:val="en-US"/>
        </w:rPr>
        <w:t xml:space="preserve">The value of the microfinance sector’s total assets stood at only 4.6 percent of GDP, much smaller than the total assets of the banking sector, </w:t>
      </w:r>
      <w:r w:rsidRPr="00124DA6">
        <w:rPr>
          <w:lang w:val="en-US"/>
        </w:rPr>
        <w:t>which</w:t>
      </w:r>
      <w:r w:rsidRPr="00124DA6">
        <w:rPr>
          <w:rFonts w:ascii="Calibri" w:hAnsi="Calibri" w:cs="Calibri"/>
          <w:lang w:val="en-US"/>
        </w:rPr>
        <w:t xml:space="preserve"> stood at 70 percent of GDP in 2016 (IMF</w:t>
      </w:r>
      <w:r w:rsidR="00C702B4">
        <w:rPr>
          <w:rFonts w:ascii="Calibri" w:hAnsi="Calibri" w:cs="Calibri"/>
          <w:lang w:val="en-US"/>
        </w:rPr>
        <w:t> </w:t>
      </w:r>
      <w:r w:rsidRPr="00124DA6">
        <w:rPr>
          <w:rFonts w:ascii="Calibri" w:hAnsi="Calibri" w:cs="Calibri"/>
          <w:lang w:val="en-US"/>
        </w:rPr>
        <w:t>2017).</w:t>
      </w:r>
      <w:r w:rsidRPr="00124DA6">
        <w:rPr>
          <w:rFonts w:ascii="Calibri" w:hAnsi="Calibri" w:cs="Calibri"/>
          <w:sz w:val="14"/>
          <w:szCs w:val="14"/>
          <w:lang w:val="en-US"/>
        </w:rPr>
        <w:t xml:space="preserve"> </w:t>
      </w:r>
      <w:r w:rsidRPr="00124DA6">
        <w:rPr>
          <w:rFonts w:ascii="Calibri" w:hAnsi="Calibri" w:cs="Calibri"/>
          <w:lang w:val="en-US"/>
        </w:rPr>
        <w:t xml:space="preserve">The microfinance sector controlled only 6.5 percent of the banking sector’s total assets, 9.6 percent of total loans, and 4.7 percent of total deposits </w:t>
      </w:r>
      <w:r w:rsidRPr="00124DA6">
        <w:rPr>
          <w:rFonts w:cstheme="minorHAnsi"/>
          <w:lang w:val="en-US"/>
        </w:rPr>
        <w:t>(see</w:t>
      </w:r>
      <w:r w:rsidR="00D40EBA">
        <w:rPr>
          <w:rFonts w:cstheme="minorHAnsi"/>
          <w:lang w:val="en-US"/>
        </w:rPr>
        <w:t xml:space="preserve"> Table 2.</w:t>
      </w:r>
      <w:r w:rsidR="00D40EBA" w:rsidRPr="00D40EBA">
        <w:rPr>
          <w:rFonts w:cstheme="minorHAnsi"/>
          <w:lang w:val="en-US"/>
        </w:rPr>
        <w:t>1</w:t>
      </w:r>
      <w:r w:rsidRPr="00D40EBA">
        <w:rPr>
          <w:rFonts w:cstheme="minorHAnsi"/>
          <w:lang w:val="en-US"/>
        </w:rPr>
        <w:t>).</w:t>
      </w:r>
      <w:r w:rsidRPr="00124DA6">
        <w:rPr>
          <w:rFonts w:ascii="Calibri" w:hAnsi="Calibri" w:cs="Calibri"/>
          <w:lang w:val="en-US"/>
        </w:rPr>
        <w:t xml:space="preserve"> </w:t>
      </w:r>
    </w:p>
    <w:p w14:paraId="726F03E4" w14:textId="0F9D6A84" w:rsidR="00221A82" w:rsidRPr="006474A0" w:rsidRDefault="00221A82" w:rsidP="00221A82">
      <w:pPr>
        <w:pStyle w:val="Caption"/>
        <w:keepNext/>
        <w:keepLines/>
        <w:rPr>
          <w:b/>
          <w:lang w:val="en-US"/>
        </w:rPr>
      </w:pPr>
      <w:r w:rsidRPr="006474A0">
        <w:rPr>
          <w:b/>
          <w:lang w:val="en-US"/>
        </w:rPr>
        <w:t>Table</w:t>
      </w:r>
      <w:r w:rsidR="00C702B4" w:rsidRPr="006474A0">
        <w:rPr>
          <w:b/>
          <w:lang w:val="en-US"/>
        </w:rPr>
        <w:t> </w:t>
      </w:r>
      <w:r w:rsidRPr="006474A0">
        <w:rPr>
          <w:b/>
          <w:lang w:val="en-US"/>
        </w:rPr>
        <w:t>2.</w:t>
      </w:r>
      <w:r w:rsidRPr="006474A0">
        <w:rPr>
          <w:b/>
          <w:lang w:val="en-US"/>
        </w:rPr>
        <w:fldChar w:fldCharType="begin"/>
      </w:r>
      <w:r w:rsidRPr="006474A0">
        <w:rPr>
          <w:b/>
          <w:lang w:val="en-US"/>
        </w:rPr>
        <w:instrText xml:space="preserve"> SEQ Table_2. \* ARABIC </w:instrText>
      </w:r>
      <w:r w:rsidRPr="006474A0">
        <w:rPr>
          <w:b/>
          <w:lang w:val="en-US"/>
        </w:rPr>
        <w:fldChar w:fldCharType="separate"/>
      </w:r>
      <w:r w:rsidR="004C6E5F" w:rsidRPr="006474A0">
        <w:rPr>
          <w:b/>
          <w:noProof/>
          <w:lang w:val="en-US"/>
        </w:rPr>
        <w:t>1</w:t>
      </w:r>
      <w:r w:rsidRPr="006474A0">
        <w:rPr>
          <w:b/>
          <w:lang w:val="en-US"/>
        </w:rPr>
        <w:fldChar w:fldCharType="end"/>
      </w:r>
      <w:r w:rsidRPr="006474A0">
        <w:rPr>
          <w:b/>
          <w:lang w:val="en-US"/>
        </w:rPr>
        <w:t xml:space="preserve">: Weight of the microfinance sector compared to the banking sector </w:t>
      </w:r>
    </w:p>
    <w:tbl>
      <w:tblPr>
        <w:tblW w:w="68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8"/>
        <w:gridCol w:w="797"/>
        <w:gridCol w:w="952"/>
        <w:gridCol w:w="2488"/>
      </w:tblGrid>
      <w:tr w:rsidR="00221A82" w:rsidRPr="00124DA6" w14:paraId="6CBBE425" w14:textId="77777777" w:rsidTr="00DB0355">
        <w:trPr>
          <w:trHeight w:val="343"/>
          <w:jc w:val="center"/>
        </w:trPr>
        <w:tc>
          <w:tcPr>
            <w:tcW w:w="0" w:type="auto"/>
            <w:vAlign w:val="center"/>
          </w:tcPr>
          <w:p w14:paraId="27F54362" w14:textId="77777777" w:rsidR="00221A82" w:rsidRPr="00124DA6" w:rsidRDefault="00221A82" w:rsidP="00DB0355">
            <w:pPr>
              <w:pStyle w:val="ListParagraph"/>
              <w:keepNext/>
              <w:keepLines/>
              <w:tabs>
                <w:tab w:val="left" w:pos="915"/>
              </w:tabs>
              <w:spacing w:line="240" w:lineRule="auto"/>
              <w:ind w:left="0"/>
              <w:jc w:val="center"/>
              <w:rPr>
                <w:rFonts w:cstheme="minorHAnsi"/>
                <w:b/>
                <w:sz w:val="20"/>
                <w:lang w:val="en-US"/>
              </w:rPr>
            </w:pPr>
            <w:r w:rsidRPr="00124DA6">
              <w:rPr>
                <w:rFonts w:cstheme="minorHAnsi"/>
                <w:b/>
                <w:sz w:val="20"/>
                <w:lang w:val="en-US"/>
              </w:rPr>
              <w:t xml:space="preserve">2016 </w:t>
            </w:r>
          </w:p>
        </w:tc>
        <w:tc>
          <w:tcPr>
            <w:tcW w:w="0" w:type="auto"/>
            <w:vAlign w:val="center"/>
          </w:tcPr>
          <w:p w14:paraId="0726BC54" w14:textId="77777777" w:rsidR="00221A82" w:rsidRPr="00124DA6" w:rsidRDefault="00221A82" w:rsidP="00DB0355">
            <w:pPr>
              <w:pStyle w:val="ListParagraph"/>
              <w:keepNext/>
              <w:keepLines/>
              <w:tabs>
                <w:tab w:val="left" w:pos="915"/>
              </w:tabs>
              <w:spacing w:line="240" w:lineRule="auto"/>
              <w:ind w:left="0"/>
              <w:jc w:val="center"/>
              <w:rPr>
                <w:rFonts w:cstheme="minorHAnsi"/>
                <w:b/>
                <w:sz w:val="20"/>
                <w:lang w:val="en-US"/>
              </w:rPr>
            </w:pPr>
            <w:r w:rsidRPr="00124DA6">
              <w:rPr>
                <w:rFonts w:cstheme="minorHAnsi"/>
                <w:b/>
                <w:sz w:val="20"/>
                <w:lang w:val="en-US"/>
              </w:rPr>
              <w:t xml:space="preserve">MFIs </w:t>
            </w:r>
          </w:p>
        </w:tc>
        <w:tc>
          <w:tcPr>
            <w:tcW w:w="0" w:type="auto"/>
            <w:vAlign w:val="center"/>
          </w:tcPr>
          <w:p w14:paraId="74139F0E" w14:textId="77777777" w:rsidR="00221A82" w:rsidRPr="00124DA6" w:rsidRDefault="00221A82" w:rsidP="00DB0355">
            <w:pPr>
              <w:pStyle w:val="ListParagraph"/>
              <w:keepNext/>
              <w:keepLines/>
              <w:tabs>
                <w:tab w:val="left" w:pos="915"/>
              </w:tabs>
              <w:spacing w:line="240" w:lineRule="auto"/>
              <w:ind w:left="0"/>
              <w:jc w:val="center"/>
              <w:rPr>
                <w:rFonts w:cstheme="minorHAnsi"/>
                <w:b/>
                <w:sz w:val="20"/>
                <w:lang w:val="en-US"/>
              </w:rPr>
            </w:pPr>
            <w:r w:rsidRPr="00124DA6">
              <w:rPr>
                <w:rFonts w:cstheme="minorHAnsi"/>
                <w:b/>
                <w:sz w:val="20"/>
                <w:lang w:val="en-US"/>
              </w:rPr>
              <w:t>Banks</w:t>
            </w:r>
          </w:p>
        </w:tc>
        <w:tc>
          <w:tcPr>
            <w:tcW w:w="0" w:type="auto"/>
            <w:vAlign w:val="center"/>
          </w:tcPr>
          <w:p w14:paraId="2FC9D34C" w14:textId="77777777" w:rsidR="00221A82" w:rsidRPr="00124DA6" w:rsidRDefault="00221A82" w:rsidP="00DB0355">
            <w:pPr>
              <w:pStyle w:val="ListParagraph"/>
              <w:keepNext/>
              <w:keepLines/>
              <w:tabs>
                <w:tab w:val="left" w:pos="915"/>
              </w:tabs>
              <w:spacing w:line="240" w:lineRule="auto"/>
              <w:ind w:left="0"/>
              <w:jc w:val="center"/>
              <w:rPr>
                <w:rFonts w:cstheme="minorHAnsi"/>
                <w:b/>
                <w:sz w:val="20"/>
                <w:lang w:val="en-US"/>
              </w:rPr>
            </w:pPr>
            <w:r w:rsidRPr="00124DA6">
              <w:rPr>
                <w:rFonts w:cstheme="minorHAnsi"/>
                <w:b/>
                <w:sz w:val="20"/>
                <w:lang w:val="en-US"/>
              </w:rPr>
              <w:t>MFIs to banking sector (%)</w:t>
            </w:r>
          </w:p>
        </w:tc>
      </w:tr>
      <w:tr w:rsidR="00221A82" w:rsidRPr="00124DA6" w14:paraId="4F82E624" w14:textId="77777777" w:rsidTr="00DB0355">
        <w:trPr>
          <w:trHeight w:val="334"/>
          <w:jc w:val="center"/>
        </w:trPr>
        <w:tc>
          <w:tcPr>
            <w:tcW w:w="0" w:type="auto"/>
          </w:tcPr>
          <w:p w14:paraId="7F2C61F7" w14:textId="77777777" w:rsidR="00221A82" w:rsidRPr="00124DA6" w:rsidRDefault="00221A82" w:rsidP="00DB0355">
            <w:pPr>
              <w:pStyle w:val="ListParagraph"/>
              <w:keepNext/>
              <w:keepLines/>
              <w:tabs>
                <w:tab w:val="left" w:pos="915"/>
              </w:tabs>
              <w:spacing w:line="240" w:lineRule="auto"/>
              <w:ind w:left="0"/>
              <w:jc w:val="both"/>
              <w:rPr>
                <w:rFonts w:cstheme="minorHAnsi"/>
                <w:sz w:val="20"/>
                <w:lang w:val="en-US"/>
              </w:rPr>
            </w:pPr>
            <w:r w:rsidRPr="00124DA6">
              <w:rPr>
                <w:rFonts w:cstheme="minorHAnsi"/>
                <w:sz w:val="20"/>
                <w:lang w:val="en-US"/>
              </w:rPr>
              <w:t>Total assets (CFAF, billions)</w:t>
            </w:r>
          </w:p>
        </w:tc>
        <w:tc>
          <w:tcPr>
            <w:tcW w:w="0" w:type="auto"/>
          </w:tcPr>
          <w:p w14:paraId="64B72AC1" w14:textId="77777777" w:rsidR="00221A82" w:rsidRPr="00124DA6" w:rsidRDefault="00221A82" w:rsidP="00DB0355">
            <w:pPr>
              <w:pStyle w:val="ListParagraph"/>
              <w:keepNext/>
              <w:keepLines/>
              <w:tabs>
                <w:tab w:val="left" w:pos="915"/>
              </w:tabs>
              <w:spacing w:line="240" w:lineRule="auto"/>
              <w:ind w:left="0"/>
              <w:jc w:val="both"/>
              <w:rPr>
                <w:rFonts w:cstheme="minorHAnsi"/>
                <w:sz w:val="20"/>
                <w:lang w:val="en-US"/>
              </w:rPr>
            </w:pPr>
            <w:r w:rsidRPr="00124DA6">
              <w:rPr>
                <w:rFonts w:cstheme="minorHAnsi"/>
                <w:sz w:val="20"/>
                <w:lang w:val="en-US"/>
              </w:rPr>
              <w:t>233.31</w:t>
            </w:r>
          </w:p>
        </w:tc>
        <w:tc>
          <w:tcPr>
            <w:tcW w:w="0" w:type="auto"/>
          </w:tcPr>
          <w:p w14:paraId="61F008DA" w14:textId="77777777" w:rsidR="00221A82" w:rsidRPr="00124DA6" w:rsidRDefault="00221A82" w:rsidP="00DB0355">
            <w:pPr>
              <w:pStyle w:val="ListParagraph"/>
              <w:keepNext/>
              <w:keepLines/>
              <w:tabs>
                <w:tab w:val="left" w:pos="915"/>
              </w:tabs>
              <w:spacing w:line="240" w:lineRule="auto"/>
              <w:ind w:left="0"/>
              <w:jc w:val="both"/>
              <w:rPr>
                <w:rFonts w:cstheme="minorHAnsi"/>
                <w:sz w:val="20"/>
                <w:lang w:val="en-US"/>
              </w:rPr>
            </w:pPr>
            <w:r w:rsidRPr="00124DA6">
              <w:rPr>
                <w:rFonts w:cstheme="minorHAnsi"/>
                <w:sz w:val="20"/>
                <w:lang w:val="en-US"/>
              </w:rPr>
              <w:t>3,594.56</w:t>
            </w:r>
          </w:p>
        </w:tc>
        <w:tc>
          <w:tcPr>
            <w:tcW w:w="0" w:type="auto"/>
          </w:tcPr>
          <w:p w14:paraId="50906BC3" w14:textId="77777777" w:rsidR="00221A82" w:rsidRPr="00124DA6" w:rsidRDefault="00221A82" w:rsidP="00DB0355">
            <w:pPr>
              <w:pStyle w:val="ListParagraph"/>
              <w:keepNext/>
              <w:keepLines/>
              <w:tabs>
                <w:tab w:val="left" w:pos="915"/>
              </w:tabs>
              <w:spacing w:line="240" w:lineRule="auto"/>
              <w:ind w:left="0"/>
              <w:jc w:val="center"/>
              <w:rPr>
                <w:rFonts w:cstheme="minorHAnsi"/>
                <w:sz w:val="20"/>
                <w:lang w:val="en-US"/>
              </w:rPr>
            </w:pPr>
            <w:r w:rsidRPr="00124DA6">
              <w:rPr>
                <w:rFonts w:cstheme="minorHAnsi"/>
                <w:sz w:val="20"/>
                <w:lang w:val="en-US"/>
              </w:rPr>
              <w:t>6.5</w:t>
            </w:r>
          </w:p>
        </w:tc>
      </w:tr>
      <w:tr w:rsidR="00221A82" w:rsidRPr="00124DA6" w14:paraId="7617A563" w14:textId="77777777" w:rsidTr="00DB0355">
        <w:trPr>
          <w:trHeight w:val="343"/>
          <w:jc w:val="center"/>
        </w:trPr>
        <w:tc>
          <w:tcPr>
            <w:tcW w:w="0" w:type="auto"/>
          </w:tcPr>
          <w:p w14:paraId="6BC3C5CC" w14:textId="77777777" w:rsidR="00221A82" w:rsidRPr="00124DA6" w:rsidRDefault="00221A82" w:rsidP="00DB0355">
            <w:pPr>
              <w:pStyle w:val="ListParagraph"/>
              <w:keepNext/>
              <w:keepLines/>
              <w:tabs>
                <w:tab w:val="left" w:pos="915"/>
              </w:tabs>
              <w:spacing w:line="240" w:lineRule="auto"/>
              <w:ind w:left="0"/>
              <w:jc w:val="both"/>
              <w:rPr>
                <w:rFonts w:cstheme="minorHAnsi"/>
                <w:sz w:val="20"/>
                <w:lang w:val="en-US"/>
              </w:rPr>
            </w:pPr>
            <w:r w:rsidRPr="00124DA6">
              <w:rPr>
                <w:rFonts w:cstheme="minorHAnsi"/>
                <w:sz w:val="20"/>
                <w:lang w:val="en-US"/>
              </w:rPr>
              <w:t xml:space="preserve">Total </w:t>
            </w:r>
            <w:r>
              <w:rPr>
                <w:rFonts w:cstheme="minorHAnsi"/>
                <w:sz w:val="20"/>
                <w:lang w:val="en-US"/>
              </w:rPr>
              <w:t>d</w:t>
            </w:r>
            <w:r w:rsidRPr="00124DA6">
              <w:rPr>
                <w:rFonts w:cstheme="minorHAnsi"/>
                <w:sz w:val="20"/>
                <w:lang w:val="en-US"/>
              </w:rPr>
              <w:t>eposit (CFAF, billions)</w:t>
            </w:r>
          </w:p>
        </w:tc>
        <w:tc>
          <w:tcPr>
            <w:tcW w:w="0" w:type="auto"/>
          </w:tcPr>
          <w:p w14:paraId="50881154" w14:textId="77777777" w:rsidR="00221A82" w:rsidRPr="00124DA6" w:rsidRDefault="00221A82" w:rsidP="00DB0355">
            <w:pPr>
              <w:pStyle w:val="ListParagraph"/>
              <w:keepNext/>
              <w:keepLines/>
              <w:tabs>
                <w:tab w:val="left" w:pos="915"/>
              </w:tabs>
              <w:spacing w:line="240" w:lineRule="auto"/>
              <w:ind w:left="0"/>
              <w:jc w:val="both"/>
              <w:rPr>
                <w:rFonts w:cstheme="minorHAnsi"/>
                <w:sz w:val="20"/>
                <w:lang w:val="en-US"/>
              </w:rPr>
            </w:pPr>
            <w:r w:rsidRPr="00124DA6">
              <w:rPr>
                <w:rFonts w:cstheme="minorHAnsi"/>
                <w:sz w:val="20"/>
                <w:lang w:val="en-US"/>
              </w:rPr>
              <w:t>97.57</w:t>
            </w:r>
          </w:p>
        </w:tc>
        <w:tc>
          <w:tcPr>
            <w:tcW w:w="0" w:type="auto"/>
          </w:tcPr>
          <w:p w14:paraId="0F0DA4DA" w14:textId="77777777" w:rsidR="00221A82" w:rsidRPr="00124DA6" w:rsidRDefault="00221A82" w:rsidP="00DB0355">
            <w:pPr>
              <w:pStyle w:val="ListParagraph"/>
              <w:keepNext/>
              <w:keepLines/>
              <w:tabs>
                <w:tab w:val="left" w:pos="915"/>
              </w:tabs>
              <w:spacing w:line="240" w:lineRule="auto"/>
              <w:ind w:left="0"/>
              <w:jc w:val="both"/>
              <w:rPr>
                <w:rFonts w:cstheme="minorHAnsi"/>
                <w:sz w:val="20"/>
                <w:lang w:val="en-US"/>
              </w:rPr>
            </w:pPr>
            <w:r w:rsidRPr="00124DA6">
              <w:rPr>
                <w:rFonts w:cstheme="minorHAnsi"/>
                <w:sz w:val="20"/>
                <w:lang w:val="en-US"/>
              </w:rPr>
              <w:t>2,084.67</w:t>
            </w:r>
          </w:p>
        </w:tc>
        <w:tc>
          <w:tcPr>
            <w:tcW w:w="0" w:type="auto"/>
          </w:tcPr>
          <w:p w14:paraId="1979F0CD" w14:textId="77777777" w:rsidR="00221A82" w:rsidRPr="00124DA6" w:rsidRDefault="00221A82" w:rsidP="00DB0355">
            <w:pPr>
              <w:pStyle w:val="ListParagraph"/>
              <w:keepNext/>
              <w:keepLines/>
              <w:tabs>
                <w:tab w:val="left" w:pos="915"/>
              </w:tabs>
              <w:spacing w:line="240" w:lineRule="auto"/>
              <w:ind w:left="0"/>
              <w:jc w:val="center"/>
              <w:rPr>
                <w:rFonts w:cstheme="minorHAnsi"/>
                <w:sz w:val="20"/>
                <w:lang w:val="en-US"/>
              </w:rPr>
            </w:pPr>
            <w:r w:rsidRPr="00124DA6">
              <w:rPr>
                <w:rFonts w:cstheme="minorHAnsi"/>
                <w:sz w:val="20"/>
                <w:lang w:val="en-US"/>
              </w:rPr>
              <w:t>4.7</w:t>
            </w:r>
          </w:p>
        </w:tc>
      </w:tr>
      <w:tr w:rsidR="00221A82" w:rsidRPr="00124DA6" w14:paraId="5C3CB72E" w14:textId="77777777" w:rsidTr="00DB0355">
        <w:trPr>
          <w:trHeight w:val="334"/>
          <w:jc w:val="center"/>
        </w:trPr>
        <w:tc>
          <w:tcPr>
            <w:tcW w:w="0" w:type="auto"/>
          </w:tcPr>
          <w:p w14:paraId="0430BAA8" w14:textId="77777777" w:rsidR="00221A82" w:rsidRPr="00124DA6" w:rsidRDefault="00221A82" w:rsidP="00DB0355">
            <w:pPr>
              <w:pStyle w:val="ListParagraph"/>
              <w:keepNext/>
              <w:keepLines/>
              <w:tabs>
                <w:tab w:val="left" w:pos="915"/>
              </w:tabs>
              <w:spacing w:line="240" w:lineRule="auto"/>
              <w:ind w:left="0"/>
              <w:jc w:val="both"/>
              <w:rPr>
                <w:rFonts w:cstheme="minorHAnsi"/>
                <w:sz w:val="20"/>
                <w:lang w:val="en-US"/>
              </w:rPr>
            </w:pPr>
            <w:r w:rsidRPr="00124DA6">
              <w:rPr>
                <w:rFonts w:cstheme="minorHAnsi"/>
                <w:sz w:val="20"/>
                <w:lang w:val="en-US"/>
              </w:rPr>
              <w:t>Total loans (CFAF, billions)</w:t>
            </w:r>
          </w:p>
        </w:tc>
        <w:tc>
          <w:tcPr>
            <w:tcW w:w="0" w:type="auto"/>
          </w:tcPr>
          <w:p w14:paraId="5C7583E4" w14:textId="77777777" w:rsidR="00221A82" w:rsidRPr="00124DA6" w:rsidRDefault="00221A82" w:rsidP="00DB0355">
            <w:pPr>
              <w:pStyle w:val="ListParagraph"/>
              <w:keepNext/>
              <w:keepLines/>
              <w:tabs>
                <w:tab w:val="left" w:pos="915"/>
              </w:tabs>
              <w:spacing w:line="240" w:lineRule="auto"/>
              <w:ind w:left="0"/>
              <w:jc w:val="both"/>
              <w:rPr>
                <w:rFonts w:cstheme="minorHAnsi"/>
                <w:sz w:val="20"/>
                <w:lang w:val="en-US"/>
              </w:rPr>
            </w:pPr>
            <w:r w:rsidRPr="00124DA6">
              <w:rPr>
                <w:rFonts w:cstheme="minorHAnsi"/>
                <w:sz w:val="20"/>
                <w:lang w:val="en-US"/>
              </w:rPr>
              <w:t>138.51</w:t>
            </w:r>
          </w:p>
        </w:tc>
        <w:tc>
          <w:tcPr>
            <w:tcW w:w="0" w:type="auto"/>
          </w:tcPr>
          <w:p w14:paraId="235198E6" w14:textId="77777777" w:rsidR="00221A82" w:rsidRPr="00124DA6" w:rsidRDefault="00221A82" w:rsidP="00DB0355">
            <w:pPr>
              <w:pStyle w:val="ListParagraph"/>
              <w:keepNext/>
              <w:keepLines/>
              <w:tabs>
                <w:tab w:val="left" w:pos="915"/>
              </w:tabs>
              <w:spacing w:line="240" w:lineRule="auto"/>
              <w:ind w:left="0"/>
              <w:jc w:val="both"/>
              <w:rPr>
                <w:rFonts w:cstheme="minorHAnsi"/>
                <w:sz w:val="20"/>
                <w:lang w:val="en-US"/>
              </w:rPr>
            </w:pPr>
            <w:r w:rsidRPr="00124DA6">
              <w:rPr>
                <w:rFonts w:cstheme="minorHAnsi"/>
                <w:sz w:val="20"/>
                <w:lang w:val="en-US"/>
              </w:rPr>
              <w:t>1,438.33</w:t>
            </w:r>
          </w:p>
        </w:tc>
        <w:tc>
          <w:tcPr>
            <w:tcW w:w="0" w:type="auto"/>
          </w:tcPr>
          <w:p w14:paraId="0C636595" w14:textId="77777777" w:rsidR="00221A82" w:rsidRPr="00124DA6" w:rsidRDefault="00221A82" w:rsidP="00DB0355">
            <w:pPr>
              <w:pStyle w:val="ListParagraph"/>
              <w:keepNext/>
              <w:keepLines/>
              <w:tabs>
                <w:tab w:val="left" w:pos="915"/>
              </w:tabs>
              <w:spacing w:line="240" w:lineRule="auto"/>
              <w:ind w:left="0"/>
              <w:jc w:val="center"/>
              <w:rPr>
                <w:rFonts w:cstheme="minorHAnsi"/>
                <w:sz w:val="20"/>
                <w:lang w:val="en-US"/>
              </w:rPr>
            </w:pPr>
            <w:r w:rsidRPr="00124DA6">
              <w:rPr>
                <w:rFonts w:cstheme="minorHAnsi"/>
                <w:sz w:val="20"/>
                <w:lang w:val="en-US"/>
              </w:rPr>
              <w:t>9.6</w:t>
            </w:r>
          </w:p>
        </w:tc>
      </w:tr>
    </w:tbl>
    <w:p w14:paraId="204C4671" w14:textId="250BFB2F" w:rsidR="00221A82" w:rsidRDefault="000673C8" w:rsidP="00221A82">
      <w:pPr>
        <w:pStyle w:val="ListParagraph"/>
        <w:keepNext/>
        <w:keepLines/>
        <w:ind w:left="990"/>
        <w:jc w:val="both"/>
        <w:rPr>
          <w:rFonts w:asciiTheme="majorHAnsi" w:hAnsiTheme="majorHAnsi" w:cstheme="majorHAnsi"/>
          <w:color w:val="2E74B5" w:themeColor="accent1" w:themeShade="BF"/>
          <w:sz w:val="20"/>
          <w:szCs w:val="20"/>
          <w:lang w:val="en-US"/>
        </w:rPr>
      </w:pPr>
      <w:r>
        <w:rPr>
          <w:rFonts w:asciiTheme="majorHAnsi" w:hAnsiTheme="majorHAnsi" w:cstheme="majorHAnsi"/>
          <w:i/>
          <w:color w:val="2E74B5" w:themeColor="accent1" w:themeShade="BF"/>
          <w:sz w:val="20"/>
          <w:szCs w:val="20"/>
          <w:lang w:val="en-US"/>
        </w:rPr>
        <w:t xml:space="preserve">          </w:t>
      </w:r>
      <w:r w:rsidR="00221A82" w:rsidRPr="00124DA6">
        <w:rPr>
          <w:rFonts w:asciiTheme="majorHAnsi" w:hAnsiTheme="majorHAnsi" w:cstheme="majorHAnsi"/>
          <w:i/>
          <w:color w:val="2E74B5" w:themeColor="accent1" w:themeShade="BF"/>
          <w:sz w:val="20"/>
          <w:szCs w:val="20"/>
          <w:lang w:val="en-US"/>
        </w:rPr>
        <w:t>Source</w:t>
      </w:r>
      <w:r w:rsidR="00221A82" w:rsidRPr="00124DA6">
        <w:rPr>
          <w:rFonts w:asciiTheme="majorHAnsi" w:hAnsiTheme="majorHAnsi" w:cstheme="majorHAnsi"/>
          <w:color w:val="2E74B5" w:themeColor="accent1" w:themeShade="BF"/>
          <w:sz w:val="20"/>
          <w:szCs w:val="20"/>
          <w:lang w:val="en-US"/>
        </w:rPr>
        <w:t>: BCEAO, ANSSFD</w:t>
      </w:r>
      <w:r w:rsidR="00C702B4">
        <w:rPr>
          <w:rFonts w:asciiTheme="majorHAnsi" w:hAnsiTheme="majorHAnsi" w:cstheme="majorHAnsi"/>
          <w:color w:val="2E74B5" w:themeColor="accent1" w:themeShade="BF"/>
          <w:sz w:val="20"/>
          <w:szCs w:val="20"/>
          <w:lang w:val="en-US"/>
        </w:rPr>
        <w:t> </w:t>
      </w:r>
      <w:r w:rsidR="00221A82" w:rsidRPr="00124DA6">
        <w:rPr>
          <w:rFonts w:asciiTheme="majorHAnsi" w:hAnsiTheme="majorHAnsi" w:cstheme="majorHAnsi"/>
          <w:color w:val="2E74B5" w:themeColor="accent1" w:themeShade="BF"/>
          <w:sz w:val="20"/>
          <w:szCs w:val="20"/>
          <w:lang w:val="en-US"/>
        </w:rPr>
        <w:t xml:space="preserve">2016 data, team analysis. </w:t>
      </w:r>
    </w:p>
    <w:p w14:paraId="0D06156D" w14:textId="77777777" w:rsidR="00C23BD7" w:rsidRDefault="00C23BD7" w:rsidP="006474A0">
      <w:pPr>
        <w:pStyle w:val="Caption"/>
        <w:ind w:left="720"/>
        <w:rPr>
          <w:b/>
          <w:lang w:val="en-US"/>
        </w:rPr>
      </w:pPr>
    </w:p>
    <w:p w14:paraId="293711A7" w14:textId="634FF20F" w:rsidR="00DB0355" w:rsidRPr="006474A0" w:rsidRDefault="00DB0355" w:rsidP="006474A0">
      <w:pPr>
        <w:pStyle w:val="Caption"/>
        <w:ind w:left="720"/>
        <w:rPr>
          <w:b/>
          <w:lang w:val="en-US"/>
        </w:rPr>
      </w:pPr>
      <w:r w:rsidRPr="006474A0">
        <w:rPr>
          <w:b/>
          <w:lang w:val="en-US"/>
        </w:rPr>
        <w:t>Figure</w:t>
      </w:r>
      <w:r w:rsidR="00C702B4" w:rsidRPr="006474A0">
        <w:rPr>
          <w:b/>
          <w:lang w:val="en-US"/>
        </w:rPr>
        <w:t> </w:t>
      </w:r>
      <w:r w:rsidRPr="006474A0">
        <w:rPr>
          <w:b/>
          <w:lang w:val="en-US"/>
        </w:rPr>
        <w:t>2.3: Microfinance sector deposits and credit evolution (CFAF, billions)</w:t>
      </w:r>
    </w:p>
    <w:p w14:paraId="40ACFAC6" w14:textId="77777777" w:rsidR="00DB0355" w:rsidRPr="00DB0355" w:rsidRDefault="00DB0355" w:rsidP="00DB0355">
      <w:pPr>
        <w:keepNext/>
        <w:ind w:left="360"/>
        <w:jc w:val="center"/>
        <w:rPr>
          <w:lang w:val="en-US"/>
        </w:rPr>
      </w:pPr>
      <w:r w:rsidRPr="00124DA6">
        <w:rPr>
          <w:noProof/>
          <w:lang w:eastAsia="fr-FR"/>
        </w:rPr>
        <w:drawing>
          <wp:inline distT="0" distB="0" distL="0" distR="0" wp14:anchorId="032974D2" wp14:editId="4C3597BB">
            <wp:extent cx="4380865" cy="1945843"/>
            <wp:effectExtent l="0" t="0" r="635" b="16510"/>
            <wp:docPr id="43" name="Chart 43">
              <a:extLst xmlns:a="http://schemas.openxmlformats.org/drawingml/2006/main">
                <a:ext uri="{FF2B5EF4-FFF2-40B4-BE49-F238E27FC236}">
                  <a16:creationId xmlns:a16="http://schemas.microsoft.com/office/drawing/2014/main" id="{C9484853-E8CA-413A-92FF-836C822E78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71D663B" w14:textId="152A5586" w:rsidR="00221A82" w:rsidRPr="00DB0355" w:rsidRDefault="00DB0355" w:rsidP="00DB0355">
      <w:pPr>
        <w:spacing w:after="120" w:line="240" w:lineRule="auto"/>
        <w:ind w:left="708" w:firstLine="708"/>
        <w:rPr>
          <w:rFonts w:asciiTheme="majorHAnsi" w:hAnsiTheme="majorHAnsi" w:cstheme="majorHAnsi"/>
          <w:color w:val="2E74B5" w:themeColor="accent1" w:themeShade="BF"/>
          <w:sz w:val="20"/>
          <w:szCs w:val="16"/>
          <w:lang w:val="en-US"/>
        </w:rPr>
      </w:pPr>
      <w:r w:rsidRPr="00DB0355">
        <w:rPr>
          <w:rFonts w:asciiTheme="majorHAnsi" w:hAnsiTheme="majorHAnsi" w:cstheme="majorHAnsi"/>
          <w:i/>
          <w:color w:val="2E74B5" w:themeColor="accent1" w:themeShade="BF"/>
          <w:sz w:val="20"/>
          <w:szCs w:val="16"/>
          <w:lang w:val="en-US"/>
        </w:rPr>
        <w:t>Source</w:t>
      </w:r>
      <w:r w:rsidRPr="00DB0355">
        <w:rPr>
          <w:rFonts w:asciiTheme="majorHAnsi" w:hAnsiTheme="majorHAnsi" w:cstheme="majorHAnsi"/>
          <w:color w:val="2E74B5" w:themeColor="accent1" w:themeShade="BF"/>
          <w:sz w:val="20"/>
          <w:szCs w:val="16"/>
          <w:lang w:val="en-US"/>
        </w:rPr>
        <w:t>: Data provided by ANSSFD</w:t>
      </w:r>
      <w:r w:rsidR="00C702B4">
        <w:rPr>
          <w:rFonts w:asciiTheme="majorHAnsi" w:hAnsiTheme="majorHAnsi" w:cstheme="majorHAnsi"/>
          <w:color w:val="2E74B5" w:themeColor="accent1" w:themeShade="BF"/>
          <w:sz w:val="20"/>
          <w:szCs w:val="16"/>
          <w:lang w:val="en-US"/>
        </w:rPr>
        <w:t> </w:t>
      </w:r>
      <w:r w:rsidRPr="00DB0355">
        <w:rPr>
          <w:rFonts w:asciiTheme="majorHAnsi" w:hAnsiTheme="majorHAnsi" w:cstheme="majorHAnsi"/>
          <w:color w:val="2E74B5" w:themeColor="accent1" w:themeShade="BF"/>
          <w:sz w:val="20"/>
          <w:szCs w:val="16"/>
          <w:lang w:val="en-US"/>
        </w:rPr>
        <w:t>2017.</w:t>
      </w:r>
    </w:p>
    <w:p w14:paraId="4DE7B947" w14:textId="204AA5BD" w:rsidR="000673C8" w:rsidRPr="000673C8" w:rsidRDefault="00B311EF" w:rsidP="00C23BD7">
      <w:pPr>
        <w:pStyle w:val="ListParagraph"/>
        <w:numPr>
          <w:ilvl w:val="0"/>
          <w:numId w:val="47"/>
        </w:numPr>
        <w:spacing w:after="240" w:line="240" w:lineRule="auto"/>
        <w:ind w:left="0" w:firstLine="0"/>
        <w:contextualSpacing w:val="0"/>
        <w:jc w:val="both"/>
        <w:rPr>
          <w:rFonts w:cstheme="minorHAnsi"/>
          <w:color w:val="222222"/>
          <w:lang w:val="en-US"/>
        </w:rPr>
      </w:pPr>
      <w:r>
        <w:rPr>
          <w:rFonts w:cstheme="minorHAnsi"/>
          <w:b/>
          <w:lang w:val="en-US"/>
        </w:rPr>
        <w:t>P</w:t>
      </w:r>
      <w:r w:rsidR="000673C8" w:rsidRPr="00124DA6">
        <w:rPr>
          <w:rFonts w:cstheme="minorHAnsi"/>
          <w:b/>
          <w:lang w:val="en-US"/>
        </w:rPr>
        <w:t>rudential norms and the financial indicators defined by the BCEAO</w:t>
      </w:r>
      <w:r w:rsidR="000673C8">
        <w:rPr>
          <w:rFonts w:cstheme="minorHAnsi"/>
          <w:b/>
          <w:lang w:val="en-US"/>
        </w:rPr>
        <w:t xml:space="preserve"> for WAEMU countries</w:t>
      </w:r>
      <w:r>
        <w:rPr>
          <w:rFonts w:cstheme="minorHAnsi"/>
          <w:b/>
          <w:lang w:val="en-US"/>
        </w:rPr>
        <w:t xml:space="preserve"> are used to assess to financial performance of the sector</w:t>
      </w:r>
      <w:r w:rsidR="000673C8" w:rsidRPr="00124DA6">
        <w:rPr>
          <w:rFonts w:cstheme="minorHAnsi"/>
          <w:b/>
          <w:lang w:val="en-US"/>
        </w:rPr>
        <w:t>.</w:t>
      </w:r>
      <w:r w:rsidR="000673C8" w:rsidRPr="00124DA6">
        <w:rPr>
          <w:rFonts w:cstheme="minorHAnsi"/>
          <w:lang w:val="en-US"/>
        </w:rPr>
        <w:t xml:space="preserve"> This analysis is based on data provided by the MFIs’ association (Consortium Alafia); the association </w:t>
      </w:r>
      <w:r w:rsidR="000673C8" w:rsidRPr="00124DA6">
        <w:rPr>
          <w:rFonts w:ascii="Calibri" w:hAnsi="Calibri" w:cs="Calibri"/>
          <w:lang w:val="en-US"/>
        </w:rPr>
        <w:t>members</w:t>
      </w:r>
      <w:r w:rsidR="000673C8" w:rsidRPr="00124DA6">
        <w:rPr>
          <w:rFonts w:cstheme="minorHAnsi"/>
          <w:lang w:val="en-US"/>
        </w:rPr>
        <w:t xml:space="preserve"> represent more than 95 percent</w:t>
      </w:r>
      <w:r w:rsidR="000673C8">
        <w:rPr>
          <w:rStyle w:val="FootnoteReference"/>
          <w:rFonts w:cstheme="minorHAnsi"/>
          <w:lang w:val="en-US"/>
        </w:rPr>
        <w:footnoteReference w:id="11"/>
      </w:r>
      <w:r w:rsidR="000673C8" w:rsidRPr="00124DA6">
        <w:rPr>
          <w:rFonts w:cstheme="minorHAnsi"/>
          <w:lang w:val="en-US"/>
        </w:rPr>
        <w:t xml:space="preserve"> of the formal microfinance market in Benin. During 2012–2016, the performance of Beninese MFIs related to the prudential ratios was satisfactory. Table</w:t>
      </w:r>
      <w:r w:rsidR="00C702B4">
        <w:rPr>
          <w:rFonts w:cstheme="minorHAnsi"/>
          <w:lang w:val="en-US"/>
        </w:rPr>
        <w:t> </w:t>
      </w:r>
      <w:r w:rsidR="000673C8" w:rsidRPr="00124DA6">
        <w:rPr>
          <w:rFonts w:cstheme="minorHAnsi"/>
          <w:lang w:val="en-US"/>
        </w:rPr>
        <w:t>2.2 illustrates the situation as of December 2016</w:t>
      </w:r>
      <w:r w:rsidR="000673C8">
        <w:rPr>
          <w:rFonts w:cstheme="minorHAnsi"/>
          <w:lang w:val="en-US"/>
        </w:rPr>
        <w:t xml:space="preserve">. </w:t>
      </w:r>
    </w:p>
    <w:p w14:paraId="4DBBBC72" w14:textId="6AC508D1" w:rsidR="000673C8" w:rsidRPr="006474A0" w:rsidRDefault="000673C8" w:rsidP="00C23BD7">
      <w:pPr>
        <w:pStyle w:val="Caption"/>
        <w:keepNext/>
        <w:keepLines/>
        <w:spacing w:before="240"/>
        <w:rPr>
          <w:b/>
          <w:lang w:val="en-US"/>
        </w:rPr>
      </w:pPr>
      <w:r w:rsidRPr="006474A0">
        <w:rPr>
          <w:b/>
          <w:lang w:val="en-US"/>
        </w:rPr>
        <w:t>Table</w:t>
      </w:r>
      <w:r w:rsidR="00C702B4" w:rsidRPr="006474A0">
        <w:rPr>
          <w:b/>
          <w:lang w:val="en-US"/>
        </w:rPr>
        <w:t> </w:t>
      </w:r>
      <w:r w:rsidRPr="006474A0">
        <w:rPr>
          <w:b/>
          <w:lang w:val="en-US"/>
        </w:rPr>
        <w:t>2.</w:t>
      </w:r>
      <w:r w:rsidRPr="006474A0">
        <w:rPr>
          <w:b/>
          <w:lang w:val="en-US"/>
        </w:rPr>
        <w:fldChar w:fldCharType="begin"/>
      </w:r>
      <w:r w:rsidRPr="006474A0">
        <w:rPr>
          <w:b/>
          <w:lang w:val="en-US"/>
        </w:rPr>
        <w:instrText xml:space="preserve"> SEQ Table_2. \* ARABIC </w:instrText>
      </w:r>
      <w:r w:rsidRPr="006474A0">
        <w:rPr>
          <w:b/>
          <w:lang w:val="en-US"/>
        </w:rPr>
        <w:fldChar w:fldCharType="separate"/>
      </w:r>
      <w:r w:rsidR="004C6E5F" w:rsidRPr="006474A0">
        <w:rPr>
          <w:b/>
          <w:noProof/>
          <w:lang w:val="en-US"/>
        </w:rPr>
        <w:t>2</w:t>
      </w:r>
      <w:r w:rsidRPr="006474A0">
        <w:rPr>
          <w:b/>
          <w:lang w:val="en-US"/>
        </w:rPr>
        <w:fldChar w:fldCharType="end"/>
      </w:r>
      <w:r w:rsidRPr="006474A0">
        <w:rPr>
          <w:b/>
          <w:lang w:val="en-US"/>
        </w:rPr>
        <w:t>: Beninese microfinance sector compliance with prudential norms (percentage)</w:t>
      </w:r>
    </w:p>
    <w:tbl>
      <w:tblPr>
        <w:tblW w:w="50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5"/>
        <w:gridCol w:w="828"/>
        <w:gridCol w:w="830"/>
        <w:gridCol w:w="830"/>
        <w:gridCol w:w="807"/>
        <w:gridCol w:w="836"/>
        <w:gridCol w:w="917"/>
      </w:tblGrid>
      <w:tr w:rsidR="000673C8" w:rsidRPr="00124DA6" w14:paraId="1E1B6042" w14:textId="77777777" w:rsidTr="00DB0355">
        <w:trPr>
          <w:trHeight w:val="260"/>
        </w:trPr>
        <w:tc>
          <w:tcPr>
            <w:tcW w:w="2385" w:type="pct"/>
            <w:vAlign w:val="center"/>
          </w:tcPr>
          <w:p w14:paraId="36395195"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b/>
                <w:sz w:val="20"/>
                <w:szCs w:val="20"/>
                <w:lang w:val="en-US"/>
              </w:rPr>
            </w:pPr>
            <w:r w:rsidRPr="00124DA6">
              <w:rPr>
                <w:rFonts w:cstheme="minorHAnsi"/>
                <w:b/>
                <w:sz w:val="20"/>
                <w:szCs w:val="20"/>
                <w:lang w:val="en-US"/>
              </w:rPr>
              <w:t>Prudential ratios</w:t>
            </w:r>
          </w:p>
        </w:tc>
        <w:tc>
          <w:tcPr>
            <w:tcW w:w="429" w:type="pct"/>
            <w:vAlign w:val="center"/>
          </w:tcPr>
          <w:p w14:paraId="4FFB97BF"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b/>
                <w:sz w:val="20"/>
                <w:szCs w:val="20"/>
                <w:lang w:val="en-US"/>
              </w:rPr>
            </w:pPr>
            <w:r w:rsidRPr="00124DA6">
              <w:rPr>
                <w:rFonts w:cstheme="minorHAnsi"/>
                <w:b/>
                <w:sz w:val="20"/>
                <w:szCs w:val="20"/>
                <w:lang w:val="en-US"/>
              </w:rPr>
              <w:t>Norms</w:t>
            </w:r>
          </w:p>
        </w:tc>
        <w:tc>
          <w:tcPr>
            <w:tcW w:w="430" w:type="pct"/>
            <w:vAlign w:val="center"/>
          </w:tcPr>
          <w:p w14:paraId="01F95355"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b/>
                <w:sz w:val="20"/>
                <w:szCs w:val="20"/>
                <w:lang w:val="en-US"/>
              </w:rPr>
            </w:pPr>
            <w:r w:rsidRPr="00124DA6">
              <w:rPr>
                <w:rFonts w:cstheme="minorHAnsi"/>
                <w:b/>
                <w:sz w:val="20"/>
                <w:szCs w:val="20"/>
                <w:lang w:val="en-US"/>
              </w:rPr>
              <w:t>2012</w:t>
            </w:r>
          </w:p>
        </w:tc>
        <w:tc>
          <w:tcPr>
            <w:tcW w:w="430" w:type="pct"/>
            <w:vAlign w:val="center"/>
          </w:tcPr>
          <w:p w14:paraId="54FE884B"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b/>
                <w:sz w:val="20"/>
                <w:szCs w:val="20"/>
                <w:lang w:val="en-US"/>
              </w:rPr>
            </w:pPr>
            <w:r w:rsidRPr="00124DA6">
              <w:rPr>
                <w:rFonts w:cstheme="minorHAnsi"/>
                <w:b/>
                <w:sz w:val="20"/>
                <w:szCs w:val="20"/>
                <w:lang w:val="en-US"/>
              </w:rPr>
              <w:t>2013</w:t>
            </w:r>
          </w:p>
        </w:tc>
        <w:tc>
          <w:tcPr>
            <w:tcW w:w="418" w:type="pct"/>
            <w:vAlign w:val="center"/>
          </w:tcPr>
          <w:p w14:paraId="43BF89BA"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b/>
                <w:sz w:val="20"/>
                <w:szCs w:val="20"/>
                <w:lang w:val="en-US"/>
              </w:rPr>
            </w:pPr>
            <w:r w:rsidRPr="00124DA6">
              <w:rPr>
                <w:rFonts w:cstheme="minorHAnsi"/>
                <w:b/>
                <w:sz w:val="20"/>
                <w:szCs w:val="20"/>
                <w:lang w:val="en-US"/>
              </w:rPr>
              <w:t>2014</w:t>
            </w:r>
          </w:p>
        </w:tc>
        <w:tc>
          <w:tcPr>
            <w:tcW w:w="433" w:type="pct"/>
            <w:vAlign w:val="center"/>
          </w:tcPr>
          <w:p w14:paraId="2613854E"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b/>
                <w:sz w:val="20"/>
                <w:szCs w:val="20"/>
                <w:lang w:val="en-US"/>
              </w:rPr>
            </w:pPr>
            <w:r w:rsidRPr="00124DA6">
              <w:rPr>
                <w:rFonts w:cstheme="minorHAnsi"/>
                <w:b/>
                <w:sz w:val="20"/>
                <w:szCs w:val="20"/>
                <w:lang w:val="en-US"/>
              </w:rPr>
              <w:t>2015</w:t>
            </w:r>
          </w:p>
        </w:tc>
        <w:tc>
          <w:tcPr>
            <w:tcW w:w="475" w:type="pct"/>
            <w:vAlign w:val="center"/>
          </w:tcPr>
          <w:p w14:paraId="55EDC7EB"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b/>
                <w:sz w:val="20"/>
                <w:szCs w:val="20"/>
                <w:lang w:val="en-US"/>
              </w:rPr>
            </w:pPr>
            <w:r w:rsidRPr="00124DA6">
              <w:rPr>
                <w:rFonts w:cstheme="minorHAnsi"/>
                <w:b/>
                <w:sz w:val="20"/>
                <w:szCs w:val="20"/>
                <w:lang w:val="en-US"/>
              </w:rPr>
              <w:t>2016</w:t>
            </w:r>
          </w:p>
        </w:tc>
      </w:tr>
      <w:tr w:rsidR="000673C8" w:rsidRPr="00124DA6" w14:paraId="2F6EAB57" w14:textId="77777777" w:rsidTr="00DB0355">
        <w:trPr>
          <w:trHeight w:val="133"/>
        </w:trPr>
        <w:tc>
          <w:tcPr>
            <w:tcW w:w="2385" w:type="pct"/>
          </w:tcPr>
          <w:p w14:paraId="1B488E4F" w14:textId="77777777" w:rsidR="000673C8" w:rsidRPr="00124DA6" w:rsidRDefault="000673C8" w:rsidP="00B03F0F">
            <w:pPr>
              <w:pStyle w:val="ListParagraph"/>
              <w:keepNext/>
              <w:keepLines/>
              <w:autoSpaceDE w:val="0"/>
              <w:autoSpaceDN w:val="0"/>
              <w:adjustRightInd w:val="0"/>
              <w:spacing w:after="0" w:line="240" w:lineRule="auto"/>
              <w:ind w:left="0"/>
              <w:contextualSpacing w:val="0"/>
              <w:rPr>
                <w:rFonts w:cstheme="minorHAnsi"/>
                <w:sz w:val="20"/>
                <w:szCs w:val="20"/>
                <w:lang w:val="en-US"/>
              </w:rPr>
            </w:pPr>
            <w:r w:rsidRPr="00124DA6">
              <w:rPr>
                <w:rFonts w:cstheme="minorHAnsi"/>
                <w:sz w:val="20"/>
                <w:szCs w:val="20"/>
                <w:lang w:val="en-US"/>
              </w:rPr>
              <w:t>Limitation of risks exposure</w:t>
            </w:r>
          </w:p>
        </w:tc>
        <w:tc>
          <w:tcPr>
            <w:tcW w:w="429" w:type="pct"/>
          </w:tcPr>
          <w:p w14:paraId="4988275E"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≤200</w:t>
            </w:r>
          </w:p>
        </w:tc>
        <w:tc>
          <w:tcPr>
            <w:tcW w:w="430" w:type="pct"/>
          </w:tcPr>
          <w:p w14:paraId="075B239C"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89.18</w:t>
            </w:r>
          </w:p>
        </w:tc>
        <w:tc>
          <w:tcPr>
            <w:tcW w:w="430" w:type="pct"/>
          </w:tcPr>
          <w:p w14:paraId="4E71BEB5"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89.23</w:t>
            </w:r>
          </w:p>
        </w:tc>
        <w:tc>
          <w:tcPr>
            <w:tcW w:w="418" w:type="pct"/>
          </w:tcPr>
          <w:p w14:paraId="7CAE17F1"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90.34</w:t>
            </w:r>
          </w:p>
        </w:tc>
        <w:tc>
          <w:tcPr>
            <w:tcW w:w="433" w:type="pct"/>
          </w:tcPr>
          <w:p w14:paraId="3DD971DC"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89.73</w:t>
            </w:r>
          </w:p>
        </w:tc>
        <w:tc>
          <w:tcPr>
            <w:tcW w:w="475" w:type="pct"/>
          </w:tcPr>
          <w:p w14:paraId="59F1E1C2"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cstheme="minorHAnsi"/>
                <w:sz w:val="20"/>
                <w:szCs w:val="20"/>
                <w:lang w:val="en-US"/>
              </w:rPr>
              <w:t>101.2</w:t>
            </w:r>
          </w:p>
        </w:tc>
      </w:tr>
      <w:tr w:rsidR="000673C8" w:rsidRPr="00124DA6" w14:paraId="4DBB3ECC" w14:textId="77777777" w:rsidTr="00DB0355">
        <w:trPr>
          <w:trHeight w:val="133"/>
        </w:trPr>
        <w:tc>
          <w:tcPr>
            <w:tcW w:w="2385" w:type="pct"/>
          </w:tcPr>
          <w:p w14:paraId="43AFF69B" w14:textId="23F02CDE" w:rsidR="000673C8" w:rsidRPr="00124DA6" w:rsidRDefault="000673C8" w:rsidP="00B03F0F">
            <w:pPr>
              <w:keepNext/>
              <w:keepLines/>
              <w:autoSpaceDE w:val="0"/>
              <w:autoSpaceDN w:val="0"/>
              <w:adjustRightInd w:val="0"/>
              <w:spacing w:after="0" w:line="240" w:lineRule="auto"/>
              <w:rPr>
                <w:rFonts w:cstheme="minorHAnsi"/>
                <w:iCs/>
                <w:sz w:val="20"/>
                <w:szCs w:val="20"/>
                <w:lang w:val="en-US"/>
              </w:rPr>
            </w:pPr>
            <w:r w:rsidRPr="00124DA6">
              <w:rPr>
                <w:rFonts w:cstheme="minorHAnsi"/>
                <w:sz w:val="20"/>
                <w:szCs w:val="20"/>
                <w:lang w:val="en-US"/>
              </w:rPr>
              <w:t>Coverage of medium</w:t>
            </w:r>
            <w:r w:rsidR="00141BD7">
              <w:rPr>
                <w:rFonts w:cstheme="minorHAnsi"/>
                <w:sz w:val="20"/>
                <w:szCs w:val="20"/>
                <w:lang w:val="en-US"/>
              </w:rPr>
              <w:t>—</w:t>
            </w:r>
            <w:r w:rsidRPr="00124DA6">
              <w:rPr>
                <w:rFonts w:cstheme="minorHAnsi"/>
                <w:sz w:val="20"/>
                <w:szCs w:val="20"/>
                <w:lang w:val="en-US"/>
              </w:rPr>
              <w:t xml:space="preserve">and long-term financing with </w:t>
            </w:r>
            <w:r w:rsidR="00DB0355">
              <w:rPr>
                <w:rFonts w:cstheme="minorHAnsi"/>
                <w:iCs/>
                <w:sz w:val="20"/>
                <w:szCs w:val="20"/>
                <w:lang w:val="en-US"/>
              </w:rPr>
              <w:t>stable resources</w:t>
            </w:r>
          </w:p>
        </w:tc>
        <w:tc>
          <w:tcPr>
            <w:tcW w:w="429" w:type="pct"/>
          </w:tcPr>
          <w:p w14:paraId="50947585"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≥100</w:t>
            </w:r>
          </w:p>
        </w:tc>
        <w:tc>
          <w:tcPr>
            <w:tcW w:w="430" w:type="pct"/>
          </w:tcPr>
          <w:p w14:paraId="6A6D47A8"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144.47</w:t>
            </w:r>
          </w:p>
        </w:tc>
        <w:tc>
          <w:tcPr>
            <w:tcW w:w="430" w:type="pct"/>
          </w:tcPr>
          <w:p w14:paraId="7D62D7C9"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176.45</w:t>
            </w:r>
          </w:p>
        </w:tc>
        <w:tc>
          <w:tcPr>
            <w:tcW w:w="418" w:type="pct"/>
          </w:tcPr>
          <w:p w14:paraId="53FD3F77"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169.15</w:t>
            </w:r>
          </w:p>
        </w:tc>
        <w:tc>
          <w:tcPr>
            <w:tcW w:w="433" w:type="pct"/>
          </w:tcPr>
          <w:p w14:paraId="3578A567"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188.42</w:t>
            </w:r>
          </w:p>
        </w:tc>
        <w:tc>
          <w:tcPr>
            <w:tcW w:w="475" w:type="pct"/>
          </w:tcPr>
          <w:p w14:paraId="706E2CD8"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cstheme="minorHAnsi"/>
                <w:sz w:val="20"/>
                <w:szCs w:val="20"/>
                <w:lang w:val="en-US"/>
              </w:rPr>
              <w:t>267.6</w:t>
            </w:r>
          </w:p>
        </w:tc>
      </w:tr>
      <w:tr w:rsidR="000673C8" w:rsidRPr="00124DA6" w14:paraId="29DE8219" w14:textId="77777777" w:rsidTr="00DB0355">
        <w:trPr>
          <w:trHeight w:val="133"/>
        </w:trPr>
        <w:tc>
          <w:tcPr>
            <w:tcW w:w="2385" w:type="pct"/>
          </w:tcPr>
          <w:p w14:paraId="2364FA58" w14:textId="77777777" w:rsidR="000673C8" w:rsidRPr="00124DA6" w:rsidRDefault="000673C8" w:rsidP="00B03F0F">
            <w:pPr>
              <w:pStyle w:val="ListParagraph"/>
              <w:keepNext/>
              <w:keepLines/>
              <w:autoSpaceDE w:val="0"/>
              <w:autoSpaceDN w:val="0"/>
              <w:adjustRightInd w:val="0"/>
              <w:spacing w:after="0" w:line="240" w:lineRule="auto"/>
              <w:ind w:left="0"/>
              <w:contextualSpacing w:val="0"/>
              <w:rPr>
                <w:rFonts w:cstheme="minorHAnsi"/>
                <w:sz w:val="20"/>
                <w:szCs w:val="20"/>
                <w:lang w:val="en-US"/>
              </w:rPr>
            </w:pPr>
            <w:r w:rsidRPr="00124DA6">
              <w:rPr>
                <w:rFonts w:cstheme="minorHAnsi"/>
                <w:color w:val="222222"/>
                <w:sz w:val="20"/>
                <w:szCs w:val="20"/>
                <w:lang w:val="en-US"/>
              </w:rPr>
              <w:t xml:space="preserve">Limitation of </w:t>
            </w:r>
            <w:r w:rsidRPr="00124DA6">
              <w:rPr>
                <w:rFonts w:cstheme="minorHAnsi"/>
                <w:sz w:val="20"/>
                <w:szCs w:val="20"/>
                <w:lang w:val="en-US"/>
              </w:rPr>
              <w:t>loans to connected parties</w:t>
            </w:r>
            <w:r w:rsidRPr="00124DA6">
              <w:rPr>
                <w:rFonts w:cstheme="minorHAnsi"/>
                <w:color w:val="222222"/>
                <w:sz w:val="20"/>
                <w:szCs w:val="20"/>
                <w:lang w:val="en-US"/>
              </w:rPr>
              <w:t xml:space="preserve"> </w:t>
            </w:r>
          </w:p>
        </w:tc>
        <w:tc>
          <w:tcPr>
            <w:tcW w:w="429" w:type="pct"/>
          </w:tcPr>
          <w:p w14:paraId="73E4BA76"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≤10</w:t>
            </w:r>
          </w:p>
        </w:tc>
        <w:tc>
          <w:tcPr>
            <w:tcW w:w="430" w:type="pct"/>
          </w:tcPr>
          <w:p w14:paraId="28D23F6C"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color w:val="FF0000"/>
                <w:sz w:val="20"/>
                <w:szCs w:val="20"/>
                <w:lang w:val="en-US"/>
              </w:rPr>
              <w:t>15.26</w:t>
            </w:r>
          </w:p>
        </w:tc>
        <w:tc>
          <w:tcPr>
            <w:tcW w:w="430" w:type="pct"/>
          </w:tcPr>
          <w:p w14:paraId="24D7E422"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9.3</w:t>
            </w:r>
          </w:p>
        </w:tc>
        <w:tc>
          <w:tcPr>
            <w:tcW w:w="418" w:type="pct"/>
          </w:tcPr>
          <w:p w14:paraId="0957B449"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color w:val="FF0000"/>
                <w:sz w:val="20"/>
                <w:szCs w:val="20"/>
                <w:lang w:val="en-US"/>
              </w:rPr>
              <w:t>11.72</w:t>
            </w:r>
          </w:p>
        </w:tc>
        <w:tc>
          <w:tcPr>
            <w:tcW w:w="433" w:type="pct"/>
          </w:tcPr>
          <w:p w14:paraId="04AC1663"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8.32</w:t>
            </w:r>
          </w:p>
        </w:tc>
        <w:tc>
          <w:tcPr>
            <w:tcW w:w="475" w:type="pct"/>
          </w:tcPr>
          <w:p w14:paraId="58E37A7A"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cstheme="minorHAnsi"/>
                <w:sz w:val="20"/>
                <w:szCs w:val="20"/>
                <w:lang w:val="en-US"/>
              </w:rPr>
              <w:t>6.7</w:t>
            </w:r>
          </w:p>
        </w:tc>
      </w:tr>
      <w:tr w:rsidR="000673C8" w:rsidRPr="00124DA6" w14:paraId="20F12EB5" w14:textId="77777777" w:rsidTr="00DB0355">
        <w:trPr>
          <w:trHeight w:val="133"/>
        </w:trPr>
        <w:tc>
          <w:tcPr>
            <w:tcW w:w="2385" w:type="pct"/>
          </w:tcPr>
          <w:p w14:paraId="5831C283" w14:textId="77777777" w:rsidR="000673C8" w:rsidRPr="00124DA6" w:rsidRDefault="000673C8" w:rsidP="00B03F0F">
            <w:pPr>
              <w:pStyle w:val="ListParagraph"/>
              <w:keepNext/>
              <w:keepLines/>
              <w:autoSpaceDE w:val="0"/>
              <w:autoSpaceDN w:val="0"/>
              <w:adjustRightInd w:val="0"/>
              <w:spacing w:after="0" w:line="240" w:lineRule="auto"/>
              <w:ind w:left="0"/>
              <w:contextualSpacing w:val="0"/>
              <w:rPr>
                <w:rFonts w:cstheme="minorHAnsi"/>
                <w:sz w:val="20"/>
                <w:szCs w:val="20"/>
                <w:lang w:val="en-US"/>
              </w:rPr>
            </w:pPr>
            <w:r w:rsidRPr="00124DA6">
              <w:rPr>
                <w:rFonts w:cstheme="minorHAnsi"/>
                <w:sz w:val="20"/>
                <w:szCs w:val="20"/>
                <w:lang w:val="en-US"/>
              </w:rPr>
              <w:t xml:space="preserve">Limitation of risks </w:t>
            </w:r>
            <w:r w:rsidR="00DB0355">
              <w:rPr>
                <w:rFonts w:cstheme="minorHAnsi"/>
                <w:iCs/>
                <w:sz w:val="20"/>
                <w:szCs w:val="20"/>
                <w:lang w:val="en-US"/>
              </w:rPr>
              <w:t xml:space="preserve">exposure </w:t>
            </w:r>
            <w:r w:rsidRPr="00124DA6">
              <w:rPr>
                <w:rFonts w:cstheme="minorHAnsi"/>
                <w:iCs/>
                <w:sz w:val="20"/>
                <w:szCs w:val="20"/>
                <w:lang w:val="en-US"/>
              </w:rPr>
              <w:t>to a single party</w:t>
            </w:r>
          </w:p>
        </w:tc>
        <w:tc>
          <w:tcPr>
            <w:tcW w:w="429" w:type="pct"/>
          </w:tcPr>
          <w:p w14:paraId="07FFF5BB"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≤10</w:t>
            </w:r>
          </w:p>
        </w:tc>
        <w:tc>
          <w:tcPr>
            <w:tcW w:w="430" w:type="pct"/>
          </w:tcPr>
          <w:p w14:paraId="0182CE1F"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1.82</w:t>
            </w:r>
          </w:p>
        </w:tc>
        <w:tc>
          <w:tcPr>
            <w:tcW w:w="430" w:type="pct"/>
          </w:tcPr>
          <w:p w14:paraId="122A1DCF"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1.18</w:t>
            </w:r>
          </w:p>
        </w:tc>
        <w:tc>
          <w:tcPr>
            <w:tcW w:w="418" w:type="pct"/>
          </w:tcPr>
          <w:p w14:paraId="74C6378F"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1.18</w:t>
            </w:r>
          </w:p>
        </w:tc>
        <w:tc>
          <w:tcPr>
            <w:tcW w:w="433" w:type="pct"/>
          </w:tcPr>
          <w:p w14:paraId="734E587A"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1.21</w:t>
            </w:r>
          </w:p>
        </w:tc>
        <w:tc>
          <w:tcPr>
            <w:tcW w:w="475" w:type="pct"/>
          </w:tcPr>
          <w:p w14:paraId="1FA53BBB"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cstheme="minorHAnsi"/>
                <w:sz w:val="20"/>
                <w:szCs w:val="20"/>
                <w:lang w:val="en-US"/>
              </w:rPr>
              <w:t>2.6</w:t>
            </w:r>
          </w:p>
        </w:tc>
      </w:tr>
      <w:tr w:rsidR="000673C8" w:rsidRPr="00124DA6" w14:paraId="61CA2D7A" w14:textId="77777777" w:rsidTr="00DB0355">
        <w:trPr>
          <w:trHeight w:val="133"/>
        </w:trPr>
        <w:tc>
          <w:tcPr>
            <w:tcW w:w="2385" w:type="pct"/>
          </w:tcPr>
          <w:p w14:paraId="5F998AF4" w14:textId="77777777" w:rsidR="000673C8" w:rsidRPr="00124DA6" w:rsidRDefault="000673C8" w:rsidP="00B03F0F">
            <w:pPr>
              <w:pStyle w:val="ListParagraph"/>
              <w:keepNext/>
              <w:keepLines/>
              <w:autoSpaceDE w:val="0"/>
              <w:autoSpaceDN w:val="0"/>
              <w:adjustRightInd w:val="0"/>
              <w:spacing w:after="0" w:line="240" w:lineRule="auto"/>
              <w:ind w:left="0"/>
              <w:contextualSpacing w:val="0"/>
              <w:rPr>
                <w:rFonts w:cstheme="minorHAnsi"/>
                <w:sz w:val="20"/>
                <w:szCs w:val="20"/>
                <w:lang w:val="en-US"/>
              </w:rPr>
            </w:pPr>
            <w:r w:rsidRPr="00124DA6">
              <w:rPr>
                <w:rFonts w:cstheme="minorHAnsi"/>
                <w:sz w:val="20"/>
                <w:szCs w:val="20"/>
                <w:lang w:val="en-US"/>
              </w:rPr>
              <w:t>Liquidity ratio</w:t>
            </w:r>
          </w:p>
        </w:tc>
        <w:tc>
          <w:tcPr>
            <w:tcW w:w="429" w:type="pct"/>
          </w:tcPr>
          <w:p w14:paraId="20748B22" w14:textId="77777777" w:rsidR="000673C8" w:rsidRPr="00DB0355" w:rsidRDefault="000673C8" w:rsidP="00DB0355">
            <w:pPr>
              <w:pStyle w:val="ListParagraph"/>
              <w:keepNext/>
              <w:keepLines/>
              <w:autoSpaceDE w:val="0"/>
              <w:autoSpaceDN w:val="0"/>
              <w:adjustRightInd w:val="0"/>
              <w:spacing w:after="0" w:line="240" w:lineRule="auto"/>
              <w:ind w:left="0"/>
              <w:contextualSpacing w:val="0"/>
              <w:jc w:val="center"/>
              <w:rPr>
                <w:rFonts w:eastAsia="Tahoma,Bold" w:cstheme="minorHAnsi"/>
                <w:bCs/>
                <w:sz w:val="20"/>
                <w:szCs w:val="20"/>
                <w:lang w:val="en-US"/>
              </w:rPr>
            </w:pPr>
            <w:r w:rsidRPr="00124DA6">
              <w:rPr>
                <w:rFonts w:eastAsia="Tahoma,Bold" w:cstheme="minorHAnsi"/>
                <w:bCs/>
                <w:sz w:val="20"/>
                <w:szCs w:val="20"/>
                <w:lang w:val="en-US"/>
              </w:rPr>
              <w:t>≥100</w:t>
            </w:r>
          </w:p>
        </w:tc>
        <w:tc>
          <w:tcPr>
            <w:tcW w:w="430" w:type="pct"/>
          </w:tcPr>
          <w:p w14:paraId="320A5EAF"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103.9</w:t>
            </w:r>
          </w:p>
        </w:tc>
        <w:tc>
          <w:tcPr>
            <w:tcW w:w="430" w:type="pct"/>
          </w:tcPr>
          <w:p w14:paraId="52DF366A"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108.17</w:t>
            </w:r>
          </w:p>
        </w:tc>
        <w:tc>
          <w:tcPr>
            <w:tcW w:w="418" w:type="pct"/>
          </w:tcPr>
          <w:p w14:paraId="58376E5A"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109.17</w:t>
            </w:r>
          </w:p>
        </w:tc>
        <w:tc>
          <w:tcPr>
            <w:tcW w:w="433" w:type="pct"/>
          </w:tcPr>
          <w:p w14:paraId="61915779"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112.59</w:t>
            </w:r>
          </w:p>
        </w:tc>
        <w:tc>
          <w:tcPr>
            <w:tcW w:w="475" w:type="pct"/>
          </w:tcPr>
          <w:p w14:paraId="1FD5A290"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cstheme="minorHAnsi"/>
                <w:sz w:val="20"/>
                <w:szCs w:val="20"/>
                <w:lang w:val="en-US"/>
              </w:rPr>
              <w:t>107.6</w:t>
            </w:r>
          </w:p>
        </w:tc>
      </w:tr>
      <w:tr w:rsidR="000673C8" w:rsidRPr="00124DA6" w14:paraId="0BCECD35" w14:textId="77777777" w:rsidTr="00DB0355">
        <w:trPr>
          <w:trHeight w:val="129"/>
        </w:trPr>
        <w:tc>
          <w:tcPr>
            <w:tcW w:w="2385" w:type="pct"/>
          </w:tcPr>
          <w:p w14:paraId="243F7FE2" w14:textId="77777777" w:rsidR="000673C8" w:rsidRPr="00124DA6" w:rsidRDefault="000673C8" w:rsidP="00B03F0F">
            <w:pPr>
              <w:pStyle w:val="ListParagraph"/>
              <w:keepNext/>
              <w:keepLines/>
              <w:autoSpaceDE w:val="0"/>
              <w:autoSpaceDN w:val="0"/>
              <w:adjustRightInd w:val="0"/>
              <w:spacing w:after="0" w:line="240" w:lineRule="auto"/>
              <w:ind w:left="0"/>
              <w:contextualSpacing w:val="0"/>
              <w:rPr>
                <w:rFonts w:cstheme="minorHAnsi"/>
                <w:sz w:val="20"/>
                <w:szCs w:val="20"/>
                <w:lang w:val="en-US"/>
              </w:rPr>
            </w:pPr>
            <w:r w:rsidRPr="00124DA6">
              <w:rPr>
                <w:rFonts w:cstheme="minorHAnsi"/>
                <w:sz w:val="20"/>
                <w:szCs w:val="20"/>
                <w:lang w:val="en-US"/>
              </w:rPr>
              <w:t>Limit for nontraditional operations</w:t>
            </w:r>
          </w:p>
        </w:tc>
        <w:tc>
          <w:tcPr>
            <w:tcW w:w="429" w:type="pct"/>
          </w:tcPr>
          <w:p w14:paraId="3319BD6C"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≤5</w:t>
            </w:r>
          </w:p>
        </w:tc>
        <w:tc>
          <w:tcPr>
            <w:tcW w:w="430" w:type="pct"/>
          </w:tcPr>
          <w:p w14:paraId="7D84942C"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0.16</w:t>
            </w:r>
          </w:p>
        </w:tc>
        <w:tc>
          <w:tcPr>
            <w:tcW w:w="430" w:type="pct"/>
          </w:tcPr>
          <w:p w14:paraId="6235682C"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0.23</w:t>
            </w:r>
          </w:p>
        </w:tc>
        <w:tc>
          <w:tcPr>
            <w:tcW w:w="418" w:type="pct"/>
          </w:tcPr>
          <w:p w14:paraId="35EA5A7E"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0.71</w:t>
            </w:r>
          </w:p>
        </w:tc>
        <w:tc>
          <w:tcPr>
            <w:tcW w:w="433" w:type="pct"/>
          </w:tcPr>
          <w:p w14:paraId="7A9E6CEF"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0.49</w:t>
            </w:r>
          </w:p>
        </w:tc>
        <w:tc>
          <w:tcPr>
            <w:tcW w:w="475" w:type="pct"/>
          </w:tcPr>
          <w:p w14:paraId="2AC612DF"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cstheme="minorHAnsi"/>
                <w:sz w:val="20"/>
                <w:szCs w:val="20"/>
                <w:lang w:val="en-US"/>
              </w:rPr>
              <w:t>0.2</w:t>
            </w:r>
          </w:p>
        </w:tc>
      </w:tr>
      <w:tr w:rsidR="000673C8" w:rsidRPr="00124DA6" w14:paraId="11710C20" w14:textId="77777777" w:rsidTr="00DB0355">
        <w:trPr>
          <w:trHeight w:val="133"/>
        </w:trPr>
        <w:tc>
          <w:tcPr>
            <w:tcW w:w="2385" w:type="pct"/>
          </w:tcPr>
          <w:p w14:paraId="17A315B7" w14:textId="77777777" w:rsidR="000673C8" w:rsidRPr="00124DA6" w:rsidRDefault="000673C8" w:rsidP="00B03F0F">
            <w:pPr>
              <w:pStyle w:val="ListParagraph"/>
              <w:keepNext/>
              <w:keepLines/>
              <w:autoSpaceDE w:val="0"/>
              <w:autoSpaceDN w:val="0"/>
              <w:adjustRightInd w:val="0"/>
              <w:spacing w:after="0" w:line="240" w:lineRule="auto"/>
              <w:ind w:left="0"/>
              <w:contextualSpacing w:val="0"/>
              <w:rPr>
                <w:rFonts w:cstheme="minorHAnsi"/>
                <w:sz w:val="20"/>
                <w:szCs w:val="20"/>
                <w:lang w:val="en-US"/>
              </w:rPr>
            </w:pPr>
            <w:r w:rsidRPr="00124DA6">
              <w:rPr>
                <w:rFonts w:cstheme="minorHAnsi"/>
                <w:sz w:val="20"/>
                <w:szCs w:val="20"/>
                <w:lang w:val="en-US"/>
              </w:rPr>
              <w:t>Capital adequacy</w:t>
            </w:r>
          </w:p>
        </w:tc>
        <w:tc>
          <w:tcPr>
            <w:tcW w:w="429" w:type="pct"/>
          </w:tcPr>
          <w:p w14:paraId="6684CE71"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≥15</w:t>
            </w:r>
          </w:p>
        </w:tc>
        <w:tc>
          <w:tcPr>
            <w:tcW w:w="430" w:type="pct"/>
          </w:tcPr>
          <w:p w14:paraId="0FF0B166"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17.75</w:t>
            </w:r>
          </w:p>
        </w:tc>
        <w:tc>
          <w:tcPr>
            <w:tcW w:w="430" w:type="pct"/>
          </w:tcPr>
          <w:p w14:paraId="1FD2628F"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19.83</w:t>
            </w:r>
          </w:p>
        </w:tc>
        <w:tc>
          <w:tcPr>
            <w:tcW w:w="418" w:type="pct"/>
          </w:tcPr>
          <w:p w14:paraId="651BCCE2"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20.55</w:t>
            </w:r>
          </w:p>
        </w:tc>
        <w:tc>
          <w:tcPr>
            <w:tcW w:w="433" w:type="pct"/>
          </w:tcPr>
          <w:p w14:paraId="768FD822"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22.39</w:t>
            </w:r>
          </w:p>
        </w:tc>
        <w:tc>
          <w:tcPr>
            <w:tcW w:w="475" w:type="pct"/>
          </w:tcPr>
          <w:p w14:paraId="07638EFC"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cstheme="minorHAnsi"/>
                <w:sz w:val="20"/>
                <w:szCs w:val="20"/>
                <w:lang w:val="en-US"/>
              </w:rPr>
              <w:t>18.6</w:t>
            </w:r>
          </w:p>
        </w:tc>
      </w:tr>
      <w:tr w:rsidR="000673C8" w:rsidRPr="00124DA6" w14:paraId="65DC3F9F" w14:textId="77777777" w:rsidTr="00DB0355">
        <w:trPr>
          <w:trHeight w:val="129"/>
        </w:trPr>
        <w:tc>
          <w:tcPr>
            <w:tcW w:w="2385" w:type="pct"/>
          </w:tcPr>
          <w:p w14:paraId="38EAF267" w14:textId="77777777" w:rsidR="000673C8" w:rsidRPr="00124DA6" w:rsidRDefault="000673C8" w:rsidP="00B03F0F">
            <w:pPr>
              <w:pStyle w:val="ListParagraph"/>
              <w:keepNext/>
              <w:keepLines/>
              <w:autoSpaceDE w:val="0"/>
              <w:autoSpaceDN w:val="0"/>
              <w:adjustRightInd w:val="0"/>
              <w:spacing w:after="0" w:line="240" w:lineRule="auto"/>
              <w:ind w:left="0"/>
              <w:contextualSpacing w:val="0"/>
              <w:rPr>
                <w:rFonts w:cstheme="minorHAnsi"/>
                <w:sz w:val="20"/>
                <w:szCs w:val="20"/>
                <w:lang w:val="en-US"/>
              </w:rPr>
            </w:pPr>
            <w:r w:rsidRPr="00124DA6">
              <w:rPr>
                <w:rFonts w:cstheme="minorHAnsi"/>
                <w:sz w:val="20"/>
                <w:szCs w:val="20"/>
                <w:lang w:val="en-US"/>
              </w:rPr>
              <w:t>Limit for equity finance</w:t>
            </w:r>
          </w:p>
        </w:tc>
        <w:tc>
          <w:tcPr>
            <w:tcW w:w="429" w:type="pct"/>
          </w:tcPr>
          <w:p w14:paraId="28623DE6"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≤25</w:t>
            </w:r>
          </w:p>
        </w:tc>
        <w:tc>
          <w:tcPr>
            <w:tcW w:w="430" w:type="pct"/>
          </w:tcPr>
          <w:p w14:paraId="5BED6A48"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19.85</w:t>
            </w:r>
          </w:p>
        </w:tc>
        <w:tc>
          <w:tcPr>
            <w:tcW w:w="430" w:type="pct"/>
          </w:tcPr>
          <w:p w14:paraId="3E13422B"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6.53</w:t>
            </w:r>
          </w:p>
        </w:tc>
        <w:tc>
          <w:tcPr>
            <w:tcW w:w="418" w:type="pct"/>
          </w:tcPr>
          <w:p w14:paraId="03DE48B0"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5.76</w:t>
            </w:r>
          </w:p>
        </w:tc>
        <w:tc>
          <w:tcPr>
            <w:tcW w:w="433" w:type="pct"/>
          </w:tcPr>
          <w:p w14:paraId="01972BFB"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3.6</w:t>
            </w:r>
          </w:p>
        </w:tc>
        <w:tc>
          <w:tcPr>
            <w:tcW w:w="475" w:type="pct"/>
          </w:tcPr>
          <w:p w14:paraId="1F7EFDD3"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cstheme="minorHAnsi"/>
                <w:sz w:val="20"/>
                <w:szCs w:val="20"/>
                <w:lang w:val="en-US"/>
              </w:rPr>
              <w:t>0.1</w:t>
            </w:r>
          </w:p>
        </w:tc>
      </w:tr>
      <w:tr w:rsidR="000673C8" w:rsidRPr="00124DA6" w14:paraId="1A7CEFF7" w14:textId="77777777" w:rsidTr="00DB0355">
        <w:trPr>
          <w:trHeight w:val="138"/>
        </w:trPr>
        <w:tc>
          <w:tcPr>
            <w:tcW w:w="2385" w:type="pct"/>
          </w:tcPr>
          <w:p w14:paraId="4D81B667" w14:textId="77777777" w:rsidR="000673C8" w:rsidRPr="00124DA6" w:rsidRDefault="000673C8" w:rsidP="00B03F0F">
            <w:pPr>
              <w:pStyle w:val="ListParagraph"/>
              <w:keepNext/>
              <w:keepLines/>
              <w:autoSpaceDE w:val="0"/>
              <w:autoSpaceDN w:val="0"/>
              <w:adjustRightInd w:val="0"/>
              <w:spacing w:after="0" w:line="240" w:lineRule="auto"/>
              <w:ind w:left="0"/>
              <w:contextualSpacing w:val="0"/>
              <w:rPr>
                <w:rFonts w:cstheme="minorHAnsi"/>
                <w:sz w:val="20"/>
                <w:szCs w:val="20"/>
                <w:lang w:val="en-US"/>
              </w:rPr>
            </w:pPr>
            <w:r w:rsidRPr="00124DA6">
              <w:rPr>
                <w:rFonts w:cstheme="minorHAnsi"/>
                <w:sz w:val="20"/>
                <w:szCs w:val="20"/>
                <w:lang w:val="en-US"/>
              </w:rPr>
              <w:t>MFIs’ financing of fixed assets and participation</w:t>
            </w:r>
          </w:p>
        </w:tc>
        <w:tc>
          <w:tcPr>
            <w:tcW w:w="429" w:type="pct"/>
          </w:tcPr>
          <w:p w14:paraId="043F6457"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≤100</w:t>
            </w:r>
          </w:p>
        </w:tc>
        <w:tc>
          <w:tcPr>
            <w:tcW w:w="430" w:type="pct"/>
          </w:tcPr>
          <w:p w14:paraId="0EF905B2"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61.55</w:t>
            </w:r>
          </w:p>
        </w:tc>
        <w:tc>
          <w:tcPr>
            <w:tcW w:w="430" w:type="pct"/>
          </w:tcPr>
          <w:p w14:paraId="025C37F6"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54.41</w:t>
            </w:r>
          </w:p>
        </w:tc>
        <w:tc>
          <w:tcPr>
            <w:tcW w:w="418" w:type="pct"/>
          </w:tcPr>
          <w:p w14:paraId="26DB97FC"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50.99</w:t>
            </w:r>
          </w:p>
        </w:tc>
        <w:tc>
          <w:tcPr>
            <w:tcW w:w="433" w:type="pct"/>
          </w:tcPr>
          <w:p w14:paraId="51625A31"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eastAsia="Tahoma,Bold" w:cstheme="minorHAnsi"/>
                <w:bCs/>
                <w:sz w:val="20"/>
                <w:szCs w:val="20"/>
                <w:lang w:val="en-US"/>
              </w:rPr>
              <w:t>48.06</w:t>
            </w:r>
          </w:p>
        </w:tc>
        <w:tc>
          <w:tcPr>
            <w:tcW w:w="475" w:type="pct"/>
          </w:tcPr>
          <w:p w14:paraId="452AEAC2" w14:textId="77777777" w:rsidR="000673C8" w:rsidRPr="00124DA6" w:rsidRDefault="000673C8" w:rsidP="00B03F0F">
            <w:pPr>
              <w:pStyle w:val="ListParagraph"/>
              <w:keepNext/>
              <w:keepLines/>
              <w:autoSpaceDE w:val="0"/>
              <w:autoSpaceDN w:val="0"/>
              <w:adjustRightInd w:val="0"/>
              <w:spacing w:after="0" w:line="240" w:lineRule="auto"/>
              <w:ind w:left="0"/>
              <w:contextualSpacing w:val="0"/>
              <w:jc w:val="center"/>
              <w:rPr>
                <w:rFonts w:cstheme="minorHAnsi"/>
                <w:sz w:val="20"/>
                <w:szCs w:val="20"/>
                <w:lang w:val="en-US"/>
              </w:rPr>
            </w:pPr>
            <w:r w:rsidRPr="00124DA6">
              <w:rPr>
                <w:rFonts w:cstheme="minorHAnsi"/>
                <w:sz w:val="20"/>
                <w:szCs w:val="20"/>
                <w:lang w:val="en-US"/>
              </w:rPr>
              <w:t>96.1</w:t>
            </w:r>
          </w:p>
        </w:tc>
      </w:tr>
    </w:tbl>
    <w:p w14:paraId="460EA841" w14:textId="4FF60CB3" w:rsidR="00DB0355" w:rsidRPr="00597761" w:rsidRDefault="000673C8" w:rsidP="00597761">
      <w:pPr>
        <w:keepNext/>
        <w:keepLines/>
        <w:autoSpaceDE w:val="0"/>
        <w:autoSpaceDN w:val="0"/>
        <w:adjustRightInd w:val="0"/>
        <w:spacing w:after="120" w:line="240" w:lineRule="auto"/>
        <w:rPr>
          <w:rFonts w:asciiTheme="majorHAnsi" w:hAnsiTheme="majorHAnsi" w:cstheme="majorHAnsi"/>
          <w:color w:val="2E74B5" w:themeColor="accent1" w:themeShade="BF"/>
          <w:sz w:val="20"/>
          <w:szCs w:val="16"/>
          <w:lang w:val="en-US"/>
        </w:rPr>
      </w:pPr>
      <w:r w:rsidRPr="00A34E92">
        <w:rPr>
          <w:rFonts w:asciiTheme="majorHAnsi" w:hAnsiTheme="majorHAnsi" w:cstheme="majorHAnsi"/>
          <w:i/>
          <w:color w:val="2E74B5" w:themeColor="accent1" w:themeShade="BF"/>
          <w:sz w:val="20"/>
          <w:szCs w:val="16"/>
          <w:lang w:val="en-US"/>
        </w:rPr>
        <w:t>Source</w:t>
      </w:r>
      <w:r w:rsidRPr="00A34E92">
        <w:rPr>
          <w:rFonts w:asciiTheme="majorHAnsi" w:hAnsiTheme="majorHAnsi" w:cstheme="majorHAnsi"/>
          <w:color w:val="2E74B5" w:themeColor="accent1" w:themeShade="BF"/>
          <w:sz w:val="20"/>
          <w:szCs w:val="16"/>
          <w:lang w:val="en-US"/>
        </w:rPr>
        <w:t>: Consortium Alafia</w:t>
      </w:r>
      <w:r w:rsidR="00C702B4">
        <w:rPr>
          <w:rFonts w:asciiTheme="majorHAnsi" w:hAnsiTheme="majorHAnsi" w:cstheme="majorHAnsi"/>
          <w:color w:val="2E74B5" w:themeColor="accent1" w:themeShade="BF"/>
          <w:sz w:val="20"/>
          <w:szCs w:val="16"/>
          <w:lang w:val="en-US"/>
        </w:rPr>
        <w:t> </w:t>
      </w:r>
      <w:r w:rsidRPr="00A34E92">
        <w:rPr>
          <w:rFonts w:asciiTheme="majorHAnsi" w:hAnsiTheme="majorHAnsi" w:cstheme="majorHAnsi"/>
          <w:color w:val="2E74B5" w:themeColor="accent1" w:themeShade="BF"/>
          <w:sz w:val="20"/>
          <w:szCs w:val="16"/>
          <w:lang w:val="en-US"/>
        </w:rPr>
        <w:t>2017a.</w:t>
      </w:r>
    </w:p>
    <w:p w14:paraId="761F0FA4" w14:textId="7314ABCE" w:rsidR="00A34E92" w:rsidRPr="00DB0355" w:rsidRDefault="00A34E92" w:rsidP="006474A0">
      <w:pPr>
        <w:pStyle w:val="ListParagraph"/>
        <w:numPr>
          <w:ilvl w:val="0"/>
          <w:numId w:val="47"/>
        </w:numPr>
        <w:spacing w:after="240" w:line="240" w:lineRule="auto"/>
        <w:ind w:left="0" w:firstLine="0"/>
        <w:contextualSpacing w:val="0"/>
        <w:jc w:val="both"/>
        <w:rPr>
          <w:rFonts w:cstheme="minorHAnsi"/>
          <w:color w:val="222222"/>
          <w:lang w:val="en-US"/>
        </w:rPr>
      </w:pPr>
      <w:r w:rsidRPr="00124DA6">
        <w:rPr>
          <w:rFonts w:cstheme="minorHAnsi"/>
          <w:b/>
          <w:lang w:val="en-US"/>
        </w:rPr>
        <w:t>The analysis of the sector</w:t>
      </w:r>
      <w:r w:rsidR="00141BD7">
        <w:rPr>
          <w:rFonts w:cstheme="minorHAnsi"/>
          <w:b/>
          <w:lang w:val="en-US"/>
        </w:rPr>
        <w:t>’</w:t>
      </w:r>
      <w:r w:rsidRPr="00124DA6">
        <w:rPr>
          <w:rFonts w:cstheme="minorHAnsi"/>
          <w:b/>
          <w:lang w:val="en-US"/>
        </w:rPr>
        <w:t>s compliance with the prudential norms shows that 9 out of 10 ratios are complied with</w:t>
      </w:r>
      <w:r w:rsidRPr="00124DA6">
        <w:rPr>
          <w:rFonts w:cstheme="minorHAnsi"/>
          <w:lang w:val="en-US"/>
        </w:rPr>
        <w:t xml:space="preserve">. </w:t>
      </w:r>
      <w:r w:rsidR="00B311EF">
        <w:rPr>
          <w:rFonts w:cstheme="minorHAnsi"/>
          <w:lang w:val="en-US"/>
        </w:rPr>
        <w:t>Over the last five years,</w:t>
      </w:r>
      <w:r w:rsidR="004B1209">
        <w:rPr>
          <w:rFonts w:cstheme="minorHAnsi"/>
          <w:lang w:val="en-US"/>
        </w:rPr>
        <w:t xml:space="preserve"> </w:t>
      </w:r>
      <w:r w:rsidRPr="00124DA6">
        <w:rPr>
          <w:rFonts w:cstheme="minorHAnsi"/>
          <w:lang w:val="en-US"/>
        </w:rPr>
        <w:t xml:space="preserve">MFIs </w:t>
      </w:r>
      <w:r w:rsidR="00B311EF">
        <w:rPr>
          <w:rFonts w:cstheme="minorHAnsi"/>
          <w:lang w:val="en-US"/>
        </w:rPr>
        <w:t xml:space="preserve">have </w:t>
      </w:r>
      <w:r w:rsidRPr="00124DA6">
        <w:rPr>
          <w:rFonts w:cstheme="minorHAnsi"/>
          <w:lang w:val="en-US"/>
        </w:rPr>
        <w:t xml:space="preserve">not </w:t>
      </w:r>
      <w:r w:rsidR="00B311EF">
        <w:rPr>
          <w:rFonts w:cstheme="minorHAnsi"/>
          <w:lang w:val="en-US"/>
        </w:rPr>
        <w:t xml:space="preserve">been </w:t>
      </w:r>
      <w:r w:rsidRPr="00124DA6">
        <w:rPr>
          <w:rFonts w:cstheme="minorHAnsi"/>
          <w:lang w:val="en-US"/>
        </w:rPr>
        <w:t xml:space="preserve">compliant </w:t>
      </w:r>
      <w:r w:rsidR="00B311EF">
        <w:rPr>
          <w:rFonts w:cstheme="minorHAnsi"/>
          <w:lang w:val="en-US"/>
        </w:rPr>
        <w:t xml:space="preserve">with </w:t>
      </w:r>
      <w:r w:rsidR="004B1209">
        <w:rPr>
          <w:rFonts w:cstheme="minorHAnsi"/>
          <w:lang w:val="en-US"/>
        </w:rPr>
        <w:t>a</w:t>
      </w:r>
      <w:r w:rsidR="004017C5">
        <w:rPr>
          <w:rFonts w:cstheme="minorHAnsi"/>
          <w:lang w:val="en-US"/>
        </w:rPr>
        <w:t xml:space="preserve"> norm </w:t>
      </w:r>
      <w:r w:rsidR="004B1209">
        <w:rPr>
          <w:rFonts w:cstheme="minorHAnsi"/>
          <w:lang w:val="en-US"/>
        </w:rPr>
        <w:t>that</w:t>
      </w:r>
      <w:r w:rsidR="004017C5">
        <w:rPr>
          <w:rFonts w:cstheme="minorHAnsi"/>
          <w:lang w:val="en-US"/>
        </w:rPr>
        <w:t xml:space="preserve"> limits</w:t>
      </w:r>
      <w:r w:rsidRPr="00124DA6">
        <w:rPr>
          <w:rFonts w:cstheme="minorHAnsi"/>
          <w:lang w:val="en-US"/>
        </w:rPr>
        <w:t xml:space="preserve"> loans to MFIs’ management and staff. Moreover, maintaining such high levels of deviations from the norms shows either a high degree of caution in making decisions or questioning the pragmatism of the norms established in the sector</w:t>
      </w:r>
      <w:r>
        <w:rPr>
          <w:rFonts w:cstheme="minorHAnsi"/>
          <w:lang w:val="en-US"/>
        </w:rPr>
        <w:t>.</w:t>
      </w:r>
    </w:p>
    <w:p w14:paraId="20A7F7F2" w14:textId="7B0FF040" w:rsidR="00A34E92" w:rsidRPr="006474A0" w:rsidRDefault="00A34E92" w:rsidP="00A34E92">
      <w:pPr>
        <w:pStyle w:val="Caption"/>
        <w:keepNext/>
        <w:rPr>
          <w:b/>
          <w:lang w:val="en-US"/>
        </w:rPr>
      </w:pPr>
      <w:r w:rsidRPr="006474A0">
        <w:rPr>
          <w:b/>
          <w:lang w:val="en-US"/>
        </w:rPr>
        <w:t>Figure</w:t>
      </w:r>
      <w:r w:rsidR="00C702B4" w:rsidRPr="006474A0">
        <w:rPr>
          <w:b/>
          <w:lang w:val="en-US"/>
        </w:rPr>
        <w:t> </w:t>
      </w:r>
      <w:r w:rsidRPr="006474A0">
        <w:rPr>
          <w:b/>
          <w:lang w:val="en-US"/>
        </w:rPr>
        <w:t>2.3: Compliance with prudential norms</w:t>
      </w:r>
    </w:p>
    <w:p w14:paraId="66DFD202" w14:textId="77777777" w:rsidR="00A34E92" w:rsidRPr="00124DA6" w:rsidRDefault="00A34E92" w:rsidP="00A34E92">
      <w:pPr>
        <w:keepNext/>
        <w:autoSpaceDE w:val="0"/>
        <w:autoSpaceDN w:val="0"/>
        <w:adjustRightInd w:val="0"/>
        <w:spacing w:after="0" w:line="240" w:lineRule="auto"/>
        <w:ind w:firstLine="360"/>
        <w:jc w:val="center"/>
        <w:rPr>
          <w:lang w:val="en-US"/>
        </w:rPr>
      </w:pPr>
      <w:r w:rsidRPr="00124DA6">
        <w:rPr>
          <w:rFonts w:ascii="Arial" w:hAnsi="Arial" w:cs="Arial"/>
          <w:noProof/>
          <w:color w:val="444444"/>
          <w:sz w:val="20"/>
          <w:szCs w:val="20"/>
          <w:lang w:eastAsia="fr-FR"/>
        </w:rPr>
        <mc:AlternateContent>
          <mc:Choice Requires="wps">
            <w:drawing>
              <wp:anchor distT="0" distB="0" distL="114300" distR="114300" simplePos="0" relativeHeight="251663360" behindDoc="0" locked="0" layoutInCell="1" allowOverlap="1" wp14:anchorId="2CC78CDC" wp14:editId="3F0ACCAE">
                <wp:simplePos x="0" y="0"/>
                <wp:positionH relativeFrom="column">
                  <wp:posOffset>1987550</wp:posOffset>
                </wp:positionH>
                <wp:positionV relativeFrom="paragraph">
                  <wp:posOffset>1402004</wp:posOffset>
                </wp:positionV>
                <wp:extent cx="2326234" cy="1812897"/>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326234" cy="1812897"/>
                        </a:xfrm>
                        <a:prstGeom prst="rect">
                          <a:avLst/>
                        </a:prstGeom>
                        <a:solidFill>
                          <a:schemeClr val="lt1"/>
                        </a:solidFill>
                        <a:ln w="6350">
                          <a:noFill/>
                        </a:ln>
                      </wps:spPr>
                      <wps:txbx>
                        <w:txbxContent>
                          <w:p w14:paraId="64A87331" w14:textId="77777777" w:rsidR="003B0984" w:rsidRDefault="003B0984" w:rsidP="00A34E92">
                            <w:pPr>
                              <w:spacing w:after="0" w:line="276" w:lineRule="auto"/>
                              <w:rPr>
                                <w:sz w:val="18"/>
                                <w:szCs w:val="18"/>
                                <w:lang w:val="en-US"/>
                              </w:rPr>
                            </w:pPr>
                            <w:r w:rsidRPr="00861D75">
                              <w:rPr>
                                <w:sz w:val="18"/>
                                <w:szCs w:val="18"/>
                                <w:lang w:val="en-US"/>
                              </w:rPr>
                              <w:t>Number of MFIs compliant with 10 norms</w:t>
                            </w:r>
                          </w:p>
                          <w:p w14:paraId="2D57FE56" w14:textId="77777777" w:rsidR="003B0984" w:rsidRDefault="003B0984" w:rsidP="00A34E92">
                            <w:pPr>
                              <w:spacing w:after="0" w:line="276" w:lineRule="auto"/>
                              <w:rPr>
                                <w:sz w:val="18"/>
                                <w:szCs w:val="18"/>
                                <w:lang w:val="en-US"/>
                              </w:rPr>
                            </w:pPr>
                            <w:r>
                              <w:rPr>
                                <w:sz w:val="18"/>
                                <w:szCs w:val="18"/>
                                <w:lang w:val="en-US"/>
                              </w:rPr>
                              <w:t>Number of MFIs compliant with 9/10 norms</w:t>
                            </w:r>
                          </w:p>
                          <w:p w14:paraId="23C4F36C" w14:textId="77777777" w:rsidR="003B0984" w:rsidRDefault="003B0984" w:rsidP="00A34E92">
                            <w:pPr>
                              <w:spacing w:after="0" w:line="276" w:lineRule="auto"/>
                              <w:rPr>
                                <w:sz w:val="18"/>
                                <w:szCs w:val="18"/>
                                <w:lang w:val="en-US"/>
                              </w:rPr>
                            </w:pPr>
                            <w:r>
                              <w:rPr>
                                <w:sz w:val="18"/>
                                <w:szCs w:val="18"/>
                                <w:lang w:val="en-US"/>
                              </w:rPr>
                              <w:t>Number of MFIs compliant with 8/10 norms</w:t>
                            </w:r>
                          </w:p>
                          <w:p w14:paraId="55BB4954" w14:textId="77777777" w:rsidR="003B0984" w:rsidRDefault="003B0984" w:rsidP="00A34E92">
                            <w:pPr>
                              <w:spacing w:after="0" w:line="276" w:lineRule="auto"/>
                              <w:rPr>
                                <w:sz w:val="18"/>
                                <w:szCs w:val="18"/>
                                <w:lang w:val="en-US"/>
                              </w:rPr>
                            </w:pPr>
                            <w:r>
                              <w:rPr>
                                <w:sz w:val="18"/>
                                <w:szCs w:val="18"/>
                                <w:lang w:val="en-US"/>
                              </w:rPr>
                              <w:t>Number of MFIs compliant with 7/10 norms</w:t>
                            </w:r>
                          </w:p>
                          <w:p w14:paraId="0CF90638" w14:textId="77777777" w:rsidR="003B0984" w:rsidRDefault="003B0984" w:rsidP="00A34E92">
                            <w:pPr>
                              <w:spacing w:after="0" w:line="276" w:lineRule="auto"/>
                              <w:rPr>
                                <w:sz w:val="18"/>
                                <w:szCs w:val="18"/>
                                <w:lang w:val="en-US"/>
                              </w:rPr>
                            </w:pPr>
                            <w:r>
                              <w:rPr>
                                <w:sz w:val="18"/>
                                <w:szCs w:val="18"/>
                                <w:lang w:val="en-US"/>
                              </w:rPr>
                              <w:t>Number of MFIs compliant with 6/10 norms</w:t>
                            </w:r>
                          </w:p>
                          <w:p w14:paraId="487038A2" w14:textId="77777777" w:rsidR="003B0984" w:rsidRDefault="003B0984" w:rsidP="00A34E92">
                            <w:pPr>
                              <w:spacing w:after="0" w:line="276" w:lineRule="auto"/>
                              <w:rPr>
                                <w:sz w:val="18"/>
                                <w:szCs w:val="18"/>
                                <w:lang w:val="en-US"/>
                              </w:rPr>
                            </w:pPr>
                            <w:r>
                              <w:rPr>
                                <w:sz w:val="18"/>
                                <w:szCs w:val="18"/>
                                <w:lang w:val="en-US"/>
                              </w:rPr>
                              <w:t>Number of MFIs compliant with 5/10 norms</w:t>
                            </w:r>
                          </w:p>
                          <w:p w14:paraId="143971BA" w14:textId="77777777" w:rsidR="003B0984" w:rsidRDefault="003B0984" w:rsidP="00A34E92">
                            <w:pPr>
                              <w:spacing w:after="0" w:line="276" w:lineRule="auto"/>
                              <w:rPr>
                                <w:sz w:val="18"/>
                                <w:szCs w:val="18"/>
                                <w:lang w:val="en-US"/>
                              </w:rPr>
                            </w:pPr>
                            <w:r>
                              <w:rPr>
                                <w:sz w:val="18"/>
                                <w:szCs w:val="18"/>
                                <w:lang w:val="en-US"/>
                              </w:rPr>
                              <w:t>Number of MFIs compliant with 4/10 norms</w:t>
                            </w:r>
                            <w:r w:rsidRPr="00861D75">
                              <w:rPr>
                                <w:sz w:val="18"/>
                                <w:szCs w:val="18"/>
                                <w:lang w:val="en-US"/>
                              </w:rPr>
                              <w:t xml:space="preserve"> </w:t>
                            </w:r>
                            <w:r>
                              <w:rPr>
                                <w:sz w:val="18"/>
                                <w:szCs w:val="18"/>
                                <w:lang w:val="en-US"/>
                              </w:rPr>
                              <w:t>Number of MFIs compliant with 3/10 norms</w:t>
                            </w:r>
                          </w:p>
                          <w:p w14:paraId="7ACC9BFF" w14:textId="77777777" w:rsidR="003B0984" w:rsidRDefault="003B0984" w:rsidP="00A34E92">
                            <w:pPr>
                              <w:spacing w:after="0" w:line="276" w:lineRule="auto"/>
                              <w:rPr>
                                <w:sz w:val="18"/>
                                <w:szCs w:val="18"/>
                                <w:lang w:val="en-US"/>
                              </w:rPr>
                            </w:pPr>
                            <w:r>
                              <w:rPr>
                                <w:sz w:val="18"/>
                                <w:szCs w:val="18"/>
                                <w:lang w:val="en-US"/>
                              </w:rPr>
                              <w:t>Number of MFIs compliant with 2/10 norms</w:t>
                            </w:r>
                            <w:r w:rsidRPr="00861D75">
                              <w:rPr>
                                <w:sz w:val="18"/>
                                <w:szCs w:val="18"/>
                                <w:lang w:val="en-US"/>
                              </w:rPr>
                              <w:t xml:space="preserve"> </w:t>
                            </w:r>
                            <w:r>
                              <w:rPr>
                                <w:sz w:val="18"/>
                                <w:szCs w:val="18"/>
                                <w:lang w:val="en-US"/>
                              </w:rPr>
                              <w:t>Number of MFIs compliant with 1/10 norms</w:t>
                            </w:r>
                          </w:p>
                          <w:p w14:paraId="16898505" w14:textId="77777777" w:rsidR="003B0984" w:rsidRDefault="003B0984" w:rsidP="00A34E92">
                            <w:pPr>
                              <w:spacing w:after="0" w:line="276" w:lineRule="auto"/>
                              <w:rPr>
                                <w:sz w:val="18"/>
                                <w:szCs w:val="18"/>
                                <w:lang w:val="en-US"/>
                              </w:rPr>
                            </w:pPr>
                            <w:r>
                              <w:rPr>
                                <w:sz w:val="18"/>
                                <w:szCs w:val="18"/>
                                <w:lang w:val="en-US"/>
                              </w:rPr>
                              <w:t>Number of MFIs compliant with 0/10 norms</w:t>
                            </w:r>
                          </w:p>
                          <w:p w14:paraId="34C0BC33" w14:textId="77777777" w:rsidR="003B0984" w:rsidRDefault="003B0984" w:rsidP="00A34E92">
                            <w:pPr>
                              <w:spacing w:line="240" w:lineRule="auto"/>
                              <w:rPr>
                                <w:sz w:val="18"/>
                                <w:szCs w:val="18"/>
                                <w:lang w:val="en-US"/>
                              </w:rPr>
                            </w:pPr>
                          </w:p>
                          <w:p w14:paraId="6100D0E2" w14:textId="77777777" w:rsidR="003B0984" w:rsidRPr="00861D75" w:rsidRDefault="003B0984" w:rsidP="00A34E92">
                            <w:pPr>
                              <w:spacing w:line="240" w:lineRule="auto"/>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8CDC" id="Text Box 28" o:spid="_x0000_s1030" type="#_x0000_t202" style="position:absolute;left:0;text-align:left;margin-left:156.5pt;margin-top:110.4pt;width:183.15pt;height:14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" fillcolor="white [3201]" stroked="f" strokeweight=".5pt">
                <v:textbox>
                  <w:txbxContent>
                    <w:p w14:paraId="64A87331" w14:textId="77777777" w:rsidR="003B0984" w:rsidRDefault="003B0984" w:rsidP="00A34E92">
                      <w:pPr>
                        <w:spacing w:after="0" w:line="276" w:lineRule="auto"/>
                        <w:rPr>
                          <w:sz w:val="18"/>
                          <w:szCs w:val="18"/>
                          <w:lang w:val="en-US"/>
                        </w:rPr>
                      </w:pPr>
                      <w:r w:rsidRPr="00861D75">
                        <w:rPr>
                          <w:sz w:val="18"/>
                          <w:szCs w:val="18"/>
                          <w:lang w:val="en-US"/>
                        </w:rPr>
                        <w:t>Number of MFIs compliant with 10 norms</w:t>
                      </w:r>
                    </w:p>
                    <w:p w14:paraId="2D57FE56" w14:textId="77777777" w:rsidR="003B0984" w:rsidRDefault="003B0984" w:rsidP="00A34E92">
                      <w:pPr>
                        <w:spacing w:after="0" w:line="276" w:lineRule="auto"/>
                        <w:rPr>
                          <w:sz w:val="18"/>
                          <w:szCs w:val="18"/>
                          <w:lang w:val="en-US"/>
                        </w:rPr>
                      </w:pPr>
                      <w:r>
                        <w:rPr>
                          <w:sz w:val="18"/>
                          <w:szCs w:val="18"/>
                          <w:lang w:val="en-US"/>
                        </w:rPr>
                        <w:t>Number of MFIs compliant with 9/10 norms</w:t>
                      </w:r>
                    </w:p>
                    <w:p w14:paraId="23C4F36C" w14:textId="77777777" w:rsidR="003B0984" w:rsidRDefault="003B0984" w:rsidP="00A34E92">
                      <w:pPr>
                        <w:spacing w:after="0" w:line="276" w:lineRule="auto"/>
                        <w:rPr>
                          <w:sz w:val="18"/>
                          <w:szCs w:val="18"/>
                          <w:lang w:val="en-US"/>
                        </w:rPr>
                      </w:pPr>
                      <w:r>
                        <w:rPr>
                          <w:sz w:val="18"/>
                          <w:szCs w:val="18"/>
                          <w:lang w:val="en-US"/>
                        </w:rPr>
                        <w:t>Number of MFIs compliant with 8/10 norms</w:t>
                      </w:r>
                    </w:p>
                    <w:p w14:paraId="55BB4954" w14:textId="77777777" w:rsidR="003B0984" w:rsidRDefault="003B0984" w:rsidP="00A34E92">
                      <w:pPr>
                        <w:spacing w:after="0" w:line="276" w:lineRule="auto"/>
                        <w:rPr>
                          <w:sz w:val="18"/>
                          <w:szCs w:val="18"/>
                          <w:lang w:val="en-US"/>
                        </w:rPr>
                      </w:pPr>
                      <w:r>
                        <w:rPr>
                          <w:sz w:val="18"/>
                          <w:szCs w:val="18"/>
                          <w:lang w:val="en-US"/>
                        </w:rPr>
                        <w:t>Number of MFIs compliant with 7/10 norms</w:t>
                      </w:r>
                    </w:p>
                    <w:p w14:paraId="0CF90638" w14:textId="77777777" w:rsidR="003B0984" w:rsidRDefault="003B0984" w:rsidP="00A34E92">
                      <w:pPr>
                        <w:spacing w:after="0" w:line="276" w:lineRule="auto"/>
                        <w:rPr>
                          <w:sz w:val="18"/>
                          <w:szCs w:val="18"/>
                          <w:lang w:val="en-US"/>
                        </w:rPr>
                      </w:pPr>
                      <w:r>
                        <w:rPr>
                          <w:sz w:val="18"/>
                          <w:szCs w:val="18"/>
                          <w:lang w:val="en-US"/>
                        </w:rPr>
                        <w:t>Number of MFIs compliant with 6/10 norms</w:t>
                      </w:r>
                    </w:p>
                    <w:p w14:paraId="487038A2" w14:textId="77777777" w:rsidR="003B0984" w:rsidRDefault="003B0984" w:rsidP="00A34E92">
                      <w:pPr>
                        <w:spacing w:after="0" w:line="276" w:lineRule="auto"/>
                        <w:rPr>
                          <w:sz w:val="18"/>
                          <w:szCs w:val="18"/>
                          <w:lang w:val="en-US"/>
                        </w:rPr>
                      </w:pPr>
                      <w:r>
                        <w:rPr>
                          <w:sz w:val="18"/>
                          <w:szCs w:val="18"/>
                          <w:lang w:val="en-US"/>
                        </w:rPr>
                        <w:t>Number of MFIs compliant with 5/10 norms</w:t>
                      </w:r>
                    </w:p>
                    <w:p w14:paraId="143971BA" w14:textId="77777777" w:rsidR="003B0984" w:rsidRDefault="003B0984" w:rsidP="00A34E92">
                      <w:pPr>
                        <w:spacing w:after="0" w:line="276" w:lineRule="auto"/>
                        <w:rPr>
                          <w:sz w:val="18"/>
                          <w:szCs w:val="18"/>
                          <w:lang w:val="en-US"/>
                        </w:rPr>
                      </w:pPr>
                      <w:r>
                        <w:rPr>
                          <w:sz w:val="18"/>
                          <w:szCs w:val="18"/>
                          <w:lang w:val="en-US"/>
                        </w:rPr>
                        <w:t>Number of MFIs compliant with 4/10 norms</w:t>
                      </w:r>
                      <w:r w:rsidRPr="00861D75">
                        <w:rPr>
                          <w:sz w:val="18"/>
                          <w:szCs w:val="18"/>
                          <w:lang w:val="en-US"/>
                        </w:rPr>
                        <w:t xml:space="preserve"> </w:t>
                      </w:r>
                      <w:r>
                        <w:rPr>
                          <w:sz w:val="18"/>
                          <w:szCs w:val="18"/>
                          <w:lang w:val="en-US"/>
                        </w:rPr>
                        <w:t>Number of MFIs compliant with 3/10 norms</w:t>
                      </w:r>
                    </w:p>
                    <w:p w14:paraId="7ACC9BFF" w14:textId="77777777" w:rsidR="003B0984" w:rsidRDefault="003B0984" w:rsidP="00A34E92">
                      <w:pPr>
                        <w:spacing w:after="0" w:line="276" w:lineRule="auto"/>
                        <w:rPr>
                          <w:sz w:val="18"/>
                          <w:szCs w:val="18"/>
                          <w:lang w:val="en-US"/>
                        </w:rPr>
                      </w:pPr>
                      <w:r>
                        <w:rPr>
                          <w:sz w:val="18"/>
                          <w:szCs w:val="18"/>
                          <w:lang w:val="en-US"/>
                        </w:rPr>
                        <w:t>Number of MFIs compliant with 2/10 norms</w:t>
                      </w:r>
                      <w:r w:rsidRPr="00861D75">
                        <w:rPr>
                          <w:sz w:val="18"/>
                          <w:szCs w:val="18"/>
                          <w:lang w:val="en-US"/>
                        </w:rPr>
                        <w:t xml:space="preserve"> </w:t>
                      </w:r>
                      <w:r>
                        <w:rPr>
                          <w:sz w:val="18"/>
                          <w:szCs w:val="18"/>
                          <w:lang w:val="en-US"/>
                        </w:rPr>
                        <w:t>Number of MFIs compliant with 1/10 norms</w:t>
                      </w:r>
                    </w:p>
                    <w:p w14:paraId="16898505" w14:textId="77777777" w:rsidR="003B0984" w:rsidRDefault="003B0984" w:rsidP="00A34E92">
                      <w:pPr>
                        <w:spacing w:after="0" w:line="276" w:lineRule="auto"/>
                        <w:rPr>
                          <w:sz w:val="18"/>
                          <w:szCs w:val="18"/>
                          <w:lang w:val="en-US"/>
                        </w:rPr>
                      </w:pPr>
                      <w:r>
                        <w:rPr>
                          <w:sz w:val="18"/>
                          <w:szCs w:val="18"/>
                          <w:lang w:val="en-US"/>
                        </w:rPr>
                        <w:t>Number of MFIs compliant with 0/10 norms</w:t>
                      </w:r>
                    </w:p>
                    <w:p w14:paraId="34C0BC33" w14:textId="77777777" w:rsidR="003B0984" w:rsidRDefault="003B0984" w:rsidP="00A34E92">
                      <w:pPr>
                        <w:spacing w:line="240" w:lineRule="auto"/>
                        <w:rPr>
                          <w:sz w:val="18"/>
                          <w:szCs w:val="18"/>
                          <w:lang w:val="en-US"/>
                        </w:rPr>
                      </w:pPr>
                    </w:p>
                    <w:p w14:paraId="6100D0E2" w14:textId="77777777" w:rsidR="003B0984" w:rsidRPr="00861D75" w:rsidRDefault="003B0984" w:rsidP="00A34E92">
                      <w:pPr>
                        <w:spacing w:line="240" w:lineRule="auto"/>
                        <w:rPr>
                          <w:sz w:val="18"/>
                          <w:szCs w:val="18"/>
                          <w:lang w:val="en-US"/>
                        </w:rPr>
                      </w:pPr>
                    </w:p>
                  </w:txbxContent>
                </v:textbox>
              </v:shape>
            </w:pict>
          </mc:Fallback>
        </mc:AlternateContent>
      </w:r>
      <w:r w:rsidRPr="00124DA6">
        <w:rPr>
          <w:rFonts w:ascii="Arial" w:hAnsi="Arial" w:cs="Arial"/>
          <w:noProof/>
          <w:color w:val="444444"/>
          <w:sz w:val="20"/>
          <w:szCs w:val="20"/>
          <w:lang w:eastAsia="fr-FR"/>
        </w:rPr>
        <w:drawing>
          <wp:inline distT="0" distB="0" distL="0" distR="0" wp14:anchorId="33CD26D2" wp14:editId="1C5B10B2">
            <wp:extent cx="4110248" cy="3200400"/>
            <wp:effectExtent l="0" t="0" r="5080" b="0"/>
            <wp:docPr id="29" name="Picture 29" descr="http://newsite.alafianetwork.org/images/promfi-2016-perf-prudentiel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ewsite.alafianetwork.org/images/promfi-2016-perf-prudentielles.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7590"/>
                    <a:stretch/>
                  </pic:blipFill>
                  <pic:spPr bwMode="auto">
                    <a:xfrm>
                      <a:off x="0" y="0"/>
                      <a:ext cx="4110248"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3388816D" w14:textId="2D80AF2D" w:rsidR="00A34E92" w:rsidRDefault="00A34E92" w:rsidP="00A34E92">
      <w:pPr>
        <w:autoSpaceDE w:val="0"/>
        <w:autoSpaceDN w:val="0"/>
        <w:adjustRightInd w:val="0"/>
        <w:spacing w:after="120" w:line="240" w:lineRule="auto"/>
        <w:ind w:left="1620"/>
        <w:rPr>
          <w:rFonts w:asciiTheme="majorHAnsi" w:hAnsiTheme="majorHAnsi" w:cstheme="majorHAnsi"/>
          <w:color w:val="2E74B5" w:themeColor="accent1" w:themeShade="BF"/>
          <w:sz w:val="20"/>
          <w:szCs w:val="16"/>
          <w:lang w:val="en-US"/>
        </w:rPr>
      </w:pPr>
      <w:r w:rsidRPr="00124DA6">
        <w:rPr>
          <w:rFonts w:asciiTheme="majorHAnsi" w:hAnsiTheme="majorHAnsi" w:cstheme="majorHAnsi"/>
          <w:i/>
          <w:color w:val="2E74B5" w:themeColor="accent1" w:themeShade="BF"/>
          <w:sz w:val="20"/>
          <w:szCs w:val="16"/>
          <w:lang w:val="en-US"/>
        </w:rPr>
        <w:t>Source</w:t>
      </w:r>
      <w:r w:rsidRPr="00124DA6">
        <w:rPr>
          <w:rFonts w:asciiTheme="majorHAnsi" w:hAnsiTheme="majorHAnsi" w:cstheme="majorHAnsi"/>
          <w:color w:val="2E74B5" w:themeColor="accent1" w:themeShade="BF"/>
          <w:sz w:val="20"/>
          <w:szCs w:val="16"/>
          <w:lang w:val="en-US"/>
        </w:rPr>
        <w:t>:</w:t>
      </w:r>
      <w:r w:rsidRPr="00124DA6">
        <w:rPr>
          <w:rFonts w:asciiTheme="majorHAnsi" w:hAnsiTheme="majorHAnsi" w:cstheme="majorHAnsi"/>
          <w:color w:val="2E74B5" w:themeColor="accent1" w:themeShade="BF"/>
          <w:sz w:val="28"/>
          <w:lang w:val="en-US"/>
        </w:rPr>
        <w:t xml:space="preserve"> </w:t>
      </w:r>
      <w:r w:rsidRPr="00124DA6">
        <w:rPr>
          <w:rFonts w:asciiTheme="majorHAnsi" w:hAnsiTheme="majorHAnsi" w:cstheme="majorHAnsi"/>
          <w:color w:val="2E74B5" w:themeColor="accent1" w:themeShade="BF"/>
          <w:sz w:val="20"/>
          <w:szCs w:val="16"/>
          <w:lang w:val="en-US"/>
        </w:rPr>
        <w:t>Consortium Alafia</w:t>
      </w:r>
      <w:r w:rsidR="00C702B4">
        <w:rPr>
          <w:rFonts w:asciiTheme="majorHAnsi" w:hAnsiTheme="majorHAnsi" w:cstheme="majorHAnsi"/>
          <w:color w:val="2E74B5" w:themeColor="accent1" w:themeShade="BF"/>
          <w:sz w:val="20"/>
          <w:szCs w:val="16"/>
          <w:lang w:val="en-US"/>
        </w:rPr>
        <w:t> </w:t>
      </w:r>
      <w:r w:rsidRPr="00124DA6">
        <w:rPr>
          <w:rFonts w:asciiTheme="majorHAnsi" w:hAnsiTheme="majorHAnsi" w:cstheme="majorHAnsi"/>
          <w:color w:val="2E74B5" w:themeColor="accent1" w:themeShade="BF"/>
          <w:sz w:val="20"/>
          <w:szCs w:val="16"/>
          <w:lang w:val="en-US"/>
        </w:rPr>
        <w:t>2017a.</w:t>
      </w:r>
    </w:p>
    <w:p w14:paraId="16D9FF41" w14:textId="77777777" w:rsidR="00A34E92" w:rsidRPr="00A34E92" w:rsidRDefault="00A34E92" w:rsidP="00A34E92">
      <w:pPr>
        <w:autoSpaceDE w:val="0"/>
        <w:autoSpaceDN w:val="0"/>
        <w:adjustRightInd w:val="0"/>
        <w:spacing w:after="120" w:line="240" w:lineRule="auto"/>
        <w:rPr>
          <w:rFonts w:asciiTheme="majorHAnsi" w:hAnsiTheme="majorHAnsi" w:cstheme="majorHAnsi"/>
          <w:color w:val="2E74B5" w:themeColor="accent1" w:themeShade="BF"/>
          <w:sz w:val="20"/>
          <w:szCs w:val="16"/>
          <w:lang w:val="en-US"/>
        </w:rPr>
      </w:pPr>
    </w:p>
    <w:p w14:paraId="44220D1F" w14:textId="50DBD36F" w:rsidR="00A34E92" w:rsidRPr="00124DA6" w:rsidRDefault="00A34E92" w:rsidP="006474A0">
      <w:pPr>
        <w:pStyle w:val="ListParagraph"/>
        <w:numPr>
          <w:ilvl w:val="0"/>
          <w:numId w:val="47"/>
        </w:numPr>
        <w:spacing w:after="240" w:line="240" w:lineRule="auto"/>
        <w:ind w:left="0" w:firstLine="0"/>
        <w:contextualSpacing w:val="0"/>
        <w:jc w:val="both"/>
        <w:rPr>
          <w:rFonts w:cstheme="minorHAnsi"/>
          <w:lang w:val="en-US"/>
        </w:rPr>
      </w:pPr>
      <w:r w:rsidRPr="00124DA6">
        <w:rPr>
          <w:rFonts w:cstheme="minorHAnsi"/>
          <w:b/>
          <w:color w:val="222222"/>
          <w:lang w:val="en-US"/>
        </w:rPr>
        <w:t xml:space="preserve">This global </w:t>
      </w:r>
      <w:r w:rsidR="004017C5">
        <w:rPr>
          <w:rFonts w:cstheme="minorHAnsi"/>
          <w:b/>
          <w:color w:val="222222"/>
          <w:lang w:val="en-US"/>
        </w:rPr>
        <w:t xml:space="preserve">sectoral </w:t>
      </w:r>
      <w:r w:rsidRPr="00124DA6">
        <w:rPr>
          <w:rFonts w:cstheme="minorHAnsi"/>
          <w:b/>
          <w:color w:val="222222"/>
          <w:lang w:val="en-US"/>
        </w:rPr>
        <w:t>trend hides significant disparities among MFIs.</w:t>
      </w:r>
      <w:r w:rsidRPr="00124DA6">
        <w:rPr>
          <w:rFonts w:cstheme="minorHAnsi"/>
          <w:color w:val="222222"/>
          <w:lang w:val="en-US"/>
        </w:rPr>
        <w:t xml:space="preserve"> Norms that are difficult for MFIs to meet are capital adequacy, risk exposure to a single party, </w:t>
      </w:r>
      <w:r w:rsidRPr="00124DA6">
        <w:rPr>
          <w:rFonts w:cstheme="minorHAnsi"/>
          <w:lang w:val="en-US"/>
        </w:rPr>
        <w:t>limitation of loans to MFIs management and staff</w:t>
      </w:r>
      <w:r w:rsidRPr="00124DA6">
        <w:rPr>
          <w:rFonts w:cstheme="minorHAnsi"/>
          <w:color w:val="222222"/>
          <w:lang w:val="en-US"/>
        </w:rPr>
        <w:t>, and financing fixed assets. The ratio on the coverage of medium</w:t>
      </w:r>
      <w:r w:rsidR="00141BD7">
        <w:rPr>
          <w:rFonts w:cstheme="minorHAnsi"/>
          <w:color w:val="222222"/>
          <w:lang w:val="en-US"/>
        </w:rPr>
        <w:t>—</w:t>
      </w:r>
      <w:r w:rsidRPr="00124DA6">
        <w:rPr>
          <w:rFonts w:cstheme="minorHAnsi"/>
          <w:color w:val="222222"/>
          <w:lang w:val="en-US"/>
        </w:rPr>
        <w:t xml:space="preserve">and long-term financing with stable resources confirms the general control of the investments made by the MFIs, and 10 MFIs did not meet this ratio. This situation also highlights MFIs’ aversion for long-term financing. In 2016, 16 institutions failed to meet the limitation of loans to MFIs’ management and staff’s norm. As for the limitation of risks exposure </w:t>
      </w:r>
      <w:r w:rsidR="00141BD7">
        <w:rPr>
          <w:rFonts w:cstheme="minorHAnsi"/>
          <w:color w:val="222222"/>
          <w:lang w:val="en-US"/>
        </w:rPr>
        <w:t>toward</w:t>
      </w:r>
      <w:r w:rsidRPr="00124DA6">
        <w:rPr>
          <w:rFonts w:cstheme="minorHAnsi"/>
          <w:color w:val="222222"/>
          <w:lang w:val="en-US"/>
        </w:rPr>
        <w:t xml:space="preserve"> a single </w:t>
      </w:r>
      <w:r>
        <w:rPr>
          <w:rFonts w:cstheme="minorHAnsi"/>
          <w:color w:val="222222"/>
          <w:lang w:val="en-US"/>
        </w:rPr>
        <w:t xml:space="preserve">counterpart, it is </w:t>
      </w:r>
      <w:r w:rsidRPr="00124DA6">
        <w:rPr>
          <w:rFonts w:cstheme="minorHAnsi"/>
          <w:color w:val="222222"/>
          <w:lang w:val="en-US"/>
        </w:rPr>
        <w:t xml:space="preserve">not adhered by 18 institutions. </w:t>
      </w:r>
      <w:r w:rsidRPr="00124DA6">
        <w:rPr>
          <w:rFonts w:ascii="Calibri" w:hAnsi="Calibri" w:cs="Calibri"/>
          <w:lang w:val="en-US"/>
        </w:rPr>
        <w:t>Ten</w:t>
      </w:r>
      <w:r w:rsidRPr="00124DA6">
        <w:rPr>
          <w:rFonts w:cstheme="minorHAnsi"/>
          <w:color w:val="222222"/>
          <w:lang w:val="en-US"/>
        </w:rPr>
        <w:t xml:space="preserve"> MFIs were unable to meet the norm of equity financing in 2016, fourteen MFIs did not meet the fixed asset financing norm, and nine institutions faced liquidity problems and therefore did not meet the standard. Finally, 21 MFIs did not meet the capitalization norm, which represents a significant risk for business continuity. </w:t>
      </w:r>
      <w:r>
        <w:rPr>
          <w:rFonts w:cstheme="minorHAnsi"/>
          <w:color w:val="222222"/>
          <w:lang w:val="en-US"/>
        </w:rPr>
        <w:t>Figure</w:t>
      </w:r>
      <w:r w:rsidR="00C702B4">
        <w:rPr>
          <w:rFonts w:cstheme="minorHAnsi"/>
          <w:color w:val="222222"/>
          <w:lang w:val="en-US"/>
        </w:rPr>
        <w:t> </w:t>
      </w:r>
      <w:r>
        <w:rPr>
          <w:rFonts w:cstheme="minorHAnsi"/>
          <w:color w:val="222222"/>
          <w:lang w:val="en-US"/>
        </w:rPr>
        <w:t xml:space="preserve">2.3 </w:t>
      </w:r>
      <w:r w:rsidRPr="00124DA6">
        <w:rPr>
          <w:rFonts w:cstheme="minorHAnsi"/>
          <w:color w:val="222222"/>
          <w:lang w:val="en-US"/>
        </w:rPr>
        <w:t xml:space="preserve">and </w:t>
      </w:r>
      <w:r>
        <w:rPr>
          <w:rFonts w:cstheme="minorHAnsi"/>
          <w:color w:val="222222"/>
          <w:lang w:val="en-US"/>
        </w:rPr>
        <w:t>Figure</w:t>
      </w:r>
      <w:r w:rsidR="00C702B4">
        <w:rPr>
          <w:rFonts w:cstheme="minorHAnsi"/>
          <w:color w:val="222222"/>
          <w:lang w:val="en-US"/>
        </w:rPr>
        <w:t> </w:t>
      </w:r>
      <w:r>
        <w:rPr>
          <w:rFonts w:cstheme="minorHAnsi"/>
          <w:color w:val="222222"/>
          <w:lang w:val="en-US"/>
        </w:rPr>
        <w:t xml:space="preserve">2.4 </w:t>
      </w:r>
      <w:r w:rsidRPr="00124DA6">
        <w:rPr>
          <w:rFonts w:cstheme="minorHAnsi"/>
          <w:color w:val="222222"/>
          <w:lang w:val="en-US"/>
        </w:rPr>
        <w:t>show the state of compliance with the liquidity and capitalization standards of Article</w:t>
      </w:r>
      <w:r w:rsidR="00C702B4">
        <w:rPr>
          <w:rFonts w:cstheme="minorHAnsi"/>
          <w:color w:val="222222"/>
          <w:lang w:val="en-US"/>
        </w:rPr>
        <w:t> </w:t>
      </w:r>
      <w:r w:rsidRPr="00124DA6">
        <w:rPr>
          <w:rFonts w:cstheme="minorHAnsi"/>
          <w:color w:val="222222"/>
          <w:lang w:val="en-US"/>
        </w:rPr>
        <w:t xml:space="preserve">44 MFIs in Benin. Six MFIs out of them were not able to meet the liquidity standard and five were not compliant with the capital adequacy ratio.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6"/>
        <w:gridCol w:w="4718"/>
      </w:tblGrid>
      <w:tr w:rsidR="00A34E92" w:rsidRPr="008A6E7B" w14:paraId="3AC57531" w14:textId="77777777" w:rsidTr="00A34E92">
        <w:trPr>
          <w:trHeight w:val="318"/>
        </w:trPr>
        <w:tc>
          <w:tcPr>
            <w:tcW w:w="4074" w:type="dxa"/>
          </w:tcPr>
          <w:p w14:paraId="695E340D" w14:textId="0D28AA8C" w:rsidR="00A34E92" w:rsidRPr="006474A0" w:rsidRDefault="00A34E92" w:rsidP="00B03F0F">
            <w:pPr>
              <w:pStyle w:val="Caption"/>
              <w:keepNext/>
              <w:keepLines/>
              <w:rPr>
                <w:b/>
              </w:rPr>
            </w:pPr>
            <w:r w:rsidRPr="006474A0">
              <w:rPr>
                <w:b/>
              </w:rPr>
              <w:t>Figure</w:t>
            </w:r>
            <w:r w:rsidR="00C702B4" w:rsidRPr="006474A0">
              <w:rPr>
                <w:b/>
              </w:rPr>
              <w:t> </w:t>
            </w:r>
            <w:r w:rsidRPr="006474A0">
              <w:rPr>
                <w:b/>
              </w:rPr>
              <w:t>2.3</w:t>
            </w:r>
            <w:r w:rsidRPr="006474A0">
              <w:rPr>
                <w:rStyle w:val="Heading5Char"/>
                <w:b/>
              </w:rPr>
              <w:t>: Liquidity ratio of Article</w:t>
            </w:r>
            <w:r w:rsidR="00C702B4" w:rsidRPr="006474A0">
              <w:rPr>
                <w:rStyle w:val="Heading5Char"/>
                <w:b/>
              </w:rPr>
              <w:t> </w:t>
            </w:r>
            <w:r w:rsidRPr="006474A0">
              <w:rPr>
                <w:rStyle w:val="Heading5Char"/>
                <w:b/>
              </w:rPr>
              <w:t>44 MFIs</w:t>
            </w:r>
          </w:p>
        </w:tc>
        <w:tc>
          <w:tcPr>
            <w:tcW w:w="4718" w:type="dxa"/>
          </w:tcPr>
          <w:p w14:paraId="5DFFD619" w14:textId="2A1FFC4F" w:rsidR="00A34E92" w:rsidRPr="006474A0" w:rsidRDefault="00A34E92" w:rsidP="00B03F0F">
            <w:pPr>
              <w:pStyle w:val="Caption"/>
              <w:keepNext/>
              <w:keepLines/>
              <w:rPr>
                <w:b/>
              </w:rPr>
            </w:pPr>
            <w:r w:rsidRPr="006474A0">
              <w:rPr>
                <w:b/>
              </w:rPr>
              <w:t>Figure</w:t>
            </w:r>
            <w:r w:rsidR="00C702B4" w:rsidRPr="006474A0">
              <w:rPr>
                <w:b/>
              </w:rPr>
              <w:t> </w:t>
            </w:r>
            <w:r w:rsidRPr="006474A0">
              <w:rPr>
                <w:b/>
              </w:rPr>
              <w:t>2.4</w:t>
            </w:r>
            <w:r w:rsidRPr="006474A0">
              <w:rPr>
                <w:rStyle w:val="Heading5Char"/>
                <w:b/>
              </w:rPr>
              <w:t>: Capital adequacy ratio of Article</w:t>
            </w:r>
            <w:r w:rsidR="00C702B4" w:rsidRPr="006474A0">
              <w:rPr>
                <w:rStyle w:val="Heading5Char"/>
                <w:b/>
              </w:rPr>
              <w:t> </w:t>
            </w:r>
            <w:r w:rsidRPr="006474A0">
              <w:rPr>
                <w:rStyle w:val="Heading5Char"/>
                <w:b/>
              </w:rPr>
              <w:t>44 MFIs</w:t>
            </w:r>
          </w:p>
        </w:tc>
      </w:tr>
      <w:tr w:rsidR="00A34E92" w:rsidRPr="00124DA6" w14:paraId="10E2E021" w14:textId="77777777" w:rsidTr="00A34E92">
        <w:trPr>
          <w:trHeight w:val="2644"/>
        </w:trPr>
        <w:tc>
          <w:tcPr>
            <w:tcW w:w="4074" w:type="dxa"/>
          </w:tcPr>
          <w:p w14:paraId="442DB929" w14:textId="281F2011" w:rsidR="00A34E92" w:rsidRPr="00124DA6" w:rsidRDefault="00A34E92" w:rsidP="00B03F0F">
            <w:pPr>
              <w:keepNext/>
              <w:keepLines/>
            </w:pPr>
            <w:r w:rsidRPr="00124DA6">
              <w:rPr>
                <w:rFonts w:asciiTheme="majorHAnsi" w:hAnsiTheme="majorHAnsi" w:cstheme="majorHAnsi"/>
                <w:i/>
                <w:color w:val="2E74B5" w:themeColor="accent1" w:themeShade="BF"/>
                <w:szCs w:val="16"/>
              </w:rPr>
              <w:t>Source</w:t>
            </w:r>
            <w:r w:rsidRPr="00124DA6">
              <w:rPr>
                <w:rFonts w:asciiTheme="majorHAnsi" w:hAnsiTheme="majorHAnsi" w:cstheme="majorHAnsi"/>
                <w:color w:val="2E74B5" w:themeColor="accent1" w:themeShade="BF"/>
                <w:szCs w:val="16"/>
              </w:rPr>
              <w:t>: ANSSFD</w:t>
            </w:r>
            <w:r w:rsidR="00C702B4">
              <w:rPr>
                <w:rFonts w:asciiTheme="majorHAnsi" w:hAnsiTheme="majorHAnsi" w:cstheme="majorHAnsi"/>
                <w:color w:val="2E74B5" w:themeColor="accent1" w:themeShade="BF"/>
                <w:szCs w:val="16"/>
              </w:rPr>
              <w:t> </w:t>
            </w:r>
            <w:r w:rsidRPr="00124DA6">
              <w:rPr>
                <w:rFonts w:asciiTheme="majorHAnsi" w:hAnsiTheme="majorHAnsi" w:cstheme="majorHAnsi"/>
                <w:color w:val="2E74B5" w:themeColor="accent1" w:themeShade="BF"/>
                <w:szCs w:val="16"/>
              </w:rPr>
              <w:t>2017</w:t>
            </w:r>
            <w:r w:rsidRPr="00124DA6">
              <w:rPr>
                <w:rFonts w:cstheme="minorHAnsi"/>
                <w:noProof/>
                <w:sz w:val="16"/>
                <w:szCs w:val="16"/>
                <w:lang w:eastAsia="fr-FR"/>
              </w:rPr>
              <w:drawing>
                <wp:anchor distT="0" distB="0" distL="114300" distR="114300" simplePos="0" relativeHeight="251667456" behindDoc="0" locked="0" layoutInCell="1" allowOverlap="1" wp14:anchorId="058A50EE" wp14:editId="6C9C3C33">
                  <wp:simplePos x="0" y="0"/>
                  <wp:positionH relativeFrom="column">
                    <wp:posOffset>-57785</wp:posOffset>
                  </wp:positionH>
                  <wp:positionV relativeFrom="paragraph">
                    <wp:posOffset>0</wp:posOffset>
                  </wp:positionV>
                  <wp:extent cx="2450453" cy="2103120"/>
                  <wp:effectExtent l="0" t="0" r="762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50453"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4DA6">
              <w:rPr>
                <w:rFonts w:asciiTheme="majorHAnsi" w:hAnsiTheme="majorHAnsi" w:cstheme="majorHAnsi"/>
                <w:color w:val="2E74B5" w:themeColor="accent1" w:themeShade="BF"/>
                <w:szCs w:val="16"/>
              </w:rPr>
              <w:t>.</w:t>
            </w:r>
          </w:p>
        </w:tc>
        <w:tc>
          <w:tcPr>
            <w:tcW w:w="4718" w:type="dxa"/>
          </w:tcPr>
          <w:p w14:paraId="29252400" w14:textId="77777777" w:rsidR="00A34E92" w:rsidRPr="00124DA6" w:rsidRDefault="00A34E92" w:rsidP="00B03F0F">
            <w:pPr>
              <w:keepNext/>
              <w:keepLines/>
            </w:pPr>
            <w:r w:rsidRPr="00124DA6">
              <w:rPr>
                <w:rFonts w:cstheme="minorHAnsi"/>
                <w:noProof/>
                <w:sz w:val="16"/>
                <w:szCs w:val="16"/>
                <w:lang w:eastAsia="fr-FR"/>
              </w:rPr>
              <w:drawing>
                <wp:anchor distT="0" distB="0" distL="114300" distR="114300" simplePos="0" relativeHeight="251665408" behindDoc="0" locked="0" layoutInCell="1" allowOverlap="1" wp14:anchorId="4DD7FD47" wp14:editId="40BE71EE">
                  <wp:simplePos x="0" y="0"/>
                  <wp:positionH relativeFrom="column">
                    <wp:posOffset>-67945</wp:posOffset>
                  </wp:positionH>
                  <wp:positionV relativeFrom="paragraph">
                    <wp:posOffset>0</wp:posOffset>
                  </wp:positionV>
                  <wp:extent cx="2827939" cy="210312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27939" cy="21031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ABD1A71" w14:textId="77777777" w:rsidR="00A34E92" w:rsidRPr="00A34E92" w:rsidRDefault="00A34E92" w:rsidP="00A34E92">
      <w:pPr>
        <w:pStyle w:val="ListParagraph"/>
        <w:spacing w:after="0" w:line="240" w:lineRule="auto"/>
        <w:ind w:left="0"/>
        <w:contextualSpacing w:val="0"/>
        <w:jc w:val="both"/>
        <w:rPr>
          <w:rFonts w:cstheme="minorHAnsi"/>
          <w:color w:val="222222"/>
          <w:lang w:val="en-US"/>
        </w:rPr>
      </w:pPr>
    </w:p>
    <w:p w14:paraId="73AC53B0" w14:textId="270C47DE" w:rsidR="00A34E92" w:rsidRPr="00A34E92" w:rsidRDefault="00444FC8" w:rsidP="006474A0">
      <w:pPr>
        <w:pStyle w:val="ListParagraph"/>
        <w:numPr>
          <w:ilvl w:val="0"/>
          <w:numId w:val="47"/>
        </w:numPr>
        <w:spacing w:after="240" w:line="240" w:lineRule="auto"/>
        <w:ind w:left="0" w:firstLine="0"/>
        <w:contextualSpacing w:val="0"/>
        <w:jc w:val="both"/>
        <w:rPr>
          <w:rFonts w:cstheme="minorHAnsi"/>
          <w:color w:val="222222"/>
          <w:lang w:val="en-US"/>
        </w:rPr>
      </w:pPr>
      <w:r>
        <w:rPr>
          <w:rFonts w:cstheme="minorHAnsi"/>
          <w:b/>
          <w:lang w:val="en-US"/>
        </w:rPr>
        <w:t>The BCEAO define</w:t>
      </w:r>
      <w:r w:rsidR="00224A8F">
        <w:rPr>
          <w:rFonts w:cstheme="minorHAnsi"/>
          <w:b/>
          <w:lang w:val="en-US"/>
        </w:rPr>
        <w:t>s</w:t>
      </w:r>
      <w:r>
        <w:rPr>
          <w:rFonts w:cstheme="minorHAnsi"/>
          <w:b/>
          <w:lang w:val="en-US"/>
        </w:rPr>
        <w:t xml:space="preserve"> five</w:t>
      </w:r>
      <w:r w:rsidR="00A34E92" w:rsidRPr="00124DA6">
        <w:rPr>
          <w:rFonts w:cstheme="minorHAnsi"/>
          <w:b/>
          <w:lang w:val="en-US"/>
        </w:rPr>
        <w:t xml:space="preserve"> main categories of quantitative financial indicators to regulate the activities of the MFIs: portfolio quality indicators, profitability indicators, balance sheet management indicators, productivity and efficiency indicators, and activity indicators</w:t>
      </w:r>
      <w:r w:rsidR="00A34E92" w:rsidRPr="00124DA6">
        <w:rPr>
          <w:rFonts w:cstheme="minorHAnsi"/>
          <w:lang w:val="en-US"/>
        </w:rPr>
        <w:t xml:space="preserve">. This analysis focuses on the two categories that cause the greatest difficulty to the Beninese sector. </w:t>
      </w:r>
      <w:r>
        <w:rPr>
          <w:rFonts w:cstheme="minorHAnsi"/>
          <w:lang w:val="en-US"/>
        </w:rPr>
        <w:t>In Benin,</w:t>
      </w:r>
      <w:r w:rsidRPr="00124DA6">
        <w:rPr>
          <w:rFonts w:cstheme="minorHAnsi"/>
          <w:lang w:val="en-US"/>
        </w:rPr>
        <w:t xml:space="preserve"> </w:t>
      </w:r>
      <w:r w:rsidR="00A34E92" w:rsidRPr="00124DA6">
        <w:rPr>
          <w:rFonts w:cstheme="minorHAnsi"/>
          <w:lang w:val="en-US"/>
        </w:rPr>
        <w:t xml:space="preserve">MFIs are struggling to meet the standards of portfolio quality and profitability. The low profitability of </w:t>
      </w:r>
      <w:proofErr w:type="gramStart"/>
      <w:r w:rsidR="00A34E92" w:rsidRPr="00124DA6">
        <w:rPr>
          <w:rFonts w:cstheme="minorHAnsi"/>
          <w:lang w:val="en-US"/>
        </w:rPr>
        <w:t>the major</w:t>
      </w:r>
      <w:r w:rsidR="00A34E92">
        <w:rPr>
          <w:rFonts w:cstheme="minorHAnsi"/>
          <w:lang w:val="en-US"/>
        </w:rPr>
        <w:t>ity of</w:t>
      </w:r>
      <w:proofErr w:type="gramEnd"/>
      <w:r w:rsidR="00A34E92" w:rsidRPr="00124DA6">
        <w:rPr>
          <w:rFonts w:cstheme="minorHAnsi"/>
          <w:lang w:val="en-US"/>
        </w:rPr>
        <w:t xml:space="preserve"> MFIs and the deterioration of the portfolio quality could undermine their growth and increases the risks in the sector</w:t>
      </w:r>
      <w:r w:rsidR="00A34E92">
        <w:rPr>
          <w:rFonts w:cstheme="minorHAnsi"/>
          <w:lang w:val="en-US"/>
        </w:rPr>
        <w:t>.</w:t>
      </w:r>
    </w:p>
    <w:p w14:paraId="351383B2" w14:textId="30F7B6E6" w:rsidR="00A34E92" w:rsidRPr="00A34E92" w:rsidRDefault="00A34E92" w:rsidP="006474A0">
      <w:pPr>
        <w:pStyle w:val="ListParagraph"/>
        <w:numPr>
          <w:ilvl w:val="0"/>
          <w:numId w:val="47"/>
        </w:numPr>
        <w:spacing w:after="240" w:line="240" w:lineRule="auto"/>
        <w:ind w:left="0" w:firstLine="0"/>
        <w:contextualSpacing w:val="0"/>
        <w:jc w:val="both"/>
        <w:rPr>
          <w:rFonts w:cstheme="minorHAnsi"/>
          <w:color w:val="222222"/>
          <w:lang w:val="en-US"/>
        </w:rPr>
      </w:pPr>
      <w:r>
        <w:rPr>
          <w:rFonts w:cstheme="minorHAnsi"/>
          <w:b/>
          <w:lang w:val="en-US"/>
        </w:rPr>
        <w:t xml:space="preserve">The </w:t>
      </w:r>
      <w:r w:rsidRPr="00124DA6">
        <w:rPr>
          <w:rFonts w:cstheme="minorHAnsi"/>
          <w:b/>
          <w:lang w:val="en-US"/>
        </w:rPr>
        <w:t xml:space="preserve">Portfolio quality </w:t>
      </w:r>
      <w:r>
        <w:rPr>
          <w:rFonts w:cstheme="minorHAnsi"/>
          <w:b/>
          <w:lang w:val="en-US"/>
        </w:rPr>
        <w:t>is assessed via</w:t>
      </w:r>
      <w:r w:rsidRPr="00124DA6">
        <w:rPr>
          <w:rFonts w:cstheme="minorHAnsi"/>
          <w:b/>
          <w:lang w:val="en-US"/>
        </w:rPr>
        <w:t xml:space="preserve"> the portfolio at risk (PAR), the provisioning rate, and the loss rate.</w:t>
      </w:r>
      <w:r w:rsidRPr="00124DA6">
        <w:rPr>
          <w:rFonts w:cstheme="minorHAnsi"/>
          <w:lang w:val="en-US"/>
        </w:rPr>
        <w:t xml:space="preserve"> Table</w:t>
      </w:r>
      <w:r w:rsidR="00C702B4">
        <w:rPr>
          <w:rFonts w:cstheme="minorHAnsi"/>
          <w:lang w:val="en-US"/>
        </w:rPr>
        <w:t> </w:t>
      </w:r>
      <w:r w:rsidRPr="00124DA6">
        <w:rPr>
          <w:rFonts w:cstheme="minorHAnsi"/>
          <w:lang w:val="en-US"/>
        </w:rPr>
        <w:t xml:space="preserve">2.3 presents the evolution </w:t>
      </w:r>
      <w:r>
        <w:rPr>
          <w:rFonts w:cstheme="minorHAnsi"/>
          <w:lang w:val="en-US"/>
        </w:rPr>
        <w:t xml:space="preserve">of the portfolio quality of the microfinance between </w:t>
      </w:r>
      <w:r w:rsidRPr="00124DA6">
        <w:rPr>
          <w:rFonts w:cstheme="minorHAnsi"/>
          <w:lang w:val="en-US"/>
        </w:rPr>
        <w:t>2012</w:t>
      </w:r>
      <w:r w:rsidR="00141BD7">
        <w:rPr>
          <w:rFonts w:cstheme="minorHAnsi"/>
          <w:lang w:val="en-US"/>
        </w:rPr>
        <w:t xml:space="preserve"> and </w:t>
      </w:r>
      <w:r w:rsidRPr="00124DA6">
        <w:rPr>
          <w:rFonts w:cstheme="minorHAnsi"/>
          <w:lang w:val="en-US"/>
        </w:rPr>
        <w:t xml:space="preserve">2016. During this period, the standard on </w:t>
      </w:r>
      <w:r>
        <w:rPr>
          <w:rFonts w:cstheme="minorHAnsi"/>
          <w:lang w:val="en-US"/>
        </w:rPr>
        <w:t>portfolio at risk was not</w:t>
      </w:r>
      <w:r w:rsidRPr="00124DA6">
        <w:rPr>
          <w:rFonts w:cstheme="minorHAnsi"/>
          <w:lang w:val="en-US"/>
        </w:rPr>
        <w:t xml:space="preserve"> met. </w:t>
      </w:r>
      <w:r>
        <w:rPr>
          <w:rFonts w:cstheme="minorHAnsi"/>
          <w:lang w:val="en-US"/>
        </w:rPr>
        <w:t xml:space="preserve">This ratio recorded </w:t>
      </w:r>
      <w:r w:rsidRPr="00124DA6">
        <w:rPr>
          <w:rFonts w:cstheme="minorHAnsi"/>
          <w:lang w:val="en-US"/>
        </w:rPr>
        <w:t xml:space="preserve">improvement until 2015, when </w:t>
      </w:r>
      <w:r w:rsidRPr="00124DA6">
        <w:rPr>
          <w:rFonts w:ascii="Calibri" w:hAnsi="Calibri" w:cs="Calibri"/>
          <w:lang w:val="en-US"/>
        </w:rPr>
        <w:t>the</w:t>
      </w:r>
      <w:r w:rsidRPr="00124DA6">
        <w:rPr>
          <w:rFonts w:cstheme="minorHAnsi"/>
          <w:lang w:val="en-US"/>
        </w:rPr>
        <w:t xml:space="preserve"> trend was reversed, m</w:t>
      </w:r>
      <w:r>
        <w:rPr>
          <w:rFonts w:cstheme="minorHAnsi"/>
          <w:lang w:val="en-US"/>
        </w:rPr>
        <w:t>ainly due to the Nigeria</w:t>
      </w:r>
      <w:r w:rsidRPr="00124DA6">
        <w:rPr>
          <w:rFonts w:cstheme="minorHAnsi"/>
          <w:lang w:val="en-US"/>
        </w:rPr>
        <w:t xml:space="preserve"> crisis and small business eviction. The PAR is a key indicator considered by banks in</w:t>
      </w:r>
      <w:r>
        <w:rPr>
          <w:rFonts w:cstheme="minorHAnsi"/>
          <w:lang w:val="en-US"/>
        </w:rPr>
        <w:t xml:space="preserve"> the evaluation of refinancing applications from MFIs.</w:t>
      </w:r>
    </w:p>
    <w:p w14:paraId="48B007C6" w14:textId="0ECB7FB0" w:rsidR="00A34E92" w:rsidRPr="006474A0" w:rsidRDefault="00A34E92" w:rsidP="006474A0">
      <w:pPr>
        <w:pStyle w:val="Caption"/>
        <w:keepNext/>
        <w:ind w:left="1428" w:firstLine="696"/>
        <w:jc w:val="left"/>
        <w:rPr>
          <w:b/>
          <w:lang w:val="en-US"/>
        </w:rPr>
      </w:pPr>
      <w:r w:rsidRPr="006474A0">
        <w:rPr>
          <w:b/>
          <w:lang w:val="en-US"/>
        </w:rPr>
        <w:t>Table</w:t>
      </w:r>
      <w:r w:rsidR="00C702B4" w:rsidRPr="006474A0">
        <w:rPr>
          <w:b/>
          <w:lang w:val="en-US"/>
        </w:rPr>
        <w:t> </w:t>
      </w:r>
      <w:r w:rsidRPr="006474A0">
        <w:rPr>
          <w:b/>
          <w:lang w:val="en-US"/>
        </w:rPr>
        <w:t>2.</w:t>
      </w:r>
      <w:r w:rsidRPr="006474A0">
        <w:rPr>
          <w:b/>
          <w:lang w:val="en-US"/>
        </w:rPr>
        <w:fldChar w:fldCharType="begin"/>
      </w:r>
      <w:r w:rsidRPr="006474A0">
        <w:rPr>
          <w:b/>
          <w:lang w:val="en-US"/>
        </w:rPr>
        <w:instrText xml:space="preserve"> SEQ Table_2. \* ARABIC </w:instrText>
      </w:r>
      <w:r w:rsidRPr="006474A0">
        <w:rPr>
          <w:b/>
          <w:lang w:val="en-US"/>
        </w:rPr>
        <w:fldChar w:fldCharType="separate"/>
      </w:r>
      <w:r w:rsidR="004C6E5F" w:rsidRPr="006474A0">
        <w:rPr>
          <w:b/>
          <w:noProof/>
          <w:lang w:val="en-US"/>
        </w:rPr>
        <w:t>3</w:t>
      </w:r>
      <w:r w:rsidRPr="006474A0">
        <w:rPr>
          <w:b/>
          <w:lang w:val="en-US"/>
        </w:rPr>
        <w:fldChar w:fldCharType="end"/>
      </w:r>
      <w:r w:rsidRPr="006474A0">
        <w:rPr>
          <w:b/>
          <w:lang w:val="en-US"/>
        </w:rPr>
        <w:t>: Portfolio quality indicators (percentage)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69"/>
        <w:gridCol w:w="672"/>
        <w:gridCol w:w="672"/>
        <w:gridCol w:w="672"/>
        <w:gridCol w:w="672"/>
        <w:gridCol w:w="672"/>
      </w:tblGrid>
      <w:tr w:rsidR="00A34E92" w:rsidRPr="00124DA6" w14:paraId="089B2964" w14:textId="77777777" w:rsidTr="00B03F0F">
        <w:trPr>
          <w:jc w:val="center"/>
        </w:trPr>
        <w:tc>
          <w:tcPr>
            <w:tcW w:w="0" w:type="auto"/>
          </w:tcPr>
          <w:p w14:paraId="2427150B" w14:textId="77777777" w:rsidR="00A34E92" w:rsidRPr="00124DA6" w:rsidRDefault="00A34E92" w:rsidP="00B03F0F">
            <w:pPr>
              <w:autoSpaceDE w:val="0"/>
              <w:autoSpaceDN w:val="0"/>
              <w:adjustRightInd w:val="0"/>
              <w:spacing w:after="0" w:line="240" w:lineRule="auto"/>
              <w:rPr>
                <w:rFonts w:cstheme="minorHAnsi"/>
                <w:sz w:val="20"/>
                <w:lang w:val="en-US"/>
              </w:rPr>
            </w:pPr>
          </w:p>
        </w:tc>
        <w:tc>
          <w:tcPr>
            <w:tcW w:w="0" w:type="auto"/>
            <w:vAlign w:val="center"/>
          </w:tcPr>
          <w:p w14:paraId="0A5EFFDF" w14:textId="77777777" w:rsidR="00A34E92" w:rsidRPr="00124DA6" w:rsidRDefault="00A34E92" w:rsidP="00B03F0F">
            <w:pPr>
              <w:autoSpaceDE w:val="0"/>
              <w:autoSpaceDN w:val="0"/>
              <w:adjustRightInd w:val="0"/>
              <w:spacing w:after="0" w:line="240" w:lineRule="auto"/>
              <w:jc w:val="center"/>
              <w:rPr>
                <w:rFonts w:cstheme="minorHAnsi"/>
                <w:b/>
                <w:sz w:val="20"/>
                <w:lang w:val="en-US"/>
              </w:rPr>
            </w:pPr>
            <w:r w:rsidRPr="00124DA6">
              <w:rPr>
                <w:rFonts w:cstheme="minorHAnsi"/>
                <w:b/>
                <w:sz w:val="20"/>
                <w:lang w:val="en-US"/>
              </w:rPr>
              <w:t>Norms</w:t>
            </w:r>
          </w:p>
        </w:tc>
        <w:tc>
          <w:tcPr>
            <w:tcW w:w="0" w:type="auto"/>
            <w:vAlign w:val="center"/>
          </w:tcPr>
          <w:p w14:paraId="798ABC50" w14:textId="77777777" w:rsidR="00A34E92" w:rsidRPr="00124DA6" w:rsidRDefault="00A34E92" w:rsidP="00B03F0F">
            <w:pPr>
              <w:autoSpaceDE w:val="0"/>
              <w:autoSpaceDN w:val="0"/>
              <w:adjustRightInd w:val="0"/>
              <w:spacing w:after="0" w:line="240" w:lineRule="auto"/>
              <w:jc w:val="center"/>
              <w:rPr>
                <w:rFonts w:cstheme="minorHAnsi"/>
                <w:b/>
                <w:sz w:val="20"/>
                <w:lang w:val="en-US"/>
              </w:rPr>
            </w:pPr>
            <w:r w:rsidRPr="00124DA6">
              <w:rPr>
                <w:rFonts w:cstheme="minorHAnsi"/>
                <w:b/>
                <w:sz w:val="20"/>
                <w:lang w:val="en-US"/>
              </w:rPr>
              <w:t>2012</w:t>
            </w:r>
          </w:p>
        </w:tc>
        <w:tc>
          <w:tcPr>
            <w:tcW w:w="0" w:type="auto"/>
            <w:vAlign w:val="center"/>
          </w:tcPr>
          <w:p w14:paraId="5A675301" w14:textId="77777777" w:rsidR="00A34E92" w:rsidRPr="00124DA6" w:rsidRDefault="00A34E92" w:rsidP="00B03F0F">
            <w:pPr>
              <w:autoSpaceDE w:val="0"/>
              <w:autoSpaceDN w:val="0"/>
              <w:adjustRightInd w:val="0"/>
              <w:spacing w:after="0" w:line="240" w:lineRule="auto"/>
              <w:jc w:val="center"/>
              <w:rPr>
                <w:rFonts w:cstheme="minorHAnsi"/>
                <w:b/>
                <w:sz w:val="20"/>
                <w:lang w:val="en-US"/>
              </w:rPr>
            </w:pPr>
            <w:r w:rsidRPr="00124DA6">
              <w:rPr>
                <w:rFonts w:cstheme="minorHAnsi"/>
                <w:b/>
                <w:sz w:val="20"/>
                <w:lang w:val="en-US"/>
              </w:rPr>
              <w:t>2013</w:t>
            </w:r>
          </w:p>
        </w:tc>
        <w:tc>
          <w:tcPr>
            <w:tcW w:w="0" w:type="auto"/>
            <w:vAlign w:val="center"/>
          </w:tcPr>
          <w:p w14:paraId="48E836A3" w14:textId="77777777" w:rsidR="00A34E92" w:rsidRPr="00124DA6" w:rsidRDefault="00A34E92" w:rsidP="00B03F0F">
            <w:pPr>
              <w:autoSpaceDE w:val="0"/>
              <w:autoSpaceDN w:val="0"/>
              <w:adjustRightInd w:val="0"/>
              <w:spacing w:after="0" w:line="240" w:lineRule="auto"/>
              <w:jc w:val="center"/>
              <w:rPr>
                <w:rFonts w:cstheme="minorHAnsi"/>
                <w:b/>
                <w:sz w:val="20"/>
                <w:lang w:val="en-US"/>
              </w:rPr>
            </w:pPr>
            <w:r w:rsidRPr="00124DA6">
              <w:rPr>
                <w:rFonts w:cstheme="minorHAnsi"/>
                <w:b/>
                <w:sz w:val="20"/>
                <w:lang w:val="en-US"/>
              </w:rPr>
              <w:t>2014</w:t>
            </w:r>
          </w:p>
        </w:tc>
        <w:tc>
          <w:tcPr>
            <w:tcW w:w="0" w:type="auto"/>
            <w:vAlign w:val="center"/>
          </w:tcPr>
          <w:p w14:paraId="0F84ECED" w14:textId="77777777" w:rsidR="00A34E92" w:rsidRPr="00124DA6" w:rsidRDefault="00A34E92" w:rsidP="00B03F0F">
            <w:pPr>
              <w:autoSpaceDE w:val="0"/>
              <w:autoSpaceDN w:val="0"/>
              <w:adjustRightInd w:val="0"/>
              <w:spacing w:after="0" w:line="240" w:lineRule="auto"/>
              <w:jc w:val="center"/>
              <w:rPr>
                <w:rFonts w:cstheme="minorHAnsi"/>
                <w:b/>
                <w:sz w:val="20"/>
                <w:lang w:val="en-US"/>
              </w:rPr>
            </w:pPr>
            <w:r w:rsidRPr="00124DA6">
              <w:rPr>
                <w:rFonts w:cstheme="minorHAnsi"/>
                <w:b/>
                <w:sz w:val="20"/>
                <w:lang w:val="en-US"/>
              </w:rPr>
              <w:t>2015</w:t>
            </w:r>
          </w:p>
        </w:tc>
        <w:tc>
          <w:tcPr>
            <w:tcW w:w="0" w:type="auto"/>
            <w:vAlign w:val="center"/>
          </w:tcPr>
          <w:p w14:paraId="7981EE2D" w14:textId="77777777" w:rsidR="00A34E92" w:rsidRPr="00124DA6" w:rsidRDefault="00A34E92" w:rsidP="00B03F0F">
            <w:pPr>
              <w:autoSpaceDE w:val="0"/>
              <w:autoSpaceDN w:val="0"/>
              <w:adjustRightInd w:val="0"/>
              <w:spacing w:after="0" w:line="240" w:lineRule="auto"/>
              <w:jc w:val="center"/>
              <w:rPr>
                <w:rFonts w:cstheme="minorHAnsi"/>
                <w:b/>
                <w:sz w:val="20"/>
                <w:lang w:val="en-US"/>
              </w:rPr>
            </w:pPr>
            <w:r w:rsidRPr="00124DA6">
              <w:rPr>
                <w:rFonts w:cstheme="minorHAnsi"/>
                <w:b/>
                <w:sz w:val="20"/>
                <w:lang w:val="en-US"/>
              </w:rPr>
              <w:t>2016</w:t>
            </w:r>
          </w:p>
        </w:tc>
      </w:tr>
      <w:tr w:rsidR="00A34E92" w:rsidRPr="00124DA6" w14:paraId="12B13A71" w14:textId="77777777" w:rsidTr="00B03F0F">
        <w:trPr>
          <w:jc w:val="center"/>
        </w:trPr>
        <w:tc>
          <w:tcPr>
            <w:tcW w:w="0" w:type="auto"/>
          </w:tcPr>
          <w:p w14:paraId="438F8A50"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30-day PAR (PAR30)</w:t>
            </w:r>
          </w:p>
        </w:tc>
        <w:tc>
          <w:tcPr>
            <w:tcW w:w="0" w:type="auto"/>
          </w:tcPr>
          <w:p w14:paraId="74BA069C"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&lt;5</w:t>
            </w:r>
          </w:p>
        </w:tc>
        <w:tc>
          <w:tcPr>
            <w:tcW w:w="0" w:type="auto"/>
          </w:tcPr>
          <w:p w14:paraId="1F9C8FED"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7.76</w:t>
            </w:r>
          </w:p>
        </w:tc>
        <w:tc>
          <w:tcPr>
            <w:tcW w:w="0" w:type="auto"/>
          </w:tcPr>
          <w:p w14:paraId="544A374F"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7.64</w:t>
            </w:r>
          </w:p>
        </w:tc>
        <w:tc>
          <w:tcPr>
            <w:tcW w:w="0" w:type="auto"/>
          </w:tcPr>
          <w:p w14:paraId="3E38C517"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7.25</w:t>
            </w:r>
          </w:p>
        </w:tc>
        <w:tc>
          <w:tcPr>
            <w:tcW w:w="0" w:type="auto"/>
          </w:tcPr>
          <w:p w14:paraId="22EDD2B5"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6.84</w:t>
            </w:r>
          </w:p>
        </w:tc>
        <w:tc>
          <w:tcPr>
            <w:tcW w:w="0" w:type="auto"/>
          </w:tcPr>
          <w:p w14:paraId="18B92AF2"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8.96</w:t>
            </w:r>
          </w:p>
        </w:tc>
      </w:tr>
      <w:tr w:rsidR="00A34E92" w:rsidRPr="00124DA6" w14:paraId="1CC4CD7D" w14:textId="77777777" w:rsidTr="00B03F0F">
        <w:trPr>
          <w:jc w:val="center"/>
        </w:trPr>
        <w:tc>
          <w:tcPr>
            <w:tcW w:w="0" w:type="auto"/>
          </w:tcPr>
          <w:p w14:paraId="341BC131"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PAR90</w:t>
            </w:r>
          </w:p>
        </w:tc>
        <w:tc>
          <w:tcPr>
            <w:tcW w:w="0" w:type="auto"/>
          </w:tcPr>
          <w:p w14:paraId="27CF3ADC"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&lt;3</w:t>
            </w:r>
          </w:p>
        </w:tc>
        <w:tc>
          <w:tcPr>
            <w:tcW w:w="0" w:type="auto"/>
          </w:tcPr>
          <w:p w14:paraId="5411DD64"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6.15</w:t>
            </w:r>
          </w:p>
        </w:tc>
        <w:tc>
          <w:tcPr>
            <w:tcW w:w="0" w:type="auto"/>
          </w:tcPr>
          <w:p w14:paraId="4C672C81"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6.14</w:t>
            </w:r>
          </w:p>
        </w:tc>
        <w:tc>
          <w:tcPr>
            <w:tcW w:w="0" w:type="auto"/>
          </w:tcPr>
          <w:p w14:paraId="2D232F46"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5.59</w:t>
            </w:r>
          </w:p>
        </w:tc>
        <w:tc>
          <w:tcPr>
            <w:tcW w:w="0" w:type="auto"/>
          </w:tcPr>
          <w:p w14:paraId="39D9652D"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4.99</w:t>
            </w:r>
          </w:p>
        </w:tc>
        <w:tc>
          <w:tcPr>
            <w:tcW w:w="0" w:type="auto"/>
          </w:tcPr>
          <w:p w14:paraId="640B3388"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6.8</w:t>
            </w:r>
          </w:p>
        </w:tc>
      </w:tr>
      <w:tr w:rsidR="00A34E92" w:rsidRPr="00124DA6" w14:paraId="62D51E2F" w14:textId="77777777" w:rsidTr="00B03F0F">
        <w:trPr>
          <w:jc w:val="center"/>
        </w:trPr>
        <w:tc>
          <w:tcPr>
            <w:tcW w:w="0" w:type="auto"/>
          </w:tcPr>
          <w:p w14:paraId="450BE929"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PAR180</w:t>
            </w:r>
          </w:p>
        </w:tc>
        <w:tc>
          <w:tcPr>
            <w:tcW w:w="0" w:type="auto"/>
          </w:tcPr>
          <w:p w14:paraId="74FC9EEF"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&lt;2</w:t>
            </w:r>
          </w:p>
        </w:tc>
        <w:tc>
          <w:tcPr>
            <w:tcW w:w="0" w:type="auto"/>
          </w:tcPr>
          <w:p w14:paraId="1A6A3D40"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3.29</w:t>
            </w:r>
          </w:p>
        </w:tc>
        <w:tc>
          <w:tcPr>
            <w:tcW w:w="0" w:type="auto"/>
          </w:tcPr>
          <w:p w14:paraId="78BC6EA1"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4.17</w:t>
            </w:r>
          </w:p>
        </w:tc>
        <w:tc>
          <w:tcPr>
            <w:tcW w:w="0" w:type="auto"/>
          </w:tcPr>
          <w:p w14:paraId="6FED0109"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3.62</w:t>
            </w:r>
          </w:p>
        </w:tc>
        <w:tc>
          <w:tcPr>
            <w:tcW w:w="0" w:type="auto"/>
          </w:tcPr>
          <w:p w14:paraId="724D9B7F"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3.38</w:t>
            </w:r>
          </w:p>
        </w:tc>
        <w:tc>
          <w:tcPr>
            <w:tcW w:w="0" w:type="auto"/>
          </w:tcPr>
          <w:p w14:paraId="26534043" w14:textId="77777777" w:rsidR="00A34E92" w:rsidRPr="00124DA6" w:rsidRDefault="00A34E92" w:rsidP="00B03F0F">
            <w:pPr>
              <w:autoSpaceDE w:val="0"/>
              <w:autoSpaceDN w:val="0"/>
              <w:adjustRightInd w:val="0"/>
              <w:spacing w:after="0" w:line="240" w:lineRule="auto"/>
              <w:rPr>
                <w:rFonts w:cstheme="minorHAnsi"/>
                <w:color w:val="FF0000"/>
                <w:sz w:val="20"/>
                <w:lang w:val="en-US"/>
              </w:rPr>
            </w:pPr>
            <w:r w:rsidRPr="00124DA6">
              <w:rPr>
                <w:rFonts w:cstheme="minorHAnsi"/>
                <w:color w:val="FF0000"/>
                <w:sz w:val="20"/>
                <w:lang w:val="en-US"/>
              </w:rPr>
              <w:t>4.25</w:t>
            </w:r>
          </w:p>
        </w:tc>
      </w:tr>
      <w:tr w:rsidR="00A34E92" w:rsidRPr="00124DA6" w14:paraId="52205975" w14:textId="77777777" w:rsidTr="00B03F0F">
        <w:trPr>
          <w:jc w:val="center"/>
        </w:trPr>
        <w:tc>
          <w:tcPr>
            <w:tcW w:w="0" w:type="auto"/>
          </w:tcPr>
          <w:p w14:paraId="24F3D4BB"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Provision rate</w:t>
            </w:r>
          </w:p>
        </w:tc>
        <w:tc>
          <w:tcPr>
            <w:tcW w:w="0" w:type="auto"/>
          </w:tcPr>
          <w:p w14:paraId="3934D3BD"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≥40</w:t>
            </w:r>
          </w:p>
        </w:tc>
        <w:tc>
          <w:tcPr>
            <w:tcW w:w="0" w:type="auto"/>
          </w:tcPr>
          <w:p w14:paraId="3AABD047"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64.38</w:t>
            </w:r>
          </w:p>
        </w:tc>
        <w:tc>
          <w:tcPr>
            <w:tcW w:w="0" w:type="auto"/>
          </w:tcPr>
          <w:p w14:paraId="6C620CBB"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68.94</w:t>
            </w:r>
          </w:p>
        </w:tc>
        <w:tc>
          <w:tcPr>
            <w:tcW w:w="0" w:type="auto"/>
          </w:tcPr>
          <w:p w14:paraId="088F5314"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62.26</w:t>
            </w:r>
          </w:p>
        </w:tc>
        <w:tc>
          <w:tcPr>
            <w:tcW w:w="0" w:type="auto"/>
          </w:tcPr>
          <w:p w14:paraId="7D72E487"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60.87</w:t>
            </w:r>
          </w:p>
        </w:tc>
        <w:tc>
          <w:tcPr>
            <w:tcW w:w="0" w:type="auto"/>
          </w:tcPr>
          <w:p w14:paraId="3BB60D13"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58.19</w:t>
            </w:r>
          </w:p>
        </w:tc>
      </w:tr>
      <w:tr w:rsidR="00A34E92" w:rsidRPr="00124DA6" w14:paraId="2DD9D03F" w14:textId="77777777" w:rsidTr="00B03F0F">
        <w:trPr>
          <w:jc w:val="center"/>
        </w:trPr>
        <w:tc>
          <w:tcPr>
            <w:tcW w:w="0" w:type="auto"/>
          </w:tcPr>
          <w:p w14:paraId="3E14C940"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Credit loss rate</w:t>
            </w:r>
          </w:p>
        </w:tc>
        <w:tc>
          <w:tcPr>
            <w:tcW w:w="0" w:type="auto"/>
          </w:tcPr>
          <w:p w14:paraId="3E797DBB"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&lt;2</w:t>
            </w:r>
          </w:p>
        </w:tc>
        <w:tc>
          <w:tcPr>
            <w:tcW w:w="0" w:type="auto"/>
          </w:tcPr>
          <w:p w14:paraId="55D954D6"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color w:val="FF0000"/>
                <w:sz w:val="20"/>
                <w:lang w:val="en-US"/>
              </w:rPr>
              <w:t>2.57</w:t>
            </w:r>
          </w:p>
        </w:tc>
        <w:tc>
          <w:tcPr>
            <w:tcW w:w="0" w:type="auto"/>
          </w:tcPr>
          <w:p w14:paraId="0D9870C9"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1.82</w:t>
            </w:r>
          </w:p>
        </w:tc>
        <w:tc>
          <w:tcPr>
            <w:tcW w:w="0" w:type="auto"/>
          </w:tcPr>
          <w:p w14:paraId="2C2B76BC"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1.78</w:t>
            </w:r>
          </w:p>
        </w:tc>
        <w:tc>
          <w:tcPr>
            <w:tcW w:w="0" w:type="auto"/>
          </w:tcPr>
          <w:p w14:paraId="1A76C81E" w14:textId="77777777" w:rsidR="00A34E92" w:rsidRPr="00124DA6" w:rsidRDefault="00A34E92" w:rsidP="00B03F0F">
            <w:pPr>
              <w:autoSpaceDE w:val="0"/>
              <w:autoSpaceDN w:val="0"/>
              <w:adjustRightInd w:val="0"/>
              <w:spacing w:after="0" w:line="240" w:lineRule="auto"/>
              <w:rPr>
                <w:rFonts w:cstheme="minorHAnsi"/>
                <w:sz w:val="20"/>
                <w:lang w:val="en-US"/>
              </w:rPr>
            </w:pPr>
            <w:r w:rsidRPr="00124DA6">
              <w:rPr>
                <w:rFonts w:cstheme="minorHAnsi"/>
                <w:sz w:val="20"/>
                <w:lang w:val="en-US"/>
              </w:rPr>
              <w:t>1.65</w:t>
            </w:r>
          </w:p>
        </w:tc>
        <w:tc>
          <w:tcPr>
            <w:tcW w:w="0" w:type="auto"/>
          </w:tcPr>
          <w:p w14:paraId="59E7D4C1" w14:textId="77777777" w:rsidR="00A34E92" w:rsidRPr="00124DA6" w:rsidRDefault="00A34E92" w:rsidP="00B03F0F">
            <w:pPr>
              <w:keepNext/>
              <w:autoSpaceDE w:val="0"/>
              <w:autoSpaceDN w:val="0"/>
              <w:adjustRightInd w:val="0"/>
              <w:spacing w:after="0" w:line="240" w:lineRule="auto"/>
              <w:rPr>
                <w:rFonts w:cstheme="minorHAnsi"/>
                <w:sz w:val="20"/>
                <w:lang w:val="en-US"/>
              </w:rPr>
            </w:pPr>
            <w:r w:rsidRPr="00124DA6">
              <w:rPr>
                <w:rFonts w:cstheme="minorHAnsi"/>
                <w:sz w:val="20"/>
                <w:lang w:val="en-US"/>
              </w:rPr>
              <w:t>1.2</w:t>
            </w:r>
          </w:p>
        </w:tc>
      </w:tr>
    </w:tbl>
    <w:p w14:paraId="1816DC74" w14:textId="20257C3E" w:rsidR="00A34E92" w:rsidRPr="00A34E92" w:rsidRDefault="00A34E92" w:rsidP="006474A0">
      <w:pPr>
        <w:pStyle w:val="ListParagraph"/>
        <w:autoSpaceDE w:val="0"/>
        <w:autoSpaceDN w:val="0"/>
        <w:adjustRightInd w:val="0"/>
        <w:spacing w:after="120" w:line="240" w:lineRule="auto"/>
        <w:ind w:left="1426" w:firstLine="691"/>
        <w:contextualSpacing w:val="0"/>
        <w:rPr>
          <w:rFonts w:asciiTheme="majorHAnsi" w:hAnsiTheme="majorHAnsi" w:cstheme="majorHAnsi"/>
          <w:color w:val="2E74B5" w:themeColor="accent1" w:themeShade="BF"/>
          <w:sz w:val="20"/>
          <w:szCs w:val="16"/>
          <w:lang w:val="en-US"/>
        </w:rPr>
      </w:pPr>
      <w:r w:rsidRPr="00A34E92">
        <w:rPr>
          <w:rFonts w:asciiTheme="majorHAnsi" w:hAnsiTheme="majorHAnsi" w:cstheme="majorHAnsi"/>
          <w:i/>
          <w:color w:val="2E74B5" w:themeColor="accent1" w:themeShade="BF"/>
          <w:sz w:val="20"/>
          <w:szCs w:val="16"/>
          <w:lang w:val="en-US"/>
        </w:rPr>
        <w:t>Source</w:t>
      </w:r>
      <w:r w:rsidRPr="00A34E92">
        <w:rPr>
          <w:rFonts w:asciiTheme="majorHAnsi" w:hAnsiTheme="majorHAnsi" w:cstheme="majorHAnsi"/>
          <w:color w:val="2E74B5" w:themeColor="accent1" w:themeShade="BF"/>
          <w:sz w:val="20"/>
          <w:szCs w:val="16"/>
          <w:lang w:val="en-US"/>
        </w:rPr>
        <w:t>: Consortium Alafia</w:t>
      </w:r>
      <w:r w:rsidR="00C702B4">
        <w:rPr>
          <w:rFonts w:asciiTheme="majorHAnsi" w:hAnsiTheme="majorHAnsi" w:cstheme="majorHAnsi"/>
          <w:color w:val="2E74B5" w:themeColor="accent1" w:themeShade="BF"/>
          <w:sz w:val="20"/>
          <w:szCs w:val="16"/>
          <w:lang w:val="en-US"/>
        </w:rPr>
        <w:t> </w:t>
      </w:r>
      <w:r w:rsidRPr="00A34E92">
        <w:rPr>
          <w:rFonts w:asciiTheme="majorHAnsi" w:hAnsiTheme="majorHAnsi" w:cstheme="majorHAnsi"/>
          <w:color w:val="2E74B5" w:themeColor="accent1" w:themeShade="BF"/>
          <w:sz w:val="20"/>
          <w:szCs w:val="16"/>
          <w:lang w:val="en-US"/>
        </w:rPr>
        <w:t>2017a.</w:t>
      </w:r>
    </w:p>
    <w:p w14:paraId="5A5B1E66" w14:textId="04C6C8DB" w:rsidR="00A34E92" w:rsidRPr="00E34534" w:rsidRDefault="00A34E92" w:rsidP="006474A0">
      <w:pPr>
        <w:pStyle w:val="ListParagraph"/>
        <w:numPr>
          <w:ilvl w:val="0"/>
          <w:numId w:val="47"/>
        </w:numPr>
        <w:spacing w:before="120" w:after="240" w:line="240" w:lineRule="auto"/>
        <w:ind w:left="0" w:firstLine="0"/>
        <w:contextualSpacing w:val="0"/>
        <w:jc w:val="both"/>
        <w:rPr>
          <w:rFonts w:cstheme="minorHAnsi"/>
          <w:color w:val="222222"/>
          <w:lang w:val="en-US"/>
        </w:rPr>
      </w:pPr>
      <w:r w:rsidRPr="00124DA6">
        <w:rPr>
          <w:rFonts w:cstheme="minorHAnsi"/>
          <w:b/>
          <w:lang w:val="en-US"/>
        </w:rPr>
        <w:t xml:space="preserve">The portfolio of </w:t>
      </w:r>
      <w:r w:rsidR="004C23BE" w:rsidRPr="00124DA6">
        <w:rPr>
          <w:rFonts w:cstheme="minorHAnsi"/>
          <w:b/>
          <w:lang w:val="en-US"/>
        </w:rPr>
        <w:t>most</w:t>
      </w:r>
      <w:r w:rsidRPr="00124DA6">
        <w:rPr>
          <w:rFonts w:cstheme="minorHAnsi"/>
          <w:b/>
          <w:lang w:val="en-US"/>
        </w:rPr>
        <w:t xml:space="preserve"> MFIs is degraded</w:t>
      </w:r>
      <w:r w:rsidRPr="00124DA6">
        <w:rPr>
          <w:rFonts w:cstheme="minorHAnsi"/>
          <w:lang w:val="en-US"/>
        </w:rPr>
        <w:t xml:space="preserve">. </w:t>
      </w:r>
      <w:r w:rsidRPr="00124DA6">
        <w:rPr>
          <w:rFonts w:cstheme="minorHAnsi"/>
          <w:b/>
          <w:lang w:val="en-US"/>
        </w:rPr>
        <w:t>Only 4 MFIs meet the three standards established at 30</w:t>
      </w:r>
      <w:r w:rsidR="00BE314A">
        <w:rPr>
          <w:rFonts w:cstheme="minorHAnsi"/>
          <w:b/>
          <w:lang w:val="en-US"/>
        </w:rPr>
        <w:t xml:space="preserve"> d</w:t>
      </w:r>
      <w:r w:rsidRPr="00124DA6">
        <w:rPr>
          <w:rFonts w:cstheme="minorHAnsi"/>
          <w:b/>
          <w:lang w:val="en-US"/>
        </w:rPr>
        <w:t>ay</w:t>
      </w:r>
      <w:r w:rsidR="00BE314A">
        <w:rPr>
          <w:rFonts w:cstheme="minorHAnsi"/>
          <w:b/>
          <w:lang w:val="en-US"/>
        </w:rPr>
        <w:t>s</w:t>
      </w:r>
      <w:r w:rsidRPr="00124DA6">
        <w:rPr>
          <w:rFonts w:cstheme="minorHAnsi"/>
          <w:b/>
          <w:lang w:val="en-US"/>
        </w:rPr>
        <w:t>, 90</w:t>
      </w:r>
      <w:r w:rsidR="00BE314A">
        <w:rPr>
          <w:rFonts w:cstheme="minorHAnsi"/>
          <w:b/>
          <w:lang w:val="en-US"/>
        </w:rPr>
        <w:t xml:space="preserve"> d</w:t>
      </w:r>
      <w:r w:rsidRPr="00124DA6">
        <w:rPr>
          <w:rFonts w:cstheme="minorHAnsi"/>
          <w:b/>
          <w:lang w:val="en-US"/>
        </w:rPr>
        <w:t>ay</w:t>
      </w:r>
      <w:r w:rsidR="00BE314A">
        <w:rPr>
          <w:rFonts w:cstheme="minorHAnsi"/>
          <w:b/>
          <w:lang w:val="en-US"/>
        </w:rPr>
        <w:t>s</w:t>
      </w:r>
      <w:r w:rsidRPr="00124DA6">
        <w:rPr>
          <w:rFonts w:cstheme="minorHAnsi"/>
          <w:b/>
          <w:lang w:val="en-US"/>
        </w:rPr>
        <w:t>, and 180</w:t>
      </w:r>
      <w:r w:rsidR="00BE314A">
        <w:rPr>
          <w:rFonts w:cstheme="minorHAnsi"/>
          <w:b/>
          <w:lang w:val="en-US"/>
        </w:rPr>
        <w:t xml:space="preserve"> </w:t>
      </w:r>
      <w:r w:rsidR="00BE314A" w:rsidRPr="004C23BE">
        <w:rPr>
          <w:rFonts w:cstheme="minorHAnsi"/>
          <w:b/>
          <w:lang w:val="en-US"/>
        </w:rPr>
        <w:t>d</w:t>
      </w:r>
      <w:r w:rsidRPr="004C23BE">
        <w:rPr>
          <w:rFonts w:cstheme="minorHAnsi"/>
          <w:b/>
          <w:lang w:val="en-US"/>
        </w:rPr>
        <w:t>ay</w:t>
      </w:r>
      <w:r w:rsidR="00BE314A" w:rsidRPr="004C23BE">
        <w:rPr>
          <w:rFonts w:cstheme="minorHAnsi"/>
          <w:b/>
          <w:lang w:val="en-US"/>
        </w:rPr>
        <w:t>s</w:t>
      </w:r>
      <w:r w:rsidRPr="004C23BE">
        <w:rPr>
          <w:rFonts w:cstheme="minorHAnsi"/>
          <w:b/>
          <w:lang w:val="en-US"/>
        </w:rPr>
        <w:t>.</w:t>
      </w:r>
      <w:r w:rsidRPr="004C23BE">
        <w:rPr>
          <w:rFonts w:cstheme="minorHAnsi"/>
          <w:lang w:val="en-US"/>
        </w:rPr>
        <w:t xml:space="preserve"> </w:t>
      </w:r>
      <w:r w:rsidR="004C23BE" w:rsidRPr="004C23BE">
        <w:rPr>
          <w:rFonts w:cstheme="minorHAnsi"/>
          <w:lang w:val="en-US"/>
        </w:rPr>
        <w:t>Figure 2.5</w:t>
      </w:r>
      <w:r w:rsidRPr="004C23BE">
        <w:rPr>
          <w:rFonts w:cstheme="minorHAnsi"/>
          <w:lang w:val="en-US"/>
        </w:rPr>
        <w:t xml:space="preserve"> </w:t>
      </w:r>
      <w:r w:rsidR="008C1FB8">
        <w:rPr>
          <w:rFonts w:cstheme="minorHAnsi"/>
          <w:lang w:val="en-US"/>
        </w:rPr>
        <w:t xml:space="preserve">below </w:t>
      </w:r>
      <w:r w:rsidRPr="004C23BE">
        <w:rPr>
          <w:rFonts w:cstheme="minorHAnsi"/>
          <w:lang w:val="en-US"/>
        </w:rPr>
        <w:t>shows</w:t>
      </w:r>
      <w:r w:rsidRPr="00124DA6">
        <w:rPr>
          <w:rFonts w:cstheme="minorHAnsi"/>
          <w:lang w:val="en-US"/>
        </w:rPr>
        <w:t xml:space="preserve"> the level of the 90-day PAR (PAR90) of the five largest MFIs between December 2016 and July 2017. Of the five largest MFIs in the country, only one MFI met the PAR90 indicator. </w:t>
      </w:r>
      <w:r>
        <w:rPr>
          <w:rFonts w:cstheme="minorHAnsi"/>
          <w:lang w:val="en-US"/>
        </w:rPr>
        <w:t>T</w:t>
      </w:r>
      <w:r w:rsidRPr="00124DA6">
        <w:rPr>
          <w:rFonts w:cstheme="minorHAnsi"/>
          <w:lang w:val="en-US"/>
        </w:rPr>
        <w:t xml:space="preserve">wo credit-only institutions (PADME and VITAL </w:t>
      </w:r>
      <w:r w:rsidRPr="00124DA6">
        <w:rPr>
          <w:rFonts w:ascii="Calibri" w:hAnsi="Calibri" w:cs="Calibri"/>
          <w:lang w:val="en-US"/>
        </w:rPr>
        <w:t>FINANCE</w:t>
      </w:r>
      <w:r w:rsidRPr="00124DA6">
        <w:rPr>
          <w:rFonts w:cstheme="minorHAnsi"/>
          <w:lang w:val="en-US"/>
        </w:rPr>
        <w:t>) and a microfinance company recorded a significant decline in their portfolio quality. FECECAM has made efforts to improve the quality of its portfolio, but the level remains high</w:t>
      </w:r>
      <w:r>
        <w:rPr>
          <w:rFonts w:cstheme="minorHAnsi"/>
          <w:lang w:val="en-US"/>
        </w:rPr>
        <w:t>.</w:t>
      </w:r>
    </w:p>
    <w:p w14:paraId="74AA05E5" w14:textId="77777777" w:rsidR="00E34534" w:rsidRDefault="00E34534" w:rsidP="00E34534">
      <w:pPr>
        <w:spacing w:after="240" w:line="240" w:lineRule="auto"/>
        <w:jc w:val="both"/>
        <w:rPr>
          <w:rFonts w:cstheme="minorHAnsi"/>
          <w:color w:val="222222"/>
          <w:lang w:val="en-US"/>
        </w:rPr>
      </w:pPr>
    </w:p>
    <w:p w14:paraId="39B11009" w14:textId="59818664" w:rsidR="00E34534" w:rsidRPr="00250C83" w:rsidRDefault="00E34534" w:rsidP="00E34534">
      <w:pPr>
        <w:pStyle w:val="Caption"/>
        <w:keepNext/>
        <w:rPr>
          <w:b/>
          <w:lang w:val="en-US"/>
        </w:rPr>
      </w:pPr>
      <w:r w:rsidRPr="00250C83">
        <w:rPr>
          <w:b/>
          <w:lang w:val="en-US"/>
        </w:rPr>
        <w:t>Figure</w:t>
      </w:r>
      <w:r w:rsidR="00C702B4" w:rsidRPr="00250C83">
        <w:rPr>
          <w:b/>
          <w:lang w:val="en-US"/>
        </w:rPr>
        <w:t> </w:t>
      </w:r>
      <w:r w:rsidRPr="00250C83">
        <w:rPr>
          <w:b/>
          <w:lang w:val="en-US"/>
        </w:rPr>
        <w:t>2.5: Evolution of the PAR90 for the five largest MFIs</w:t>
      </w:r>
    </w:p>
    <w:p w14:paraId="58C10E32" w14:textId="77777777" w:rsidR="00E34534" w:rsidRPr="00124DA6" w:rsidRDefault="00E34534" w:rsidP="00E34534">
      <w:pPr>
        <w:keepNext/>
        <w:autoSpaceDE w:val="0"/>
        <w:autoSpaceDN w:val="0"/>
        <w:adjustRightInd w:val="0"/>
        <w:spacing w:after="0" w:line="240" w:lineRule="auto"/>
        <w:jc w:val="center"/>
        <w:rPr>
          <w:lang w:val="en-US"/>
        </w:rPr>
      </w:pPr>
      <w:r w:rsidRPr="00124DA6">
        <w:rPr>
          <w:noProof/>
          <w:lang w:eastAsia="fr-FR"/>
        </w:rPr>
        <mc:AlternateContent>
          <mc:Choice Requires="wps">
            <w:drawing>
              <wp:anchor distT="0" distB="0" distL="114300" distR="114300" simplePos="0" relativeHeight="251669504" behindDoc="0" locked="0" layoutInCell="1" allowOverlap="1" wp14:anchorId="453B764D" wp14:editId="6525859C">
                <wp:simplePos x="0" y="0"/>
                <wp:positionH relativeFrom="column">
                  <wp:posOffset>898881</wp:posOffset>
                </wp:positionH>
                <wp:positionV relativeFrom="paragraph">
                  <wp:posOffset>1703070</wp:posOffset>
                </wp:positionV>
                <wp:extent cx="3664915" cy="0"/>
                <wp:effectExtent l="0" t="0" r="0" b="0"/>
                <wp:wrapNone/>
                <wp:docPr id="32" name="Straight Connector 32"/>
                <wp:cNvGraphicFramePr/>
                <a:graphic xmlns:a="http://schemas.openxmlformats.org/drawingml/2006/main">
                  <a:graphicData uri="http://schemas.microsoft.com/office/word/2010/wordprocessingShape">
                    <wps:wsp>
                      <wps:cNvCnPr/>
                      <wps:spPr>
                        <a:xfrm>
                          <a:off x="0" y="0"/>
                          <a:ext cx="3664915" cy="0"/>
                        </a:xfrm>
                        <a:prstGeom prst="line">
                          <a:avLst/>
                        </a:prstGeom>
                        <a:ln w="127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3B313F" id="Straight Connector 3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8pt,134.1pt" to="359.4pt,1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" strokecolor="red" strokeweight="1pt">
                <v:stroke dashstyle="3 1" joinstyle="miter"/>
              </v:line>
            </w:pict>
          </mc:Fallback>
        </mc:AlternateContent>
      </w:r>
      <w:r w:rsidRPr="00124DA6">
        <w:rPr>
          <w:noProof/>
          <w:lang w:eastAsia="fr-FR"/>
        </w:rPr>
        <w:drawing>
          <wp:inline distT="0" distB="0" distL="0" distR="0" wp14:anchorId="5E119406" wp14:editId="6B839CD1">
            <wp:extent cx="4389120" cy="2468880"/>
            <wp:effectExtent l="0" t="0" r="11430" b="7620"/>
            <wp:docPr id="33" name="Chart 33">
              <a:extLst xmlns:a="http://schemas.openxmlformats.org/drawingml/2006/main">
                <a:ext uri="{FF2B5EF4-FFF2-40B4-BE49-F238E27FC236}">
                  <a16:creationId xmlns:a16="http://schemas.microsoft.com/office/drawing/2014/main" id="{0B443025-A583-4269-B1E9-0F72CE432B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14A87B5" w14:textId="590D9314" w:rsidR="00E34534" w:rsidRPr="00E34534" w:rsidRDefault="00E34534" w:rsidP="00E34534">
      <w:pPr>
        <w:spacing w:after="240" w:line="240" w:lineRule="auto"/>
        <w:ind w:left="708" w:firstLine="708"/>
        <w:jc w:val="both"/>
        <w:rPr>
          <w:rFonts w:cstheme="minorHAnsi"/>
          <w:color w:val="222222"/>
          <w:lang w:val="en-US"/>
        </w:rPr>
      </w:pPr>
      <w:r w:rsidRPr="00124DA6">
        <w:rPr>
          <w:rFonts w:asciiTheme="majorHAnsi" w:hAnsiTheme="majorHAnsi" w:cstheme="majorHAnsi"/>
          <w:i/>
          <w:color w:val="2E74B5" w:themeColor="accent1" w:themeShade="BF"/>
          <w:sz w:val="20"/>
          <w:szCs w:val="16"/>
          <w:lang w:val="en-US"/>
        </w:rPr>
        <w:t>Source</w:t>
      </w:r>
      <w:r w:rsidRPr="00124DA6">
        <w:rPr>
          <w:rFonts w:asciiTheme="majorHAnsi" w:hAnsiTheme="majorHAnsi" w:cstheme="majorHAnsi"/>
          <w:color w:val="2E74B5" w:themeColor="accent1" w:themeShade="BF"/>
          <w:sz w:val="20"/>
          <w:szCs w:val="16"/>
          <w:lang w:val="en-US"/>
        </w:rPr>
        <w:t>: ANSSFD</w:t>
      </w:r>
      <w:r w:rsidR="00C702B4">
        <w:rPr>
          <w:rFonts w:asciiTheme="majorHAnsi" w:hAnsiTheme="majorHAnsi" w:cstheme="majorHAnsi"/>
          <w:color w:val="2E74B5" w:themeColor="accent1" w:themeShade="BF"/>
          <w:sz w:val="20"/>
          <w:szCs w:val="16"/>
          <w:lang w:val="en-US"/>
        </w:rPr>
        <w:t> </w:t>
      </w:r>
      <w:r w:rsidRPr="00124DA6">
        <w:rPr>
          <w:rFonts w:asciiTheme="majorHAnsi" w:hAnsiTheme="majorHAnsi" w:cstheme="majorHAnsi"/>
          <w:color w:val="2E74B5" w:themeColor="accent1" w:themeShade="BF"/>
          <w:sz w:val="20"/>
          <w:szCs w:val="16"/>
          <w:lang w:val="en-US"/>
        </w:rPr>
        <w:t>2017</w:t>
      </w:r>
    </w:p>
    <w:p w14:paraId="2344E1AE" w14:textId="75003F2E" w:rsidR="00E34534" w:rsidRPr="00124DA6" w:rsidRDefault="004B1209" w:rsidP="00250C83">
      <w:pPr>
        <w:pStyle w:val="ListParagraph"/>
        <w:numPr>
          <w:ilvl w:val="0"/>
          <w:numId w:val="47"/>
        </w:numPr>
        <w:spacing w:after="240" w:line="240" w:lineRule="auto"/>
        <w:ind w:left="0" w:firstLine="0"/>
        <w:contextualSpacing w:val="0"/>
        <w:jc w:val="both"/>
        <w:rPr>
          <w:rFonts w:eastAsia="Tahoma,Bold" w:cstheme="minorHAnsi"/>
          <w:bCs/>
          <w:lang w:val="en-US"/>
        </w:rPr>
      </w:pPr>
      <w:r>
        <w:rPr>
          <w:rFonts w:cstheme="minorHAnsi"/>
          <w:b/>
          <w:color w:val="222222"/>
          <w:lang w:val="en-US"/>
        </w:rPr>
        <w:t>An</w:t>
      </w:r>
      <w:r w:rsidRPr="00124DA6">
        <w:rPr>
          <w:rFonts w:cstheme="minorHAnsi"/>
          <w:b/>
          <w:color w:val="222222"/>
          <w:lang w:val="en-US"/>
        </w:rPr>
        <w:t xml:space="preserve"> </w:t>
      </w:r>
      <w:r w:rsidR="00E34534" w:rsidRPr="00124DA6">
        <w:rPr>
          <w:rFonts w:cstheme="minorHAnsi"/>
          <w:b/>
          <w:color w:val="222222"/>
          <w:lang w:val="en-US"/>
        </w:rPr>
        <w:t>important factor affecting the quality of the loan portfolios is the lack of adequa</w:t>
      </w:r>
      <w:r w:rsidR="00411E45">
        <w:rPr>
          <w:rFonts w:cstheme="minorHAnsi"/>
          <w:b/>
          <w:color w:val="222222"/>
          <w:lang w:val="en-US"/>
        </w:rPr>
        <w:t>te credit history information on</w:t>
      </w:r>
      <w:r w:rsidR="00E34534" w:rsidRPr="00124DA6">
        <w:rPr>
          <w:rFonts w:cstheme="minorHAnsi"/>
          <w:b/>
          <w:color w:val="222222"/>
          <w:lang w:val="en-US"/>
        </w:rPr>
        <w:t xml:space="preserve"> the borrowers in the system.</w:t>
      </w:r>
      <w:r w:rsidR="00E34534" w:rsidRPr="00124DA6">
        <w:rPr>
          <w:rFonts w:cstheme="minorHAnsi"/>
          <w:color w:val="222222"/>
          <w:lang w:val="en-US"/>
        </w:rPr>
        <w:t xml:space="preserve"> Benin is in the early stages of implementing a credit bureau. Few entities have begun to report information to the bureau.</w:t>
      </w:r>
      <w:r w:rsidR="00444FC8">
        <w:rPr>
          <w:rFonts w:cstheme="minorHAnsi"/>
          <w:color w:val="222222"/>
          <w:lang w:val="en-US"/>
        </w:rPr>
        <w:t xml:space="preserve"> Therefore, information is</w:t>
      </w:r>
      <w:r w:rsidR="00E34534" w:rsidRPr="00124DA6">
        <w:rPr>
          <w:rFonts w:cstheme="minorHAnsi"/>
          <w:color w:val="222222"/>
          <w:lang w:val="en-US"/>
        </w:rPr>
        <w:t xml:space="preserve"> not complete while initial reporting problems limit its quality/reliability. The process of building up the credit history database has also reportedly slowed down as the law requires financial institutions to get the consent of the customer to collect this information. In addition, MFIs pay fees (monthly contribution of CFAF</w:t>
      </w:r>
      <w:r w:rsidR="00C702B4">
        <w:rPr>
          <w:rFonts w:cstheme="minorHAnsi"/>
          <w:color w:val="222222"/>
          <w:lang w:val="en-US"/>
        </w:rPr>
        <w:t> </w:t>
      </w:r>
      <w:r w:rsidR="00E34534" w:rsidRPr="00124DA6">
        <w:rPr>
          <w:rFonts w:cstheme="minorHAnsi"/>
          <w:color w:val="222222"/>
          <w:lang w:val="en-US"/>
        </w:rPr>
        <w:t>150,000; consultation fee of CFAF</w:t>
      </w:r>
      <w:r w:rsidR="00C702B4">
        <w:rPr>
          <w:rFonts w:cstheme="minorHAnsi"/>
          <w:color w:val="222222"/>
          <w:lang w:val="en-US"/>
        </w:rPr>
        <w:t> </w:t>
      </w:r>
      <w:r w:rsidR="00E34534" w:rsidRPr="00124DA6">
        <w:rPr>
          <w:rFonts w:cstheme="minorHAnsi"/>
          <w:color w:val="222222"/>
          <w:lang w:val="en-US"/>
        </w:rPr>
        <w:t>600 if successful and CFAF</w:t>
      </w:r>
      <w:r w:rsidR="00C702B4">
        <w:rPr>
          <w:rFonts w:cstheme="minorHAnsi"/>
          <w:color w:val="222222"/>
          <w:lang w:val="en-US"/>
        </w:rPr>
        <w:t> </w:t>
      </w:r>
      <w:r w:rsidR="00E34534" w:rsidRPr="00124DA6">
        <w:rPr>
          <w:rFonts w:cstheme="minorHAnsi"/>
          <w:color w:val="222222"/>
          <w:lang w:val="en-US"/>
        </w:rPr>
        <w:t>300 if not successful in gathering credit history data on the clients).</w:t>
      </w:r>
    </w:p>
    <w:p w14:paraId="24928929" w14:textId="426F74B9" w:rsidR="00E34534" w:rsidRDefault="00444FC8" w:rsidP="00250C83">
      <w:pPr>
        <w:pStyle w:val="ListParagraph"/>
        <w:numPr>
          <w:ilvl w:val="0"/>
          <w:numId w:val="47"/>
        </w:numPr>
        <w:spacing w:after="240" w:line="240" w:lineRule="auto"/>
        <w:ind w:left="0" w:firstLine="0"/>
        <w:contextualSpacing w:val="0"/>
        <w:jc w:val="both"/>
        <w:rPr>
          <w:rFonts w:cstheme="minorHAnsi"/>
          <w:color w:val="222222"/>
          <w:lang w:val="en-US"/>
        </w:rPr>
      </w:pPr>
      <w:r>
        <w:rPr>
          <w:rFonts w:cstheme="minorHAnsi"/>
          <w:b/>
          <w:color w:val="222222"/>
          <w:lang w:val="en-US"/>
        </w:rPr>
        <w:t>The performance of p</w:t>
      </w:r>
      <w:r w:rsidR="00E34534" w:rsidRPr="008C2E54">
        <w:rPr>
          <w:rFonts w:cstheme="minorHAnsi"/>
          <w:b/>
          <w:color w:val="222222"/>
          <w:lang w:val="en-US"/>
        </w:rPr>
        <w:t xml:space="preserve">rofitability ratios </w:t>
      </w:r>
      <w:r>
        <w:rPr>
          <w:rFonts w:cstheme="minorHAnsi"/>
          <w:b/>
          <w:color w:val="222222"/>
          <w:lang w:val="en-US"/>
        </w:rPr>
        <w:t>is</w:t>
      </w:r>
      <w:r w:rsidRPr="008C2E54">
        <w:rPr>
          <w:rFonts w:cstheme="minorHAnsi"/>
          <w:b/>
          <w:color w:val="222222"/>
          <w:lang w:val="en-US"/>
        </w:rPr>
        <w:t xml:space="preserve"> </w:t>
      </w:r>
      <w:r w:rsidR="00E34534" w:rsidRPr="008C2E54">
        <w:rPr>
          <w:rFonts w:cstheme="minorHAnsi"/>
          <w:b/>
          <w:color w:val="222222"/>
          <w:lang w:val="en-US"/>
        </w:rPr>
        <w:t>weak</w:t>
      </w:r>
      <w:r>
        <w:rPr>
          <w:rFonts w:cstheme="minorHAnsi"/>
          <w:b/>
          <w:color w:val="222222"/>
          <w:lang w:val="en-US"/>
        </w:rPr>
        <w:t>, and they are</w:t>
      </w:r>
      <w:r w:rsidR="00E34534" w:rsidRPr="008C2E54">
        <w:rPr>
          <w:rFonts w:cstheme="minorHAnsi"/>
          <w:b/>
          <w:color w:val="222222"/>
          <w:lang w:val="en-US"/>
        </w:rPr>
        <w:t xml:space="preserve"> deteriorating from year to year.</w:t>
      </w:r>
      <w:r w:rsidR="00E34534" w:rsidRPr="008C2E54">
        <w:rPr>
          <w:rFonts w:cstheme="minorHAnsi"/>
          <w:color w:val="222222"/>
          <w:lang w:val="en-US"/>
        </w:rPr>
        <w:t xml:space="preserve"> </w:t>
      </w:r>
      <w:r>
        <w:rPr>
          <w:rFonts w:cstheme="minorHAnsi"/>
          <w:color w:val="222222"/>
          <w:lang w:val="en-US"/>
        </w:rPr>
        <w:t>From</w:t>
      </w:r>
      <w:r w:rsidR="00E34534" w:rsidRPr="008C2E54">
        <w:rPr>
          <w:rFonts w:cstheme="minorHAnsi"/>
          <w:color w:val="222222"/>
          <w:lang w:val="en-US"/>
        </w:rPr>
        <w:t xml:space="preserve"> 2012 to 2016, none of the profitability indicators were met. In 2016, only eight MFIs met the ROE ratio, five met the ROA, two met the profit margin standard and the cost/income ratio, and only one met the operational self-sufficiency. Several factors contribute to this poor performance, </w:t>
      </w:r>
      <w:proofErr w:type="gramStart"/>
      <w:r w:rsidR="00E34534" w:rsidRPr="008C2E54">
        <w:rPr>
          <w:rFonts w:cstheme="minorHAnsi"/>
          <w:color w:val="222222"/>
          <w:lang w:val="en-US"/>
        </w:rPr>
        <w:t>in particular the</w:t>
      </w:r>
      <w:proofErr w:type="gramEnd"/>
      <w:r w:rsidR="00E34534" w:rsidRPr="008C2E54">
        <w:rPr>
          <w:rFonts w:cstheme="minorHAnsi"/>
          <w:color w:val="222222"/>
          <w:lang w:val="en-US"/>
        </w:rPr>
        <w:t xml:space="preserve"> cap on the global effective interest rate (TEG). The fact that the interest rate is capped at 24 percent for the sector does not seem to be favorable for MFIs to meet the profitability indicators established by the authority given their high transaction costs. </w:t>
      </w:r>
      <w:r w:rsidR="00E34534" w:rsidRPr="00124DA6">
        <w:rPr>
          <w:rFonts w:cstheme="minorHAnsi"/>
          <w:color w:val="222222"/>
          <w:lang w:val="en-US"/>
        </w:rPr>
        <w:t>Notwithstanding the legal status</w:t>
      </w:r>
      <w:r w:rsidR="00597761">
        <w:rPr>
          <w:rFonts w:cstheme="minorHAnsi"/>
          <w:color w:val="222222"/>
          <w:lang w:val="en-US"/>
        </w:rPr>
        <w:t xml:space="preserve"> and the size</w:t>
      </w:r>
      <w:r w:rsidR="00E34534" w:rsidRPr="00124DA6">
        <w:rPr>
          <w:rFonts w:cstheme="minorHAnsi"/>
          <w:color w:val="222222"/>
          <w:lang w:val="en-US"/>
        </w:rPr>
        <w:t xml:space="preserve"> of the institution, Beninese MFIs are </w:t>
      </w:r>
      <w:r w:rsidR="00E34534" w:rsidRPr="00124DA6">
        <w:rPr>
          <w:rFonts w:ascii="Calibri" w:hAnsi="Calibri" w:cs="Calibri"/>
          <w:lang w:val="en-US"/>
        </w:rPr>
        <w:t>struggling</w:t>
      </w:r>
      <w:r w:rsidR="00E34534" w:rsidRPr="00124DA6">
        <w:rPr>
          <w:rFonts w:cstheme="minorHAnsi"/>
          <w:color w:val="222222"/>
          <w:lang w:val="en-US"/>
        </w:rPr>
        <w:t xml:space="preserve"> to comply with the profitability indicators set by the regulator</w:t>
      </w:r>
      <w:r w:rsidR="00E34534">
        <w:rPr>
          <w:rFonts w:cstheme="minorHAnsi"/>
          <w:color w:val="222222"/>
          <w:lang w:val="en-US"/>
        </w:rPr>
        <w:t>.</w:t>
      </w:r>
    </w:p>
    <w:p w14:paraId="24A4AAAC" w14:textId="671CBA3A" w:rsidR="00E34534" w:rsidRPr="00250C83" w:rsidRDefault="00E34534" w:rsidP="00250C83">
      <w:pPr>
        <w:pStyle w:val="ListParagraph"/>
        <w:keepNext/>
        <w:keepLines/>
        <w:spacing w:after="0" w:line="240" w:lineRule="auto"/>
        <w:contextualSpacing w:val="0"/>
        <w:jc w:val="center"/>
        <w:rPr>
          <w:b/>
          <w:color w:val="2E74B5" w:themeColor="accent1" w:themeShade="BF"/>
          <w:sz w:val="20"/>
          <w:szCs w:val="20"/>
          <w:lang w:val="en-US"/>
        </w:rPr>
      </w:pPr>
      <w:r w:rsidRPr="00250C83">
        <w:rPr>
          <w:b/>
          <w:color w:val="2E74B5" w:themeColor="accent1" w:themeShade="BF"/>
          <w:sz w:val="20"/>
          <w:szCs w:val="20"/>
          <w:lang w:val="en-US"/>
        </w:rPr>
        <w:t>Table</w:t>
      </w:r>
      <w:r w:rsidR="00C702B4" w:rsidRPr="00250C83">
        <w:rPr>
          <w:b/>
          <w:color w:val="2E74B5" w:themeColor="accent1" w:themeShade="BF"/>
          <w:sz w:val="20"/>
          <w:szCs w:val="20"/>
          <w:lang w:val="en-US"/>
        </w:rPr>
        <w:t> </w:t>
      </w:r>
      <w:r w:rsidRPr="00250C83">
        <w:rPr>
          <w:b/>
          <w:color w:val="2E74B5" w:themeColor="accent1" w:themeShade="BF"/>
          <w:sz w:val="20"/>
          <w:szCs w:val="20"/>
          <w:lang w:val="en-US"/>
        </w:rPr>
        <w:t>2.</w:t>
      </w:r>
      <w:r w:rsidRPr="00250C83">
        <w:rPr>
          <w:b/>
          <w:color w:val="2E74B5" w:themeColor="accent1" w:themeShade="BF"/>
          <w:sz w:val="20"/>
          <w:szCs w:val="20"/>
          <w:lang w:val="en-US"/>
        </w:rPr>
        <w:fldChar w:fldCharType="begin"/>
      </w:r>
      <w:r w:rsidRPr="00250C83">
        <w:rPr>
          <w:b/>
          <w:color w:val="2E74B5" w:themeColor="accent1" w:themeShade="BF"/>
          <w:sz w:val="20"/>
          <w:szCs w:val="20"/>
          <w:lang w:val="en-US"/>
        </w:rPr>
        <w:instrText xml:space="preserve"> SEQ Table_2. \* ARABIC </w:instrText>
      </w:r>
      <w:r w:rsidRPr="00250C83">
        <w:rPr>
          <w:b/>
          <w:color w:val="2E74B5" w:themeColor="accent1" w:themeShade="BF"/>
          <w:sz w:val="20"/>
          <w:szCs w:val="20"/>
          <w:lang w:val="en-US"/>
        </w:rPr>
        <w:fldChar w:fldCharType="separate"/>
      </w:r>
      <w:r w:rsidR="004C6E5F" w:rsidRPr="00250C83">
        <w:rPr>
          <w:b/>
          <w:noProof/>
          <w:color w:val="2E74B5" w:themeColor="accent1" w:themeShade="BF"/>
          <w:sz w:val="20"/>
          <w:szCs w:val="20"/>
          <w:lang w:val="en-US"/>
        </w:rPr>
        <w:t>4</w:t>
      </w:r>
      <w:r w:rsidRPr="00250C83">
        <w:rPr>
          <w:b/>
          <w:color w:val="2E74B5" w:themeColor="accent1" w:themeShade="BF"/>
          <w:sz w:val="20"/>
          <w:szCs w:val="20"/>
          <w:lang w:val="en-US"/>
        </w:rPr>
        <w:fldChar w:fldCharType="end"/>
      </w:r>
      <w:r w:rsidRPr="00250C83">
        <w:rPr>
          <w:b/>
          <w:color w:val="2E74B5" w:themeColor="accent1" w:themeShade="BF"/>
          <w:sz w:val="20"/>
          <w:szCs w:val="20"/>
          <w:lang w:val="en-US"/>
        </w:rPr>
        <w:t>: Profitability indicators of the microfinance sector in Benin (percentage)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769"/>
        <w:gridCol w:w="838"/>
        <w:gridCol w:w="896"/>
        <w:gridCol w:w="803"/>
        <w:gridCol w:w="838"/>
        <w:gridCol w:w="861"/>
      </w:tblGrid>
      <w:tr w:rsidR="00E34534" w:rsidRPr="00124DA6" w14:paraId="1DFD5BBE" w14:textId="77777777" w:rsidTr="00B03F0F">
        <w:trPr>
          <w:jc w:val="center"/>
        </w:trPr>
        <w:tc>
          <w:tcPr>
            <w:tcW w:w="0" w:type="auto"/>
          </w:tcPr>
          <w:p w14:paraId="5C34503A" w14:textId="77777777" w:rsidR="00E34534" w:rsidRPr="00124DA6" w:rsidRDefault="00E34534" w:rsidP="00B03F0F">
            <w:pPr>
              <w:keepNext/>
              <w:keepLines/>
              <w:autoSpaceDE w:val="0"/>
              <w:autoSpaceDN w:val="0"/>
              <w:adjustRightInd w:val="0"/>
              <w:spacing w:after="0" w:line="240" w:lineRule="auto"/>
              <w:rPr>
                <w:rFonts w:cstheme="minorHAnsi"/>
                <w:sz w:val="20"/>
                <w:szCs w:val="20"/>
                <w:lang w:val="en-US"/>
              </w:rPr>
            </w:pPr>
          </w:p>
        </w:tc>
        <w:tc>
          <w:tcPr>
            <w:tcW w:w="0" w:type="auto"/>
            <w:vAlign w:val="center"/>
          </w:tcPr>
          <w:p w14:paraId="5DF6AB0E" w14:textId="77777777" w:rsidR="00E34534" w:rsidRPr="00124DA6" w:rsidRDefault="00E34534" w:rsidP="00B03F0F">
            <w:pPr>
              <w:keepNext/>
              <w:keepLines/>
              <w:autoSpaceDE w:val="0"/>
              <w:autoSpaceDN w:val="0"/>
              <w:adjustRightInd w:val="0"/>
              <w:spacing w:after="0" w:line="240" w:lineRule="auto"/>
              <w:jc w:val="center"/>
              <w:rPr>
                <w:rFonts w:cstheme="minorHAnsi"/>
                <w:b/>
                <w:sz w:val="20"/>
                <w:szCs w:val="20"/>
                <w:lang w:val="en-US"/>
              </w:rPr>
            </w:pPr>
            <w:r w:rsidRPr="00124DA6">
              <w:rPr>
                <w:rFonts w:cstheme="minorHAnsi"/>
                <w:b/>
                <w:sz w:val="20"/>
                <w:szCs w:val="20"/>
                <w:lang w:val="en-US"/>
              </w:rPr>
              <w:t>Norms</w:t>
            </w:r>
          </w:p>
        </w:tc>
        <w:tc>
          <w:tcPr>
            <w:tcW w:w="0" w:type="auto"/>
            <w:vAlign w:val="center"/>
          </w:tcPr>
          <w:p w14:paraId="5B0D227C" w14:textId="77777777" w:rsidR="00E34534" w:rsidRPr="00124DA6" w:rsidRDefault="00E34534" w:rsidP="00B03F0F">
            <w:pPr>
              <w:keepNext/>
              <w:keepLines/>
              <w:autoSpaceDE w:val="0"/>
              <w:autoSpaceDN w:val="0"/>
              <w:adjustRightInd w:val="0"/>
              <w:spacing w:after="0" w:line="240" w:lineRule="auto"/>
              <w:jc w:val="center"/>
              <w:rPr>
                <w:rFonts w:cstheme="minorHAnsi"/>
                <w:b/>
                <w:sz w:val="20"/>
                <w:szCs w:val="20"/>
                <w:lang w:val="en-US"/>
              </w:rPr>
            </w:pPr>
            <w:r w:rsidRPr="00124DA6">
              <w:rPr>
                <w:rFonts w:cstheme="minorHAnsi"/>
                <w:b/>
                <w:sz w:val="20"/>
                <w:szCs w:val="20"/>
                <w:lang w:val="en-US"/>
              </w:rPr>
              <w:t>2012</w:t>
            </w:r>
          </w:p>
        </w:tc>
        <w:tc>
          <w:tcPr>
            <w:tcW w:w="0" w:type="auto"/>
            <w:vAlign w:val="center"/>
          </w:tcPr>
          <w:p w14:paraId="21F0C631" w14:textId="77777777" w:rsidR="00E34534" w:rsidRPr="00124DA6" w:rsidRDefault="00E34534" w:rsidP="00B03F0F">
            <w:pPr>
              <w:keepNext/>
              <w:keepLines/>
              <w:autoSpaceDE w:val="0"/>
              <w:autoSpaceDN w:val="0"/>
              <w:adjustRightInd w:val="0"/>
              <w:spacing w:after="0" w:line="240" w:lineRule="auto"/>
              <w:jc w:val="center"/>
              <w:rPr>
                <w:rFonts w:cstheme="minorHAnsi"/>
                <w:b/>
                <w:sz w:val="20"/>
                <w:szCs w:val="20"/>
                <w:lang w:val="en-US"/>
              </w:rPr>
            </w:pPr>
            <w:r w:rsidRPr="00124DA6">
              <w:rPr>
                <w:rFonts w:cstheme="minorHAnsi"/>
                <w:b/>
                <w:sz w:val="20"/>
                <w:szCs w:val="20"/>
                <w:lang w:val="en-US"/>
              </w:rPr>
              <w:t>2013</w:t>
            </w:r>
          </w:p>
        </w:tc>
        <w:tc>
          <w:tcPr>
            <w:tcW w:w="0" w:type="auto"/>
            <w:vAlign w:val="center"/>
          </w:tcPr>
          <w:p w14:paraId="2CF002CB" w14:textId="77777777" w:rsidR="00E34534" w:rsidRPr="00124DA6" w:rsidRDefault="00E34534" w:rsidP="00B03F0F">
            <w:pPr>
              <w:keepNext/>
              <w:keepLines/>
              <w:autoSpaceDE w:val="0"/>
              <w:autoSpaceDN w:val="0"/>
              <w:adjustRightInd w:val="0"/>
              <w:spacing w:after="0" w:line="240" w:lineRule="auto"/>
              <w:jc w:val="center"/>
              <w:rPr>
                <w:rFonts w:cstheme="minorHAnsi"/>
                <w:b/>
                <w:sz w:val="20"/>
                <w:szCs w:val="20"/>
                <w:lang w:val="en-US"/>
              </w:rPr>
            </w:pPr>
            <w:r w:rsidRPr="00124DA6">
              <w:rPr>
                <w:rFonts w:cstheme="minorHAnsi"/>
                <w:b/>
                <w:sz w:val="20"/>
                <w:szCs w:val="20"/>
                <w:lang w:val="en-US"/>
              </w:rPr>
              <w:t>2014</w:t>
            </w:r>
          </w:p>
        </w:tc>
        <w:tc>
          <w:tcPr>
            <w:tcW w:w="0" w:type="auto"/>
            <w:vAlign w:val="center"/>
          </w:tcPr>
          <w:p w14:paraId="0EA7FA0B" w14:textId="77777777" w:rsidR="00E34534" w:rsidRPr="00124DA6" w:rsidRDefault="00E34534" w:rsidP="00B03F0F">
            <w:pPr>
              <w:keepNext/>
              <w:keepLines/>
              <w:autoSpaceDE w:val="0"/>
              <w:autoSpaceDN w:val="0"/>
              <w:adjustRightInd w:val="0"/>
              <w:spacing w:after="0" w:line="240" w:lineRule="auto"/>
              <w:jc w:val="center"/>
              <w:rPr>
                <w:rFonts w:cstheme="minorHAnsi"/>
                <w:b/>
                <w:sz w:val="20"/>
                <w:szCs w:val="20"/>
                <w:lang w:val="en-US"/>
              </w:rPr>
            </w:pPr>
            <w:r w:rsidRPr="00124DA6">
              <w:rPr>
                <w:rFonts w:cstheme="minorHAnsi"/>
                <w:b/>
                <w:sz w:val="20"/>
                <w:szCs w:val="20"/>
                <w:lang w:val="en-US"/>
              </w:rPr>
              <w:t>2015</w:t>
            </w:r>
          </w:p>
        </w:tc>
        <w:tc>
          <w:tcPr>
            <w:tcW w:w="0" w:type="auto"/>
            <w:vAlign w:val="center"/>
          </w:tcPr>
          <w:p w14:paraId="5D3038BC" w14:textId="77777777" w:rsidR="00E34534" w:rsidRPr="00124DA6" w:rsidRDefault="00E34534" w:rsidP="00B03F0F">
            <w:pPr>
              <w:keepNext/>
              <w:keepLines/>
              <w:autoSpaceDE w:val="0"/>
              <w:autoSpaceDN w:val="0"/>
              <w:adjustRightInd w:val="0"/>
              <w:spacing w:after="0" w:line="240" w:lineRule="auto"/>
              <w:jc w:val="center"/>
              <w:rPr>
                <w:rFonts w:cstheme="minorHAnsi"/>
                <w:b/>
                <w:sz w:val="20"/>
                <w:szCs w:val="20"/>
                <w:lang w:val="en-US"/>
              </w:rPr>
            </w:pPr>
            <w:r w:rsidRPr="00124DA6">
              <w:rPr>
                <w:rFonts w:cstheme="minorHAnsi"/>
                <w:b/>
                <w:sz w:val="20"/>
                <w:szCs w:val="20"/>
                <w:lang w:val="en-US"/>
              </w:rPr>
              <w:t>2016</w:t>
            </w:r>
          </w:p>
        </w:tc>
      </w:tr>
      <w:tr w:rsidR="00E34534" w:rsidRPr="00124DA6" w14:paraId="7D5EC6E7" w14:textId="77777777" w:rsidTr="00B03F0F">
        <w:trPr>
          <w:jc w:val="center"/>
        </w:trPr>
        <w:tc>
          <w:tcPr>
            <w:tcW w:w="0" w:type="auto"/>
          </w:tcPr>
          <w:p w14:paraId="1BB53A87" w14:textId="77777777" w:rsidR="00E34534" w:rsidRPr="00124DA6" w:rsidRDefault="00E34534" w:rsidP="00B03F0F">
            <w:pPr>
              <w:keepNext/>
              <w:keepLines/>
              <w:autoSpaceDE w:val="0"/>
              <w:autoSpaceDN w:val="0"/>
              <w:adjustRightInd w:val="0"/>
              <w:spacing w:after="0" w:line="240" w:lineRule="auto"/>
              <w:rPr>
                <w:rFonts w:cstheme="minorHAnsi"/>
                <w:sz w:val="20"/>
                <w:szCs w:val="20"/>
                <w:lang w:val="en-US"/>
              </w:rPr>
            </w:pPr>
            <w:r w:rsidRPr="00124DA6">
              <w:rPr>
                <w:rFonts w:cstheme="minorHAnsi"/>
                <w:sz w:val="20"/>
                <w:szCs w:val="20"/>
                <w:lang w:val="en-US"/>
              </w:rPr>
              <w:t>ROE</w:t>
            </w:r>
          </w:p>
        </w:tc>
        <w:tc>
          <w:tcPr>
            <w:tcW w:w="0" w:type="auto"/>
          </w:tcPr>
          <w:p w14:paraId="129310DB" w14:textId="77777777" w:rsidR="00E34534" w:rsidRPr="00124DA6" w:rsidRDefault="00E34534" w:rsidP="00B03F0F">
            <w:pPr>
              <w:keepNext/>
              <w:keepLines/>
              <w:autoSpaceDE w:val="0"/>
              <w:autoSpaceDN w:val="0"/>
              <w:adjustRightInd w:val="0"/>
              <w:spacing w:after="0" w:line="240" w:lineRule="auto"/>
              <w:jc w:val="center"/>
              <w:rPr>
                <w:rFonts w:cstheme="minorHAnsi"/>
                <w:sz w:val="20"/>
                <w:szCs w:val="20"/>
                <w:lang w:val="en-US"/>
              </w:rPr>
            </w:pPr>
            <w:r w:rsidRPr="00124DA6">
              <w:rPr>
                <w:rFonts w:cstheme="minorHAnsi"/>
                <w:sz w:val="20"/>
                <w:szCs w:val="20"/>
                <w:lang w:val="en-US"/>
              </w:rPr>
              <w:t>&gt;15</w:t>
            </w:r>
          </w:p>
        </w:tc>
        <w:tc>
          <w:tcPr>
            <w:tcW w:w="0" w:type="auto"/>
          </w:tcPr>
          <w:p w14:paraId="2EFA63CC" w14:textId="77777777" w:rsidR="00E34534" w:rsidRPr="00AE3571" w:rsidRDefault="00E34534" w:rsidP="00B03F0F">
            <w:pPr>
              <w:keepNext/>
              <w:keepLines/>
              <w:tabs>
                <w:tab w:val="decimal" w:pos="368"/>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10.29</w:t>
            </w:r>
          </w:p>
        </w:tc>
        <w:tc>
          <w:tcPr>
            <w:tcW w:w="0" w:type="auto"/>
          </w:tcPr>
          <w:p w14:paraId="56D35277" w14:textId="77777777" w:rsidR="00E34534" w:rsidRPr="00AE3571" w:rsidRDefault="00E34534" w:rsidP="00B03F0F">
            <w:pPr>
              <w:keepNext/>
              <w:keepLines/>
              <w:tabs>
                <w:tab w:val="decimal" w:pos="426"/>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8.91</w:t>
            </w:r>
          </w:p>
        </w:tc>
        <w:tc>
          <w:tcPr>
            <w:tcW w:w="0" w:type="auto"/>
          </w:tcPr>
          <w:p w14:paraId="040F7268" w14:textId="77777777" w:rsidR="00E34534" w:rsidRPr="00AE3571" w:rsidRDefault="00E34534" w:rsidP="00B03F0F">
            <w:pPr>
              <w:keepNext/>
              <w:keepLines/>
              <w:tabs>
                <w:tab w:val="decimal" w:pos="333"/>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9.28</w:t>
            </w:r>
          </w:p>
        </w:tc>
        <w:tc>
          <w:tcPr>
            <w:tcW w:w="0" w:type="auto"/>
          </w:tcPr>
          <w:p w14:paraId="5FA4A4B8" w14:textId="77777777" w:rsidR="00E34534" w:rsidRPr="00AE3571" w:rsidRDefault="00E34534" w:rsidP="00B03F0F">
            <w:pPr>
              <w:keepNext/>
              <w:keepLines/>
              <w:tabs>
                <w:tab w:val="decimal" w:pos="368"/>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7.39</w:t>
            </w:r>
          </w:p>
        </w:tc>
        <w:tc>
          <w:tcPr>
            <w:tcW w:w="0" w:type="auto"/>
          </w:tcPr>
          <w:p w14:paraId="4A5015BD" w14:textId="77777777" w:rsidR="00E34534" w:rsidRPr="00AE3571" w:rsidRDefault="00E34534" w:rsidP="00B03F0F">
            <w:pPr>
              <w:keepNext/>
              <w:keepLines/>
              <w:tabs>
                <w:tab w:val="decimal" w:pos="391"/>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1.31</w:t>
            </w:r>
          </w:p>
        </w:tc>
      </w:tr>
      <w:tr w:rsidR="00E34534" w:rsidRPr="00124DA6" w14:paraId="4BC8842C" w14:textId="77777777" w:rsidTr="00B03F0F">
        <w:trPr>
          <w:jc w:val="center"/>
        </w:trPr>
        <w:tc>
          <w:tcPr>
            <w:tcW w:w="0" w:type="auto"/>
          </w:tcPr>
          <w:p w14:paraId="3801848E" w14:textId="77777777" w:rsidR="00E34534" w:rsidRPr="00124DA6" w:rsidRDefault="00E34534" w:rsidP="00B03F0F">
            <w:pPr>
              <w:keepNext/>
              <w:keepLines/>
              <w:autoSpaceDE w:val="0"/>
              <w:autoSpaceDN w:val="0"/>
              <w:adjustRightInd w:val="0"/>
              <w:spacing w:after="0" w:line="240" w:lineRule="auto"/>
              <w:rPr>
                <w:rFonts w:cstheme="minorHAnsi"/>
                <w:sz w:val="20"/>
                <w:szCs w:val="20"/>
                <w:lang w:val="en-US"/>
              </w:rPr>
            </w:pPr>
            <w:r w:rsidRPr="00124DA6">
              <w:rPr>
                <w:rFonts w:cstheme="minorHAnsi"/>
                <w:sz w:val="20"/>
                <w:szCs w:val="20"/>
                <w:lang w:val="en-US"/>
              </w:rPr>
              <w:t>ROA</w:t>
            </w:r>
          </w:p>
        </w:tc>
        <w:tc>
          <w:tcPr>
            <w:tcW w:w="0" w:type="auto"/>
          </w:tcPr>
          <w:p w14:paraId="2D470026" w14:textId="77777777" w:rsidR="00E34534" w:rsidRPr="00124DA6" w:rsidRDefault="00E34534" w:rsidP="00B03F0F">
            <w:pPr>
              <w:keepNext/>
              <w:keepLines/>
              <w:autoSpaceDE w:val="0"/>
              <w:autoSpaceDN w:val="0"/>
              <w:adjustRightInd w:val="0"/>
              <w:spacing w:after="0" w:line="240" w:lineRule="auto"/>
              <w:jc w:val="center"/>
              <w:rPr>
                <w:rFonts w:cstheme="minorHAnsi"/>
                <w:sz w:val="20"/>
                <w:szCs w:val="20"/>
                <w:lang w:val="en-US"/>
              </w:rPr>
            </w:pPr>
            <w:r w:rsidRPr="00124DA6">
              <w:rPr>
                <w:rFonts w:cstheme="minorHAnsi"/>
                <w:sz w:val="20"/>
                <w:szCs w:val="20"/>
                <w:lang w:val="en-US"/>
              </w:rPr>
              <w:t>&gt;3</w:t>
            </w:r>
          </w:p>
        </w:tc>
        <w:tc>
          <w:tcPr>
            <w:tcW w:w="0" w:type="auto"/>
          </w:tcPr>
          <w:p w14:paraId="17DD6D00" w14:textId="77777777" w:rsidR="00E34534" w:rsidRPr="00AE3571" w:rsidRDefault="00E34534" w:rsidP="00B03F0F">
            <w:pPr>
              <w:keepNext/>
              <w:keepLines/>
              <w:tabs>
                <w:tab w:val="decimal" w:pos="368"/>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1.71</w:t>
            </w:r>
          </w:p>
        </w:tc>
        <w:tc>
          <w:tcPr>
            <w:tcW w:w="0" w:type="auto"/>
          </w:tcPr>
          <w:p w14:paraId="24AB5F82" w14:textId="77777777" w:rsidR="00E34534" w:rsidRPr="00AE3571" w:rsidRDefault="00E34534" w:rsidP="00B03F0F">
            <w:pPr>
              <w:keepNext/>
              <w:keepLines/>
              <w:tabs>
                <w:tab w:val="decimal" w:pos="426"/>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1.6</w:t>
            </w:r>
          </w:p>
        </w:tc>
        <w:tc>
          <w:tcPr>
            <w:tcW w:w="0" w:type="auto"/>
          </w:tcPr>
          <w:p w14:paraId="5D7BD524" w14:textId="77777777" w:rsidR="00E34534" w:rsidRPr="00AE3571" w:rsidRDefault="00E34534" w:rsidP="00B03F0F">
            <w:pPr>
              <w:keepNext/>
              <w:keepLines/>
              <w:tabs>
                <w:tab w:val="decimal" w:pos="333"/>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1.87</w:t>
            </w:r>
          </w:p>
        </w:tc>
        <w:tc>
          <w:tcPr>
            <w:tcW w:w="0" w:type="auto"/>
          </w:tcPr>
          <w:p w14:paraId="72ACBAE3" w14:textId="77777777" w:rsidR="00E34534" w:rsidRPr="00AE3571" w:rsidRDefault="00E34534" w:rsidP="00B03F0F">
            <w:pPr>
              <w:keepNext/>
              <w:keepLines/>
              <w:tabs>
                <w:tab w:val="decimal" w:pos="368"/>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1.58</w:t>
            </w:r>
          </w:p>
        </w:tc>
        <w:tc>
          <w:tcPr>
            <w:tcW w:w="0" w:type="auto"/>
          </w:tcPr>
          <w:p w14:paraId="678A9D7C" w14:textId="77777777" w:rsidR="00E34534" w:rsidRPr="00AE3571" w:rsidRDefault="00E34534" w:rsidP="00B03F0F">
            <w:pPr>
              <w:keepNext/>
              <w:keepLines/>
              <w:tabs>
                <w:tab w:val="decimal" w:pos="391"/>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0.3</w:t>
            </w:r>
          </w:p>
        </w:tc>
      </w:tr>
      <w:tr w:rsidR="00E34534" w:rsidRPr="00124DA6" w14:paraId="06003950" w14:textId="77777777" w:rsidTr="00B03F0F">
        <w:trPr>
          <w:jc w:val="center"/>
        </w:trPr>
        <w:tc>
          <w:tcPr>
            <w:tcW w:w="0" w:type="auto"/>
          </w:tcPr>
          <w:p w14:paraId="66837BED" w14:textId="77777777" w:rsidR="00E34534" w:rsidRPr="00124DA6" w:rsidRDefault="00E34534" w:rsidP="00B03F0F">
            <w:pPr>
              <w:keepNext/>
              <w:keepLines/>
              <w:autoSpaceDE w:val="0"/>
              <w:autoSpaceDN w:val="0"/>
              <w:adjustRightInd w:val="0"/>
              <w:spacing w:after="0" w:line="240" w:lineRule="auto"/>
              <w:rPr>
                <w:rFonts w:cstheme="minorHAnsi"/>
                <w:sz w:val="20"/>
                <w:szCs w:val="20"/>
                <w:lang w:val="en-US"/>
              </w:rPr>
            </w:pPr>
            <w:r w:rsidRPr="00124DA6">
              <w:rPr>
                <w:rStyle w:val="shorttext"/>
                <w:rFonts w:cstheme="minorHAnsi"/>
                <w:color w:val="222222"/>
                <w:sz w:val="20"/>
                <w:szCs w:val="20"/>
                <w:lang w:val="en-US"/>
              </w:rPr>
              <w:t>Operational self-sufficiency</w:t>
            </w:r>
          </w:p>
        </w:tc>
        <w:tc>
          <w:tcPr>
            <w:tcW w:w="0" w:type="auto"/>
          </w:tcPr>
          <w:p w14:paraId="5D361B2C" w14:textId="77777777" w:rsidR="00E34534" w:rsidRPr="00124DA6" w:rsidRDefault="00E34534" w:rsidP="00B03F0F">
            <w:pPr>
              <w:keepNext/>
              <w:keepLines/>
              <w:autoSpaceDE w:val="0"/>
              <w:autoSpaceDN w:val="0"/>
              <w:adjustRightInd w:val="0"/>
              <w:spacing w:after="0" w:line="240" w:lineRule="auto"/>
              <w:jc w:val="center"/>
              <w:rPr>
                <w:rFonts w:cstheme="minorHAnsi"/>
                <w:sz w:val="20"/>
                <w:szCs w:val="20"/>
                <w:lang w:val="en-US"/>
              </w:rPr>
            </w:pPr>
            <w:r w:rsidRPr="00124DA6">
              <w:rPr>
                <w:rFonts w:cstheme="minorHAnsi"/>
                <w:sz w:val="20"/>
                <w:szCs w:val="20"/>
                <w:lang w:val="en-US"/>
              </w:rPr>
              <w:t>&gt;130</w:t>
            </w:r>
          </w:p>
        </w:tc>
        <w:tc>
          <w:tcPr>
            <w:tcW w:w="0" w:type="auto"/>
          </w:tcPr>
          <w:p w14:paraId="7FBD4C49" w14:textId="77777777" w:rsidR="00E34534" w:rsidRPr="00AE3571" w:rsidRDefault="00E34534" w:rsidP="00B03F0F">
            <w:pPr>
              <w:keepNext/>
              <w:keepLines/>
              <w:tabs>
                <w:tab w:val="decimal" w:pos="368"/>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113.85</w:t>
            </w:r>
          </w:p>
        </w:tc>
        <w:tc>
          <w:tcPr>
            <w:tcW w:w="0" w:type="auto"/>
          </w:tcPr>
          <w:p w14:paraId="1C247C8A" w14:textId="77777777" w:rsidR="00E34534" w:rsidRPr="00AE3571" w:rsidRDefault="00E34534" w:rsidP="00B03F0F">
            <w:pPr>
              <w:keepNext/>
              <w:keepLines/>
              <w:tabs>
                <w:tab w:val="decimal" w:pos="426"/>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112.08</w:t>
            </w:r>
          </w:p>
        </w:tc>
        <w:tc>
          <w:tcPr>
            <w:tcW w:w="0" w:type="auto"/>
          </w:tcPr>
          <w:p w14:paraId="3ECA82E3" w14:textId="77777777" w:rsidR="00E34534" w:rsidRPr="00AE3571" w:rsidRDefault="00E34534" w:rsidP="00B03F0F">
            <w:pPr>
              <w:keepNext/>
              <w:keepLines/>
              <w:tabs>
                <w:tab w:val="decimal" w:pos="333"/>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113.4</w:t>
            </w:r>
          </w:p>
        </w:tc>
        <w:tc>
          <w:tcPr>
            <w:tcW w:w="0" w:type="auto"/>
          </w:tcPr>
          <w:p w14:paraId="7A0C269D" w14:textId="77777777" w:rsidR="00E34534" w:rsidRPr="00AE3571" w:rsidRDefault="00E34534" w:rsidP="00B03F0F">
            <w:pPr>
              <w:keepNext/>
              <w:keepLines/>
              <w:tabs>
                <w:tab w:val="decimal" w:pos="368"/>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109.22</w:t>
            </w:r>
          </w:p>
        </w:tc>
        <w:tc>
          <w:tcPr>
            <w:tcW w:w="0" w:type="auto"/>
          </w:tcPr>
          <w:p w14:paraId="3F32414F" w14:textId="77777777" w:rsidR="00E34534" w:rsidRPr="00AE3571" w:rsidRDefault="00E34534" w:rsidP="00B03F0F">
            <w:pPr>
              <w:keepNext/>
              <w:keepLines/>
              <w:tabs>
                <w:tab w:val="decimal" w:pos="391"/>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103.32</w:t>
            </w:r>
          </w:p>
        </w:tc>
      </w:tr>
      <w:tr w:rsidR="00E34534" w:rsidRPr="00124DA6" w14:paraId="632BC91F" w14:textId="77777777" w:rsidTr="00B03F0F">
        <w:trPr>
          <w:jc w:val="center"/>
        </w:trPr>
        <w:tc>
          <w:tcPr>
            <w:tcW w:w="0" w:type="auto"/>
          </w:tcPr>
          <w:p w14:paraId="51A35BB9" w14:textId="77777777" w:rsidR="00E34534" w:rsidRPr="00124DA6" w:rsidRDefault="00E34534" w:rsidP="00B03F0F">
            <w:pPr>
              <w:keepNext/>
              <w:keepLines/>
              <w:autoSpaceDE w:val="0"/>
              <w:autoSpaceDN w:val="0"/>
              <w:adjustRightInd w:val="0"/>
              <w:spacing w:after="0" w:line="240" w:lineRule="auto"/>
              <w:rPr>
                <w:rFonts w:cstheme="minorHAnsi"/>
                <w:sz w:val="20"/>
                <w:szCs w:val="20"/>
                <w:lang w:val="en-US"/>
              </w:rPr>
            </w:pPr>
            <w:r w:rsidRPr="00124DA6">
              <w:rPr>
                <w:rFonts w:cstheme="minorHAnsi"/>
                <w:sz w:val="20"/>
                <w:szCs w:val="20"/>
                <w:lang w:val="en-US"/>
              </w:rPr>
              <w:t>Profit margin</w:t>
            </w:r>
          </w:p>
        </w:tc>
        <w:tc>
          <w:tcPr>
            <w:tcW w:w="0" w:type="auto"/>
          </w:tcPr>
          <w:p w14:paraId="0302A1C0" w14:textId="77777777" w:rsidR="00E34534" w:rsidRPr="00124DA6" w:rsidRDefault="00E34534" w:rsidP="00B03F0F">
            <w:pPr>
              <w:keepNext/>
              <w:keepLines/>
              <w:autoSpaceDE w:val="0"/>
              <w:autoSpaceDN w:val="0"/>
              <w:adjustRightInd w:val="0"/>
              <w:spacing w:after="0" w:line="240" w:lineRule="auto"/>
              <w:jc w:val="center"/>
              <w:rPr>
                <w:rFonts w:cstheme="minorHAnsi"/>
                <w:sz w:val="20"/>
                <w:szCs w:val="20"/>
                <w:lang w:val="en-US"/>
              </w:rPr>
            </w:pPr>
            <w:r w:rsidRPr="00124DA6">
              <w:rPr>
                <w:rFonts w:cstheme="minorHAnsi"/>
                <w:sz w:val="20"/>
                <w:szCs w:val="20"/>
                <w:lang w:val="en-US"/>
              </w:rPr>
              <w:t>&gt;20</w:t>
            </w:r>
          </w:p>
        </w:tc>
        <w:tc>
          <w:tcPr>
            <w:tcW w:w="0" w:type="auto"/>
          </w:tcPr>
          <w:p w14:paraId="1703F88D" w14:textId="77777777" w:rsidR="00E34534" w:rsidRPr="00AE3571" w:rsidRDefault="00E34534" w:rsidP="00B03F0F">
            <w:pPr>
              <w:keepNext/>
              <w:keepLines/>
              <w:tabs>
                <w:tab w:val="decimal" w:pos="368"/>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10.99</w:t>
            </w:r>
          </w:p>
        </w:tc>
        <w:tc>
          <w:tcPr>
            <w:tcW w:w="0" w:type="auto"/>
          </w:tcPr>
          <w:p w14:paraId="0E62FCBD" w14:textId="77777777" w:rsidR="00E34534" w:rsidRPr="00AE3571" w:rsidRDefault="00E34534" w:rsidP="00B03F0F">
            <w:pPr>
              <w:keepNext/>
              <w:keepLines/>
              <w:tabs>
                <w:tab w:val="decimal" w:pos="426"/>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10.77</w:t>
            </w:r>
          </w:p>
        </w:tc>
        <w:tc>
          <w:tcPr>
            <w:tcW w:w="0" w:type="auto"/>
          </w:tcPr>
          <w:p w14:paraId="06869C08" w14:textId="77777777" w:rsidR="00E34534" w:rsidRPr="00AE3571" w:rsidRDefault="00E34534" w:rsidP="00B03F0F">
            <w:pPr>
              <w:keepNext/>
              <w:keepLines/>
              <w:tabs>
                <w:tab w:val="decimal" w:pos="333"/>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11.74</w:t>
            </w:r>
          </w:p>
        </w:tc>
        <w:tc>
          <w:tcPr>
            <w:tcW w:w="0" w:type="auto"/>
          </w:tcPr>
          <w:p w14:paraId="751C8950" w14:textId="77777777" w:rsidR="00E34534" w:rsidRPr="00AE3571" w:rsidRDefault="00E34534" w:rsidP="00B03F0F">
            <w:pPr>
              <w:keepNext/>
              <w:keepLines/>
              <w:tabs>
                <w:tab w:val="decimal" w:pos="368"/>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10.14</w:t>
            </w:r>
          </w:p>
        </w:tc>
        <w:tc>
          <w:tcPr>
            <w:tcW w:w="0" w:type="auto"/>
          </w:tcPr>
          <w:p w14:paraId="62CCBAEC" w14:textId="77777777" w:rsidR="00E34534" w:rsidRPr="00AE3571" w:rsidRDefault="00E34534" w:rsidP="00B03F0F">
            <w:pPr>
              <w:keepNext/>
              <w:keepLines/>
              <w:tabs>
                <w:tab w:val="decimal" w:pos="391"/>
              </w:tabs>
              <w:autoSpaceDE w:val="0"/>
              <w:autoSpaceDN w:val="0"/>
              <w:adjustRightInd w:val="0"/>
              <w:spacing w:after="0" w:line="240" w:lineRule="auto"/>
              <w:rPr>
                <w:rFonts w:cstheme="minorHAnsi"/>
                <w:color w:val="FF0000"/>
                <w:sz w:val="20"/>
                <w:szCs w:val="20"/>
                <w:lang w:val="en-US"/>
              </w:rPr>
            </w:pPr>
            <w:r w:rsidRPr="00AE3571">
              <w:rPr>
                <w:rFonts w:cstheme="minorHAnsi"/>
                <w:color w:val="FF0000"/>
                <w:sz w:val="20"/>
                <w:szCs w:val="20"/>
                <w:lang w:val="en-US"/>
              </w:rPr>
              <w:t>2.63</w:t>
            </w:r>
          </w:p>
        </w:tc>
      </w:tr>
      <w:tr w:rsidR="00E34534" w:rsidRPr="00124DA6" w14:paraId="10E27F4B" w14:textId="77777777" w:rsidTr="00B03F0F">
        <w:trPr>
          <w:jc w:val="center"/>
        </w:trPr>
        <w:tc>
          <w:tcPr>
            <w:tcW w:w="0" w:type="auto"/>
          </w:tcPr>
          <w:p w14:paraId="21CF9EDA" w14:textId="77777777" w:rsidR="00E34534" w:rsidRPr="00124DA6" w:rsidRDefault="00E34534" w:rsidP="00B03F0F">
            <w:pPr>
              <w:keepNext/>
              <w:keepLines/>
              <w:autoSpaceDE w:val="0"/>
              <w:autoSpaceDN w:val="0"/>
              <w:adjustRightInd w:val="0"/>
              <w:spacing w:after="0" w:line="240" w:lineRule="auto"/>
              <w:rPr>
                <w:rFonts w:cstheme="minorHAnsi"/>
                <w:sz w:val="20"/>
                <w:szCs w:val="20"/>
                <w:lang w:val="en-US"/>
              </w:rPr>
            </w:pPr>
            <w:r w:rsidRPr="00124DA6">
              <w:rPr>
                <w:rFonts w:cstheme="minorHAnsi"/>
                <w:sz w:val="20"/>
                <w:szCs w:val="20"/>
                <w:lang w:val="en-US"/>
              </w:rPr>
              <w:t xml:space="preserve">Operating coefficient </w:t>
            </w:r>
          </w:p>
        </w:tc>
        <w:tc>
          <w:tcPr>
            <w:tcW w:w="0" w:type="auto"/>
          </w:tcPr>
          <w:p w14:paraId="350DDCF3" w14:textId="77777777" w:rsidR="00E34534" w:rsidRPr="00124DA6" w:rsidRDefault="00E34534" w:rsidP="00B03F0F">
            <w:pPr>
              <w:keepNext/>
              <w:keepLines/>
              <w:autoSpaceDE w:val="0"/>
              <w:autoSpaceDN w:val="0"/>
              <w:adjustRightInd w:val="0"/>
              <w:spacing w:after="0" w:line="240" w:lineRule="auto"/>
              <w:jc w:val="center"/>
              <w:rPr>
                <w:rFonts w:cstheme="minorHAnsi"/>
                <w:sz w:val="20"/>
                <w:szCs w:val="20"/>
                <w:lang w:val="en-US"/>
              </w:rPr>
            </w:pPr>
            <w:r w:rsidRPr="00124DA6">
              <w:rPr>
                <w:rFonts w:cstheme="minorHAnsi"/>
                <w:sz w:val="20"/>
                <w:szCs w:val="20"/>
                <w:lang w:val="en-US"/>
              </w:rPr>
              <w:t>≤60</w:t>
            </w:r>
          </w:p>
        </w:tc>
        <w:tc>
          <w:tcPr>
            <w:tcW w:w="0" w:type="auto"/>
          </w:tcPr>
          <w:p w14:paraId="6FE22241" w14:textId="77777777" w:rsidR="00E34534" w:rsidRPr="00E63C1D" w:rsidRDefault="00E34534" w:rsidP="00B03F0F">
            <w:pPr>
              <w:keepNext/>
              <w:keepLines/>
              <w:tabs>
                <w:tab w:val="decimal" w:pos="368"/>
              </w:tabs>
              <w:autoSpaceDE w:val="0"/>
              <w:autoSpaceDN w:val="0"/>
              <w:adjustRightInd w:val="0"/>
              <w:spacing w:after="0" w:line="240" w:lineRule="auto"/>
              <w:rPr>
                <w:rFonts w:cstheme="minorHAnsi"/>
                <w:sz w:val="20"/>
                <w:szCs w:val="20"/>
                <w:lang w:val="en-US"/>
              </w:rPr>
            </w:pPr>
            <w:r w:rsidRPr="00E63C1D">
              <w:rPr>
                <w:rFonts w:cstheme="minorHAnsi"/>
                <w:sz w:val="20"/>
                <w:szCs w:val="20"/>
                <w:lang w:val="en-US"/>
              </w:rPr>
              <w:t>80.83</w:t>
            </w:r>
          </w:p>
        </w:tc>
        <w:tc>
          <w:tcPr>
            <w:tcW w:w="0" w:type="auto"/>
          </w:tcPr>
          <w:p w14:paraId="5148F87F" w14:textId="77777777" w:rsidR="00E34534" w:rsidRPr="00E63C1D" w:rsidRDefault="00E34534" w:rsidP="00B03F0F">
            <w:pPr>
              <w:keepNext/>
              <w:keepLines/>
              <w:tabs>
                <w:tab w:val="decimal" w:pos="426"/>
              </w:tabs>
              <w:autoSpaceDE w:val="0"/>
              <w:autoSpaceDN w:val="0"/>
              <w:adjustRightInd w:val="0"/>
              <w:spacing w:after="0" w:line="240" w:lineRule="auto"/>
              <w:rPr>
                <w:rFonts w:cstheme="minorHAnsi"/>
                <w:sz w:val="20"/>
                <w:szCs w:val="20"/>
                <w:lang w:val="en-US"/>
              </w:rPr>
            </w:pPr>
            <w:r w:rsidRPr="00E63C1D">
              <w:rPr>
                <w:rFonts w:cstheme="minorHAnsi"/>
                <w:sz w:val="20"/>
                <w:szCs w:val="20"/>
                <w:lang w:val="en-US"/>
              </w:rPr>
              <w:t>77.98</w:t>
            </w:r>
          </w:p>
        </w:tc>
        <w:tc>
          <w:tcPr>
            <w:tcW w:w="0" w:type="auto"/>
          </w:tcPr>
          <w:p w14:paraId="7771F4BA" w14:textId="77777777" w:rsidR="00E34534" w:rsidRPr="00E63C1D" w:rsidRDefault="00E34534" w:rsidP="00B03F0F">
            <w:pPr>
              <w:keepNext/>
              <w:keepLines/>
              <w:tabs>
                <w:tab w:val="decimal" w:pos="333"/>
              </w:tabs>
              <w:autoSpaceDE w:val="0"/>
              <w:autoSpaceDN w:val="0"/>
              <w:adjustRightInd w:val="0"/>
              <w:spacing w:after="0" w:line="240" w:lineRule="auto"/>
              <w:rPr>
                <w:rFonts w:cstheme="minorHAnsi"/>
                <w:sz w:val="20"/>
                <w:szCs w:val="20"/>
                <w:lang w:val="en-US"/>
              </w:rPr>
            </w:pPr>
            <w:r w:rsidRPr="00E63C1D">
              <w:rPr>
                <w:rFonts w:cstheme="minorHAnsi"/>
                <w:sz w:val="20"/>
                <w:szCs w:val="20"/>
                <w:lang w:val="en-US"/>
              </w:rPr>
              <w:t>80.76</w:t>
            </w:r>
          </w:p>
        </w:tc>
        <w:tc>
          <w:tcPr>
            <w:tcW w:w="0" w:type="auto"/>
          </w:tcPr>
          <w:p w14:paraId="69C6868B" w14:textId="77777777" w:rsidR="00E34534" w:rsidRPr="00E63C1D" w:rsidRDefault="00E34534" w:rsidP="00B03F0F">
            <w:pPr>
              <w:keepNext/>
              <w:keepLines/>
              <w:tabs>
                <w:tab w:val="decimal" w:pos="368"/>
              </w:tabs>
              <w:autoSpaceDE w:val="0"/>
              <w:autoSpaceDN w:val="0"/>
              <w:adjustRightInd w:val="0"/>
              <w:spacing w:after="0" w:line="240" w:lineRule="auto"/>
              <w:rPr>
                <w:rFonts w:cstheme="minorHAnsi"/>
                <w:sz w:val="20"/>
                <w:szCs w:val="20"/>
                <w:lang w:val="en-US"/>
              </w:rPr>
            </w:pPr>
            <w:r w:rsidRPr="00E63C1D">
              <w:rPr>
                <w:rFonts w:cstheme="minorHAnsi"/>
                <w:sz w:val="20"/>
                <w:szCs w:val="20"/>
                <w:lang w:val="en-US"/>
              </w:rPr>
              <w:t>83.69</w:t>
            </w:r>
          </w:p>
        </w:tc>
        <w:tc>
          <w:tcPr>
            <w:tcW w:w="0" w:type="auto"/>
          </w:tcPr>
          <w:p w14:paraId="00246FD2" w14:textId="77777777" w:rsidR="00E34534" w:rsidRPr="00E63C1D" w:rsidRDefault="00E34534" w:rsidP="00B03F0F">
            <w:pPr>
              <w:keepNext/>
              <w:keepLines/>
              <w:tabs>
                <w:tab w:val="decimal" w:pos="391"/>
              </w:tabs>
              <w:autoSpaceDE w:val="0"/>
              <w:autoSpaceDN w:val="0"/>
              <w:adjustRightInd w:val="0"/>
              <w:spacing w:after="0" w:line="240" w:lineRule="auto"/>
              <w:rPr>
                <w:rFonts w:cstheme="minorHAnsi"/>
                <w:sz w:val="20"/>
                <w:szCs w:val="20"/>
                <w:lang w:val="en-US"/>
              </w:rPr>
            </w:pPr>
            <w:r w:rsidRPr="00E63C1D">
              <w:rPr>
                <w:rFonts w:cstheme="minorHAnsi"/>
                <w:sz w:val="20"/>
                <w:szCs w:val="20"/>
                <w:lang w:val="en-US"/>
              </w:rPr>
              <w:t>80.56</w:t>
            </w:r>
          </w:p>
        </w:tc>
      </w:tr>
    </w:tbl>
    <w:p w14:paraId="5C3A15F8" w14:textId="7A48D59C" w:rsidR="00E34534" w:rsidRDefault="00E34534" w:rsidP="00E34534">
      <w:pPr>
        <w:keepNext/>
        <w:keepLines/>
        <w:rPr>
          <w:rFonts w:asciiTheme="majorHAnsi" w:hAnsiTheme="majorHAnsi" w:cstheme="majorHAnsi"/>
          <w:color w:val="2E74B5" w:themeColor="accent1" w:themeShade="BF"/>
          <w:sz w:val="20"/>
          <w:szCs w:val="16"/>
          <w:lang w:val="en-US"/>
        </w:rPr>
      </w:pPr>
      <w:r>
        <w:rPr>
          <w:rFonts w:asciiTheme="majorHAnsi" w:hAnsiTheme="majorHAnsi" w:cstheme="majorHAnsi"/>
          <w:i/>
          <w:color w:val="2E74B5" w:themeColor="accent1" w:themeShade="BF"/>
          <w:sz w:val="20"/>
          <w:szCs w:val="16"/>
          <w:lang w:val="en-US"/>
        </w:rPr>
        <w:t xml:space="preserve">                    </w:t>
      </w:r>
      <w:r w:rsidRPr="00E34534">
        <w:rPr>
          <w:rFonts w:asciiTheme="majorHAnsi" w:hAnsiTheme="majorHAnsi" w:cstheme="majorHAnsi"/>
          <w:i/>
          <w:color w:val="2E74B5" w:themeColor="accent1" w:themeShade="BF"/>
          <w:sz w:val="20"/>
          <w:szCs w:val="16"/>
          <w:lang w:val="en-US"/>
        </w:rPr>
        <w:t>Source</w:t>
      </w:r>
      <w:r w:rsidRPr="00E34534">
        <w:rPr>
          <w:rFonts w:asciiTheme="majorHAnsi" w:hAnsiTheme="majorHAnsi" w:cstheme="majorHAnsi"/>
          <w:color w:val="2E74B5" w:themeColor="accent1" w:themeShade="BF"/>
          <w:sz w:val="20"/>
          <w:szCs w:val="16"/>
          <w:lang w:val="en-US"/>
        </w:rPr>
        <w:t>: Consortium Alafia</w:t>
      </w:r>
      <w:r w:rsidR="00C702B4">
        <w:rPr>
          <w:rFonts w:asciiTheme="majorHAnsi" w:hAnsiTheme="majorHAnsi" w:cstheme="majorHAnsi"/>
          <w:color w:val="2E74B5" w:themeColor="accent1" w:themeShade="BF"/>
          <w:sz w:val="20"/>
          <w:szCs w:val="16"/>
          <w:lang w:val="en-US"/>
        </w:rPr>
        <w:t> </w:t>
      </w:r>
      <w:r w:rsidRPr="00E34534">
        <w:rPr>
          <w:rFonts w:asciiTheme="majorHAnsi" w:hAnsiTheme="majorHAnsi" w:cstheme="majorHAnsi"/>
          <w:color w:val="2E74B5" w:themeColor="accent1" w:themeShade="BF"/>
          <w:sz w:val="20"/>
          <w:szCs w:val="16"/>
          <w:lang w:val="en-US"/>
        </w:rPr>
        <w:t>2016.</w:t>
      </w:r>
    </w:p>
    <w:p w14:paraId="3B69BC5E" w14:textId="77777777" w:rsidR="00E34534" w:rsidRPr="00E34534" w:rsidRDefault="00E34534" w:rsidP="00E34534">
      <w:pPr>
        <w:keepNext/>
        <w:keepLines/>
        <w:rPr>
          <w:rFonts w:asciiTheme="majorHAnsi" w:hAnsiTheme="majorHAnsi" w:cstheme="majorHAnsi"/>
          <w:color w:val="2E74B5" w:themeColor="accent1" w:themeShade="BF"/>
          <w:sz w:val="20"/>
          <w:szCs w:val="16"/>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530"/>
      </w:tblGrid>
      <w:tr w:rsidR="00E34534" w:rsidRPr="008A6E7B" w14:paraId="0AC4C829" w14:textId="77777777" w:rsidTr="00B03F0F">
        <w:trPr>
          <w:jc w:val="center"/>
        </w:trPr>
        <w:tc>
          <w:tcPr>
            <w:tcW w:w="4820" w:type="dxa"/>
          </w:tcPr>
          <w:p w14:paraId="626C3611" w14:textId="77777777" w:rsidR="00E34534" w:rsidRPr="00C85C13" w:rsidRDefault="00E34534" w:rsidP="00B03F0F">
            <w:pPr>
              <w:spacing w:after="120"/>
              <w:jc w:val="center"/>
              <w:rPr>
                <w:rStyle w:val="Heading5Char"/>
                <w:b/>
              </w:rPr>
            </w:pPr>
          </w:p>
          <w:p w14:paraId="6C6314CC" w14:textId="77777777" w:rsidR="00597761" w:rsidRPr="00C85C13" w:rsidRDefault="00597761" w:rsidP="00B03F0F">
            <w:pPr>
              <w:spacing w:after="120"/>
              <w:jc w:val="center"/>
              <w:rPr>
                <w:rStyle w:val="Heading5Char"/>
                <w:b/>
              </w:rPr>
            </w:pPr>
          </w:p>
          <w:p w14:paraId="3021C228" w14:textId="5737B775" w:rsidR="00E34534" w:rsidRPr="00C85C13" w:rsidRDefault="00E34534" w:rsidP="00B03F0F">
            <w:pPr>
              <w:spacing w:after="120"/>
              <w:jc w:val="center"/>
              <w:rPr>
                <w:b/>
              </w:rPr>
            </w:pPr>
            <w:r w:rsidRPr="00C85C13">
              <w:rPr>
                <w:rStyle w:val="Heading5Char"/>
                <w:b/>
              </w:rPr>
              <w:t>Figure</w:t>
            </w:r>
            <w:r w:rsidR="00C702B4" w:rsidRPr="00C85C13">
              <w:rPr>
                <w:rStyle w:val="Heading5Char"/>
                <w:b/>
              </w:rPr>
              <w:t> </w:t>
            </w:r>
            <w:r w:rsidRPr="00C85C13">
              <w:rPr>
                <w:rStyle w:val="Heading5Char"/>
                <w:b/>
              </w:rPr>
              <w:t>2.6: ROE of the five largest MFIs in Benin</w:t>
            </w:r>
          </w:p>
        </w:tc>
        <w:tc>
          <w:tcPr>
            <w:tcW w:w="4530" w:type="dxa"/>
          </w:tcPr>
          <w:p w14:paraId="1A224FAD" w14:textId="77777777" w:rsidR="00E34534" w:rsidRPr="00C85C13" w:rsidRDefault="00E34534" w:rsidP="00B03F0F">
            <w:pPr>
              <w:spacing w:after="120"/>
              <w:jc w:val="center"/>
              <w:rPr>
                <w:rStyle w:val="Heading5Char"/>
                <w:b/>
              </w:rPr>
            </w:pPr>
          </w:p>
          <w:p w14:paraId="31575CD7" w14:textId="77777777" w:rsidR="00597761" w:rsidRPr="00C85C13" w:rsidRDefault="00597761" w:rsidP="00B03F0F">
            <w:pPr>
              <w:spacing w:after="120"/>
              <w:jc w:val="center"/>
              <w:rPr>
                <w:rStyle w:val="Heading5Char"/>
                <w:b/>
              </w:rPr>
            </w:pPr>
          </w:p>
          <w:p w14:paraId="7F917865" w14:textId="0F85F207" w:rsidR="00E34534" w:rsidRPr="00C85C13" w:rsidRDefault="00E34534" w:rsidP="00B03F0F">
            <w:pPr>
              <w:spacing w:after="120"/>
              <w:jc w:val="center"/>
              <w:rPr>
                <w:b/>
              </w:rPr>
            </w:pPr>
            <w:r w:rsidRPr="00C85C13">
              <w:rPr>
                <w:rStyle w:val="Heading5Char"/>
                <w:b/>
              </w:rPr>
              <w:t>Figure</w:t>
            </w:r>
            <w:r w:rsidR="00C702B4" w:rsidRPr="00C85C13">
              <w:rPr>
                <w:rStyle w:val="Heading5Char"/>
                <w:b/>
              </w:rPr>
              <w:t> </w:t>
            </w:r>
            <w:r w:rsidRPr="00C85C13">
              <w:rPr>
                <w:rStyle w:val="Heading5Char"/>
                <w:b/>
              </w:rPr>
              <w:t>2.7: ROA of the five largest MFIs in Benin</w:t>
            </w:r>
          </w:p>
        </w:tc>
      </w:tr>
      <w:tr w:rsidR="00E34534" w:rsidRPr="00124DA6" w14:paraId="0A176974" w14:textId="77777777" w:rsidTr="00B03F0F">
        <w:trPr>
          <w:jc w:val="center"/>
        </w:trPr>
        <w:tc>
          <w:tcPr>
            <w:tcW w:w="4820" w:type="dxa"/>
          </w:tcPr>
          <w:p w14:paraId="3A3F7DF9" w14:textId="77777777" w:rsidR="00E34534" w:rsidRPr="00124DA6" w:rsidRDefault="00E34534" w:rsidP="00B03F0F">
            <w:pPr>
              <w:keepNext/>
            </w:pPr>
            <w:r w:rsidRPr="00124DA6">
              <w:rPr>
                <w:noProof/>
                <w:lang w:eastAsia="fr-FR"/>
              </w:rPr>
              <w:drawing>
                <wp:inline distT="0" distB="0" distL="0" distR="0" wp14:anchorId="40660E65" wp14:editId="3323F463">
                  <wp:extent cx="2785110" cy="1902941"/>
                  <wp:effectExtent l="0" t="0" r="15240" b="2540"/>
                  <wp:docPr id="36" name="Chart 36" title="ROE">
                    <a:extLst xmlns:a="http://schemas.openxmlformats.org/drawingml/2006/main">
                      <a:ext uri="{FF2B5EF4-FFF2-40B4-BE49-F238E27FC236}">
                        <a16:creationId xmlns:a16="http://schemas.microsoft.com/office/drawing/2014/main" id="{92E2CF42-7EF0-4DD5-AE20-4C07B5C0AD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0D09253" w14:textId="77777777" w:rsidR="00E34534" w:rsidRPr="00124DA6" w:rsidRDefault="00E34534" w:rsidP="00B03F0F">
            <w:pPr>
              <w:pStyle w:val="Caption"/>
              <w:jc w:val="left"/>
            </w:pPr>
          </w:p>
        </w:tc>
        <w:tc>
          <w:tcPr>
            <w:tcW w:w="4530" w:type="dxa"/>
          </w:tcPr>
          <w:p w14:paraId="4C8A3DF6" w14:textId="77777777" w:rsidR="00E34534" w:rsidRPr="00124DA6" w:rsidRDefault="00E34534" w:rsidP="00B03F0F">
            <w:pPr>
              <w:keepNext/>
            </w:pPr>
            <w:r w:rsidRPr="00124DA6">
              <w:rPr>
                <w:noProof/>
                <w:lang w:eastAsia="fr-FR"/>
              </w:rPr>
              <w:drawing>
                <wp:inline distT="0" distB="0" distL="0" distR="0" wp14:anchorId="77782E13" wp14:editId="05635A8D">
                  <wp:extent cx="2560320" cy="1895475"/>
                  <wp:effectExtent l="0" t="0" r="11430" b="9525"/>
                  <wp:docPr id="37" name="Chart 37">
                    <a:extLst xmlns:a="http://schemas.openxmlformats.org/drawingml/2006/main">
                      <a:ext uri="{FF2B5EF4-FFF2-40B4-BE49-F238E27FC236}">
                        <a16:creationId xmlns:a16="http://schemas.microsoft.com/office/drawing/2014/main" id="{F954FCD4-DB6B-4FE4-B4F6-644C31425C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77EEF7" w14:textId="77777777" w:rsidR="00E34534" w:rsidRPr="00124DA6" w:rsidRDefault="00E34534" w:rsidP="00B03F0F">
            <w:pPr>
              <w:pStyle w:val="Caption"/>
              <w:jc w:val="left"/>
            </w:pPr>
          </w:p>
        </w:tc>
      </w:tr>
    </w:tbl>
    <w:p w14:paraId="3F353406" w14:textId="20A2A6F3" w:rsidR="00E34534" w:rsidRPr="00C85C13" w:rsidRDefault="00E34534" w:rsidP="00E34534">
      <w:pPr>
        <w:pStyle w:val="Caption"/>
        <w:keepNext/>
        <w:keepLines/>
        <w:rPr>
          <w:b/>
          <w:lang w:val="en-US"/>
        </w:rPr>
      </w:pPr>
      <w:r w:rsidRPr="00C85C13">
        <w:rPr>
          <w:b/>
          <w:lang w:val="en-US"/>
        </w:rPr>
        <w:t>Figure</w:t>
      </w:r>
      <w:r w:rsidR="00C702B4" w:rsidRPr="00C85C13">
        <w:rPr>
          <w:b/>
          <w:lang w:val="en-US"/>
        </w:rPr>
        <w:t> </w:t>
      </w:r>
      <w:r w:rsidRPr="00C85C13">
        <w:rPr>
          <w:b/>
          <w:lang w:val="en-US"/>
        </w:rPr>
        <w:t>2.8: Self-sufficiency ratio of five largest MFIs in Benin</w:t>
      </w:r>
    </w:p>
    <w:p w14:paraId="77199C73" w14:textId="77777777" w:rsidR="00E34534" w:rsidRPr="00124DA6" w:rsidRDefault="00E34534" w:rsidP="00E34534">
      <w:pPr>
        <w:keepNext/>
        <w:keepLines/>
        <w:autoSpaceDE w:val="0"/>
        <w:autoSpaceDN w:val="0"/>
        <w:adjustRightInd w:val="0"/>
        <w:spacing w:after="0" w:line="240" w:lineRule="auto"/>
        <w:jc w:val="center"/>
        <w:rPr>
          <w:lang w:val="en-US"/>
        </w:rPr>
      </w:pPr>
      <w:r w:rsidRPr="00124DA6">
        <w:rPr>
          <w:noProof/>
          <w:lang w:eastAsia="fr-FR"/>
        </w:rPr>
        <w:drawing>
          <wp:inline distT="0" distB="0" distL="0" distR="0" wp14:anchorId="20A32FDB" wp14:editId="4F958BDE">
            <wp:extent cx="4023360" cy="2286000"/>
            <wp:effectExtent l="0" t="0" r="15240" b="0"/>
            <wp:docPr id="38" name="Chart 38">
              <a:extLst xmlns:a="http://schemas.openxmlformats.org/drawingml/2006/main">
                <a:ext uri="{FF2B5EF4-FFF2-40B4-BE49-F238E27FC236}">
                  <a16:creationId xmlns:a16="http://schemas.microsoft.com/office/drawing/2014/main" id="{4CF8393E-2C03-4B6C-8789-22DB64FE2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93D28D" w14:textId="1AEB78CB" w:rsidR="00E34534" w:rsidRPr="00E34534" w:rsidRDefault="00E34534" w:rsidP="00E34534">
      <w:pPr>
        <w:keepNext/>
        <w:keepLines/>
        <w:tabs>
          <w:tab w:val="left" w:pos="1440"/>
        </w:tabs>
        <w:spacing w:after="0" w:line="240" w:lineRule="auto"/>
        <w:ind w:left="1526"/>
        <w:rPr>
          <w:rFonts w:cstheme="minorHAnsi"/>
          <w:color w:val="2E74B5" w:themeColor="accent1" w:themeShade="BF"/>
          <w:sz w:val="20"/>
          <w:szCs w:val="16"/>
          <w:lang w:val="en-US"/>
        </w:rPr>
      </w:pPr>
      <w:r w:rsidRPr="00124DA6">
        <w:rPr>
          <w:rFonts w:cstheme="minorHAnsi"/>
          <w:i/>
          <w:color w:val="2E74B5" w:themeColor="accent1" w:themeShade="BF"/>
          <w:sz w:val="20"/>
          <w:szCs w:val="16"/>
          <w:lang w:val="en-US"/>
        </w:rPr>
        <w:t>Source</w:t>
      </w:r>
      <w:r>
        <w:rPr>
          <w:rFonts w:cstheme="minorHAnsi"/>
          <w:color w:val="2E74B5" w:themeColor="accent1" w:themeShade="BF"/>
          <w:sz w:val="20"/>
          <w:szCs w:val="16"/>
          <w:lang w:val="en-US"/>
        </w:rPr>
        <w:t>: Data provided by ANSSFD</w:t>
      </w:r>
      <w:r w:rsidR="00C702B4">
        <w:rPr>
          <w:rFonts w:cstheme="minorHAnsi"/>
          <w:color w:val="2E74B5" w:themeColor="accent1" w:themeShade="BF"/>
          <w:sz w:val="20"/>
          <w:szCs w:val="16"/>
          <w:lang w:val="en-US"/>
        </w:rPr>
        <w:t> </w:t>
      </w:r>
      <w:r>
        <w:rPr>
          <w:rFonts w:cstheme="minorHAnsi"/>
          <w:color w:val="2E74B5" w:themeColor="accent1" w:themeShade="BF"/>
          <w:sz w:val="20"/>
          <w:szCs w:val="16"/>
          <w:lang w:val="en-US"/>
        </w:rPr>
        <w:t>2017.</w:t>
      </w:r>
    </w:p>
    <w:p w14:paraId="3E013EEB" w14:textId="201FEC67" w:rsidR="00E34534" w:rsidRDefault="00E34534" w:rsidP="00C85C13">
      <w:pPr>
        <w:pStyle w:val="ListParagraph"/>
        <w:numPr>
          <w:ilvl w:val="0"/>
          <w:numId w:val="47"/>
        </w:numPr>
        <w:spacing w:before="240" w:after="240" w:line="240" w:lineRule="auto"/>
        <w:ind w:left="0" w:firstLine="0"/>
        <w:contextualSpacing w:val="0"/>
        <w:jc w:val="both"/>
        <w:rPr>
          <w:rFonts w:cstheme="minorHAnsi"/>
          <w:color w:val="222222"/>
          <w:lang w:val="en-US"/>
        </w:rPr>
      </w:pPr>
      <w:r w:rsidRPr="00124DA6">
        <w:rPr>
          <w:rFonts w:cstheme="minorHAnsi"/>
          <w:b/>
          <w:color w:val="222222"/>
          <w:lang w:val="en-US"/>
        </w:rPr>
        <w:t>In 2017, the Ministry of Economy and Finance withdrew the license of four institutions.</w:t>
      </w:r>
      <w:r w:rsidRPr="00124DA6">
        <w:rPr>
          <w:rFonts w:cstheme="minorHAnsi"/>
          <w:color w:val="222222"/>
          <w:lang w:val="en-US"/>
        </w:rPr>
        <w:t xml:space="preserve"> Three institutions with licenses and one holding the old convention have lost the authorization to carry out the microfinance activity. Several factors contributed to these withdrawals, including </w:t>
      </w:r>
      <w:r w:rsidR="004B1209">
        <w:rPr>
          <w:rFonts w:cstheme="minorHAnsi"/>
          <w:color w:val="222222"/>
          <w:lang w:val="en-US"/>
        </w:rPr>
        <w:t>activities</w:t>
      </w:r>
      <w:r w:rsidR="004B1209" w:rsidRPr="00124DA6">
        <w:rPr>
          <w:rFonts w:cstheme="minorHAnsi"/>
          <w:color w:val="222222"/>
          <w:lang w:val="en-US"/>
        </w:rPr>
        <w:t xml:space="preserve"> </w:t>
      </w:r>
      <w:r w:rsidR="004B1209">
        <w:rPr>
          <w:rFonts w:cstheme="minorHAnsi"/>
          <w:color w:val="222222"/>
          <w:lang w:val="en-US"/>
        </w:rPr>
        <w:t>which constituted a breach of</w:t>
      </w:r>
      <w:r w:rsidR="004B1209" w:rsidRPr="00124DA6">
        <w:rPr>
          <w:rFonts w:cstheme="minorHAnsi"/>
          <w:color w:val="222222"/>
          <w:lang w:val="en-US"/>
        </w:rPr>
        <w:t xml:space="preserve"> </w:t>
      </w:r>
      <w:r w:rsidRPr="00124DA6">
        <w:rPr>
          <w:rFonts w:cstheme="minorHAnsi"/>
          <w:color w:val="222222"/>
          <w:lang w:val="en-US"/>
        </w:rPr>
        <w:t xml:space="preserve">prudential and indicator standards, as well as legal authorization. Indeed, </w:t>
      </w:r>
      <w:proofErr w:type="gramStart"/>
      <w:r w:rsidRPr="00124DA6">
        <w:rPr>
          <w:rFonts w:cstheme="minorHAnsi"/>
          <w:color w:val="222222"/>
          <w:lang w:val="en-US"/>
        </w:rPr>
        <w:t xml:space="preserve">in </w:t>
      </w:r>
      <w:r w:rsidR="00444FC8">
        <w:rPr>
          <w:rFonts w:cstheme="minorHAnsi"/>
          <w:color w:val="222222"/>
          <w:lang w:val="en-US"/>
        </w:rPr>
        <w:t>light</w:t>
      </w:r>
      <w:r w:rsidR="00444FC8" w:rsidRPr="00124DA6">
        <w:rPr>
          <w:rFonts w:cstheme="minorHAnsi"/>
          <w:color w:val="222222"/>
          <w:lang w:val="en-US"/>
        </w:rPr>
        <w:t xml:space="preserve"> </w:t>
      </w:r>
      <w:r w:rsidRPr="00124DA6">
        <w:rPr>
          <w:rFonts w:cstheme="minorHAnsi"/>
          <w:color w:val="222222"/>
          <w:lang w:val="en-US"/>
        </w:rPr>
        <w:t>of</w:t>
      </w:r>
      <w:proofErr w:type="gramEnd"/>
      <w:r w:rsidRPr="00124DA6">
        <w:rPr>
          <w:rFonts w:cstheme="minorHAnsi"/>
          <w:color w:val="222222"/>
          <w:lang w:val="en-US"/>
        </w:rPr>
        <w:t xml:space="preserve"> </w:t>
      </w:r>
      <w:r w:rsidR="00444FC8">
        <w:rPr>
          <w:rFonts w:cstheme="minorHAnsi"/>
          <w:color w:val="222222"/>
          <w:lang w:val="en-US"/>
        </w:rPr>
        <w:t>Law</w:t>
      </w:r>
      <w:r w:rsidR="00444FC8" w:rsidRPr="00124DA6">
        <w:rPr>
          <w:rFonts w:cstheme="minorHAnsi"/>
          <w:color w:val="222222"/>
          <w:lang w:val="en-US"/>
        </w:rPr>
        <w:t xml:space="preserve"> </w:t>
      </w:r>
      <w:r w:rsidRPr="00124DA6">
        <w:rPr>
          <w:rFonts w:cstheme="minorHAnsi"/>
          <w:color w:val="222222"/>
          <w:lang w:val="en-US"/>
        </w:rPr>
        <w:t>No. 2012-14 of March 21, 2012, only one form of authorization is required and allows the approval. Thus, the institutions holding the old convention must introduce the updated files for the transformation of their convention into approval. Two MFIs are under provisional administration</w:t>
      </w:r>
      <w:r>
        <w:rPr>
          <w:rFonts w:cstheme="minorHAnsi"/>
          <w:color w:val="222222"/>
          <w:lang w:val="en-US"/>
        </w:rPr>
        <w:t>.</w:t>
      </w:r>
    </w:p>
    <w:p w14:paraId="50D79317" w14:textId="168F6E74" w:rsidR="00B03F0F" w:rsidRPr="00597761" w:rsidRDefault="00E34534" w:rsidP="00C85C13">
      <w:pPr>
        <w:pStyle w:val="ListParagraph"/>
        <w:numPr>
          <w:ilvl w:val="0"/>
          <w:numId w:val="47"/>
        </w:numPr>
        <w:spacing w:after="240" w:line="240" w:lineRule="auto"/>
        <w:ind w:left="0" w:firstLine="0"/>
        <w:contextualSpacing w:val="0"/>
        <w:jc w:val="both"/>
        <w:rPr>
          <w:rFonts w:cstheme="minorHAnsi"/>
          <w:b/>
          <w:color w:val="222222"/>
          <w:lang w:val="en-US"/>
        </w:rPr>
      </w:pPr>
      <w:r w:rsidRPr="00124DA6">
        <w:rPr>
          <w:rStyle w:val="shorttext"/>
          <w:rFonts w:cstheme="minorHAnsi"/>
          <w:b/>
          <w:color w:val="222222"/>
          <w:lang w:val="en-US"/>
        </w:rPr>
        <w:t>Overall, the microfinance sector remains fragile.</w:t>
      </w:r>
      <w:r w:rsidRPr="00124DA6">
        <w:rPr>
          <w:rStyle w:val="shorttext"/>
          <w:rFonts w:cstheme="minorHAnsi"/>
          <w:color w:val="222222"/>
          <w:lang w:val="en-US"/>
        </w:rPr>
        <w:t xml:space="preserve"> </w:t>
      </w:r>
      <w:r w:rsidR="004C0586">
        <w:rPr>
          <w:rStyle w:val="shorttext"/>
          <w:rFonts w:cstheme="minorHAnsi"/>
          <w:color w:val="222222"/>
          <w:lang w:val="en-US"/>
        </w:rPr>
        <w:t xml:space="preserve">In many instances, </w:t>
      </w:r>
      <w:r w:rsidR="004C0586">
        <w:rPr>
          <w:rFonts w:cstheme="minorHAnsi"/>
          <w:lang w:val="en-US"/>
        </w:rPr>
        <w:t>t</w:t>
      </w:r>
      <w:r w:rsidRPr="00124DA6">
        <w:rPr>
          <w:rFonts w:cstheme="minorHAnsi"/>
          <w:lang w:val="en-US"/>
        </w:rPr>
        <w:t xml:space="preserve">he sector </w:t>
      </w:r>
      <w:r w:rsidR="004C0586">
        <w:rPr>
          <w:rFonts w:cstheme="minorHAnsi"/>
          <w:lang w:val="en-US"/>
        </w:rPr>
        <w:t>proves to not be</w:t>
      </w:r>
      <w:r w:rsidR="004C0586" w:rsidRPr="00124DA6">
        <w:rPr>
          <w:rFonts w:cstheme="minorHAnsi"/>
          <w:lang w:val="en-US"/>
        </w:rPr>
        <w:t xml:space="preserve"> </w:t>
      </w:r>
      <w:r w:rsidRPr="00124DA6">
        <w:rPr>
          <w:rFonts w:cstheme="minorHAnsi"/>
          <w:lang w:val="en-US"/>
        </w:rPr>
        <w:t xml:space="preserve">compliant </w:t>
      </w:r>
      <w:r w:rsidRPr="00124DA6">
        <w:rPr>
          <w:rStyle w:val="shorttext"/>
          <w:rFonts w:cstheme="minorHAnsi"/>
          <w:color w:val="222222"/>
          <w:lang w:val="en-US"/>
        </w:rPr>
        <w:t xml:space="preserve">with prudential rules, and the number and weight of unauthorized MFIs are unknown even though they are collecting deposits </w:t>
      </w:r>
      <w:r w:rsidRPr="00124DA6">
        <w:rPr>
          <w:rFonts w:ascii="Calibri-Bold" w:hAnsi="Calibri-Bold" w:cs="Calibri-Bold"/>
          <w:bCs/>
          <w:lang w:val="en-US"/>
        </w:rPr>
        <w:t>from</w:t>
      </w:r>
      <w:r w:rsidRPr="00124DA6">
        <w:rPr>
          <w:rStyle w:val="shorttext"/>
          <w:rFonts w:cstheme="minorHAnsi"/>
          <w:color w:val="222222"/>
          <w:lang w:val="en-US"/>
        </w:rPr>
        <w:t xml:space="preserve"> </w:t>
      </w:r>
      <w:r w:rsidRPr="00124DA6">
        <w:rPr>
          <w:rFonts w:ascii="Calibri" w:hAnsi="Calibri" w:cs="Calibri"/>
          <w:lang w:val="en-US"/>
        </w:rPr>
        <w:t>the</w:t>
      </w:r>
      <w:r w:rsidRPr="00124DA6">
        <w:rPr>
          <w:rStyle w:val="shorttext"/>
          <w:rFonts w:cstheme="minorHAnsi"/>
          <w:color w:val="222222"/>
          <w:lang w:val="en-US"/>
        </w:rPr>
        <w:t xml:space="preserve"> public. The cleanup of the sector </w:t>
      </w:r>
      <w:r w:rsidRPr="00124DA6">
        <w:rPr>
          <w:rFonts w:ascii="Calibri" w:hAnsi="Calibri" w:cs="Calibri"/>
          <w:lang w:val="en-US"/>
        </w:rPr>
        <w:t xml:space="preserve">has been slow to date due to limited capacities (human, technical and tools, financial resources). The sector profitability is low, and the interest rate cap is not helping. </w:t>
      </w:r>
      <w:r w:rsidRPr="00124DA6">
        <w:rPr>
          <w:rFonts w:cstheme="minorHAnsi"/>
          <w:lang w:val="en-US"/>
        </w:rPr>
        <w:t xml:space="preserve">Helms and </w:t>
      </w:r>
      <w:proofErr w:type="spellStart"/>
      <w:r w:rsidRPr="00124DA6">
        <w:rPr>
          <w:rFonts w:cstheme="minorHAnsi"/>
          <w:lang w:val="en-US"/>
        </w:rPr>
        <w:t>Reille</w:t>
      </w:r>
      <w:proofErr w:type="spellEnd"/>
      <w:r w:rsidRPr="00124DA6">
        <w:rPr>
          <w:rFonts w:cstheme="minorHAnsi"/>
          <w:lang w:val="en-US"/>
        </w:rPr>
        <w:t xml:space="preserve"> (2004) found that the imposition of interest caps on microfinance loans in the WAEMU resulted in MFIs withdrawing from more rural and remote areas and increasing average loan sizes to improve efficiency and returns. The Beninese microfinance sector seems to follow the same path with 62.7 percent (</w:t>
      </w:r>
      <w:r w:rsidRPr="00124DA6">
        <w:rPr>
          <w:rFonts w:cstheme="minorHAnsi"/>
          <w:bCs/>
          <w:color w:val="2E74B5" w:themeColor="accent1" w:themeShade="BF"/>
          <w:lang w:val="en-US"/>
        </w:rPr>
        <w:t>Consortium Alafia</w:t>
      </w:r>
      <w:r w:rsidR="00C702B4">
        <w:rPr>
          <w:rFonts w:cstheme="minorHAnsi"/>
          <w:lang w:val="en-US"/>
        </w:rPr>
        <w:t> </w:t>
      </w:r>
      <w:r w:rsidRPr="00124DA6">
        <w:rPr>
          <w:rFonts w:cstheme="minorHAnsi"/>
          <w:lang w:val="en-US"/>
        </w:rPr>
        <w:t>2017a) of th</w:t>
      </w:r>
      <w:r>
        <w:rPr>
          <w:rFonts w:cstheme="minorHAnsi"/>
          <w:lang w:val="en-US"/>
        </w:rPr>
        <w:t>e clients living in urban areas.</w:t>
      </w:r>
    </w:p>
    <w:p w14:paraId="7932AB66" w14:textId="77777777" w:rsidR="00320347" w:rsidRPr="00C85C13" w:rsidRDefault="008C23D6" w:rsidP="008C23D6">
      <w:pPr>
        <w:pStyle w:val="Heading2"/>
        <w:numPr>
          <w:ilvl w:val="1"/>
          <w:numId w:val="44"/>
        </w:numPr>
        <w:rPr>
          <w:b/>
          <w:lang w:val="en-US"/>
        </w:rPr>
      </w:pPr>
      <w:bookmarkStart w:id="19" w:name="_Toc3975128"/>
      <w:r w:rsidRPr="00C85C13">
        <w:rPr>
          <w:b/>
          <w:lang w:val="en-US"/>
        </w:rPr>
        <w:t xml:space="preserve">Threats </w:t>
      </w:r>
      <w:r w:rsidR="00597761" w:rsidRPr="00C85C13">
        <w:rPr>
          <w:b/>
          <w:lang w:val="en-US"/>
        </w:rPr>
        <w:t xml:space="preserve">to the Beninese </w:t>
      </w:r>
      <w:r w:rsidRPr="00C85C13">
        <w:rPr>
          <w:b/>
          <w:lang w:val="en-US"/>
        </w:rPr>
        <w:t>microfinance sector</w:t>
      </w:r>
      <w:bookmarkEnd w:id="19"/>
    </w:p>
    <w:p w14:paraId="27E6644A" w14:textId="3D706E89" w:rsidR="00320347" w:rsidRPr="00C85C13" w:rsidRDefault="008C23D6" w:rsidP="008C23D6">
      <w:pPr>
        <w:pStyle w:val="Heading3"/>
        <w:numPr>
          <w:ilvl w:val="2"/>
          <w:numId w:val="44"/>
        </w:numPr>
        <w:rPr>
          <w:b/>
          <w:lang w:val="en-US"/>
        </w:rPr>
      </w:pPr>
      <w:bookmarkStart w:id="20" w:name="_Toc3975129"/>
      <w:r w:rsidRPr="00C85C13">
        <w:rPr>
          <w:b/>
          <w:lang w:val="en-US"/>
        </w:rPr>
        <w:t>Enduring challenges</w:t>
      </w:r>
      <w:bookmarkEnd w:id="20"/>
    </w:p>
    <w:p w14:paraId="4CA224A7" w14:textId="470F5637" w:rsidR="008C23D6" w:rsidRPr="002A75B4" w:rsidRDefault="008C23D6" w:rsidP="00C85C13">
      <w:pPr>
        <w:pStyle w:val="ListParagraph"/>
        <w:numPr>
          <w:ilvl w:val="0"/>
          <w:numId w:val="47"/>
        </w:numPr>
        <w:spacing w:after="240" w:line="240" w:lineRule="auto"/>
        <w:ind w:left="0" w:firstLine="0"/>
        <w:contextualSpacing w:val="0"/>
        <w:jc w:val="both"/>
        <w:rPr>
          <w:rFonts w:cstheme="minorHAnsi"/>
          <w:color w:val="222222"/>
          <w:lang w:val="en-US"/>
        </w:rPr>
      </w:pPr>
      <w:bookmarkStart w:id="21" w:name="_Hlk523834294"/>
      <w:r>
        <w:rPr>
          <w:rFonts w:cstheme="minorHAnsi"/>
          <w:b/>
          <w:color w:val="222222"/>
          <w:lang w:val="en-US"/>
        </w:rPr>
        <w:t>Along</w:t>
      </w:r>
      <w:r w:rsidR="007E1F54">
        <w:rPr>
          <w:rFonts w:cstheme="minorHAnsi"/>
          <w:b/>
          <w:color w:val="222222"/>
          <w:lang w:val="en-US"/>
        </w:rPr>
        <w:t>side</w:t>
      </w:r>
      <w:r>
        <w:rPr>
          <w:rFonts w:cstheme="minorHAnsi"/>
          <w:b/>
          <w:color w:val="222222"/>
          <w:lang w:val="en-US"/>
        </w:rPr>
        <w:t xml:space="preserve"> the formal microfinance sector, </w:t>
      </w:r>
      <w:r w:rsidRPr="00124DA6">
        <w:rPr>
          <w:rFonts w:cstheme="minorHAnsi"/>
          <w:b/>
          <w:lang w:val="en-US"/>
        </w:rPr>
        <w:t xml:space="preserve">there </w:t>
      </w:r>
      <w:r w:rsidR="004C0586">
        <w:rPr>
          <w:rFonts w:cstheme="minorHAnsi"/>
          <w:b/>
          <w:lang w:val="en-US"/>
        </w:rPr>
        <w:t>is</w:t>
      </w:r>
      <w:r w:rsidR="004C0586" w:rsidRPr="00124DA6">
        <w:rPr>
          <w:rFonts w:cstheme="minorHAnsi"/>
          <w:b/>
          <w:lang w:val="en-US"/>
        </w:rPr>
        <w:t xml:space="preserve"> </w:t>
      </w:r>
      <w:proofErr w:type="gramStart"/>
      <w:r w:rsidRPr="00124DA6">
        <w:rPr>
          <w:rFonts w:cstheme="minorHAnsi"/>
          <w:b/>
          <w:lang w:val="en-US"/>
        </w:rPr>
        <w:t>a large number of</w:t>
      </w:r>
      <w:proofErr w:type="gramEnd"/>
      <w:r w:rsidRPr="00124DA6">
        <w:rPr>
          <w:rFonts w:cstheme="minorHAnsi"/>
          <w:b/>
          <w:lang w:val="en-US"/>
        </w:rPr>
        <w:t xml:space="preserve"> unauthorized MFIs </w:t>
      </w:r>
      <w:r w:rsidR="004C0586">
        <w:rPr>
          <w:rFonts w:cstheme="minorHAnsi"/>
          <w:b/>
          <w:lang w:val="en-US"/>
        </w:rPr>
        <w:t xml:space="preserve">which </w:t>
      </w:r>
      <w:r w:rsidRPr="00124DA6">
        <w:rPr>
          <w:rFonts w:cstheme="minorHAnsi"/>
          <w:b/>
          <w:lang w:val="en-US"/>
        </w:rPr>
        <w:t xml:space="preserve">collect deposits and </w:t>
      </w:r>
      <w:r w:rsidR="004C0586">
        <w:rPr>
          <w:rFonts w:cstheme="minorHAnsi"/>
          <w:b/>
          <w:lang w:val="en-US"/>
        </w:rPr>
        <w:t>provide</w:t>
      </w:r>
      <w:r w:rsidR="004C0586" w:rsidRPr="00124DA6">
        <w:rPr>
          <w:rFonts w:cstheme="minorHAnsi"/>
          <w:b/>
          <w:lang w:val="en-US"/>
        </w:rPr>
        <w:t xml:space="preserve"> </w:t>
      </w:r>
      <w:r w:rsidRPr="00124DA6">
        <w:rPr>
          <w:rFonts w:cstheme="minorHAnsi"/>
          <w:b/>
          <w:lang w:val="en-US"/>
        </w:rPr>
        <w:t>loans to the public</w:t>
      </w:r>
      <w:r w:rsidRPr="00124DA6">
        <w:rPr>
          <w:rFonts w:cstheme="minorHAnsi"/>
          <w:lang w:val="en-US"/>
        </w:rPr>
        <w:t>.</w:t>
      </w:r>
      <w:r>
        <w:rPr>
          <w:rFonts w:cstheme="minorHAnsi"/>
          <w:b/>
          <w:color w:val="222222"/>
          <w:lang w:val="en-US"/>
        </w:rPr>
        <w:t xml:space="preserve"> </w:t>
      </w:r>
      <w:r w:rsidRPr="00124DA6">
        <w:rPr>
          <w:rFonts w:cstheme="minorHAnsi"/>
          <w:color w:val="222222"/>
          <w:lang w:val="en-US"/>
        </w:rPr>
        <w:t xml:space="preserve">In a census conducted in 2011, 495 unauthorized MFIs were </w:t>
      </w:r>
      <w:r w:rsidR="004C0586" w:rsidRPr="00124DA6">
        <w:rPr>
          <w:rFonts w:cstheme="minorHAnsi"/>
          <w:color w:val="222222"/>
          <w:lang w:val="en-US"/>
        </w:rPr>
        <w:t>totaled</w:t>
      </w:r>
      <w:r w:rsidR="004C0586">
        <w:rPr>
          <w:rFonts w:cstheme="minorHAnsi"/>
          <w:color w:val="222222"/>
          <w:lang w:val="en-US"/>
        </w:rPr>
        <w:t>,</w:t>
      </w:r>
      <w:r>
        <w:rPr>
          <w:rFonts w:cstheme="minorHAnsi"/>
          <w:color w:val="222222"/>
          <w:lang w:val="en-US"/>
        </w:rPr>
        <w:t xml:space="preserve"> </w:t>
      </w:r>
      <w:r w:rsidR="004C0586">
        <w:rPr>
          <w:rFonts w:cstheme="minorHAnsi"/>
          <w:color w:val="222222"/>
          <w:lang w:val="en-US"/>
        </w:rPr>
        <w:t>far</w:t>
      </w:r>
      <w:r w:rsidRPr="00124DA6">
        <w:rPr>
          <w:rFonts w:cstheme="minorHAnsi"/>
          <w:lang w:val="en-US"/>
        </w:rPr>
        <w:t xml:space="preserve"> </w:t>
      </w:r>
      <w:r w:rsidR="004C0586" w:rsidRPr="00124DA6">
        <w:rPr>
          <w:rFonts w:cstheme="minorHAnsi"/>
          <w:lang w:val="en-US"/>
        </w:rPr>
        <w:t>outweigh</w:t>
      </w:r>
      <w:r w:rsidR="004C0586">
        <w:rPr>
          <w:rFonts w:cstheme="minorHAnsi"/>
          <w:lang w:val="en-US"/>
        </w:rPr>
        <w:t xml:space="preserve">ing </w:t>
      </w:r>
      <w:r w:rsidR="004C0586" w:rsidRPr="00124DA6">
        <w:rPr>
          <w:rFonts w:cstheme="minorHAnsi"/>
          <w:lang w:val="en-US"/>
        </w:rPr>
        <w:t>the</w:t>
      </w:r>
      <w:r w:rsidRPr="00124DA6">
        <w:rPr>
          <w:rFonts w:cstheme="minorHAnsi"/>
          <w:lang w:val="en-US"/>
        </w:rPr>
        <w:t xml:space="preserve"> 100 authorized MFIs</w:t>
      </w:r>
      <w:r w:rsidRPr="00124DA6">
        <w:rPr>
          <w:rFonts w:cstheme="minorHAnsi"/>
          <w:color w:val="222222"/>
          <w:lang w:val="en-US"/>
        </w:rPr>
        <w:t xml:space="preserve">. Their profiles are diverse: small local microfinance initiatives such as tontines that have </w:t>
      </w:r>
      <w:r w:rsidRPr="00124DA6">
        <w:rPr>
          <w:rFonts w:ascii="Calibri" w:hAnsi="Calibri" w:cs="Calibri"/>
          <w:lang w:val="en-US"/>
        </w:rPr>
        <w:t>somehow</w:t>
      </w:r>
      <w:r w:rsidRPr="00124DA6">
        <w:rPr>
          <w:rFonts w:cstheme="minorHAnsi"/>
          <w:color w:val="222222"/>
          <w:lang w:val="en-US"/>
        </w:rPr>
        <w:t xml:space="preserve"> grown up; 194 village financial associations, </w:t>
      </w:r>
      <w:r>
        <w:rPr>
          <w:rFonts w:cstheme="minorHAnsi"/>
          <w:color w:val="222222"/>
          <w:lang w:val="en-US"/>
        </w:rPr>
        <w:t xml:space="preserve">of which </w:t>
      </w:r>
      <w:r w:rsidRPr="00124DA6">
        <w:rPr>
          <w:rFonts w:cstheme="minorHAnsi"/>
          <w:color w:val="222222"/>
          <w:lang w:val="en-US"/>
        </w:rPr>
        <w:t xml:space="preserve">only 127 </w:t>
      </w:r>
      <w:r w:rsidRPr="00124DA6">
        <w:rPr>
          <w:rFonts w:ascii="Calibri-Bold" w:hAnsi="Calibri-Bold" w:cs="Calibri-Bold"/>
          <w:bCs/>
          <w:lang w:val="en-US"/>
        </w:rPr>
        <w:t>were</w:t>
      </w:r>
      <w:r w:rsidRPr="00124DA6">
        <w:rPr>
          <w:rFonts w:cstheme="minorHAnsi"/>
          <w:color w:val="222222"/>
          <w:lang w:val="en-US"/>
        </w:rPr>
        <w:t xml:space="preserve"> active in 2015; organizations assimilated </w:t>
      </w:r>
      <w:r>
        <w:rPr>
          <w:rFonts w:cstheme="minorHAnsi"/>
          <w:color w:val="222222"/>
          <w:lang w:val="en-US"/>
        </w:rPr>
        <w:t xml:space="preserve">to </w:t>
      </w:r>
      <w:r w:rsidRPr="00124DA6">
        <w:rPr>
          <w:rFonts w:cstheme="minorHAnsi"/>
          <w:color w:val="222222"/>
          <w:lang w:val="en-US"/>
        </w:rPr>
        <w:t xml:space="preserve">NGOs often with ambiguous activities, finally entities that had </w:t>
      </w:r>
      <w:r w:rsidR="00141BD7">
        <w:rPr>
          <w:rFonts w:cstheme="minorHAnsi"/>
          <w:color w:val="222222"/>
          <w:lang w:val="en-US"/>
        </w:rPr>
        <w:t>“</w:t>
      </w:r>
      <w:r w:rsidRPr="00124DA6">
        <w:rPr>
          <w:rFonts w:cstheme="minorHAnsi"/>
          <w:color w:val="222222"/>
          <w:lang w:val="en-US"/>
        </w:rPr>
        <w:t>convention</w:t>
      </w:r>
      <w:r w:rsidR="00141BD7">
        <w:rPr>
          <w:rFonts w:cstheme="minorHAnsi"/>
          <w:color w:val="222222"/>
          <w:lang w:val="en-US"/>
        </w:rPr>
        <w:t>”</w:t>
      </w:r>
      <w:r w:rsidRPr="00124DA6">
        <w:rPr>
          <w:rFonts w:cstheme="minorHAnsi"/>
          <w:color w:val="222222"/>
          <w:lang w:val="en-US"/>
        </w:rPr>
        <w:t xml:space="preserve"> under the PARMEC law, a provision that no longer exists under the new law. The new microfinance law of March 2012 established a period of 24 m</w:t>
      </w:r>
      <w:r>
        <w:rPr>
          <w:rFonts w:cstheme="minorHAnsi"/>
          <w:color w:val="222222"/>
          <w:lang w:val="en-US"/>
        </w:rPr>
        <w:t xml:space="preserve">onths. </w:t>
      </w:r>
      <w:r w:rsidRPr="00124DA6">
        <w:rPr>
          <w:rFonts w:cstheme="minorHAnsi"/>
          <w:color w:val="222222"/>
          <w:lang w:val="en-US"/>
        </w:rPr>
        <w:t>They are present in both urban and rural areas. The 24 largest unauthorized MFIs served 181,000 borrowers and 301,000</w:t>
      </w:r>
      <w:r w:rsidRPr="00124DA6">
        <w:rPr>
          <w:rStyle w:val="FootnoteReference"/>
          <w:rFonts w:cstheme="minorHAnsi"/>
          <w:color w:val="222222"/>
          <w:lang w:val="en-US"/>
        </w:rPr>
        <w:footnoteReference w:id="12"/>
      </w:r>
      <w:r w:rsidRPr="00124DA6">
        <w:rPr>
          <w:rFonts w:cstheme="minorHAnsi"/>
          <w:color w:val="222222"/>
          <w:lang w:val="en-US"/>
        </w:rPr>
        <w:t xml:space="preserve"> depositors (IMF</w:t>
      </w:r>
      <w:r w:rsidR="00C702B4">
        <w:rPr>
          <w:rFonts w:cstheme="minorHAnsi"/>
          <w:color w:val="222222"/>
          <w:lang w:val="en-US"/>
        </w:rPr>
        <w:t> </w:t>
      </w:r>
      <w:r w:rsidRPr="00124DA6">
        <w:rPr>
          <w:rFonts w:cstheme="minorHAnsi"/>
          <w:color w:val="222222"/>
          <w:lang w:val="en-US"/>
        </w:rPr>
        <w:t>2015).</w:t>
      </w:r>
      <w:r>
        <w:rPr>
          <w:rFonts w:cstheme="minorHAnsi"/>
          <w:color w:val="222222"/>
          <w:lang w:val="en-US"/>
        </w:rPr>
        <w:t xml:space="preserve"> </w:t>
      </w:r>
      <w:r w:rsidRPr="00B801F5">
        <w:rPr>
          <w:rFonts w:cstheme="minorHAnsi"/>
          <w:color w:val="222222"/>
          <w:lang w:val="en-US"/>
        </w:rPr>
        <w:t xml:space="preserve">The unauthorized institutions offer savings products inspired by the traditional practices of tontines, investment </w:t>
      </w:r>
      <w:r w:rsidRPr="00B801F5">
        <w:rPr>
          <w:rFonts w:ascii="Calibri" w:hAnsi="Calibri" w:cs="Calibri"/>
          <w:lang w:val="en-US"/>
        </w:rPr>
        <w:t>solutions,</w:t>
      </w:r>
      <w:r w:rsidRPr="00B801F5">
        <w:rPr>
          <w:rFonts w:cstheme="minorHAnsi"/>
          <w:color w:val="222222"/>
          <w:lang w:val="en-US"/>
        </w:rPr>
        <w:t xml:space="preserve"> and loan products. </w:t>
      </w:r>
      <w:r w:rsidRPr="00B801F5">
        <w:rPr>
          <w:rFonts w:cstheme="minorHAnsi"/>
          <w:lang w:val="en-US"/>
        </w:rPr>
        <w:t xml:space="preserve">IMF (2016) estimated that the deposits collected by unauthorized MFIs </w:t>
      </w:r>
      <w:r w:rsidR="00141BD7">
        <w:rPr>
          <w:rFonts w:cstheme="minorHAnsi"/>
          <w:lang w:val="en-US"/>
        </w:rPr>
        <w:t>are</w:t>
      </w:r>
      <w:r w:rsidRPr="00B801F5">
        <w:rPr>
          <w:rFonts w:cstheme="minorHAnsi"/>
          <w:lang w:val="en-US"/>
        </w:rPr>
        <w:t xml:space="preserve"> about 0.5 percent of GDP. </w:t>
      </w:r>
    </w:p>
    <w:p w14:paraId="0364F63C" w14:textId="59F1A9A1" w:rsidR="008C23D6" w:rsidRPr="004B1209" w:rsidRDefault="008C23D6" w:rsidP="00C85C13">
      <w:pPr>
        <w:pStyle w:val="ListParagraph"/>
        <w:numPr>
          <w:ilvl w:val="0"/>
          <w:numId w:val="47"/>
        </w:numPr>
        <w:spacing w:after="240" w:line="240" w:lineRule="auto"/>
        <w:ind w:left="0" w:firstLine="0"/>
        <w:contextualSpacing w:val="0"/>
        <w:jc w:val="both"/>
        <w:rPr>
          <w:rFonts w:cstheme="minorHAnsi"/>
          <w:lang w:val="en-US"/>
        </w:rPr>
      </w:pPr>
      <w:r w:rsidRPr="004B1209">
        <w:rPr>
          <w:rFonts w:cstheme="minorHAnsi"/>
          <w:b/>
          <w:lang w:val="en-US"/>
        </w:rPr>
        <w:t>Despite the crisis resulting from the collapse of ICC in 2010</w:t>
      </w:r>
      <w:r w:rsidR="004B1209">
        <w:rPr>
          <w:rFonts w:cstheme="minorHAnsi"/>
          <w:b/>
          <w:lang w:val="en-US"/>
        </w:rPr>
        <w:t xml:space="preserve"> </w:t>
      </w:r>
      <w:r w:rsidR="002425E2">
        <w:rPr>
          <w:rFonts w:cstheme="minorHAnsi"/>
          <w:b/>
          <w:lang w:val="en-US"/>
        </w:rPr>
        <w:t>—</w:t>
      </w:r>
      <w:r w:rsidR="004B1209">
        <w:rPr>
          <w:rFonts w:cstheme="minorHAnsi"/>
          <w:b/>
          <w:lang w:val="en-US"/>
        </w:rPr>
        <w:t xml:space="preserve"> the </w:t>
      </w:r>
      <w:r w:rsidR="00C85C13">
        <w:rPr>
          <w:rFonts w:cstheme="minorHAnsi"/>
          <w:b/>
          <w:lang w:val="en-US"/>
        </w:rPr>
        <w:t>best-known</w:t>
      </w:r>
      <w:r w:rsidR="006A5CCC" w:rsidRPr="004B1209">
        <w:rPr>
          <w:rFonts w:cstheme="minorHAnsi"/>
          <w:b/>
          <w:lang w:val="en-US"/>
        </w:rPr>
        <w:t xml:space="preserve"> case of an informal institution</w:t>
      </w:r>
      <w:r w:rsidR="004B1209">
        <w:rPr>
          <w:rFonts w:cstheme="minorHAnsi"/>
          <w:b/>
          <w:lang w:val="en-US"/>
        </w:rPr>
        <w:t xml:space="preserve"> </w:t>
      </w:r>
      <w:r w:rsidR="002425E2">
        <w:rPr>
          <w:rFonts w:cstheme="minorHAnsi"/>
          <w:b/>
          <w:lang w:val="en-US"/>
        </w:rPr>
        <w:t>—</w:t>
      </w:r>
      <w:r w:rsidR="004B1209">
        <w:rPr>
          <w:rFonts w:cstheme="minorHAnsi"/>
          <w:b/>
          <w:lang w:val="en-US"/>
        </w:rPr>
        <w:t>,</w:t>
      </w:r>
      <w:r w:rsidRPr="004B1209">
        <w:rPr>
          <w:rFonts w:cstheme="minorHAnsi"/>
          <w:b/>
          <w:lang w:val="en-US"/>
        </w:rPr>
        <w:t xml:space="preserve"> the cleaning up of unauthorized MFIs is slow</w:t>
      </w:r>
      <w:r w:rsidRPr="004B1209">
        <w:rPr>
          <w:rFonts w:cstheme="minorHAnsi"/>
          <w:lang w:val="en-US"/>
        </w:rPr>
        <w:t xml:space="preserve">. ICC collected an </w:t>
      </w:r>
      <w:r w:rsidRPr="004B1209">
        <w:rPr>
          <w:rFonts w:cs="Calibri"/>
          <w:lang w:val="en-US"/>
        </w:rPr>
        <w:t>estimated</w:t>
      </w:r>
      <w:r w:rsidRPr="004B1209">
        <w:rPr>
          <w:rFonts w:cstheme="minorHAnsi"/>
          <w:lang w:val="en-US"/>
        </w:rPr>
        <w:t xml:space="preserve"> amount of CFAF</w:t>
      </w:r>
      <w:r w:rsidR="00C702B4" w:rsidRPr="004B1209">
        <w:rPr>
          <w:rFonts w:cstheme="minorHAnsi"/>
          <w:lang w:val="en-US"/>
        </w:rPr>
        <w:t> </w:t>
      </w:r>
      <w:r w:rsidRPr="004B1209">
        <w:rPr>
          <w:rFonts w:cstheme="minorHAnsi"/>
          <w:lang w:val="en-US"/>
        </w:rPr>
        <w:t>161</w:t>
      </w:r>
      <w:r w:rsidR="00C702B4" w:rsidRPr="004B1209">
        <w:rPr>
          <w:rFonts w:cstheme="minorHAnsi"/>
          <w:lang w:val="en-US"/>
        </w:rPr>
        <w:t> </w:t>
      </w:r>
      <w:r w:rsidRPr="004B1209">
        <w:rPr>
          <w:rFonts w:cstheme="minorHAnsi"/>
          <w:lang w:val="en-US"/>
        </w:rPr>
        <w:t xml:space="preserve">billion of deposits from 150,000 to 200,000 individuals an </w:t>
      </w:r>
      <w:r w:rsidRPr="004B1209">
        <w:rPr>
          <w:rFonts w:cs="Calibri"/>
          <w:lang w:val="en-US"/>
        </w:rPr>
        <w:t>estimated</w:t>
      </w:r>
      <w:r w:rsidRPr="004B1209">
        <w:rPr>
          <w:rFonts w:cstheme="minorHAnsi"/>
          <w:lang w:val="en-US"/>
        </w:rPr>
        <w:t xml:space="preserve"> amount of CFAF</w:t>
      </w:r>
      <w:r w:rsidR="00C702B4" w:rsidRPr="004B1209">
        <w:rPr>
          <w:rFonts w:cstheme="minorHAnsi"/>
          <w:lang w:val="en-US"/>
        </w:rPr>
        <w:t> </w:t>
      </w:r>
      <w:r w:rsidRPr="004B1209">
        <w:rPr>
          <w:rFonts w:cstheme="minorHAnsi"/>
          <w:lang w:val="en-US"/>
        </w:rPr>
        <w:t>161</w:t>
      </w:r>
      <w:r w:rsidR="00C702B4" w:rsidRPr="004B1209">
        <w:rPr>
          <w:rFonts w:cstheme="minorHAnsi"/>
          <w:lang w:val="en-US"/>
        </w:rPr>
        <w:t> </w:t>
      </w:r>
      <w:r w:rsidRPr="004B1209">
        <w:rPr>
          <w:rFonts w:cstheme="minorHAnsi"/>
          <w:lang w:val="en-US"/>
        </w:rPr>
        <w:t xml:space="preserve">billion, against the promise of </w:t>
      </w:r>
      <w:r w:rsidRPr="004B1209">
        <w:rPr>
          <w:rFonts w:cs="Calibri-Bold"/>
          <w:bCs/>
          <w:lang w:val="en-US"/>
        </w:rPr>
        <w:t>160 percent</w:t>
      </w:r>
      <w:r w:rsidRPr="004B1209">
        <w:rPr>
          <w:rFonts w:cstheme="minorHAnsi"/>
          <w:lang w:val="en-US"/>
        </w:rPr>
        <w:t xml:space="preserve"> interest return per year. Only 68,000 depositors have received a reimbursement of CFAF</w:t>
      </w:r>
      <w:r w:rsidR="00C702B4" w:rsidRPr="004B1209">
        <w:rPr>
          <w:rFonts w:cstheme="minorHAnsi"/>
          <w:lang w:val="en-US"/>
        </w:rPr>
        <w:t> </w:t>
      </w:r>
      <w:r w:rsidRPr="004B1209">
        <w:rPr>
          <w:rFonts w:cstheme="minorHAnsi"/>
          <w:lang w:val="en-US"/>
        </w:rPr>
        <w:t>8.3</w:t>
      </w:r>
      <w:r w:rsidR="00C702B4" w:rsidRPr="004B1209">
        <w:rPr>
          <w:rFonts w:cstheme="minorHAnsi"/>
          <w:lang w:val="en-US"/>
        </w:rPr>
        <w:t> </w:t>
      </w:r>
      <w:r w:rsidRPr="004B1209">
        <w:rPr>
          <w:rFonts w:cstheme="minorHAnsi"/>
          <w:lang w:val="en-US"/>
        </w:rPr>
        <w:t>billion. Since this collapse, the Government of Benin (</w:t>
      </w:r>
      <w:proofErr w:type="spellStart"/>
      <w:r w:rsidRPr="004B1209">
        <w:rPr>
          <w:rFonts w:cstheme="minorHAnsi"/>
          <w:lang w:val="en-US"/>
        </w:rPr>
        <w:t>GoB</w:t>
      </w:r>
      <w:proofErr w:type="spellEnd"/>
      <w:r w:rsidRPr="004B1209">
        <w:rPr>
          <w:rFonts w:cstheme="minorHAnsi"/>
          <w:lang w:val="en-US"/>
        </w:rPr>
        <w:t>) set up an inter-</w:t>
      </w:r>
      <w:r w:rsidR="00EC4E15" w:rsidRPr="004B1209">
        <w:rPr>
          <w:rFonts w:cstheme="minorHAnsi"/>
          <w:lang w:val="en-US"/>
        </w:rPr>
        <w:t>minist</w:t>
      </w:r>
      <w:r w:rsidR="00EC4E15">
        <w:rPr>
          <w:rFonts w:cstheme="minorHAnsi"/>
          <w:lang w:val="en-US"/>
        </w:rPr>
        <w:t xml:space="preserve">erial </w:t>
      </w:r>
      <w:r w:rsidRPr="004B1209">
        <w:rPr>
          <w:rFonts w:cstheme="minorHAnsi"/>
          <w:lang w:val="en-US"/>
        </w:rPr>
        <w:t xml:space="preserve">committee in 2011 to clean up unauthorized MFIs. This committee is composed of several ministerial </w:t>
      </w:r>
      <w:r w:rsidRPr="004B1209">
        <w:rPr>
          <w:rFonts w:cs="Calibri-Bold"/>
          <w:bCs/>
          <w:lang w:val="en-US"/>
        </w:rPr>
        <w:t>departments</w:t>
      </w:r>
      <w:r w:rsidRPr="004B1209">
        <w:rPr>
          <w:rFonts w:cstheme="minorHAnsi"/>
          <w:lang w:val="en-US"/>
        </w:rPr>
        <w:t xml:space="preserve"> and actors of the sector.</w:t>
      </w:r>
      <w:r w:rsidRPr="004B1209">
        <w:rPr>
          <w:rFonts w:cs="Arial"/>
          <w:lang w:val="en-US"/>
        </w:rPr>
        <w:t xml:space="preserve"> </w:t>
      </w:r>
      <w:r w:rsidRPr="004B1209">
        <w:rPr>
          <w:rFonts w:cs="SegoeUI"/>
          <w:lang w:val="en-US"/>
        </w:rPr>
        <w:t xml:space="preserve">However, </w:t>
      </w:r>
      <w:r w:rsidRPr="004B1209">
        <w:rPr>
          <w:rFonts w:cstheme="minorHAnsi"/>
          <w:lang w:val="en-US"/>
        </w:rPr>
        <w:t>since the ICC case, less than 15 institutions have been closed.</w:t>
      </w:r>
      <w:r w:rsidRPr="004B1209">
        <w:rPr>
          <w:rFonts w:cs="SegoeUI"/>
          <w:lang w:val="en-US"/>
        </w:rPr>
        <w:t xml:space="preserve"> </w:t>
      </w:r>
      <w:r w:rsidRPr="004B1209">
        <w:rPr>
          <w:rFonts w:cstheme="minorHAnsi"/>
          <w:lang w:val="en-US"/>
        </w:rPr>
        <w:t>Furthermore, different interpretations of the relevant regulation and enforcement actions against one distressed MFI by the Committee triggered a court ruling against the national supervisory authority that prevented the MFI’s closure, which in turn delayed other enforcement</w:t>
      </w:r>
      <w:r w:rsidRPr="004B1209">
        <w:rPr>
          <w:rFonts w:cs="SegoeUI"/>
          <w:lang w:val="en-US"/>
        </w:rPr>
        <w:t xml:space="preserve"> actions. </w:t>
      </w:r>
    </w:p>
    <w:p w14:paraId="53470DEC" w14:textId="4ACCBFC5" w:rsidR="008C23D6" w:rsidRPr="00124DA6" w:rsidRDefault="008C23D6" w:rsidP="00C85C13">
      <w:pPr>
        <w:pStyle w:val="ListParagraph"/>
        <w:numPr>
          <w:ilvl w:val="0"/>
          <w:numId w:val="47"/>
        </w:numPr>
        <w:spacing w:after="240" w:line="240" w:lineRule="auto"/>
        <w:ind w:left="0" w:firstLine="0"/>
        <w:contextualSpacing w:val="0"/>
        <w:jc w:val="both"/>
        <w:rPr>
          <w:rFonts w:cstheme="minorHAnsi"/>
          <w:lang w:val="en-US"/>
        </w:rPr>
      </w:pPr>
      <w:r>
        <w:rPr>
          <w:rFonts w:cstheme="minorHAnsi"/>
          <w:b/>
          <w:lang w:val="en-US"/>
        </w:rPr>
        <w:t xml:space="preserve">Notwithstanding a </w:t>
      </w:r>
      <w:r w:rsidRPr="00124DA6">
        <w:rPr>
          <w:rFonts w:cstheme="minorHAnsi"/>
          <w:b/>
          <w:lang w:val="en-US"/>
        </w:rPr>
        <w:t>well-defined supervisory arrangement</w:t>
      </w:r>
      <w:r w:rsidRPr="00124DA6">
        <w:rPr>
          <w:rFonts w:cstheme="minorHAnsi"/>
          <w:lang w:val="en-US"/>
        </w:rPr>
        <w:t xml:space="preserve">, </w:t>
      </w:r>
      <w:r w:rsidRPr="00124DA6">
        <w:rPr>
          <w:rFonts w:cstheme="minorHAnsi"/>
          <w:b/>
          <w:bCs/>
          <w:lang w:val="en-US"/>
        </w:rPr>
        <w:t>the supervision of MFIs remains challenging</w:t>
      </w:r>
      <w:r w:rsidRPr="00124DA6">
        <w:rPr>
          <w:rFonts w:cstheme="minorHAnsi"/>
          <w:lang w:val="en-US"/>
        </w:rPr>
        <w:t>. In 2017, the Banking Commission and BCEAO did not conduct on-site inspection of Article</w:t>
      </w:r>
      <w:r w:rsidR="00C702B4">
        <w:rPr>
          <w:rFonts w:cstheme="minorHAnsi"/>
          <w:lang w:val="en-US"/>
        </w:rPr>
        <w:t> </w:t>
      </w:r>
      <w:r w:rsidRPr="00124DA6">
        <w:rPr>
          <w:rFonts w:cstheme="minorHAnsi"/>
          <w:lang w:val="en-US"/>
        </w:rPr>
        <w:t>44 MFIs. ANSSFD</w:t>
      </w:r>
      <w:r w:rsidRPr="00124DA6">
        <w:rPr>
          <w:rFonts w:cstheme="minorHAnsi"/>
          <w:i/>
          <w:iCs/>
          <w:lang w:val="en-US"/>
        </w:rPr>
        <w:t xml:space="preserve"> </w:t>
      </w:r>
      <w:r w:rsidRPr="00124DA6">
        <w:rPr>
          <w:rFonts w:cstheme="minorHAnsi"/>
          <w:lang w:val="en-US"/>
        </w:rPr>
        <w:t xml:space="preserve">is responsible for inspecting on-site all remaining licensed MFIs in the country and performing the off-site examination of their financial statements. However, ANSSFD recognizes that they often </w:t>
      </w:r>
      <w:r w:rsidRPr="00124DA6">
        <w:rPr>
          <w:rFonts w:cstheme="minorHAnsi"/>
          <w:bCs/>
          <w:lang w:val="en-US"/>
        </w:rPr>
        <w:t>conduct</w:t>
      </w:r>
      <w:r w:rsidRPr="00124DA6">
        <w:rPr>
          <w:rFonts w:cstheme="minorHAnsi"/>
          <w:lang w:val="en-US"/>
        </w:rPr>
        <w:t xml:space="preserve"> inspection every two years and </w:t>
      </w:r>
      <w:r w:rsidRPr="00124DA6">
        <w:rPr>
          <w:rFonts w:ascii="Calibri" w:hAnsi="Calibri" w:cs="Calibri"/>
          <w:lang w:val="en-US"/>
        </w:rPr>
        <w:t>for</w:t>
      </w:r>
      <w:r w:rsidRPr="00124DA6">
        <w:rPr>
          <w:rFonts w:cstheme="minorHAnsi"/>
          <w:lang w:val="en-US"/>
        </w:rPr>
        <w:t xml:space="preserve"> some institutions in the country it can be up to every five years. </w:t>
      </w:r>
    </w:p>
    <w:p w14:paraId="67EE046D" w14:textId="7F582600" w:rsidR="008C23D6" w:rsidRPr="008D696D" w:rsidRDefault="008C23D6" w:rsidP="00C85C13">
      <w:pPr>
        <w:pStyle w:val="ListParagraph"/>
        <w:numPr>
          <w:ilvl w:val="0"/>
          <w:numId w:val="47"/>
        </w:numPr>
        <w:spacing w:after="240" w:line="240" w:lineRule="auto"/>
        <w:ind w:left="0" w:firstLine="0"/>
        <w:contextualSpacing w:val="0"/>
        <w:jc w:val="both"/>
        <w:rPr>
          <w:rFonts w:ascii="Calibri" w:hAnsi="Calibri" w:cs="Calibri"/>
          <w:lang w:val="en-US"/>
        </w:rPr>
      </w:pPr>
      <w:r w:rsidRPr="008D696D">
        <w:rPr>
          <w:rFonts w:cstheme="minorHAnsi"/>
          <w:b/>
          <w:lang w:val="en-US"/>
        </w:rPr>
        <w:t xml:space="preserve">Limited capacities of the </w:t>
      </w:r>
      <w:r>
        <w:rPr>
          <w:rFonts w:cstheme="minorHAnsi"/>
          <w:b/>
          <w:lang w:val="en-US"/>
        </w:rPr>
        <w:t xml:space="preserve">national </w:t>
      </w:r>
      <w:r w:rsidRPr="008D696D">
        <w:rPr>
          <w:rFonts w:cstheme="minorHAnsi"/>
          <w:b/>
          <w:lang w:val="en-US"/>
        </w:rPr>
        <w:t xml:space="preserve">supervisory authority continue to be </w:t>
      </w:r>
      <w:r w:rsidR="002D5D82">
        <w:rPr>
          <w:rFonts w:cstheme="minorHAnsi"/>
          <w:b/>
          <w:lang w:val="en-US"/>
        </w:rPr>
        <w:t xml:space="preserve">challenging for the </w:t>
      </w:r>
      <w:r w:rsidRPr="008D696D">
        <w:rPr>
          <w:rFonts w:cstheme="minorHAnsi"/>
          <w:b/>
          <w:lang w:val="en-US"/>
        </w:rPr>
        <w:t xml:space="preserve">sector. </w:t>
      </w:r>
      <w:r w:rsidRPr="008D696D">
        <w:rPr>
          <w:rFonts w:cstheme="minorHAnsi"/>
          <w:lang w:val="en-US"/>
        </w:rPr>
        <w:t xml:space="preserve">ANSSFD is involved in the licensing process of MFIs and their supervision. ANNSFD is based in Cotonou and all MFIs </w:t>
      </w:r>
      <w:r w:rsidR="00C447E1">
        <w:rPr>
          <w:rFonts w:cstheme="minorHAnsi"/>
          <w:lang w:val="en-US"/>
        </w:rPr>
        <w:t>willing</w:t>
      </w:r>
      <w:r w:rsidR="00C447E1" w:rsidRPr="008D696D">
        <w:rPr>
          <w:rFonts w:cstheme="minorHAnsi"/>
          <w:lang w:val="en-US"/>
        </w:rPr>
        <w:t xml:space="preserve"> </w:t>
      </w:r>
      <w:r w:rsidRPr="008D696D">
        <w:rPr>
          <w:rFonts w:cstheme="minorHAnsi"/>
          <w:lang w:val="en-US"/>
        </w:rPr>
        <w:t xml:space="preserve">to apply for a license must travel and submit the application and the required documents in person. The recent microfinance law has tightened the licensing requirements, and the absence of the licensing authority in-country probably </w:t>
      </w:r>
      <w:r w:rsidR="00C447E1">
        <w:rPr>
          <w:rFonts w:cstheme="minorHAnsi"/>
          <w:lang w:val="en-US"/>
        </w:rPr>
        <w:t>contributes</w:t>
      </w:r>
      <w:r w:rsidR="00C447E1" w:rsidRPr="008D696D">
        <w:rPr>
          <w:rFonts w:cstheme="minorHAnsi"/>
          <w:lang w:val="en-US"/>
        </w:rPr>
        <w:t xml:space="preserve"> </w:t>
      </w:r>
      <w:r w:rsidRPr="008D696D">
        <w:rPr>
          <w:rFonts w:cstheme="minorHAnsi"/>
          <w:lang w:val="en-US"/>
        </w:rPr>
        <w:t>to the prevalence of unauthorized MFIs</w:t>
      </w:r>
      <w:r w:rsidRPr="008D696D">
        <w:rPr>
          <w:rFonts w:cstheme="minorHAnsi"/>
          <w:bCs/>
          <w:lang w:val="en-US"/>
        </w:rPr>
        <w:t xml:space="preserve"> and informal finance. In addition, </w:t>
      </w:r>
      <w:r w:rsidRPr="008D696D">
        <w:rPr>
          <w:rFonts w:cstheme="minorHAnsi"/>
          <w:lang w:val="en-US"/>
        </w:rPr>
        <w:t xml:space="preserve">ANSSFD </w:t>
      </w:r>
      <w:r w:rsidR="00C447E1">
        <w:rPr>
          <w:rFonts w:cstheme="minorHAnsi"/>
          <w:lang w:val="en-US"/>
        </w:rPr>
        <w:t>lacks</w:t>
      </w:r>
      <w:r w:rsidR="00C447E1" w:rsidRPr="008D696D">
        <w:rPr>
          <w:rFonts w:cstheme="minorHAnsi"/>
          <w:bCs/>
          <w:lang w:val="en-US"/>
        </w:rPr>
        <w:t xml:space="preserve"> </w:t>
      </w:r>
      <w:r w:rsidRPr="008D696D">
        <w:rPr>
          <w:rFonts w:cstheme="minorHAnsi"/>
          <w:bCs/>
          <w:lang w:val="en-US"/>
        </w:rPr>
        <w:t xml:space="preserve">resources and </w:t>
      </w:r>
      <w:r w:rsidRPr="008D696D">
        <w:rPr>
          <w:rFonts w:cstheme="minorHAnsi"/>
          <w:lang w:val="en-US"/>
        </w:rPr>
        <w:t xml:space="preserve">has been unable to supervise all licensed and registered MFIs in the country effectively due to lack of capacity, both human and technical. </w:t>
      </w:r>
      <w:r w:rsidRPr="008D696D">
        <w:rPr>
          <w:rFonts w:cstheme="minorHAnsi"/>
          <w:bCs/>
          <w:lang w:val="en-US"/>
        </w:rPr>
        <w:t xml:space="preserve">Indeed, the agency has </w:t>
      </w:r>
      <w:r w:rsidRPr="008D696D">
        <w:rPr>
          <w:rFonts w:cstheme="minorHAnsi"/>
          <w:lang w:val="en-US"/>
        </w:rPr>
        <w:t>30 staff (20 inspectors responsible for on-site inspections of all the 100 licensed MFIs and 10 administrative support staff)—all civil servant</w:t>
      </w:r>
      <w:r w:rsidR="00141BD7">
        <w:rPr>
          <w:rFonts w:cstheme="minorHAnsi"/>
          <w:lang w:val="en-US"/>
        </w:rPr>
        <w:t>s</w:t>
      </w:r>
      <w:r w:rsidRPr="008D696D">
        <w:rPr>
          <w:rFonts w:cstheme="minorHAnsi"/>
          <w:lang w:val="en-US"/>
        </w:rPr>
        <w:t xml:space="preserve"> and thereby subject to relocation in another public department. Or it generally takes four to five years for an inspector to be fully trained and master his or her role. To put things in perspective, the regional Banking Commission oversees a total of about 130 MFIs in the eight WAEMU countries, while </w:t>
      </w:r>
      <w:r w:rsidRPr="008D696D">
        <w:rPr>
          <w:rFonts w:cstheme="minorHAnsi"/>
          <w:iCs/>
          <w:lang w:val="en-US"/>
        </w:rPr>
        <w:t>ANSSFD</w:t>
      </w:r>
      <w:r w:rsidRPr="008D696D">
        <w:rPr>
          <w:rFonts w:cstheme="minorHAnsi"/>
          <w:i/>
          <w:iCs/>
          <w:lang w:val="en-US"/>
        </w:rPr>
        <w:t xml:space="preserve"> </w:t>
      </w:r>
      <w:r w:rsidRPr="008D696D">
        <w:rPr>
          <w:rFonts w:cstheme="minorHAnsi"/>
          <w:lang w:val="en-US"/>
        </w:rPr>
        <w:t xml:space="preserve">in Benin already has 100 licensed MFIs to monitor. Given ANSSFD current limited human and technical resources, coupled with the lack of appropriate salary and other job incentives (four inspectors are leaving in the first quarter of 2018), it will be difficult to see major improvements in the ability of </w:t>
      </w:r>
      <w:r w:rsidRPr="008D696D">
        <w:rPr>
          <w:rFonts w:cstheme="minorHAnsi"/>
          <w:iCs/>
          <w:lang w:val="en-US"/>
        </w:rPr>
        <w:t>ANSSFD</w:t>
      </w:r>
      <w:r w:rsidRPr="008D696D">
        <w:rPr>
          <w:rFonts w:cstheme="minorHAnsi"/>
          <w:i/>
          <w:iCs/>
          <w:lang w:val="en-US"/>
        </w:rPr>
        <w:t xml:space="preserve"> </w:t>
      </w:r>
      <w:r w:rsidRPr="008D696D">
        <w:rPr>
          <w:rFonts w:cstheme="minorHAnsi"/>
          <w:lang w:val="en-US"/>
        </w:rPr>
        <w:t xml:space="preserve">in Benin to properly supervise all licensed MFIs and to clean up </w:t>
      </w:r>
      <w:r w:rsidRPr="008D696D">
        <w:rPr>
          <w:rFonts w:ascii="Calibri" w:hAnsi="Calibri" w:cs="Calibri"/>
          <w:lang w:val="en-US"/>
        </w:rPr>
        <w:t>unauthorized</w:t>
      </w:r>
      <w:r w:rsidRPr="008D696D">
        <w:rPr>
          <w:rFonts w:cstheme="minorHAnsi"/>
          <w:lang w:val="en-US"/>
        </w:rPr>
        <w:t xml:space="preserve"> MFIs without a proper support. </w:t>
      </w:r>
    </w:p>
    <w:p w14:paraId="312CC6CE" w14:textId="760993C7" w:rsidR="008C23D6" w:rsidRPr="008C23D6" w:rsidRDefault="008C23D6" w:rsidP="00C85C13">
      <w:pPr>
        <w:pStyle w:val="ListParagraph"/>
        <w:numPr>
          <w:ilvl w:val="0"/>
          <w:numId w:val="47"/>
        </w:numPr>
        <w:spacing w:after="240" w:line="240" w:lineRule="auto"/>
        <w:ind w:left="0" w:firstLine="0"/>
        <w:contextualSpacing w:val="0"/>
        <w:jc w:val="both"/>
        <w:rPr>
          <w:rFonts w:cstheme="minorHAnsi"/>
          <w:color w:val="222222"/>
          <w:lang w:val="en-US"/>
        </w:rPr>
      </w:pPr>
      <w:r>
        <w:rPr>
          <w:rFonts w:cstheme="minorHAnsi"/>
          <w:b/>
          <w:lang w:val="en-US"/>
        </w:rPr>
        <w:t xml:space="preserve">Tiered approach supervision </w:t>
      </w:r>
      <w:r w:rsidRPr="00E33797">
        <w:rPr>
          <w:rFonts w:cstheme="minorHAnsi"/>
          <w:b/>
          <w:lang w:val="en-US"/>
        </w:rPr>
        <w:t xml:space="preserve">implementation has revealed </w:t>
      </w:r>
      <w:r w:rsidR="00BC5459">
        <w:rPr>
          <w:rFonts w:cstheme="minorHAnsi"/>
          <w:b/>
          <w:lang w:val="en-US"/>
        </w:rPr>
        <w:t>significant</w:t>
      </w:r>
      <w:r w:rsidR="00BC5459" w:rsidRPr="00E33797">
        <w:rPr>
          <w:rFonts w:cstheme="minorHAnsi"/>
          <w:b/>
          <w:lang w:val="en-US"/>
        </w:rPr>
        <w:t xml:space="preserve"> </w:t>
      </w:r>
      <w:r w:rsidRPr="00E33797">
        <w:rPr>
          <w:rFonts w:cstheme="minorHAnsi"/>
          <w:b/>
          <w:lang w:val="en-US"/>
        </w:rPr>
        <w:t xml:space="preserve">weaknesses. </w:t>
      </w:r>
      <w:r w:rsidRPr="00E33797">
        <w:rPr>
          <w:rFonts w:cstheme="minorHAnsi"/>
          <w:lang w:val="en-US"/>
        </w:rPr>
        <w:t xml:space="preserve">Indeed, </w:t>
      </w:r>
      <w:r>
        <w:rPr>
          <w:rFonts w:cstheme="minorHAnsi"/>
          <w:lang w:val="en-US"/>
        </w:rPr>
        <w:t xml:space="preserve">such approach faces the limited capacities (expertise) of federations </w:t>
      </w:r>
      <w:r w:rsidRPr="00E33797">
        <w:rPr>
          <w:rFonts w:cstheme="minorHAnsi"/>
          <w:lang w:val="en-US"/>
        </w:rPr>
        <w:t>to handle the large number of MFIs</w:t>
      </w:r>
      <w:r>
        <w:rPr>
          <w:rFonts w:cstheme="minorHAnsi"/>
          <w:lang w:val="en-US"/>
        </w:rPr>
        <w:t xml:space="preserve"> operating in their network</w:t>
      </w:r>
      <w:r w:rsidRPr="00E33797">
        <w:rPr>
          <w:rFonts w:cstheme="minorHAnsi"/>
          <w:lang w:val="en-US"/>
        </w:rPr>
        <w:t xml:space="preserve">. </w:t>
      </w:r>
      <w:r w:rsidR="00C447E1">
        <w:rPr>
          <w:rFonts w:cstheme="minorHAnsi"/>
          <w:lang w:val="en-US"/>
        </w:rPr>
        <w:t>These federations</w:t>
      </w:r>
      <w:r>
        <w:rPr>
          <w:rFonts w:cstheme="minorHAnsi"/>
          <w:lang w:val="en-US"/>
        </w:rPr>
        <w:t xml:space="preserve"> didn’t receive </w:t>
      </w:r>
      <w:r w:rsidRPr="00E33797">
        <w:rPr>
          <w:rFonts w:cstheme="minorHAnsi"/>
          <w:lang w:val="en-US"/>
        </w:rPr>
        <w:t>proper training and tools to acquire the skil</w:t>
      </w:r>
      <w:r>
        <w:rPr>
          <w:rFonts w:cstheme="minorHAnsi"/>
          <w:lang w:val="en-US"/>
        </w:rPr>
        <w:t xml:space="preserve">ls needed to fully deliver the mandate </w:t>
      </w:r>
      <w:r w:rsidR="00C447E1">
        <w:rPr>
          <w:rFonts w:cstheme="minorHAnsi"/>
          <w:lang w:val="en-US"/>
        </w:rPr>
        <w:t xml:space="preserve">assigned </w:t>
      </w:r>
      <w:r>
        <w:rPr>
          <w:rFonts w:cstheme="minorHAnsi"/>
          <w:lang w:val="en-US"/>
        </w:rPr>
        <w:t>to them.</w:t>
      </w:r>
    </w:p>
    <w:p w14:paraId="1DD39452" w14:textId="5A281EEC" w:rsidR="008C23D6" w:rsidRPr="00124DA6" w:rsidRDefault="008C23D6" w:rsidP="00C85C13">
      <w:pPr>
        <w:pStyle w:val="ListParagraph"/>
        <w:numPr>
          <w:ilvl w:val="0"/>
          <w:numId w:val="47"/>
        </w:numPr>
        <w:spacing w:after="240" w:line="240" w:lineRule="auto"/>
        <w:ind w:left="0" w:firstLine="0"/>
        <w:contextualSpacing w:val="0"/>
        <w:jc w:val="both"/>
        <w:rPr>
          <w:rFonts w:ascii="Calibri" w:hAnsi="Calibri" w:cs="Calibri"/>
          <w:lang w:val="en-US"/>
        </w:rPr>
      </w:pPr>
      <w:r>
        <w:rPr>
          <w:rFonts w:cstheme="minorHAnsi"/>
          <w:b/>
          <w:color w:val="222222"/>
          <w:lang w:val="en-US"/>
        </w:rPr>
        <w:t>On the industry side, the</w:t>
      </w:r>
      <w:r w:rsidRPr="00124DA6">
        <w:rPr>
          <w:rFonts w:cstheme="minorHAnsi"/>
          <w:b/>
          <w:color w:val="222222"/>
          <w:lang w:val="en-US"/>
        </w:rPr>
        <w:t xml:space="preserve"> weakness </w:t>
      </w:r>
      <w:r>
        <w:rPr>
          <w:rFonts w:cstheme="minorHAnsi"/>
          <w:b/>
          <w:color w:val="222222"/>
          <w:lang w:val="en-US"/>
        </w:rPr>
        <w:t>of MFIs’ MIS remains their Achilles</w:t>
      </w:r>
      <w:r w:rsidR="00C447E1">
        <w:rPr>
          <w:rFonts w:cstheme="minorHAnsi"/>
          <w:b/>
          <w:color w:val="222222"/>
          <w:lang w:val="en-US"/>
        </w:rPr>
        <w:t>’</w:t>
      </w:r>
      <w:r>
        <w:rPr>
          <w:rFonts w:cstheme="minorHAnsi"/>
          <w:b/>
          <w:color w:val="222222"/>
          <w:lang w:val="en-US"/>
        </w:rPr>
        <w:t xml:space="preserve"> heel</w:t>
      </w:r>
      <w:r w:rsidRPr="00124DA6">
        <w:rPr>
          <w:rFonts w:cstheme="minorHAnsi"/>
          <w:b/>
          <w:color w:val="222222"/>
          <w:lang w:val="en-US"/>
        </w:rPr>
        <w:t>.</w:t>
      </w:r>
      <w:r w:rsidRPr="00124DA6">
        <w:rPr>
          <w:rFonts w:cstheme="minorHAnsi"/>
          <w:color w:val="222222"/>
          <w:lang w:val="en-US"/>
        </w:rPr>
        <w:t xml:space="preserve"> The MIS of an important number of MFIs is not up-to-date and does not allow them to prepare and report their data </w:t>
      </w:r>
      <w:r w:rsidR="000D6855">
        <w:rPr>
          <w:rFonts w:cstheme="minorHAnsi"/>
          <w:color w:val="222222"/>
          <w:lang w:val="en-US"/>
        </w:rPr>
        <w:t>consistently</w:t>
      </w:r>
      <w:r w:rsidR="000D6855" w:rsidRPr="00124DA6">
        <w:rPr>
          <w:rFonts w:cstheme="minorHAnsi"/>
          <w:color w:val="222222"/>
          <w:lang w:val="en-US"/>
        </w:rPr>
        <w:t xml:space="preserve"> </w:t>
      </w:r>
      <w:r w:rsidRPr="00124DA6">
        <w:rPr>
          <w:rFonts w:cstheme="minorHAnsi"/>
          <w:color w:val="222222"/>
          <w:lang w:val="en-US"/>
        </w:rPr>
        <w:t>with the requirements of the supervisory authority and in real time, thus causing delays in reporting and decision</w:t>
      </w:r>
      <w:r w:rsidR="00141BD7">
        <w:rPr>
          <w:rFonts w:cstheme="minorHAnsi"/>
          <w:color w:val="222222"/>
          <w:lang w:val="en-US"/>
        </w:rPr>
        <w:t>-</w:t>
      </w:r>
      <w:r w:rsidRPr="00124DA6">
        <w:rPr>
          <w:rFonts w:cstheme="minorHAnsi"/>
          <w:color w:val="222222"/>
          <w:lang w:val="en-US"/>
        </w:rPr>
        <w:t xml:space="preserve">making. Enhancing their MIS is needed to improve their financial management and accounting system. In addition, the imperfection of </w:t>
      </w:r>
      <w:r w:rsidRPr="00124DA6">
        <w:rPr>
          <w:rFonts w:ascii="Calibri" w:hAnsi="Calibri" w:cs="Calibri"/>
          <w:lang w:val="en-US"/>
        </w:rPr>
        <w:t>the</w:t>
      </w:r>
      <w:r w:rsidRPr="00124DA6">
        <w:rPr>
          <w:rFonts w:cstheme="minorHAnsi"/>
          <w:color w:val="222222"/>
          <w:lang w:val="en-US"/>
        </w:rPr>
        <w:t xml:space="preserve"> MIS also limits the involvement of MFIs in digital finance, since interfacing with mobile money operator systems is limited. In addition to the weaknesses of the MIS, the internal control system of significant numbers of MFIs is insufficient, </w:t>
      </w:r>
      <w:r w:rsidR="000D6855">
        <w:rPr>
          <w:rFonts w:cstheme="minorHAnsi"/>
          <w:color w:val="222222"/>
          <w:lang w:val="en-US"/>
        </w:rPr>
        <w:t xml:space="preserve">for </w:t>
      </w:r>
      <w:r w:rsidRPr="00124DA6">
        <w:rPr>
          <w:rFonts w:cstheme="minorHAnsi"/>
          <w:color w:val="222222"/>
          <w:lang w:val="en-US"/>
        </w:rPr>
        <w:t xml:space="preserve">they lack adequate procedure manual and credit management tools. As a result, </w:t>
      </w:r>
      <w:r w:rsidRPr="00124DA6">
        <w:rPr>
          <w:rFonts w:cstheme="minorHAnsi"/>
          <w:bCs/>
          <w:lang w:val="en-US"/>
        </w:rPr>
        <w:t>reliable data on the state and performance of MFIs are a challenge.</w:t>
      </w:r>
      <w:r w:rsidRPr="00124DA6">
        <w:rPr>
          <w:rFonts w:cstheme="minorHAnsi"/>
          <w:color w:val="222222"/>
          <w:lang w:val="en-US"/>
        </w:rPr>
        <w:t xml:space="preserve"> </w:t>
      </w:r>
    </w:p>
    <w:p w14:paraId="58EDCC34" w14:textId="7212C949" w:rsidR="008C23D6" w:rsidRPr="00124DA6" w:rsidRDefault="000D6855" w:rsidP="00C85C13">
      <w:pPr>
        <w:pStyle w:val="ListParagraph"/>
        <w:numPr>
          <w:ilvl w:val="0"/>
          <w:numId w:val="47"/>
        </w:numPr>
        <w:spacing w:after="240" w:line="240" w:lineRule="auto"/>
        <w:ind w:left="0" w:firstLine="0"/>
        <w:contextualSpacing w:val="0"/>
        <w:jc w:val="both"/>
        <w:rPr>
          <w:rFonts w:ascii="Calibri" w:hAnsi="Calibri" w:cs="Calibri"/>
          <w:lang w:val="en-US"/>
        </w:rPr>
      </w:pPr>
      <w:r>
        <w:rPr>
          <w:rFonts w:cstheme="minorHAnsi"/>
          <w:b/>
          <w:color w:val="222222"/>
          <w:lang w:val="en-US"/>
        </w:rPr>
        <w:t xml:space="preserve">In Benin, </w:t>
      </w:r>
      <w:r w:rsidR="008C23D6" w:rsidRPr="00124DA6">
        <w:rPr>
          <w:rFonts w:cstheme="minorHAnsi"/>
          <w:b/>
          <w:color w:val="222222"/>
          <w:lang w:val="en-US"/>
        </w:rPr>
        <w:t>MFIs</w:t>
      </w:r>
      <w:r>
        <w:rPr>
          <w:rFonts w:cstheme="minorHAnsi"/>
          <w:b/>
          <w:color w:val="222222"/>
          <w:lang w:val="en-US"/>
        </w:rPr>
        <w:t xml:space="preserve"> </w:t>
      </w:r>
      <w:r w:rsidR="002425E2">
        <w:rPr>
          <w:rFonts w:cstheme="minorHAnsi"/>
          <w:b/>
          <w:color w:val="222222"/>
          <w:lang w:val="en-US"/>
        </w:rPr>
        <w:t>—</w:t>
      </w:r>
      <w:r>
        <w:rPr>
          <w:rFonts w:cstheme="minorHAnsi"/>
          <w:b/>
          <w:color w:val="222222"/>
          <w:lang w:val="en-US"/>
        </w:rPr>
        <w:t xml:space="preserve"> and, </w:t>
      </w:r>
      <w:r w:rsidRPr="00124DA6">
        <w:rPr>
          <w:rFonts w:cstheme="minorHAnsi"/>
          <w:b/>
          <w:color w:val="222222"/>
          <w:lang w:val="en-US"/>
        </w:rPr>
        <w:t>particularly financial cooperatives</w:t>
      </w:r>
      <w:r w:rsidRPr="00124DA6" w:rsidDel="000D6855">
        <w:rPr>
          <w:rFonts w:cstheme="minorHAnsi"/>
          <w:b/>
          <w:color w:val="222222"/>
          <w:lang w:val="en-US"/>
        </w:rPr>
        <w:t xml:space="preserve"> </w:t>
      </w:r>
      <w:r w:rsidR="002425E2">
        <w:rPr>
          <w:rFonts w:cstheme="minorHAnsi"/>
          <w:b/>
          <w:color w:val="222222"/>
          <w:lang w:val="en-US"/>
        </w:rPr>
        <w:t>—</w:t>
      </w:r>
      <w:r>
        <w:rPr>
          <w:rFonts w:cstheme="minorHAnsi"/>
          <w:b/>
          <w:color w:val="222222"/>
          <w:lang w:val="en-US"/>
        </w:rPr>
        <w:t xml:space="preserve"> </w:t>
      </w:r>
      <w:r w:rsidR="008C23D6" w:rsidRPr="00124DA6">
        <w:rPr>
          <w:rFonts w:cstheme="minorHAnsi"/>
          <w:b/>
          <w:color w:val="222222"/>
          <w:lang w:val="en-US"/>
        </w:rPr>
        <w:t xml:space="preserve">are </w:t>
      </w:r>
      <w:r>
        <w:rPr>
          <w:rFonts w:cstheme="minorHAnsi"/>
          <w:b/>
          <w:color w:val="222222"/>
          <w:lang w:val="en-US"/>
        </w:rPr>
        <w:t xml:space="preserve">also </w:t>
      </w:r>
      <w:r w:rsidR="008C23D6" w:rsidRPr="00124DA6">
        <w:rPr>
          <w:rFonts w:cstheme="minorHAnsi"/>
          <w:b/>
          <w:color w:val="222222"/>
          <w:lang w:val="en-US"/>
        </w:rPr>
        <w:t>struggling</w:t>
      </w:r>
      <w:r w:rsidR="002D5D82">
        <w:rPr>
          <w:rFonts w:cstheme="minorHAnsi"/>
          <w:b/>
          <w:color w:val="222222"/>
          <w:lang w:val="en-US"/>
        </w:rPr>
        <w:t xml:space="preserve"> </w:t>
      </w:r>
      <w:proofErr w:type="gramStart"/>
      <w:r>
        <w:rPr>
          <w:rFonts w:cstheme="minorHAnsi"/>
          <w:b/>
          <w:color w:val="222222"/>
          <w:lang w:val="en-US"/>
        </w:rPr>
        <w:t>as a result of</w:t>
      </w:r>
      <w:proofErr w:type="gramEnd"/>
      <w:r>
        <w:rPr>
          <w:rFonts w:cstheme="minorHAnsi"/>
          <w:b/>
          <w:color w:val="222222"/>
          <w:lang w:val="en-US"/>
        </w:rPr>
        <w:t xml:space="preserve"> </w:t>
      </w:r>
      <w:r w:rsidR="008C23D6" w:rsidRPr="00124DA6">
        <w:rPr>
          <w:rFonts w:cstheme="minorHAnsi"/>
          <w:b/>
          <w:color w:val="222222"/>
          <w:lang w:val="en-US"/>
        </w:rPr>
        <w:t>governance weaknesses</w:t>
      </w:r>
      <w:r w:rsidR="008C23D6" w:rsidRPr="00124DA6">
        <w:rPr>
          <w:rFonts w:cstheme="minorHAnsi"/>
          <w:color w:val="222222"/>
          <w:lang w:val="en-US"/>
        </w:rPr>
        <w:t xml:space="preserve">. Governance weaknesses are </w:t>
      </w:r>
      <w:r>
        <w:rPr>
          <w:rFonts w:cstheme="minorHAnsi"/>
          <w:color w:val="222222"/>
          <w:lang w:val="en-US"/>
        </w:rPr>
        <w:t>exacerbated</w:t>
      </w:r>
      <w:r w:rsidRPr="00124DA6">
        <w:rPr>
          <w:rFonts w:cstheme="minorHAnsi"/>
          <w:color w:val="222222"/>
          <w:lang w:val="en-US"/>
        </w:rPr>
        <w:t xml:space="preserve"> </w:t>
      </w:r>
      <w:r>
        <w:rPr>
          <w:rFonts w:cstheme="minorHAnsi"/>
          <w:color w:val="222222"/>
          <w:lang w:val="en-US"/>
        </w:rPr>
        <w:t>within</w:t>
      </w:r>
      <w:r w:rsidRPr="00124DA6">
        <w:rPr>
          <w:rFonts w:cstheme="minorHAnsi"/>
          <w:color w:val="222222"/>
          <w:lang w:val="en-US"/>
        </w:rPr>
        <w:t xml:space="preserve"> </w:t>
      </w:r>
      <w:r w:rsidR="008C23D6" w:rsidRPr="00124DA6">
        <w:rPr>
          <w:rFonts w:cstheme="minorHAnsi"/>
          <w:color w:val="222222"/>
          <w:lang w:val="en-US"/>
        </w:rPr>
        <w:t xml:space="preserve">financial cooperatives compared to other institutional types. </w:t>
      </w:r>
      <w:r>
        <w:rPr>
          <w:rFonts w:ascii="Calibri" w:hAnsi="Calibri" w:cs="Calibri"/>
          <w:color w:val="212121"/>
          <w:lang w:val="en-US"/>
        </w:rPr>
        <w:t>T</w:t>
      </w:r>
      <w:r w:rsidR="008C23D6" w:rsidRPr="00124DA6">
        <w:rPr>
          <w:rFonts w:ascii="Calibri" w:hAnsi="Calibri" w:cs="Calibri"/>
          <w:color w:val="212121"/>
          <w:lang w:val="en-US"/>
        </w:rPr>
        <w:t xml:space="preserve">he capacity of elected officials to effectively manage </w:t>
      </w:r>
      <w:r>
        <w:rPr>
          <w:rFonts w:ascii="Calibri" w:hAnsi="Calibri" w:cs="Calibri"/>
          <w:color w:val="212121"/>
          <w:lang w:val="en-US"/>
        </w:rPr>
        <w:t xml:space="preserve">financial </w:t>
      </w:r>
      <w:r w:rsidR="008C23D6" w:rsidRPr="00124DA6">
        <w:rPr>
          <w:rFonts w:ascii="Calibri" w:hAnsi="Calibri" w:cs="Calibri"/>
          <w:color w:val="212121"/>
          <w:lang w:val="en-US"/>
        </w:rPr>
        <w:t xml:space="preserve">cooperatives remains limited, </w:t>
      </w:r>
      <w:r w:rsidR="002425E2">
        <w:rPr>
          <w:rFonts w:ascii="Calibri" w:hAnsi="Calibri" w:cs="Calibri"/>
          <w:color w:val="212121"/>
          <w:lang w:val="en-US"/>
        </w:rPr>
        <w:t>as</w:t>
      </w:r>
      <w:r w:rsidR="008C23D6" w:rsidRPr="00124DA6">
        <w:rPr>
          <w:rFonts w:ascii="Calibri" w:hAnsi="Calibri" w:cs="Calibri"/>
          <w:color w:val="212121"/>
          <w:lang w:val="en-US"/>
        </w:rPr>
        <w:t xml:space="preserve"> elected representatives often </w:t>
      </w:r>
      <w:r w:rsidR="002425E2">
        <w:rPr>
          <w:rFonts w:ascii="Calibri" w:hAnsi="Calibri" w:cs="Calibri"/>
          <w:color w:val="212121"/>
          <w:lang w:val="en-US"/>
        </w:rPr>
        <w:t>have</w:t>
      </w:r>
      <w:r w:rsidR="008C23D6" w:rsidRPr="00124DA6">
        <w:rPr>
          <w:rFonts w:ascii="Calibri" w:hAnsi="Calibri" w:cs="Calibri"/>
          <w:color w:val="212121"/>
          <w:lang w:val="en-US"/>
        </w:rPr>
        <w:t xml:space="preserve"> limited education and experience in microfinance. </w:t>
      </w:r>
      <w:r w:rsidR="008C23D6" w:rsidRPr="00124DA6">
        <w:rPr>
          <w:rFonts w:cstheme="minorHAnsi"/>
          <w:color w:val="222222"/>
          <w:lang w:val="en-US"/>
        </w:rPr>
        <w:t xml:space="preserve">The governance challenge related to the weak internal control system is persistent in the </w:t>
      </w:r>
      <w:r w:rsidR="00C85C13" w:rsidRPr="00124DA6">
        <w:rPr>
          <w:rFonts w:cstheme="minorHAnsi"/>
          <w:color w:val="222222"/>
          <w:lang w:val="en-US"/>
        </w:rPr>
        <w:t>sector</w:t>
      </w:r>
      <w:r w:rsidR="00C85C13">
        <w:rPr>
          <w:rFonts w:cstheme="minorHAnsi"/>
          <w:color w:val="222222"/>
          <w:lang w:val="en-US"/>
        </w:rPr>
        <w:t xml:space="preserve"> and</w:t>
      </w:r>
      <w:r w:rsidR="008C23D6" w:rsidRPr="00124DA6">
        <w:rPr>
          <w:rFonts w:cstheme="minorHAnsi"/>
          <w:color w:val="222222"/>
          <w:lang w:val="en-US"/>
        </w:rPr>
        <w:t xml:space="preserve"> continues to be a major cause of MFIs’ failure. </w:t>
      </w:r>
      <w:r w:rsidR="008C23D6" w:rsidRPr="00124DA6">
        <w:rPr>
          <w:rFonts w:ascii="Calibri" w:hAnsi="Calibri" w:cs="Calibri"/>
          <w:color w:val="212121"/>
          <w:lang w:val="en-US"/>
        </w:rPr>
        <w:t xml:space="preserve">A study conducted by the </w:t>
      </w:r>
      <w:r w:rsidR="008C23D6" w:rsidRPr="00124DA6">
        <w:rPr>
          <w:lang w:val="en-US"/>
        </w:rPr>
        <w:t>Consultative Group of Assistance to the Poor (</w:t>
      </w:r>
      <w:r w:rsidR="008C23D6" w:rsidRPr="00124DA6">
        <w:rPr>
          <w:rFonts w:ascii="Calibri" w:hAnsi="Calibri" w:cs="Calibri"/>
          <w:color w:val="212121"/>
          <w:lang w:val="en-US"/>
        </w:rPr>
        <w:t>CGAP)</w:t>
      </w:r>
      <w:r w:rsidR="008C23D6" w:rsidRPr="00124DA6">
        <w:rPr>
          <w:rStyle w:val="FootnoteReference"/>
          <w:rFonts w:ascii="Calibri" w:hAnsi="Calibri" w:cs="Calibri"/>
          <w:color w:val="212121"/>
          <w:lang w:val="en-US"/>
        </w:rPr>
        <w:footnoteReference w:id="13"/>
      </w:r>
      <w:r w:rsidR="008C23D6" w:rsidRPr="00124DA6">
        <w:rPr>
          <w:rFonts w:ascii="Calibri" w:hAnsi="Calibri" w:cs="Calibri"/>
          <w:color w:val="212121"/>
          <w:lang w:val="en-US"/>
        </w:rPr>
        <w:t xml:space="preserve"> (</w:t>
      </w:r>
      <w:r w:rsidR="008C23D6" w:rsidRPr="00124DA6">
        <w:rPr>
          <w:rFonts w:cstheme="minorHAnsi"/>
          <w:color w:val="222222"/>
          <w:lang w:val="en-US"/>
        </w:rPr>
        <w:t>2013</w:t>
      </w:r>
      <w:r w:rsidR="008C23D6" w:rsidRPr="00124DA6">
        <w:rPr>
          <w:rFonts w:ascii="Calibri" w:hAnsi="Calibri" w:cs="Calibri"/>
          <w:color w:val="212121"/>
          <w:lang w:val="en-US"/>
        </w:rPr>
        <w:t xml:space="preserve">) revealed </w:t>
      </w:r>
      <w:r w:rsidR="008C23D6" w:rsidRPr="00124DA6">
        <w:rPr>
          <w:rFonts w:ascii="Calibri" w:hAnsi="Calibri" w:cs="Calibri"/>
          <w:lang w:val="en-US"/>
        </w:rPr>
        <w:t xml:space="preserve">three main governance problems </w:t>
      </w:r>
      <w:r w:rsidR="008C23D6" w:rsidRPr="00124DA6">
        <w:rPr>
          <w:rFonts w:cstheme="minorHAnsi"/>
          <w:color w:val="222222"/>
          <w:lang w:val="en-US"/>
        </w:rPr>
        <w:t>causing failure</w:t>
      </w:r>
      <w:r w:rsidR="008C23D6" w:rsidRPr="00124DA6">
        <w:rPr>
          <w:rFonts w:ascii="Calibri" w:hAnsi="Calibri" w:cs="Calibri"/>
          <w:lang w:val="en-US"/>
        </w:rPr>
        <w:t xml:space="preserve">: </w:t>
      </w:r>
    </w:p>
    <w:p w14:paraId="35BFCC7F" w14:textId="77777777" w:rsidR="008C23D6" w:rsidRPr="00124DA6" w:rsidRDefault="008C23D6" w:rsidP="00E421A7">
      <w:pPr>
        <w:pStyle w:val="ListParagraph"/>
        <w:numPr>
          <w:ilvl w:val="0"/>
          <w:numId w:val="5"/>
        </w:numPr>
        <w:autoSpaceDE w:val="0"/>
        <w:autoSpaceDN w:val="0"/>
        <w:adjustRightInd w:val="0"/>
        <w:spacing w:before="120" w:after="120" w:line="240" w:lineRule="auto"/>
        <w:ind w:left="1195" w:hanging="475"/>
        <w:contextualSpacing w:val="0"/>
        <w:jc w:val="both"/>
        <w:rPr>
          <w:rFonts w:cstheme="minorHAnsi"/>
          <w:lang w:val="en-US"/>
        </w:rPr>
      </w:pPr>
      <w:r w:rsidRPr="00124DA6">
        <w:rPr>
          <w:rFonts w:cstheme="minorHAnsi"/>
          <w:b/>
          <w:iCs/>
          <w:lang w:val="en-US"/>
        </w:rPr>
        <w:t>Serious weaknesses at the board level</w:t>
      </w:r>
      <w:r w:rsidRPr="00124DA6">
        <w:rPr>
          <w:rFonts w:cstheme="minorHAnsi"/>
          <w:b/>
          <w:lang w:val="en-US"/>
        </w:rPr>
        <w:t>:</w:t>
      </w:r>
      <w:r w:rsidRPr="00124DA6">
        <w:rPr>
          <w:rFonts w:cstheme="minorHAnsi"/>
          <w:lang w:val="en-US"/>
        </w:rPr>
        <w:t xml:space="preserve"> (a) board members who validated decisions without exercising appropriate oversight, including obvious fraud by shareholders or managers; (b) ineffective oversight due to collusion with fraudsters or to a lack of commitment and/or skills; (c) unclear role of the board </w:t>
      </w:r>
      <w:r w:rsidRPr="00824200">
        <w:rPr>
          <w:rFonts w:cstheme="minorHAnsi"/>
          <w:iCs/>
          <w:lang w:val="en-US"/>
        </w:rPr>
        <w:t>in relation</w:t>
      </w:r>
      <w:r w:rsidRPr="00124DA6">
        <w:rPr>
          <w:rFonts w:cstheme="minorHAnsi"/>
          <w:iCs/>
          <w:lang w:val="en-US"/>
        </w:rPr>
        <w:t xml:space="preserve"> to</w:t>
      </w:r>
      <w:r w:rsidRPr="00124DA6">
        <w:rPr>
          <w:rFonts w:cstheme="minorHAnsi"/>
          <w:i/>
          <w:iCs/>
          <w:lang w:val="en-US"/>
        </w:rPr>
        <w:t xml:space="preserve"> </w:t>
      </w:r>
      <w:r w:rsidRPr="00124DA6">
        <w:rPr>
          <w:rFonts w:cstheme="minorHAnsi"/>
          <w:lang w:val="en-US"/>
        </w:rPr>
        <w:t>managers, especially in cooperatives; (d) no change in board membership over a long period; (e) no validation of decisions at the General Assembly level; and (f) inadequate MIS and control mechanisms.</w:t>
      </w:r>
    </w:p>
    <w:p w14:paraId="1A14E34E" w14:textId="77777777" w:rsidR="008C23D6" w:rsidRPr="00124DA6" w:rsidRDefault="008C23D6" w:rsidP="00E421A7">
      <w:pPr>
        <w:pStyle w:val="ListParagraph"/>
        <w:numPr>
          <w:ilvl w:val="0"/>
          <w:numId w:val="5"/>
        </w:numPr>
        <w:autoSpaceDE w:val="0"/>
        <w:autoSpaceDN w:val="0"/>
        <w:adjustRightInd w:val="0"/>
        <w:spacing w:before="120" w:after="120" w:line="240" w:lineRule="auto"/>
        <w:ind w:left="1195" w:hanging="475"/>
        <w:contextualSpacing w:val="0"/>
        <w:jc w:val="both"/>
        <w:rPr>
          <w:rFonts w:cstheme="minorHAnsi"/>
          <w:lang w:val="en-US"/>
        </w:rPr>
      </w:pPr>
      <w:r w:rsidRPr="00124DA6">
        <w:rPr>
          <w:rFonts w:cstheme="minorHAnsi"/>
          <w:b/>
          <w:iCs/>
          <w:lang w:val="en-US"/>
        </w:rPr>
        <w:t>Lack of enforcement of regulatory requirements and MFIs’ bylaws</w:t>
      </w:r>
      <w:r w:rsidRPr="00124DA6">
        <w:rPr>
          <w:rFonts w:cstheme="minorHAnsi"/>
          <w:b/>
          <w:lang w:val="en-US"/>
        </w:rPr>
        <w:t>:</w:t>
      </w:r>
      <w:r w:rsidRPr="00124DA6">
        <w:rPr>
          <w:rFonts w:cstheme="minorHAnsi"/>
          <w:lang w:val="en-US"/>
        </w:rPr>
        <w:t xml:space="preserve"> (a) prevent fraud; (b) comply with prudential requirements, such as loan ceilings and maximum percentage of aggregate principal amount of outstanding loans granted to managers and board members; and (c) protect savings, with little regard for the maximum amount of savings that could be used for lending.</w:t>
      </w:r>
    </w:p>
    <w:p w14:paraId="2E60DF89" w14:textId="77777777" w:rsidR="008C23D6" w:rsidRPr="00124DA6" w:rsidRDefault="008C23D6" w:rsidP="00E421A7">
      <w:pPr>
        <w:pStyle w:val="ListParagraph"/>
        <w:numPr>
          <w:ilvl w:val="0"/>
          <w:numId w:val="5"/>
        </w:numPr>
        <w:autoSpaceDE w:val="0"/>
        <w:autoSpaceDN w:val="0"/>
        <w:adjustRightInd w:val="0"/>
        <w:spacing w:before="120" w:after="120" w:line="240" w:lineRule="auto"/>
        <w:ind w:left="1195" w:hanging="475"/>
        <w:contextualSpacing w:val="0"/>
        <w:jc w:val="both"/>
        <w:rPr>
          <w:rFonts w:cstheme="minorHAnsi"/>
          <w:lang w:val="en-US"/>
        </w:rPr>
      </w:pPr>
      <w:r w:rsidRPr="00124DA6">
        <w:rPr>
          <w:rFonts w:cstheme="minorHAnsi"/>
          <w:b/>
          <w:iCs/>
          <w:lang w:val="en-US"/>
        </w:rPr>
        <w:t>Fraud committed by board members, shareholders, and/or managers</w:t>
      </w:r>
      <w:r w:rsidRPr="00124DA6">
        <w:rPr>
          <w:rFonts w:cstheme="minorHAnsi"/>
          <w:b/>
          <w:lang w:val="en-US"/>
        </w:rPr>
        <w:t xml:space="preserve"> such as</w:t>
      </w:r>
      <w:r w:rsidRPr="00124DA6">
        <w:rPr>
          <w:rFonts w:cstheme="minorHAnsi"/>
          <w:lang w:val="en-US"/>
        </w:rPr>
        <w:t xml:space="preserve"> (a) managers and staff dipping into cash reserves for personal use; (b) granting favors to friends and family; (c) negotiating overpriced real estate acquisitions by the MFI; and (d) granting large loans to elected representatives and their relatives. </w:t>
      </w:r>
    </w:p>
    <w:p w14:paraId="556C4716" w14:textId="77777777" w:rsidR="002D5D82" w:rsidRPr="002D5D82" w:rsidRDefault="008C23D6" w:rsidP="00E421A7">
      <w:pPr>
        <w:pStyle w:val="ListParagraph"/>
        <w:numPr>
          <w:ilvl w:val="0"/>
          <w:numId w:val="47"/>
        </w:numPr>
        <w:spacing w:before="120" w:after="120" w:line="240" w:lineRule="auto"/>
        <w:ind w:left="0" w:firstLine="0"/>
        <w:contextualSpacing w:val="0"/>
        <w:jc w:val="both"/>
        <w:rPr>
          <w:rFonts w:ascii="Calibri" w:hAnsi="Calibri" w:cs="Calibri"/>
          <w:lang w:val="en-US"/>
        </w:rPr>
      </w:pPr>
      <w:r w:rsidRPr="00983161">
        <w:rPr>
          <w:rFonts w:cstheme="minorHAnsi"/>
          <w:b/>
          <w:lang w:val="en-US"/>
        </w:rPr>
        <w:t>Compliance</w:t>
      </w:r>
      <w:r w:rsidRPr="00124DA6">
        <w:rPr>
          <w:rFonts w:cstheme="minorHAnsi"/>
          <w:b/>
          <w:lang w:val="en-US"/>
        </w:rPr>
        <w:t xml:space="preserve"> of MFIs with capital adequacy, </w:t>
      </w:r>
      <w:r w:rsidR="00983161">
        <w:rPr>
          <w:rFonts w:cstheme="minorHAnsi"/>
          <w:b/>
          <w:lang w:val="en-US"/>
        </w:rPr>
        <w:t>profitability indicators,</w:t>
      </w:r>
      <w:r w:rsidRPr="00124DA6">
        <w:rPr>
          <w:rFonts w:cstheme="minorHAnsi"/>
          <w:b/>
          <w:lang w:val="en-US"/>
        </w:rPr>
        <w:t xml:space="preserve"> portfolio quality indicators </w:t>
      </w:r>
      <w:r w:rsidR="00983161" w:rsidRPr="00124DA6">
        <w:rPr>
          <w:rFonts w:cstheme="minorHAnsi"/>
          <w:b/>
          <w:lang w:val="en-US"/>
        </w:rPr>
        <w:t>remain</w:t>
      </w:r>
      <w:r w:rsidRPr="00124DA6">
        <w:rPr>
          <w:rFonts w:cstheme="minorHAnsi"/>
          <w:b/>
          <w:lang w:val="en-US"/>
        </w:rPr>
        <w:t xml:space="preserve"> weak</w:t>
      </w:r>
      <w:r w:rsidR="00983161">
        <w:rPr>
          <w:rFonts w:cstheme="minorHAnsi"/>
          <w:b/>
          <w:lang w:val="en-US"/>
        </w:rPr>
        <w:t xml:space="preserve"> and their liquidity tight</w:t>
      </w:r>
      <w:r w:rsidRPr="00124DA6">
        <w:rPr>
          <w:rFonts w:cstheme="minorHAnsi"/>
          <w:b/>
          <w:lang w:val="en-US"/>
        </w:rPr>
        <w:t xml:space="preserve">. </w:t>
      </w:r>
      <w:r w:rsidRPr="00E33797">
        <w:rPr>
          <w:rFonts w:ascii="Calibri-Bold" w:hAnsi="Calibri-Bold" w:cs="Calibri-Bold"/>
          <w:bCs/>
          <w:lang w:val="en-US"/>
        </w:rPr>
        <w:t>Several</w:t>
      </w:r>
      <w:r w:rsidRPr="00E33797">
        <w:rPr>
          <w:rFonts w:cstheme="minorHAnsi"/>
          <w:lang w:val="en-US"/>
        </w:rPr>
        <w:t xml:space="preserve"> years of implementation of the new law have revealed quite a few shortcomings</w:t>
      </w:r>
      <w:r w:rsidR="000D6855">
        <w:rPr>
          <w:rFonts w:cstheme="minorHAnsi"/>
          <w:lang w:val="en-US"/>
        </w:rPr>
        <w:t>,</w:t>
      </w:r>
      <w:r w:rsidRPr="00E33797">
        <w:rPr>
          <w:rFonts w:cstheme="minorHAnsi"/>
          <w:lang w:val="en-US"/>
        </w:rPr>
        <w:t xml:space="preserve"> including the burden of the usury rate </w:t>
      </w:r>
      <w:r w:rsidR="00983161">
        <w:rPr>
          <w:rFonts w:cstheme="minorHAnsi"/>
          <w:lang w:val="en-US"/>
        </w:rPr>
        <w:t xml:space="preserve">and </w:t>
      </w:r>
      <w:r w:rsidRPr="00E33797">
        <w:rPr>
          <w:rFonts w:cstheme="minorHAnsi"/>
          <w:lang w:val="en-US"/>
        </w:rPr>
        <w:t>the inadequacy of certain prudential regulations.</w:t>
      </w:r>
      <w:r>
        <w:rPr>
          <w:rFonts w:ascii="Calibri" w:hAnsi="Calibri" w:cs="Calibri"/>
          <w:lang w:val="en-US"/>
        </w:rPr>
        <w:t xml:space="preserve"> </w:t>
      </w:r>
      <w:r w:rsidRPr="00CB2072">
        <w:rPr>
          <w:rFonts w:cstheme="minorHAnsi"/>
          <w:lang w:val="en-US"/>
        </w:rPr>
        <w:t>MFIs of all sizes and institutional types struggle to be compliant with the prudential norms (liquidity and capital adequacy) and the profitability and portfolio quality indicators</w:t>
      </w:r>
      <w:r w:rsidR="00983161">
        <w:rPr>
          <w:rFonts w:cstheme="minorHAnsi"/>
          <w:lang w:val="en-US"/>
        </w:rPr>
        <w:t>.</w:t>
      </w:r>
      <w:r w:rsidRPr="00CB2072">
        <w:rPr>
          <w:rFonts w:cstheme="minorHAnsi"/>
          <w:lang w:val="en-US"/>
        </w:rPr>
        <w:t xml:space="preserve"> </w:t>
      </w:r>
    </w:p>
    <w:p w14:paraId="35EFF94D" w14:textId="35780216" w:rsidR="002D5D82" w:rsidRPr="00AC74BC" w:rsidRDefault="002D5D82" w:rsidP="00E421A7">
      <w:pPr>
        <w:pStyle w:val="ListParagraph"/>
        <w:numPr>
          <w:ilvl w:val="0"/>
          <w:numId w:val="47"/>
        </w:numPr>
        <w:spacing w:before="120" w:after="120" w:line="240" w:lineRule="auto"/>
        <w:ind w:left="0" w:firstLine="0"/>
        <w:contextualSpacing w:val="0"/>
        <w:jc w:val="both"/>
        <w:rPr>
          <w:rFonts w:cstheme="minorHAnsi"/>
          <w:color w:val="2E121F"/>
          <w:lang w:val="en-US"/>
        </w:rPr>
      </w:pPr>
      <w:r w:rsidRPr="002D5D82">
        <w:rPr>
          <w:rFonts w:cstheme="minorHAnsi"/>
          <w:b/>
          <w:lang w:val="en-US"/>
        </w:rPr>
        <w:t>Clients face</w:t>
      </w:r>
      <w:r>
        <w:rPr>
          <w:rFonts w:cstheme="minorHAnsi"/>
          <w:b/>
          <w:lang w:val="en-US"/>
        </w:rPr>
        <w:t xml:space="preserve"> transparency and fair practice challenges when dealing with MFIs. </w:t>
      </w:r>
      <w:r w:rsidRPr="00AC74BC">
        <w:rPr>
          <w:rFonts w:cstheme="minorHAnsi"/>
          <w:lang w:val="en-US"/>
        </w:rPr>
        <w:t>Indeed</w:t>
      </w:r>
      <w:r w:rsidR="00AC74BC" w:rsidRPr="00AC74BC">
        <w:rPr>
          <w:rFonts w:cstheme="minorHAnsi"/>
          <w:lang w:val="en-US"/>
        </w:rPr>
        <w:t>,</w:t>
      </w:r>
      <w:r w:rsidRPr="00AC74BC">
        <w:rPr>
          <w:rFonts w:cstheme="minorHAnsi"/>
          <w:lang w:val="en-US"/>
        </w:rPr>
        <w:t xml:space="preserve"> a study</w:t>
      </w:r>
      <w:r w:rsidRPr="00124DA6">
        <w:rPr>
          <w:rFonts w:cstheme="minorHAnsi"/>
          <w:lang w:val="en-US"/>
        </w:rPr>
        <w:t xml:space="preserve"> conducted by the Smart Campaign (2015) revealed that</w:t>
      </w:r>
      <w:r w:rsidRPr="00124DA6">
        <w:rPr>
          <w:rFonts w:cstheme="minorHAnsi"/>
          <w:b/>
          <w:lang w:val="en-US"/>
        </w:rPr>
        <w:t xml:space="preserve"> </w:t>
      </w:r>
      <w:r w:rsidRPr="00124DA6">
        <w:rPr>
          <w:rFonts w:cstheme="minorHAnsi"/>
          <w:lang w:val="en-US"/>
        </w:rPr>
        <w:t xml:space="preserve">clients face the following challenges when dealing with MFIs in Benin: </w:t>
      </w:r>
      <w:r w:rsidRPr="00124DA6">
        <w:rPr>
          <w:rFonts w:cstheme="minorHAnsi"/>
          <w:color w:val="2E121F"/>
          <w:lang w:val="en-US"/>
        </w:rPr>
        <w:t xml:space="preserve">inability to differentiate licensed from non-licensed MFIs, </w:t>
      </w:r>
      <w:r w:rsidRPr="00124DA6">
        <w:rPr>
          <w:rFonts w:cstheme="minorHAnsi"/>
          <w:lang w:val="en-US"/>
        </w:rPr>
        <w:t xml:space="preserve">difficulty in withdrawing their savings, </w:t>
      </w:r>
      <w:r>
        <w:rPr>
          <w:rFonts w:cstheme="minorHAnsi"/>
          <w:lang w:val="en-US"/>
        </w:rPr>
        <w:t xml:space="preserve">predator </w:t>
      </w:r>
      <w:r w:rsidRPr="00124DA6">
        <w:rPr>
          <w:rFonts w:cstheme="minorHAnsi"/>
          <w:lang w:val="en-US"/>
        </w:rPr>
        <w:t>collection of debt practice</w:t>
      </w:r>
      <w:r>
        <w:rPr>
          <w:rFonts w:cstheme="minorHAnsi"/>
          <w:lang w:val="en-US"/>
        </w:rPr>
        <w:t>s</w:t>
      </w:r>
      <w:r w:rsidRPr="00124DA6">
        <w:rPr>
          <w:rFonts w:cstheme="minorHAnsi"/>
          <w:lang w:val="en-US"/>
        </w:rPr>
        <w:t xml:space="preserve">, </w:t>
      </w:r>
      <w:r w:rsidRPr="00124DA6">
        <w:rPr>
          <w:rFonts w:cstheme="minorHAnsi"/>
          <w:color w:val="2E121F"/>
          <w:lang w:val="en-US"/>
        </w:rPr>
        <w:t xml:space="preserve">lack of </w:t>
      </w:r>
      <w:r w:rsidRPr="00124DA6">
        <w:rPr>
          <w:rFonts w:cstheme="minorHAnsi"/>
          <w:color w:val="222222"/>
          <w:lang w:val="en-US"/>
        </w:rPr>
        <w:t>understanding</w:t>
      </w:r>
      <w:r w:rsidRPr="00124DA6">
        <w:rPr>
          <w:rFonts w:cstheme="minorHAnsi"/>
          <w:color w:val="2E121F"/>
          <w:lang w:val="en-US"/>
        </w:rPr>
        <w:t xml:space="preserve"> of product c</w:t>
      </w:r>
      <w:r w:rsidR="00AC74BC">
        <w:rPr>
          <w:rFonts w:cstheme="minorHAnsi"/>
          <w:color w:val="2E121F"/>
          <w:lang w:val="en-US"/>
        </w:rPr>
        <w:t xml:space="preserve">osts and terms and conditions, </w:t>
      </w:r>
      <w:r w:rsidRPr="00AC74BC">
        <w:rPr>
          <w:rFonts w:cstheme="minorHAnsi"/>
          <w:lang w:val="en-US"/>
        </w:rPr>
        <w:t xml:space="preserve">no </w:t>
      </w:r>
      <w:r w:rsidRPr="00AC74BC">
        <w:rPr>
          <w:rFonts w:cstheme="minorHAnsi"/>
          <w:color w:val="222222"/>
          <w:lang w:val="en"/>
        </w:rPr>
        <w:t xml:space="preserve">display of applied rates and conditions in branches, </w:t>
      </w:r>
      <w:r w:rsidR="000D6855">
        <w:rPr>
          <w:rFonts w:cstheme="minorHAnsi"/>
          <w:color w:val="222222"/>
          <w:lang w:val="en"/>
        </w:rPr>
        <w:t>paperwork</w:t>
      </w:r>
      <w:r w:rsidR="000D6855" w:rsidRPr="00AC74BC">
        <w:rPr>
          <w:rFonts w:cstheme="minorHAnsi"/>
          <w:color w:val="222222"/>
          <w:lang w:val="en"/>
        </w:rPr>
        <w:t xml:space="preserve"> </w:t>
      </w:r>
      <w:r w:rsidR="000D6855">
        <w:rPr>
          <w:rFonts w:cstheme="minorHAnsi"/>
          <w:color w:val="222222"/>
          <w:lang w:val="en"/>
        </w:rPr>
        <w:t xml:space="preserve">available </w:t>
      </w:r>
      <w:r w:rsidRPr="00AC74BC">
        <w:rPr>
          <w:rFonts w:cstheme="minorHAnsi"/>
          <w:color w:val="222222"/>
          <w:lang w:val="en"/>
        </w:rPr>
        <w:t>only in French,</w:t>
      </w:r>
      <w:r w:rsidR="00AC74BC">
        <w:rPr>
          <w:rFonts w:cstheme="minorHAnsi"/>
          <w:color w:val="222222"/>
          <w:lang w:val="en"/>
        </w:rPr>
        <w:t xml:space="preserve"> </w:t>
      </w:r>
      <w:r w:rsidR="00AC74BC" w:rsidRPr="00124DA6">
        <w:rPr>
          <w:rFonts w:cstheme="minorHAnsi"/>
          <w:color w:val="2E121F"/>
          <w:lang w:val="en-US"/>
        </w:rPr>
        <w:t>unclear recourse mechanisms</w:t>
      </w:r>
      <w:r w:rsidR="00AC74BC">
        <w:rPr>
          <w:rFonts w:cstheme="minorHAnsi"/>
          <w:color w:val="2E121F"/>
          <w:lang w:val="en-US"/>
        </w:rPr>
        <w:t>,</w:t>
      </w:r>
      <w:r w:rsidRPr="00AC74BC">
        <w:rPr>
          <w:rFonts w:cstheme="minorHAnsi"/>
          <w:color w:val="222222"/>
          <w:lang w:val="en"/>
        </w:rPr>
        <w:t xml:space="preserve"> etc</w:t>
      </w:r>
      <w:r w:rsidR="00AC74BC">
        <w:rPr>
          <w:rFonts w:cstheme="minorHAnsi"/>
          <w:color w:val="222222"/>
          <w:lang w:val="en"/>
        </w:rPr>
        <w:t xml:space="preserve">. </w:t>
      </w:r>
    </w:p>
    <w:p w14:paraId="5905A2C1" w14:textId="77777777" w:rsidR="00983161" w:rsidRPr="00C37AA4" w:rsidRDefault="00983161" w:rsidP="00983161">
      <w:pPr>
        <w:pStyle w:val="Heading3"/>
        <w:numPr>
          <w:ilvl w:val="2"/>
          <w:numId w:val="44"/>
        </w:numPr>
        <w:rPr>
          <w:b/>
          <w:lang w:val="en-US"/>
        </w:rPr>
      </w:pPr>
      <w:bookmarkStart w:id="22" w:name="_Toc3975130"/>
      <w:r w:rsidRPr="00C37AA4">
        <w:rPr>
          <w:b/>
          <w:lang w:val="en-US"/>
        </w:rPr>
        <w:t>Exposing the sector to risks that threaten its sta</w:t>
      </w:r>
      <w:r w:rsidR="00ED23FD" w:rsidRPr="00C37AA4">
        <w:rPr>
          <w:b/>
          <w:lang w:val="en-US"/>
        </w:rPr>
        <w:t xml:space="preserve">bility and could compromise its </w:t>
      </w:r>
      <w:r w:rsidRPr="00C37AA4">
        <w:rPr>
          <w:b/>
          <w:lang w:val="en-US"/>
        </w:rPr>
        <w:t>growth</w:t>
      </w:r>
      <w:bookmarkEnd w:id="22"/>
      <w:r w:rsidRPr="00C37AA4">
        <w:rPr>
          <w:b/>
          <w:lang w:val="en-US"/>
        </w:rPr>
        <w:t xml:space="preserve"> </w:t>
      </w:r>
    </w:p>
    <w:p w14:paraId="4841BEAC" w14:textId="57F4DB8F" w:rsidR="00AC74BC" w:rsidRPr="000D6855" w:rsidRDefault="00A3213A" w:rsidP="00E421A7">
      <w:pPr>
        <w:pStyle w:val="ListParagraph"/>
        <w:numPr>
          <w:ilvl w:val="0"/>
          <w:numId w:val="47"/>
        </w:numPr>
        <w:spacing w:before="120" w:after="120" w:line="240" w:lineRule="auto"/>
        <w:ind w:left="0" w:firstLine="0"/>
        <w:contextualSpacing w:val="0"/>
        <w:jc w:val="both"/>
        <w:rPr>
          <w:rFonts w:cstheme="minorHAnsi"/>
          <w:bCs/>
          <w:lang w:val="en-US"/>
        </w:rPr>
      </w:pPr>
      <w:r w:rsidRPr="00AC74BC">
        <w:rPr>
          <w:rFonts w:cstheme="minorHAnsi"/>
          <w:b/>
          <w:lang w:val="en-US"/>
        </w:rPr>
        <w:t>The proliferation of unauthorized</w:t>
      </w:r>
      <w:r w:rsidRPr="00AC74BC">
        <w:rPr>
          <w:rFonts w:cstheme="minorHAnsi"/>
          <w:b/>
          <w:bCs/>
          <w:lang w:val="en-US"/>
        </w:rPr>
        <w:t xml:space="preserve"> institutions collecting deposits and lending to</w:t>
      </w:r>
      <w:r w:rsidR="000D6855">
        <w:rPr>
          <w:rFonts w:cstheme="minorHAnsi"/>
          <w:b/>
          <w:bCs/>
          <w:lang w:val="en-US"/>
        </w:rPr>
        <w:t xml:space="preserve"> the</w:t>
      </w:r>
      <w:r w:rsidRPr="00AC74BC">
        <w:rPr>
          <w:rFonts w:cstheme="minorHAnsi"/>
          <w:b/>
          <w:bCs/>
          <w:lang w:val="en-US"/>
        </w:rPr>
        <w:t xml:space="preserve"> public poses a </w:t>
      </w:r>
      <w:r w:rsidRPr="00AC74BC">
        <w:rPr>
          <w:rFonts w:cstheme="minorHAnsi"/>
          <w:b/>
          <w:lang w:val="en-US"/>
        </w:rPr>
        <w:t>significant</w:t>
      </w:r>
      <w:r w:rsidRPr="00AC74BC">
        <w:rPr>
          <w:rFonts w:cstheme="minorHAnsi"/>
          <w:b/>
          <w:bCs/>
          <w:lang w:val="en-US"/>
        </w:rPr>
        <w:t xml:space="preserve"> </w:t>
      </w:r>
      <w:r w:rsidR="000E1CB4" w:rsidRPr="00AC74BC">
        <w:rPr>
          <w:rFonts w:cstheme="minorHAnsi"/>
          <w:b/>
          <w:bCs/>
          <w:lang w:val="en-US"/>
        </w:rPr>
        <w:t>trust and reputation</w:t>
      </w:r>
      <w:r w:rsidRPr="00AC74BC">
        <w:rPr>
          <w:rFonts w:cstheme="minorHAnsi"/>
          <w:b/>
          <w:bCs/>
          <w:lang w:val="en-US"/>
        </w:rPr>
        <w:t xml:space="preserve"> risks in the microfinance sector</w:t>
      </w:r>
      <w:r w:rsidR="000E1CB4" w:rsidRPr="00AC74BC">
        <w:rPr>
          <w:rFonts w:cstheme="minorHAnsi"/>
          <w:b/>
          <w:bCs/>
          <w:lang w:val="en-US"/>
        </w:rPr>
        <w:t xml:space="preserve">. </w:t>
      </w:r>
      <w:r w:rsidR="000E1CB4" w:rsidRPr="00AC74BC">
        <w:rPr>
          <w:rFonts w:cstheme="minorHAnsi"/>
          <w:lang w:val="en-US"/>
        </w:rPr>
        <w:t xml:space="preserve">These institutions collect deposits </w:t>
      </w:r>
      <w:r w:rsidR="000E1CB4" w:rsidRPr="000D6855">
        <w:rPr>
          <w:rFonts w:cstheme="minorHAnsi"/>
          <w:lang w:val="en-US"/>
        </w:rPr>
        <w:t>from the public without any prudential</w:t>
      </w:r>
      <w:r w:rsidR="00831E6A">
        <w:rPr>
          <w:rFonts w:cstheme="minorHAnsi"/>
          <w:lang w:val="en-US"/>
        </w:rPr>
        <w:t xml:space="preserve"> rules</w:t>
      </w:r>
      <w:r w:rsidR="000E1CB4" w:rsidRPr="000D6855">
        <w:rPr>
          <w:rFonts w:cstheme="minorHAnsi"/>
          <w:lang w:val="en-US"/>
        </w:rPr>
        <w:t xml:space="preserve"> and </w:t>
      </w:r>
      <w:r w:rsidR="00831E6A">
        <w:rPr>
          <w:rFonts w:cstheme="minorHAnsi"/>
          <w:lang w:val="en-US"/>
        </w:rPr>
        <w:t xml:space="preserve">preliminary </w:t>
      </w:r>
      <w:r w:rsidR="000E1CB4" w:rsidRPr="000D6855">
        <w:rPr>
          <w:rFonts w:cstheme="minorHAnsi"/>
          <w:lang w:val="en-US"/>
        </w:rPr>
        <w:t>conduct of market supervisions</w:t>
      </w:r>
      <w:r w:rsidR="00681C94" w:rsidRPr="000D6855">
        <w:rPr>
          <w:rFonts w:cstheme="minorHAnsi"/>
          <w:lang w:val="en-US"/>
        </w:rPr>
        <w:t>,</w:t>
      </w:r>
      <w:r w:rsidR="000E1CB4" w:rsidRPr="000D6855">
        <w:rPr>
          <w:rFonts w:cstheme="minorHAnsi"/>
          <w:lang w:val="en-US"/>
        </w:rPr>
        <w:t xml:space="preserve"> and contribution to any form of deposit insurance mechanism.</w:t>
      </w:r>
      <w:r w:rsidR="00681C94" w:rsidRPr="000D6855">
        <w:rPr>
          <w:rFonts w:cstheme="minorHAnsi"/>
          <w:lang w:val="en-US"/>
        </w:rPr>
        <w:t xml:space="preserve"> </w:t>
      </w:r>
      <w:r w:rsidR="00681C94" w:rsidRPr="000D6855">
        <w:rPr>
          <w:rFonts w:cstheme="minorHAnsi"/>
          <w:bCs/>
          <w:lang w:val="en-US"/>
        </w:rPr>
        <w:t xml:space="preserve">This represents an important financial consumer protection risk. </w:t>
      </w:r>
      <w:r w:rsidR="00AC74BC" w:rsidRPr="000D6855">
        <w:rPr>
          <w:rFonts w:cstheme="minorHAnsi"/>
          <w:bCs/>
          <w:lang w:val="en-US"/>
        </w:rPr>
        <w:t xml:space="preserve">This </w:t>
      </w:r>
      <w:r w:rsidR="00681C94" w:rsidRPr="000D6855">
        <w:rPr>
          <w:rFonts w:cstheme="minorHAnsi"/>
          <w:bCs/>
          <w:lang w:val="en-US"/>
        </w:rPr>
        <w:t xml:space="preserve">requires </w:t>
      </w:r>
      <w:r w:rsidR="00000ADE" w:rsidRPr="000D6855">
        <w:rPr>
          <w:rFonts w:cstheme="minorHAnsi"/>
          <w:lang w:val="en"/>
        </w:rPr>
        <w:t>authorities’</w:t>
      </w:r>
      <w:r w:rsidR="00681C94" w:rsidRPr="000D6855">
        <w:rPr>
          <w:rFonts w:cstheme="minorHAnsi"/>
          <w:lang w:val="en"/>
        </w:rPr>
        <w:t xml:space="preserve"> attention </w:t>
      </w:r>
      <w:proofErr w:type="gramStart"/>
      <w:r w:rsidR="00681C94" w:rsidRPr="000D6855">
        <w:rPr>
          <w:rFonts w:cstheme="minorHAnsi"/>
          <w:lang w:val="en"/>
        </w:rPr>
        <w:t>in order to</w:t>
      </w:r>
      <w:proofErr w:type="gramEnd"/>
      <w:r w:rsidR="00681C94" w:rsidRPr="000D6855">
        <w:rPr>
          <w:rFonts w:cstheme="minorHAnsi"/>
          <w:lang w:val="en"/>
        </w:rPr>
        <w:t xml:space="preserve"> preserve the gains made to date on financial inclusion.</w:t>
      </w:r>
    </w:p>
    <w:p w14:paraId="3C43DEA0" w14:textId="4995F858" w:rsidR="00AC74BC" w:rsidRDefault="00681C94" w:rsidP="00E421A7">
      <w:pPr>
        <w:pStyle w:val="ListParagraph"/>
        <w:numPr>
          <w:ilvl w:val="0"/>
          <w:numId w:val="47"/>
        </w:numPr>
        <w:spacing w:before="120" w:after="120" w:line="240" w:lineRule="auto"/>
        <w:ind w:left="0" w:firstLine="0"/>
        <w:contextualSpacing w:val="0"/>
        <w:jc w:val="both"/>
        <w:rPr>
          <w:rFonts w:cstheme="minorHAnsi"/>
          <w:bCs/>
          <w:lang w:val="en-US"/>
        </w:rPr>
      </w:pPr>
      <w:r w:rsidRPr="00AC74BC">
        <w:rPr>
          <w:rFonts w:cstheme="minorHAnsi"/>
          <w:b/>
          <w:lang w:val="en-US"/>
        </w:rPr>
        <w:t xml:space="preserve">The collapse of unauthorized institutions has </w:t>
      </w:r>
      <w:r w:rsidR="000D6855">
        <w:rPr>
          <w:rFonts w:cstheme="minorHAnsi"/>
          <w:b/>
          <w:lang w:val="en-US"/>
        </w:rPr>
        <w:t xml:space="preserve">a </w:t>
      </w:r>
      <w:r w:rsidRPr="00AC74BC">
        <w:rPr>
          <w:rFonts w:cstheme="minorHAnsi"/>
          <w:b/>
          <w:lang w:val="en-US"/>
        </w:rPr>
        <w:t xml:space="preserve">negative effect on </w:t>
      </w:r>
      <w:r w:rsidR="000D6855">
        <w:rPr>
          <w:rFonts w:cstheme="minorHAnsi"/>
          <w:b/>
          <w:lang w:val="en-US"/>
        </w:rPr>
        <w:t xml:space="preserve">the </w:t>
      </w:r>
      <w:r w:rsidRPr="00AC74BC">
        <w:rPr>
          <w:rFonts w:cstheme="minorHAnsi"/>
          <w:b/>
          <w:lang w:val="en-US"/>
        </w:rPr>
        <w:t xml:space="preserve">financial sector but also on the country </w:t>
      </w:r>
      <w:r w:rsidR="000D6855">
        <w:rPr>
          <w:rFonts w:cstheme="minorHAnsi"/>
          <w:b/>
          <w:lang w:val="en-US"/>
        </w:rPr>
        <w:t xml:space="preserve">in </w:t>
      </w:r>
      <w:r w:rsidRPr="00AC74BC">
        <w:rPr>
          <w:rFonts w:cstheme="minorHAnsi"/>
          <w:b/>
          <w:lang w:val="en-US"/>
        </w:rPr>
        <w:t>general</w:t>
      </w:r>
      <w:r w:rsidRPr="00AC74BC">
        <w:rPr>
          <w:rFonts w:cstheme="minorHAnsi"/>
          <w:lang w:val="en-US"/>
        </w:rPr>
        <w:t xml:space="preserve">. </w:t>
      </w:r>
      <w:r w:rsidRPr="00AC74BC">
        <w:rPr>
          <w:rFonts w:cstheme="minorHAnsi"/>
          <w:bCs/>
          <w:lang w:val="en-US"/>
        </w:rPr>
        <w:t>Indeed,</w:t>
      </w:r>
      <w:r w:rsidRPr="00AC74BC">
        <w:rPr>
          <w:rFonts w:cstheme="minorHAnsi"/>
          <w:b/>
          <w:bCs/>
          <w:lang w:val="en-US"/>
        </w:rPr>
        <w:t xml:space="preserve"> </w:t>
      </w:r>
      <w:r w:rsidRPr="00AC74BC">
        <w:rPr>
          <w:rFonts w:cstheme="minorHAnsi"/>
          <w:lang w:val="en-US"/>
        </w:rPr>
        <w:t xml:space="preserve">the fallout from the ICC severely affected the formal microfinance sector in the </w:t>
      </w:r>
      <w:r w:rsidRPr="000D6855">
        <w:rPr>
          <w:rFonts w:cstheme="minorHAnsi"/>
          <w:lang w:val="en-US"/>
        </w:rPr>
        <w:t xml:space="preserve">following ways: clients and the public lost confidence in MFIs and no longer </w:t>
      </w:r>
      <w:r w:rsidR="000D6855" w:rsidRPr="000D6855">
        <w:rPr>
          <w:rFonts w:cstheme="minorHAnsi"/>
          <w:lang w:val="en-US"/>
        </w:rPr>
        <w:t xml:space="preserve">perceive </w:t>
      </w:r>
      <w:r w:rsidRPr="000D6855">
        <w:rPr>
          <w:rFonts w:cstheme="minorHAnsi"/>
          <w:lang w:val="en-US"/>
        </w:rPr>
        <w:t>them as a safe place to hold savings or borrow. In addition</w:t>
      </w:r>
      <w:r w:rsidR="000E1CB4" w:rsidRPr="000D6855">
        <w:rPr>
          <w:rFonts w:cstheme="minorHAnsi"/>
          <w:lang w:val="en-US"/>
        </w:rPr>
        <w:t xml:space="preserve">, it causes </w:t>
      </w:r>
      <w:r w:rsidR="000D6855">
        <w:rPr>
          <w:rFonts w:cstheme="minorHAnsi"/>
          <w:lang w:val="en-US"/>
        </w:rPr>
        <w:t>major</w:t>
      </w:r>
      <w:r w:rsidR="000D6855" w:rsidRPr="000D6855">
        <w:rPr>
          <w:rFonts w:cstheme="minorHAnsi"/>
          <w:lang w:val="en-US"/>
        </w:rPr>
        <w:t xml:space="preserve"> </w:t>
      </w:r>
      <w:r w:rsidR="000E1CB4" w:rsidRPr="000D6855">
        <w:rPr>
          <w:rFonts w:cstheme="minorHAnsi"/>
          <w:lang w:val="en-US"/>
        </w:rPr>
        <w:t xml:space="preserve">social tensions and </w:t>
      </w:r>
      <w:r w:rsidR="000E1CB4" w:rsidRPr="000D6855">
        <w:rPr>
          <w:rFonts w:cstheme="minorHAnsi"/>
          <w:lang w:val="en"/>
        </w:rPr>
        <w:t>pressure on public authorities.</w:t>
      </w:r>
      <w:r w:rsidRPr="000D6855">
        <w:rPr>
          <w:rFonts w:cstheme="minorHAnsi"/>
          <w:bCs/>
          <w:lang w:val="en"/>
        </w:rPr>
        <w:t xml:space="preserve"> </w:t>
      </w:r>
      <w:r w:rsidRPr="000D6855">
        <w:rPr>
          <w:rFonts w:cstheme="minorHAnsi"/>
          <w:bCs/>
          <w:lang w:val="en-US"/>
        </w:rPr>
        <w:t>I</w:t>
      </w:r>
      <w:r w:rsidR="000E1CB4" w:rsidRPr="000D6855">
        <w:rPr>
          <w:rFonts w:cstheme="minorHAnsi"/>
          <w:bCs/>
          <w:lang w:val="en-US"/>
        </w:rPr>
        <w:t xml:space="preserve">t is critical </w:t>
      </w:r>
      <w:r w:rsidR="000E1CB4" w:rsidRPr="000D6855">
        <w:rPr>
          <w:rFonts w:cstheme="minorHAnsi"/>
          <w:lang w:val="en-US"/>
        </w:rPr>
        <w:t>to prevent any recurrences of the crisis</w:t>
      </w:r>
      <w:r w:rsidR="000E1CB4" w:rsidRPr="000D6855">
        <w:rPr>
          <w:rFonts w:cstheme="minorHAnsi"/>
          <w:bCs/>
          <w:lang w:val="en-US"/>
        </w:rPr>
        <w:t xml:space="preserve"> </w:t>
      </w:r>
      <w:r w:rsidR="00000ADE" w:rsidRPr="000D6855">
        <w:rPr>
          <w:rFonts w:cstheme="minorHAnsi"/>
          <w:bCs/>
          <w:lang w:val="en-US"/>
        </w:rPr>
        <w:t xml:space="preserve">resulting from the collapse of unauthorized institutions. </w:t>
      </w:r>
    </w:p>
    <w:p w14:paraId="7B5BFE30" w14:textId="77777777" w:rsidR="007E1F54" w:rsidRPr="00AC74BC" w:rsidRDefault="007E1F54" w:rsidP="00E421A7">
      <w:pPr>
        <w:pStyle w:val="ListParagraph"/>
        <w:numPr>
          <w:ilvl w:val="0"/>
          <w:numId w:val="47"/>
        </w:numPr>
        <w:spacing w:before="120" w:after="120" w:line="240" w:lineRule="auto"/>
        <w:ind w:left="0" w:firstLine="0"/>
        <w:contextualSpacing w:val="0"/>
        <w:jc w:val="both"/>
        <w:rPr>
          <w:rFonts w:cstheme="minorHAnsi"/>
          <w:bCs/>
          <w:lang w:val="en-US"/>
        </w:rPr>
      </w:pPr>
      <w:r w:rsidRPr="00AC74BC">
        <w:rPr>
          <w:rFonts w:cstheme="minorHAnsi"/>
          <w:b/>
          <w:color w:val="222222"/>
          <w:lang w:val="en-US"/>
        </w:rPr>
        <w:t xml:space="preserve">In the formal microfinance sector, many authorized </w:t>
      </w:r>
      <w:r w:rsidRPr="00AC74BC">
        <w:rPr>
          <w:rFonts w:ascii="Calibri-Bold" w:hAnsi="Calibri-Bold" w:cs="Calibri-Bold"/>
          <w:b/>
          <w:bCs/>
          <w:lang w:val="en-US"/>
        </w:rPr>
        <w:t xml:space="preserve">MFIs continued to operate </w:t>
      </w:r>
      <w:proofErr w:type="gramStart"/>
      <w:r w:rsidRPr="00AC74BC">
        <w:rPr>
          <w:rFonts w:ascii="Calibri-Bold" w:hAnsi="Calibri-Bold" w:cs="Calibri-Bold"/>
          <w:b/>
          <w:bCs/>
          <w:lang w:val="en-US"/>
        </w:rPr>
        <w:t>in spite of</w:t>
      </w:r>
      <w:proofErr w:type="gramEnd"/>
      <w:r w:rsidRPr="00AC74BC">
        <w:rPr>
          <w:rFonts w:ascii="Calibri-Bold" w:hAnsi="Calibri-Bold" w:cs="Calibri-Bold"/>
          <w:b/>
          <w:bCs/>
          <w:lang w:val="en-US"/>
        </w:rPr>
        <w:t xml:space="preserve"> operational and performance anomalies</w:t>
      </w:r>
      <w:r w:rsidR="000D6855">
        <w:rPr>
          <w:rFonts w:ascii="Calibri-Bold" w:hAnsi="Calibri-Bold" w:cs="Calibri-Bold"/>
          <w:b/>
          <w:bCs/>
          <w:lang w:val="en-US"/>
        </w:rPr>
        <w:t>, thereby</w:t>
      </w:r>
      <w:r w:rsidRPr="00AC74BC">
        <w:rPr>
          <w:rFonts w:ascii="Calibri-Bold" w:hAnsi="Calibri-Bold" w:cs="Calibri-Bold"/>
          <w:b/>
          <w:bCs/>
          <w:lang w:val="en-US"/>
        </w:rPr>
        <w:t xml:space="preserve"> contributing</w:t>
      </w:r>
      <w:r w:rsidR="006A5CCC">
        <w:rPr>
          <w:rFonts w:ascii="Calibri-Bold" w:hAnsi="Calibri-Bold" w:cs="Calibri-Bold"/>
          <w:b/>
          <w:bCs/>
          <w:lang w:val="en-US"/>
        </w:rPr>
        <w:t xml:space="preserve"> calls for intervention to preserve the gain the sector realized</w:t>
      </w:r>
      <w:r w:rsidRPr="00AC74BC">
        <w:rPr>
          <w:rFonts w:ascii="Calibri-Bold" w:hAnsi="Calibri-Bold" w:cs="Calibri-Bold"/>
          <w:bCs/>
          <w:lang w:val="en-US"/>
        </w:rPr>
        <w:t xml:space="preserve">. </w:t>
      </w:r>
      <w:r w:rsidRPr="00AC74BC">
        <w:rPr>
          <w:rFonts w:ascii="Calibri" w:hAnsi="Calibri" w:cs="Calibri"/>
          <w:lang w:val="en-US"/>
        </w:rPr>
        <w:t>Among</w:t>
      </w:r>
      <w:r w:rsidRPr="00AC74BC">
        <w:rPr>
          <w:rFonts w:cstheme="minorHAnsi"/>
          <w:lang w:val="en-US"/>
        </w:rPr>
        <w:t xml:space="preserve"> authorized MFIs, the PAR was at about 7 percent largely above the norm. In addition, </w:t>
      </w:r>
      <w:r w:rsidRPr="00AC74BC">
        <w:rPr>
          <w:rFonts w:cstheme="minorHAnsi"/>
          <w:bCs/>
          <w:lang w:val="en-US"/>
        </w:rPr>
        <w:t xml:space="preserve">the low profitability in the sector in general and particularly for major MFIs could undermine the growth. None of the authorized institutions respect the 21 performance norms (10 prudential norms, 5 portfolio quality indicators, 5 profitability indicators, and 1 productivity indicator) </w:t>
      </w:r>
      <w:r w:rsidRPr="00AC74BC">
        <w:rPr>
          <w:rFonts w:ascii="Calibri-Bold" w:hAnsi="Calibri-Bold" w:cs="Calibri-Bold"/>
          <w:bCs/>
          <w:lang w:val="en-US"/>
        </w:rPr>
        <w:t xml:space="preserve">as illustrated </w:t>
      </w:r>
      <w:r w:rsidR="00AC74BC">
        <w:rPr>
          <w:rFonts w:ascii="Calibri-Bold" w:hAnsi="Calibri-Bold" w:cs="Calibri-Bold"/>
          <w:bCs/>
          <w:lang w:val="en-US"/>
        </w:rPr>
        <w:t>in the figure below.</w:t>
      </w:r>
    </w:p>
    <w:p w14:paraId="1333618A" w14:textId="589DCA8F" w:rsidR="007E1F54" w:rsidRPr="00124DA6" w:rsidRDefault="007E1F54" w:rsidP="007E1F54">
      <w:pPr>
        <w:pStyle w:val="Caption"/>
        <w:keepNext/>
        <w:rPr>
          <w:rFonts w:cstheme="majorHAnsi"/>
          <w:szCs w:val="20"/>
          <w:lang w:val="en-US"/>
        </w:rPr>
      </w:pPr>
      <w:r w:rsidRPr="00124DA6">
        <w:rPr>
          <w:rFonts w:cstheme="majorHAnsi"/>
          <w:szCs w:val="20"/>
          <w:lang w:val="en-US"/>
        </w:rPr>
        <w:t>Figure</w:t>
      </w:r>
      <w:r w:rsidR="00C702B4">
        <w:rPr>
          <w:rFonts w:cstheme="majorHAnsi"/>
          <w:szCs w:val="20"/>
          <w:lang w:val="en-US"/>
        </w:rPr>
        <w:t> </w:t>
      </w:r>
      <w:r w:rsidRPr="00124DA6">
        <w:rPr>
          <w:rFonts w:cstheme="majorHAnsi"/>
          <w:szCs w:val="20"/>
          <w:lang w:val="en-US"/>
        </w:rPr>
        <w:t>2.</w:t>
      </w:r>
      <w:r w:rsidRPr="00124DA6">
        <w:rPr>
          <w:rFonts w:cstheme="majorHAnsi"/>
          <w:szCs w:val="20"/>
          <w:lang w:val="en-US"/>
        </w:rPr>
        <w:fldChar w:fldCharType="begin"/>
      </w:r>
      <w:r w:rsidRPr="00124DA6">
        <w:rPr>
          <w:rFonts w:cstheme="majorHAnsi"/>
          <w:szCs w:val="20"/>
          <w:lang w:val="en-US"/>
        </w:rPr>
        <w:instrText xml:space="preserve"> SEQ Figure_2. \* ARABIC </w:instrText>
      </w:r>
      <w:r w:rsidRPr="00124DA6">
        <w:rPr>
          <w:rFonts w:cstheme="majorHAnsi"/>
          <w:szCs w:val="20"/>
          <w:lang w:val="en-US"/>
        </w:rPr>
        <w:fldChar w:fldCharType="separate"/>
      </w:r>
      <w:r w:rsidR="004C6E5F">
        <w:rPr>
          <w:rFonts w:cstheme="majorHAnsi"/>
          <w:noProof/>
          <w:szCs w:val="20"/>
          <w:lang w:val="en-US"/>
        </w:rPr>
        <w:t>3</w:t>
      </w:r>
      <w:r w:rsidRPr="00124DA6">
        <w:rPr>
          <w:rFonts w:cstheme="majorHAnsi"/>
          <w:szCs w:val="20"/>
          <w:lang w:val="en-US"/>
        </w:rPr>
        <w:fldChar w:fldCharType="end"/>
      </w:r>
      <w:r w:rsidRPr="00124DA6">
        <w:rPr>
          <w:rFonts w:cstheme="majorHAnsi"/>
          <w:szCs w:val="20"/>
          <w:lang w:val="en-US"/>
        </w:rPr>
        <w:t>: Evolution of MFIs respecting the performance indicators</w:t>
      </w:r>
    </w:p>
    <w:p w14:paraId="3531A667" w14:textId="77777777" w:rsidR="007E1F54" w:rsidRPr="00124DA6" w:rsidRDefault="007E1F54" w:rsidP="007E1F54">
      <w:pPr>
        <w:keepNext/>
        <w:autoSpaceDE w:val="0"/>
        <w:autoSpaceDN w:val="0"/>
        <w:adjustRightInd w:val="0"/>
        <w:spacing w:after="0" w:line="240" w:lineRule="auto"/>
        <w:jc w:val="center"/>
        <w:rPr>
          <w:lang w:val="en-US"/>
        </w:rPr>
      </w:pPr>
      <w:r w:rsidRPr="00124DA6">
        <w:rPr>
          <w:rFonts w:ascii="Arial" w:hAnsi="Arial" w:cs="Arial"/>
          <w:noProof/>
          <w:color w:val="444444"/>
          <w:sz w:val="20"/>
          <w:szCs w:val="20"/>
          <w:lang w:eastAsia="fr-FR"/>
        </w:rPr>
        <mc:AlternateContent>
          <mc:Choice Requires="wps">
            <w:drawing>
              <wp:anchor distT="0" distB="0" distL="114300" distR="114300" simplePos="0" relativeHeight="251671552" behindDoc="0" locked="0" layoutInCell="1" allowOverlap="1" wp14:anchorId="681CB7F2" wp14:editId="3723A9C7">
                <wp:simplePos x="0" y="0"/>
                <wp:positionH relativeFrom="column">
                  <wp:posOffset>1854035</wp:posOffset>
                </wp:positionH>
                <wp:positionV relativeFrom="paragraph">
                  <wp:posOffset>1992126</wp:posOffset>
                </wp:positionV>
                <wp:extent cx="2318842" cy="811987"/>
                <wp:effectExtent l="0" t="0" r="24765" b="17145"/>
                <wp:wrapNone/>
                <wp:docPr id="45" name="Text Box 45"/>
                <wp:cNvGraphicFramePr/>
                <a:graphic xmlns:a="http://schemas.openxmlformats.org/drawingml/2006/main">
                  <a:graphicData uri="http://schemas.microsoft.com/office/word/2010/wordprocessingShape">
                    <wps:wsp>
                      <wps:cNvSpPr txBox="1"/>
                      <wps:spPr>
                        <a:xfrm>
                          <a:off x="0" y="0"/>
                          <a:ext cx="2318842" cy="811987"/>
                        </a:xfrm>
                        <a:prstGeom prst="rect">
                          <a:avLst/>
                        </a:prstGeom>
                        <a:solidFill>
                          <a:schemeClr val="lt1"/>
                        </a:solidFill>
                        <a:ln w="6350">
                          <a:solidFill>
                            <a:prstClr val="black"/>
                          </a:solidFill>
                        </a:ln>
                      </wps:spPr>
                      <wps:txbx>
                        <w:txbxContent>
                          <w:p w14:paraId="60EAD32A" w14:textId="77777777" w:rsidR="003B0984" w:rsidRDefault="003B0984" w:rsidP="007E1F54">
                            <w:pPr>
                              <w:spacing w:after="0" w:line="276" w:lineRule="auto"/>
                              <w:rPr>
                                <w:sz w:val="16"/>
                                <w:szCs w:val="16"/>
                                <w:lang w:val="en-US"/>
                              </w:rPr>
                            </w:pPr>
                            <w:r w:rsidRPr="00B86847">
                              <w:rPr>
                                <w:sz w:val="16"/>
                                <w:szCs w:val="16"/>
                                <w:lang w:val="en-US"/>
                              </w:rPr>
                              <w:t>Number</w:t>
                            </w:r>
                            <w:r>
                              <w:rPr>
                                <w:sz w:val="16"/>
                                <w:szCs w:val="16"/>
                                <w:lang w:val="en-US"/>
                              </w:rPr>
                              <w:t xml:space="preserve"> of MFIs respecting the 21 indicators</w:t>
                            </w:r>
                          </w:p>
                          <w:p w14:paraId="2BB3E114" w14:textId="44C874F2" w:rsidR="003B0984" w:rsidRDefault="003B0984" w:rsidP="007E1F54">
                            <w:pPr>
                              <w:spacing w:after="0" w:line="276" w:lineRule="auto"/>
                              <w:rPr>
                                <w:sz w:val="16"/>
                                <w:szCs w:val="16"/>
                                <w:lang w:val="en-US"/>
                              </w:rPr>
                            </w:pPr>
                            <w:r>
                              <w:rPr>
                                <w:sz w:val="16"/>
                                <w:szCs w:val="16"/>
                                <w:lang w:val="en-US"/>
                              </w:rPr>
                              <w:t>Number of MFIs respecting 16–20 indicators</w:t>
                            </w:r>
                          </w:p>
                          <w:p w14:paraId="2ECE888B" w14:textId="593B529C" w:rsidR="003B0984" w:rsidRDefault="003B0984" w:rsidP="007E1F54">
                            <w:pPr>
                              <w:spacing w:after="0" w:line="276" w:lineRule="auto"/>
                              <w:rPr>
                                <w:sz w:val="16"/>
                                <w:szCs w:val="16"/>
                                <w:lang w:val="en-US"/>
                              </w:rPr>
                            </w:pPr>
                            <w:r>
                              <w:rPr>
                                <w:sz w:val="16"/>
                                <w:szCs w:val="16"/>
                                <w:lang w:val="en-US"/>
                              </w:rPr>
                              <w:t>Number of MFIs respecting 11–15 indicators</w:t>
                            </w:r>
                          </w:p>
                          <w:p w14:paraId="445912E3" w14:textId="53DD1DB0" w:rsidR="003B0984" w:rsidRDefault="003B0984" w:rsidP="007E1F54">
                            <w:pPr>
                              <w:spacing w:after="0" w:line="276" w:lineRule="auto"/>
                              <w:rPr>
                                <w:sz w:val="16"/>
                                <w:szCs w:val="16"/>
                                <w:lang w:val="en-US"/>
                              </w:rPr>
                            </w:pPr>
                            <w:r>
                              <w:rPr>
                                <w:sz w:val="16"/>
                                <w:szCs w:val="16"/>
                                <w:lang w:val="en-US"/>
                              </w:rPr>
                              <w:t>Number of MFIs respecting 6–10 indicators</w:t>
                            </w:r>
                          </w:p>
                          <w:p w14:paraId="283678DD" w14:textId="64C8BBCE" w:rsidR="003B0984" w:rsidRDefault="003B0984" w:rsidP="007E1F54">
                            <w:pPr>
                              <w:spacing w:after="0" w:line="276" w:lineRule="auto"/>
                              <w:rPr>
                                <w:sz w:val="16"/>
                                <w:szCs w:val="16"/>
                                <w:lang w:val="en-US"/>
                              </w:rPr>
                            </w:pPr>
                            <w:r>
                              <w:rPr>
                                <w:sz w:val="16"/>
                                <w:szCs w:val="16"/>
                                <w:lang w:val="en-US"/>
                              </w:rPr>
                              <w:t>Number of MFIs respecting 0–5 indicators</w:t>
                            </w:r>
                          </w:p>
                          <w:p w14:paraId="4CC78D6D" w14:textId="77777777" w:rsidR="003B0984" w:rsidRPr="00B86847" w:rsidRDefault="003B0984" w:rsidP="007E1F54">
                            <w:pPr>
                              <w:spacing w:after="0" w:line="240" w:lineRule="auto"/>
                              <w:rPr>
                                <w:sz w:val="16"/>
                                <w:szCs w:val="1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CB7F2" id="Text Box 45" o:spid="_x0000_s1031" type="#_x0000_t202" style="position:absolute;left:0;text-align:left;margin-left:146pt;margin-top:156.85pt;width:182.6pt;height:63.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" fillcolor="white [3201]" strokeweight=".5pt">
                <v:textbox>
                  <w:txbxContent>
                    <w:p w14:paraId="60EAD32A" w14:textId="77777777" w:rsidR="003B0984" w:rsidRDefault="003B0984" w:rsidP="007E1F54">
                      <w:pPr>
                        <w:spacing w:after="0" w:line="276" w:lineRule="auto"/>
                        <w:rPr>
                          <w:sz w:val="16"/>
                          <w:szCs w:val="16"/>
                          <w:lang w:val="en-US"/>
                        </w:rPr>
                      </w:pPr>
                      <w:r w:rsidRPr="00B86847">
                        <w:rPr>
                          <w:sz w:val="16"/>
                          <w:szCs w:val="16"/>
                          <w:lang w:val="en-US"/>
                        </w:rPr>
                        <w:t>Number</w:t>
                      </w:r>
                      <w:r>
                        <w:rPr>
                          <w:sz w:val="16"/>
                          <w:szCs w:val="16"/>
                          <w:lang w:val="en-US"/>
                        </w:rPr>
                        <w:t xml:space="preserve"> of MFIs respecting the 21 indicators</w:t>
                      </w:r>
                    </w:p>
                    <w:p w14:paraId="2BB3E114" w14:textId="44C874F2" w:rsidR="003B0984" w:rsidRDefault="003B0984" w:rsidP="007E1F54">
                      <w:pPr>
                        <w:spacing w:after="0" w:line="276" w:lineRule="auto"/>
                        <w:rPr>
                          <w:sz w:val="16"/>
                          <w:szCs w:val="16"/>
                          <w:lang w:val="en-US"/>
                        </w:rPr>
                      </w:pPr>
                      <w:r>
                        <w:rPr>
                          <w:sz w:val="16"/>
                          <w:szCs w:val="16"/>
                          <w:lang w:val="en-US"/>
                        </w:rPr>
                        <w:t>Number of MFIs respecting 16–20 indicators</w:t>
                      </w:r>
                    </w:p>
                    <w:p w14:paraId="2ECE888B" w14:textId="593B529C" w:rsidR="003B0984" w:rsidRDefault="003B0984" w:rsidP="007E1F54">
                      <w:pPr>
                        <w:spacing w:after="0" w:line="276" w:lineRule="auto"/>
                        <w:rPr>
                          <w:sz w:val="16"/>
                          <w:szCs w:val="16"/>
                          <w:lang w:val="en-US"/>
                        </w:rPr>
                      </w:pPr>
                      <w:r>
                        <w:rPr>
                          <w:sz w:val="16"/>
                          <w:szCs w:val="16"/>
                          <w:lang w:val="en-US"/>
                        </w:rPr>
                        <w:t>Number of MFIs respecting 11–15 indicators</w:t>
                      </w:r>
                    </w:p>
                    <w:p w14:paraId="445912E3" w14:textId="53DD1DB0" w:rsidR="003B0984" w:rsidRDefault="003B0984" w:rsidP="007E1F54">
                      <w:pPr>
                        <w:spacing w:after="0" w:line="276" w:lineRule="auto"/>
                        <w:rPr>
                          <w:sz w:val="16"/>
                          <w:szCs w:val="16"/>
                          <w:lang w:val="en-US"/>
                        </w:rPr>
                      </w:pPr>
                      <w:r>
                        <w:rPr>
                          <w:sz w:val="16"/>
                          <w:szCs w:val="16"/>
                          <w:lang w:val="en-US"/>
                        </w:rPr>
                        <w:t>Number of MFIs respecting 6–10 indicators</w:t>
                      </w:r>
                    </w:p>
                    <w:p w14:paraId="283678DD" w14:textId="64C8BBCE" w:rsidR="003B0984" w:rsidRDefault="003B0984" w:rsidP="007E1F54">
                      <w:pPr>
                        <w:spacing w:after="0" w:line="276" w:lineRule="auto"/>
                        <w:rPr>
                          <w:sz w:val="16"/>
                          <w:szCs w:val="16"/>
                          <w:lang w:val="en-US"/>
                        </w:rPr>
                      </w:pPr>
                      <w:r>
                        <w:rPr>
                          <w:sz w:val="16"/>
                          <w:szCs w:val="16"/>
                          <w:lang w:val="en-US"/>
                        </w:rPr>
                        <w:t>Number of MFIs respecting 0–5 indicators</w:t>
                      </w:r>
                    </w:p>
                    <w:p w14:paraId="4CC78D6D" w14:textId="77777777" w:rsidR="003B0984" w:rsidRPr="00B86847" w:rsidRDefault="003B0984" w:rsidP="007E1F54">
                      <w:pPr>
                        <w:spacing w:after="0" w:line="240" w:lineRule="auto"/>
                        <w:rPr>
                          <w:sz w:val="16"/>
                          <w:szCs w:val="16"/>
                          <w:lang w:val="en-US"/>
                        </w:rPr>
                      </w:pPr>
                    </w:p>
                  </w:txbxContent>
                </v:textbox>
              </v:shape>
            </w:pict>
          </mc:Fallback>
        </mc:AlternateContent>
      </w:r>
      <w:r w:rsidRPr="00124DA6">
        <w:rPr>
          <w:rFonts w:ascii="Arial" w:hAnsi="Arial" w:cs="Arial"/>
          <w:noProof/>
          <w:color w:val="444444"/>
          <w:sz w:val="20"/>
          <w:szCs w:val="20"/>
          <w:lang w:eastAsia="fr-FR"/>
        </w:rPr>
        <w:drawing>
          <wp:inline distT="0" distB="0" distL="0" distR="0" wp14:anchorId="45E3DD03" wp14:editId="2A61B4C3">
            <wp:extent cx="4327564" cy="2939142"/>
            <wp:effectExtent l="0" t="0" r="0" b="7620"/>
            <wp:docPr id="46" name="Picture 46" descr="http://newsite.alafianetwork.org/images/promfi-2016-perf-financie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ite.alafianetwork.org/images/promfi-2016-perf-financieres.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6119"/>
                    <a:stretch/>
                  </pic:blipFill>
                  <pic:spPr bwMode="auto">
                    <a:xfrm>
                      <a:off x="0" y="0"/>
                      <a:ext cx="4327564" cy="2939142"/>
                    </a:xfrm>
                    <a:prstGeom prst="rect">
                      <a:avLst/>
                    </a:prstGeom>
                    <a:noFill/>
                    <a:ln>
                      <a:noFill/>
                    </a:ln>
                    <a:extLst>
                      <a:ext uri="{53640926-AAD7-44D8-BBD7-CCE9431645EC}">
                        <a14:shadowObscured xmlns:a14="http://schemas.microsoft.com/office/drawing/2010/main"/>
                      </a:ext>
                    </a:extLst>
                  </pic:spPr>
                </pic:pic>
              </a:graphicData>
            </a:graphic>
          </wp:inline>
        </w:drawing>
      </w:r>
    </w:p>
    <w:p w14:paraId="4CC98AE5" w14:textId="3870B388" w:rsidR="007E1F54" w:rsidRPr="00124DA6" w:rsidRDefault="007E1F54" w:rsidP="007E1F54">
      <w:pPr>
        <w:autoSpaceDE w:val="0"/>
        <w:autoSpaceDN w:val="0"/>
        <w:adjustRightInd w:val="0"/>
        <w:spacing w:after="0" w:line="240" w:lineRule="auto"/>
        <w:ind w:left="1080" w:firstLine="360"/>
        <w:rPr>
          <w:rFonts w:ascii="Calibri-Bold" w:hAnsi="Calibri-Bold" w:cs="Calibri-Bold"/>
          <w:bCs/>
          <w:color w:val="2E74B5" w:themeColor="accent1" w:themeShade="BF"/>
          <w:sz w:val="20"/>
          <w:szCs w:val="16"/>
          <w:lang w:val="en-US"/>
        </w:rPr>
      </w:pPr>
      <w:r w:rsidRPr="00124DA6">
        <w:rPr>
          <w:rFonts w:ascii="Calibri-Bold" w:hAnsi="Calibri-Bold" w:cs="Calibri-Bold"/>
          <w:bCs/>
          <w:i/>
          <w:color w:val="2E74B5" w:themeColor="accent1" w:themeShade="BF"/>
          <w:sz w:val="20"/>
          <w:szCs w:val="16"/>
          <w:lang w:val="en-US"/>
        </w:rPr>
        <w:t>Source</w:t>
      </w:r>
      <w:r w:rsidRPr="00124DA6">
        <w:rPr>
          <w:rFonts w:ascii="Calibri-Bold" w:hAnsi="Calibri-Bold" w:cs="Calibri-Bold"/>
          <w:bCs/>
          <w:color w:val="2E74B5" w:themeColor="accent1" w:themeShade="BF"/>
          <w:sz w:val="20"/>
          <w:szCs w:val="16"/>
          <w:lang w:val="en-US"/>
        </w:rPr>
        <w:t>: Consortium Alafia</w:t>
      </w:r>
      <w:r w:rsidR="00C702B4">
        <w:rPr>
          <w:rFonts w:ascii="Calibri-Bold" w:hAnsi="Calibri-Bold" w:cs="Calibri-Bold"/>
          <w:bCs/>
          <w:color w:val="2E74B5" w:themeColor="accent1" w:themeShade="BF"/>
          <w:sz w:val="20"/>
          <w:szCs w:val="16"/>
          <w:lang w:val="en-US"/>
        </w:rPr>
        <w:t> </w:t>
      </w:r>
      <w:r w:rsidRPr="00124DA6">
        <w:rPr>
          <w:rFonts w:ascii="Calibri-Bold" w:hAnsi="Calibri-Bold" w:cs="Calibri-Bold"/>
          <w:bCs/>
          <w:color w:val="2E74B5" w:themeColor="accent1" w:themeShade="BF"/>
          <w:sz w:val="20"/>
          <w:szCs w:val="16"/>
          <w:lang w:val="en-US"/>
        </w:rPr>
        <w:t xml:space="preserve">2016. </w:t>
      </w:r>
    </w:p>
    <w:p w14:paraId="6AE245FC" w14:textId="77777777" w:rsidR="005673A9" w:rsidRPr="005673A9" w:rsidRDefault="005673A9" w:rsidP="005673A9">
      <w:pPr>
        <w:pStyle w:val="ListParagraph"/>
        <w:autoSpaceDE w:val="0"/>
        <w:autoSpaceDN w:val="0"/>
        <w:adjustRightInd w:val="0"/>
        <w:spacing w:after="0" w:line="240" w:lineRule="auto"/>
        <w:ind w:left="360"/>
        <w:jc w:val="both"/>
        <w:rPr>
          <w:rFonts w:eastAsia="Tahoma,Bold" w:cstheme="minorHAnsi"/>
          <w:bCs/>
          <w:lang w:val="en-US"/>
        </w:rPr>
      </w:pPr>
    </w:p>
    <w:p w14:paraId="05A3C9BD" w14:textId="731BC442" w:rsidR="00BD7890" w:rsidRPr="005673A9" w:rsidRDefault="00983161" w:rsidP="00727C97">
      <w:pPr>
        <w:pStyle w:val="ListParagraph"/>
        <w:numPr>
          <w:ilvl w:val="0"/>
          <w:numId w:val="47"/>
        </w:numPr>
        <w:autoSpaceDE w:val="0"/>
        <w:autoSpaceDN w:val="0"/>
        <w:adjustRightInd w:val="0"/>
        <w:spacing w:before="240" w:after="0" w:line="240" w:lineRule="auto"/>
        <w:ind w:left="0" w:firstLine="0"/>
        <w:jc w:val="both"/>
        <w:rPr>
          <w:rFonts w:cstheme="minorHAnsi"/>
          <w:sz w:val="24"/>
          <w:szCs w:val="24"/>
          <w:lang w:val="en-US"/>
        </w:rPr>
      </w:pPr>
      <w:r w:rsidRPr="005673A9">
        <w:rPr>
          <w:rFonts w:cstheme="minorHAnsi"/>
          <w:b/>
          <w:lang w:val="en-US"/>
        </w:rPr>
        <w:t xml:space="preserve">The lack of profitability is a prejudicial situation </w:t>
      </w:r>
      <w:r w:rsidR="00AC74BC" w:rsidRPr="005673A9">
        <w:rPr>
          <w:rFonts w:cstheme="minorHAnsi"/>
          <w:b/>
          <w:lang w:val="en-US"/>
        </w:rPr>
        <w:t xml:space="preserve">and </w:t>
      </w:r>
      <w:r w:rsidR="00A654F6" w:rsidRPr="005673A9">
        <w:rPr>
          <w:rFonts w:cstheme="minorHAnsi"/>
          <w:b/>
          <w:lang w:val="en-US"/>
        </w:rPr>
        <w:t>contribute</w:t>
      </w:r>
      <w:r w:rsidR="006A5CCC">
        <w:rPr>
          <w:rFonts w:cstheme="minorHAnsi"/>
          <w:b/>
          <w:lang w:val="en-US"/>
        </w:rPr>
        <w:t>s</w:t>
      </w:r>
      <w:r w:rsidR="00AC74BC" w:rsidRPr="005673A9">
        <w:rPr>
          <w:rFonts w:cstheme="minorHAnsi"/>
          <w:b/>
          <w:lang w:val="en-US"/>
        </w:rPr>
        <w:t xml:space="preserve"> to the move of MFIs </w:t>
      </w:r>
      <w:r w:rsidRPr="005673A9">
        <w:rPr>
          <w:rFonts w:cstheme="minorHAnsi"/>
          <w:b/>
          <w:lang w:val="en-US"/>
        </w:rPr>
        <w:t xml:space="preserve">from </w:t>
      </w:r>
      <w:r w:rsidR="00BD7890" w:rsidRPr="005673A9">
        <w:rPr>
          <w:rFonts w:cstheme="minorHAnsi"/>
          <w:b/>
          <w:lang w:val="en-US"/>
        </w:rPr>
        <w:t>serving poor vulnerable population to more better-off clients (upscaling)</w:t>
      </w:r>
      <w:r w:rsidRPr="005673A9">
        <w:rPr>
          <w:rFonts w:cstheme="minorHAnsi"/>
          <w:b/>
          <w:lang w:val="en-US"/>
        </w:rPr>
        <w:t>.</w:t>
      </w:r>
      <w:r w:rsidR="00CF52FF" w:rsidRPr="005673A9">
        <w:rPr>
          <w:rFonts w:cstheme="minorHAnsi"/>
          <w:b/>
          <w:lang w:val="en-US"/>
        </w:rPr>
        <w:t xml:space="preserve"> </w:t>
      </w:r>
      <w:r w:rsidR="00A654F6" w:rsidRPr="005673A9">
        <w:rPr>
          <w:rFonts w:cstheme="minorHAnsi"/>
          <w:lang w:val="en-US"/>
        </w:rPr>
        <w:t xml:space="preserve">The interest rate cap at 24% combine with important operating cost are </w:t>
      </w:r>
      <w:r w:rsidR="00A654F6" w:rsidRPr="006A5CCC">
        <w:rPr>
          <w:rFonts w:cstheme="minorHAnsi"/>
          <w:lang w:val="en"/>
        </w:rPr>
        <w:t>deteriorating MFIs profitability. Between 2012</w:t>
      </w:r>
      <w:r w:rsidR="00141BD7">
        <w:rPr>
          <w:rFonts w:cstheme="minorHAnsi"/>
          <w:lang w:val="en"/>
        </w:rPr>
        <w:t xml:space="preserve"> and </w:t>
      </w:r>
      <w:r w:rsidR="00A654F6" w:rsidRPr="006A5CCC">
        <w:rPr>
          <w:rFonts w:cstheme="minorHAnsi"/>
          <w:lang w:val="en"/>
        </w:rPr>
        <w:t>2016, none of the profitability indicators were respected by the sector. As a result</w:t>
      </w:r>
      <w:r w:rsidR="00A654F6" w:rsidRPr="005673A9">
        <w:rPr>
          <w:rFonts w:cstheme="minorHAnsi"/>
          <w:b/>
          <w:lang w:val="en"/>
        </w:rPr>
        <w:t xml:space="preserve">, </w:t>
      </w:r>
      <w:r w:rsidR="00A654F6" w:rsidRPr="005673A9">
        <w:rPr>
          <w:rFonts w:cstheme="minorHAnsi"/>
          <w:lang w:val="en"/>
        </w:rPr>
        <w:t>MFIs are moving from rural</w:t>
      </w:r>
      <w:r w:rsidR="00141BD7">
        <w:rPr>
          <w:rFonts w:cstheme="minorHAnsi"/>
          <w:lang w:val="en"/>
        </w:rPr>
        <w:t xml:space="preserve"> to urban</w:t>
      </w:r>
      <w:r w:rsidR="00A654F6" w:rsidRPr="005673A9">
        <w:rPr>
          <w:rFonts w:cstheme="minorHAnsi"/>
          <w:lang w:val="en"/>
        </w:rPr>
        <w:t xml:space="preserve"> areas and to direct funds away from the microfinance initial target clientele to other better-off clients to reduce high transaction costs</w:t>
      </w:r>
      <w:r w:rsidR="00BD7890" w:rsidRPr="005673A9">
        <w:rPr>
          <w:rFonts w:cstheme="minorHAnsi"/>
          <w:lang w:val="en"/>
        </w:rPr>
        <w:t>.</w:t>
      </w:r>
      <w:r w:rsidR="005673A9" w:rsidRPr="005673A9">
        <w:rPr>
          <w:rFonts w:cstheme="minorHAnsi"/>
          <w:lang w:val="en"/>
        </w:rPr>
        <w:t xml:space="preserve"> </w:t>
      </w:r>
    </w:p>
    <w:p w14:paraId="777F0E6E" w14:textId="77777777" w:rsidR="005673A9" w:rsidRPr="005673A9" w:rsidRDefault="005673A9" w:rsidP="00727C97">
      <w:pPr>
        <w:pStyle w:val="ListParagraph"/>
        <w:autoSpaceDE w:val="0"/>
        <w:autoSpaceDN w:val="0"/>
        <w:adjustRightInd w:val="0"/>
        <w:spacing w:before="240" w:after="0" w:line="240" w:lineRule="auto"/>
        <w:ind w:left="0"/>
        <w:jc w:val="both"/>
        <w:rPr>
          <w:rFonts w:cstheme="minorHAnsi"/>
          <w:sz w:val="24"/>
          <w:szCs w:val="24"/>
          <w:lang w:val="en-US"/>
        </w:rPr>
      </w:pPr>
    </w:p>
    <w:p w14:paraId="605989B2" w14:textId="43D024FC" w:rsidR="006A5CCC" w:rsidRPr="00831E6A" w:rsidRDefault="00983161" w:rsidP="00727C97">
      <w:pPr>
        <w:pStyle w:val="ListParagraph"/>
        <w:numPr>
          <w:ilvl w:val="0"/>
          <w:numId w:val="47"/>
        </w:numPr>
        <w:autoSpaceDE w:val="0"/>
        <w:autoSpaceDN w:val="0"/>
        <w:adjustRightInd w:val="0"/>
        <w:spacing w:after="0" w:line="240" w:lineRule="auto"/>
        <w:ind w:left="0" w:firstLine="0"/>
        <w:jc w:val="both"/>
        <w:rPr>
          <w:rFonts w:cstheme="minorHAnsi"/>
          <w:lang w:val="en-US"/>
        </w:rPr>
      </w:pPr>
      <w:r w:rsidRPr="005673A9">
        <w:rPr>
          <w:rFonts w:cstheme="minorHAnsi"/>
          <w:b/>
          <w:lang w:val="en-US"/>
        </w:rPr>
        <w:t xml:space="preserve">Liquidity </w:t>
      </w:r>
      <w:r w:rsidR="00000ADE" w:rsidRPr="005673A9">
        <w:rPr>
          <w:rFonts w:cstheme="minorHAnsi"/>
          <w:b/>
          <w:lang w:val="en-US"/>
        </w:rPr>
        <w:t xml:space="preserve">and quality of </w:t>
      </w:r>
      <w:r w:rsidR="00141BD7">
        <w:rPr>
          <w:rFonts w:cstheme="minorHAnsi"/>
          <w:b/>
          <w:lang w:val="en-US"/>
        </w:rPr>
        <w:t xml:space="preserve">the </w:t>
      </w:r>
      <w:r w:rsidR="00000ADE" w:rsidRPr="005673A9">
        <w:rPr>
          <w:rFonts w:cstheme="minorHAnsi"/>
          <w:b/>
          <w:lang w:val="en-US"/>
        </w:rPr>
        <w:t xml:space="preserve">portfolio of MFIs </w:t>
      </w:r>
      <w:r w:rsidRPr="005673A9">
        <w:rPr>
          <w:rFonts w:cstheme="minorHAnsi"/>
          <w:b/>
          <w:lang w:val="en-US"/>
        </w:rPr>
        <w:t xml:space="preserve">constrained </w:t>
      </w:r>
      <w:r w:rsidR="005673A9" w:rsidRPr="005673A9">
        <w:rPr>
          <w:rFonts w:cstheme="minorHAnsi"/>
          <w:b/>
          <w:lang w:val="en-US"/>
        </w:rPr>
        <w:t>their abilities to access refinancing and affected their capacities to finance</w:t>
      </w:r>
      <w:r w:rsidRPr="005673A9">
        <w:rPr>
          <w:rFonts w:cstheme="minorHAnsi"/>
          <w:b/>
          <w:lang w:val="en-US"/>
        </w:rPr>
        <w:t xml:space="preserve"> </w:t>
      </w:r>
      <w:r w:rsidR="00141BD7">
        <w:rPr>
          <w:rFonts w:cstheme="minorHAnsi"/>
          <w:b/>
          <w:lang w:val="en-US"/>
        </w:rPr>
        <w:t xml:space="preserve">the </w:t>
      </w:r>
      <w:r w:rsidRPr="005673A9">
        <w:rPr>
          <w:rFonts w:cstheme="minorHAnsi"/>
          <w:b/>
          <w:lang w:val="en-US"/>
        </w:rPr>
        <w:t>real sector</w:t>
      </w:r>
      <w:r w:rsidR="00BD7890" w:rsidRPr="005673A9">
        <w:rPr>
          <w:rFonts w:cstheme="minorHAnsi"/>
          <w:b/>
          <w:lang w:val="en-US"/>
        </w:rPr>
        <w:t xml:space="preserve"> of the economy</w:t>
      </w:r>
      <w:r w:rsidRPr="005673A9">
        <w:rPr>
          <w:rFonts w:cstheme="minorHAnsi"/>
          <w:b/>
          <w:lang w:val="en-US"/>
        </w:rPr>
        <w:t xml:space="preserve">. </w:t>
      </w:r>
      <w:r w:rsidRPr="005673A9">
        <w:rPr>
          <w:rFonts w:cstheme="minorHAnsi"/>
          <w:lang w:val="en-US"/>
        </w:rPr>
        <w:t>MFIs of all sizes and institutional types struggle to be compliant with the prudential norms (liquidity and capital adequacy)</w:t>
      </w:r>
      <w:r w:rsidR="00BD7890" w:rsidRPr="005673A9">
        <w:rPr>
          <w:rFonts w:cstheme="minorHAnsi"/>
          <w:lang w:val="en-US"/>
        </w:rPr>
        <w:t xml:space="preserve">. Between </w:t>
      </w:r>
      <w:r w:rsidR="00BD7890" w:rsidRPr="005673A9">
        <w:rPr>
          <w:rFonts w:cstheme="minorHAnsi"/>
          <w:lang w:val="en"/>
        </w:rPr>
        <w:t>2012</w:t>
      </w:r>
      <w:r w:rsidR="00141BD7">
        <w:rPr>
          <w:rFonts w:cstheme="minorHAnsi"/>
          <w:lang w:val="en"/>
        </w:rPr>
        <w:t xml:space="preserve"> and </w:t>
      </w:r>
      <w:r w:rsidR="00BD7890" w:rsidRPr="005673A9">
        <w:rPr>
          <w:rFonts w:cstheme="minorHAnsi"/>
          <w:lang w:val="en"/>
        </w:rPr>
        <w:t xml:space="preserve">2016, the standard </w:t>
      </w:r>
      <w:r w:rsidR="002425E2">
        <w:rPr>
          <w:rFonts w:cstheme="minorHAnsi"/>
          <w:lang w:val="en"/>
        </w:rPr>
        <w:t>related to</w:t>
      </w:r>
      <w:r w:rsidR="002425E2" w:rsidRPr="005673A9">
        <w:rPr>
          <w:rFonts w:cstheme="minorHAnsi"/>
          <w:lang w:val="en"/>
        </w:rPr>
        <w:t xml:space="preserve"> </w:t>
      </w:r>
      <w:r w:rsidR="00BD7890" w:rsidRPr="005673A9">
        <w:rPr>
          <w:rFonts w:cstheme="minorHAnsi"/>
          <w:lang w:val="en"/>
        </w:rPr>
        <w:t>the portfolio at risk was not respected</w:t>
      </w:r>
      <w:r w:rsidR="000E1B61">
        <w:rPr>
          <w:rFonts w:cstheme="minorHAnsi"/>
          <w:lang w:val="en"/>
        </w:rPr>
        <w:t xml:space="preserve"> in general</w:t>
      </w:r>
      <w:r w:rsidR="00BD7890" w:rsidRPr="005673A9">
        <w:rPr>
          <w:rFonts w:cstheme="minorHAnsi"/>
          <w:lang w:val="en"/>
        </w:rPr>
        <w:t>.</w:t>
      </w:r>
      <w:r w:rsidR="00BD7890" w:rsidRPr="005673A9">
        <w:rPr>
          <w:rFonts w:cstheme="minorHAnsi"/>
          <w:lang w:val="en-US"/>
        </w:rPr>
        <w:t xml:space="preserve"> The </w:t>
      </w:r>
      <w:r w:rsidR="005673A9" w:rsidRPr="005673A9">
        <w:rPr>
          <w:rFonts w:cstheme="minorHAnsi"/>
          <w:lang w:val="en-US"/>
        </w:rPr>
        <w:t>noncompliance</w:t>
      </w:r>
      <w:r w:rsidR="00BD7890" w:rsidRPr="005673A9">
        <w:rPr>
          <w:rFonts w:cstheme="minorHAnsi"/>
          <w:lang w:val="en-US"/>
        </w:rPr>
        <w:t xml:space="preserve"> with these indicators contributed to the reduction of banks refinancing to MFIs. </w:t>
      </w:r>
      <w:r w:rsidR="005673A9" w:rsidRPr="005673A9">
        <w:rPr>
          <w:rFonts w:cstheme="minorHAnsi"/>
          <w:lang w:val="en-US"/>
        </w:rPr>
        <w:t xml:space="preserve">The central Bank established an incentive for Banks to refinance MFIs supervised by the banking commission. Such incentive stipulates that </w:t>
      </w:r>
      <w:r w:rsidR="00BD7890" w:rsidRPr="005673A9">
        <w:rPr>
          <w:rFonts w:cstheme="minorHAnsi"/>
          <w:lang w:val="en-US"/>
        </w:rPr>
        <w:t xml:space="preserve">credit </w:t>
      </w:r>
      <w:r w:rsidR="00BD7890" w:rsidRPr="005673A9">
        <w:rPr>
          <w:rFonts w:cstheme="minorHAnsi"/>
          <w:lang w:val="en"/>
        </w:rPr>
        <w:t xml:space="preserve">granted to MFIs </w:t>
      </w:r>
      <w:r w:rsidR="00831E6A">
        <w:rPr>
          <w:rFonts w:cstheme="minorHAnsi"/>
          <w:lang w:val="en"/>
        </w:rPr>
        <w:t xml:space="preserve">and </w:t>
      </w:r>
      <w:r w:rsidR="00BD7890" w:rsidRPr="005673A9">
        <w:rPr>
          <w:rFonts w:cstheme="minorHAnsi"/>
          <w:lang w:val="en"/>
        </w:rPr>
        <w:t xml:space="preserve">subject to the control of the </w:t>
      </w:r>
      <w:r w:rsidR="005673A9" w:rsidRPr="005673A9">
        <w:rPr>
          <w:rFonts w:cstheme="minorHAnsi"/>
          <w:lang w:val="en"/>
        </w:rPr>
        <w:t xml:space="preserve">Banking Commission </w:t>
      </w:r>
      <w:r w:rsidR="00BD7890" w:rsidRPr="005673A9">
        <w:rPr>
          <w:rFonts w:cstheme="minorHAnsi"/>
          <w:lang w:val="en"/>
        </w:rPr>
        <w:t>can be admitted as part of the refinancing facilities of the Central Bank (BCEAO-</w:t>
      </w:r>
      <w:r w:rsidR="00BD7890" w:rsidRPr="005673A9">
        <w:rPr>
          <w:rFonts w:cstheme="minorHAnsi"/>
          <w:bCs/>
          <w:lang w:val="en-US"/>
        </w:rPr>
        <w:t>DECISION N°061-03-2011)</w:t>
      </w:r>
      <w:r w:rsidR="005673A9" w:rsidRPr="005673A9">
        <w:rPr>
          <w:rFonts w:cstheme="minorHAnsi"/>
          <w:bCs/>
          <w:lang w:val="en-US"/>
        </w:rPr>
        <w:t xml:space="preserve"> for Banks</w:t>
      </w:r>
      <w:r w:rsidR="005673A9" w:rsidRPr="005673A9">
        <w:rPr>
          <w:rFonts w:cstheme="minorHAnsi"/>
          <w:lang w:val="en"/>
        </w:rPr>
        <w:t xml:space="preserve">. However, </w:t>
      </w:r>
      <w:r w:rsidR="00BD7890" w:rsidRPr="005673A9">
        <w:rPr>
          <w:rFonts w:cstheme="minorHAnsi"/>
          <w:lang w:val="en-US"/>
        </w:rPr>
        <w:t xml:space="preserve">these MFIs </w:t>
      </w:r>
      <w:r w:rsidR="00BD7890" w:rsidRPr="005673A9">
        <w:rPr>
          <w:rFonts w:cstheme="minorHAnsi"/>
          <w:lang w:val="en"/>
        </w:rPr>
        <w:t xml:space="preserve">must respect the </w:t>
      </w:r>
      <w:r w:rsidR="00BD7890" w:rsidRPr="00831E6A">
        <w:rPr>
          <w:rFonts w:cstheme="minorHAnsi"/>
          <w:lang w:val="en"/>
        </w:rPr>
        <w:t xml:space="preserve">following prudential rules: the capitalization norm, the liquidity ratio, and the ratio on loans to MFIs executives and staff. </w:t>
      </w:r>
      <w:r w:rsidR="005673A9" w:rsidRPr="00831E6A">
        <w:rPr>
          <w:rFonts w:cstheme="minorHAnsi"/>
          <w:lang w:val="en"/>
        </w:rPr>
        <w:t xml:space="preserve">In Benin, </w:t>
      </w:r>
      <w:r w:rsidR="00BD7890" w:rsidRPr="00831E6A">
        <w:rPr>
          <w:rFonts w:cstheme="minorHAnsi"/>
          <w:lang w:val="en"/>
        </w:rPr>
        <w:t xml:space="preserve">MFIs are struggling with </w:t>
      </w:r>
      <w:r w:rsidR="005673A9" w:rsidRPr="00831E6A">
        <w:rPr>
          <w:rFonts w:cstheme="minorHAnsi"/>
          <w:lang w:val="en"/>
        </w:rPr>
        <w:t xml:space="preserve">these ratios. In addition, given the savings collected by most MFIs are lower than outstanding loans, they </w:t>
      </w:r>
      <w:proofErr w:type="gramStart"/>
      <w:r w:rsidR="005673A9" w:rsidRPr="00831E6A">
        <w:rPr>
          <w:rFonts w:cstheme="minorHAnsi"/>
          <w:lang w:val="en"/>
        </w:rPr>
        <w:t>have to</w:t>
      </w:r>
      <w:proofErr w:type="gramEnd"/>
      <w:r w:rsidR="005673A9" w:rsidRPr="00831E6A">
        <w:rPr>
          <w:rFonts w:cstheme="minorHAnsi"/>
          <w:lang w:val="en"/>
        </w:rPr>
        <w:t xml:space="preserve"> rely </w:t>
      </w:r>
      <w:r w:rsidR="005673A9" w:rsidRPr="00831E6A">
        <w:rPr>
          <w:rFonts w:cstheme="minorHAnsi"/>
          <w:lang w:val="en-US"/>
        </w:rPr>
        <w:t xml:space="preserve">external refinancing facility. </w:t>
      </w:r>
      <w:r w:rsidR="006A5CCC" w:rsidRPr="00831E6A">
        <w:rPr>
          <w:rFonts w:cstheme="minorHAnsi"/>
          <w:lang w:val="en"/>
        </w:rPr>
        <w:t xml:space="preserve">However, banks limited their refinancing for MFIs, which is </w:t>
      </w:r>
      <w:r w:rsidR="00BD7890" w:rsidRPr="00831E6A">
        <w:rPr>
          <w:rFonts w:cstheme="minorHAnsi"/>
          <w:lang w:val="en-US"/>
        </w:rPr>
        <w:t xml:space="preserve">affecting </w:t>
      </w:r>
      <w:r w:rsidR="006A5CCC" w:rsidRPr="00831E6A">
        <w:rPr>
          <w:rFonts w:cstheme="minorHAnsi"/>
          <w:lang w:val="en-US"/>
        </w:rPr>
        <w:t>the</w:t>
      </w:r>
      <w:r w:rsidR="005673A9" w:rsidRPr="00831E6A">
        <w:rPr>
          <w:rFonts w:cstheme="minorHAnsi"/>
          <w:lang w:val="en-US"/>
        </w:rPr>
        <w:t xml:space="preserve"> </w:t>
      </w:r>
      <w:r w:rsidR="00BD7890" w:rsidRPr="00831E6A">
        <w:rPr>
          <w:rFonts w:cstheme="minorHAnsi"/>
          <w:lang w:val="en-US"/>
        </w:rPr>
        <w:t>capacities</w:t>
      </w:r>
      <w:r w:rsidR="006A5CCC" w:rsidRPr="00831E6A">
        <w:rPr>
          <w:rFonts w:cstheme="minorHAnsi"/>
          <w:lang w:val="en-US"/>
        </w:rPr>
        <w:t xml:space="preserve"> of microfinance sector</w:t>
      </w:r>
      <w:r w:rsidR="00BD7890" w:rsidRPr="00831E6A">
        <w:rPr>
          <w:rFonts w:cstheme="minorHAnsi"/>
          <w:lang w:val="en-US"/>
        </w:rPr>
        <w:t xml:space="preserve"> to provide financial </w:t>
      </w:r>
      <w:r w:rsidR="00BD7890" w:rsidRPr="00831E6A">
        <w:rPr>
          <w:rFonts w:ascii="Calibri" w:hAnsi="Calibri" w:cs="Calibri"/>
          <w:lang w:val="en-US"/>
        </w:rPr>
        <w:t>services</w:t>
      </w:r>
      <w:r w:rsidR="00BD7890" w:rsidRPr="00831E6A">
        <w:rPr>
          <w:rFonts w:cstheme="minorHAnsi"/>
          <w:lang w:val="en-US"/>
        </w:rPr>
        <w:t xml:space="preserve"> to </w:t>
      </w:r>
      <w:r w:rsidR="006A5CCC" w:rsidRPr="00831E6A">
        <w:rPr>
          <w:rFonts w:cstheme="minorHAnsi"/>
          <w:lang w:val="en-US"/>
        </w:rPr>
        <w:t xml:space="preserve">the poor and vulnerable population not served by banks. </w:t>
      </w:r>
    </w:p>
    <w:p w14:paraId="660455B1" w14:textId="77777777" w:rsidR="006A5CCC" w:rsidRPr="006A5CCC" w:rsidRDefault="006A5CCC" w:rsidP="00727C97">
      <w:pPr>
        <w:pStyle w:val="ListParagraph"/>
        <w:autoSpaceDE w:val="0"/>
        <w:autoSpaceDN w:val="0"/>
        <w:adjustRightInd w:val="0"/>
        <w:spacing w:after="0" w:line="240" w:lineRule="auto"/>
        <w:ind w:left="0"/>
        <w:jc w:val="both"/>
        <w:rPr>
          <w:rFonts w:cstheme="minorHAnsi"/>
          <w:lang w:val="en-US"/>
        </w:rPr>
      </w:pPr>
    </w:p>
    <w:p w14:paraId="4F5853F2" w14:textId="2810C493" w:rsidR="00983161" w:rsidRPr="006A5CCC" w:rsidRDefault="00831E6A" w:rsidP="00727C97">
      <w:pPr>
        <w:pStyle w:val="ListParagraph"/>
        <w:numPr>
          <w:ilvl w:val="0"/>
          <w:numId w:val="47"/>
        </w:numPr>
        <w:autoSpaceDE w:val="0"/>
        <w:autoSpaceDN w:val="0"/>
        <w:adjustRightInd w:val="0"/>
        <w:spacing w:after="0" w:line="240" w:lineRule="auto"/>
        <w:ind w:left="0" w:firstLine="0"/>
        <w:jc w:val="both"/>
        <w:rPr>
          <w:rFonts w:cstheme="minorHAnsi"/>
          <w:lang w:val="en-US"/>
        </w:rPr>
      </w:pPr>
      <w:r>
        <w:rPr>
          <w:rFonts w:cstheme="minorHAnsi"/>
          <w:b/>
          <w:color w:val="222222"/>
          <w:lang w:val="en-US"/>
        </w:rPr>
        <w:t xml:space="preserve">In terms of </w:t>
      </w:r>
      <w:r w:rsidR="006A5CCC" w:rsidRPr="006A5CCC">
        <w:rPr>
          <w:rFonts w:cstheme="minorHAnsi"/>
          <w:b/>
          <w:color w:val="222222"/>
          <w:lang w:val="en-US"/>
        </w:rPr>
        <w:t>governance</w:t>
      </w:r>
      <w:r>
        <w:rPr>
          <w:rFonts w:cstheme="minorHAnsi"/>
          <w:b/>
          <w:color w:val="222222"/>
          <w:lang w:val="en-US"/>
        </w:rPr>
        <w:t>,</w:t>
      </w:r>
      <w:r w:rsidR="006A5CCC" w:rsidRPr="006A5CCC">
        <w:rPr>
          <w:rFonts w:cstheme="minorHAnsi"/>
          <w:b/>
          <w:color w:val="222222"/>
          <w:lang w:val="en-US"/>
        </w:rPr>
        <w:t xml:space="preserve"> f</w:t>
      </w:r>
      <w:r w:rsidR="00983161" w:rsidRPr="006A5CCC">
        <w:rPr>
          <w:rFonts w:cstheme="minorHAnsi"/>
          <w:b/>
          <w:color w:val="222222"/>
          <w:lang w:val="en-US"/>
        </w:rPr>
        <w:t>inancial</w:t>
      </w:r>
      <w:r w:rsidR="006A5CCC" w:rsidRPr="006A5CCC">
        <w:rPr>
          <w:rFonts w:cstheme="minorHAnsi"/>
          <w:b/>
          <w:color w:val="222222"/>
          <w:lang w:val="en-US"/>
        </w:rPr>
        <w:t xml:space="preserve"> cooperative is</w:t>
      </w:r>
      <w:r w:rsidR="00983161" w:rsidRPr="006A5CCC">
        <w:rPr>
          <w:rFonts w:cstheme="minorHAnsi"/>
          <w:b/>
          <w:color w:val="222222"/>
          <w:lang w:val="en-US"/>
        </w:rPr>
        <w:t xml:space="preserve"> worrying </w:t>
      </w:r>
      <w:r w:rsidR="006A5CCC" w:rsidRPr="006A5CCC">
        <w:rPr>
          <w:rFonts w:cstheme="minorHAnsi"/>
          <w:b/>
          <w:lang w:val="en-US"/>
        </w:rPr>
        <w:t xml:space="preserve">for </w:t>
      </w:r>
      <w:r w:rsidR="006A5CCC" w:rsidRPr="00831E6A">
        <w:rPr>
          <w:rFonts w:cstheme="minorHAnsi"/>
          <w:b/>
          <w:lang w:val="en-US"/>
        </w:rPr>
        <w:t xml:space="preserve">the future of the sector </w:t>
      </w:r>
      <w:r w:rsidR="00983161" w:rsidRPr="00831E6A">
        <w:rPr>
          <w:rFonts w:cstheme="minorHAnsi"/>
          <w:b/>
          <w:lang w:val="en-US"/>
        </w:rPr>
        <w:t>as they dominate the</w:t>
      </w:r>
      <w:r w:rsidR="006A5CCC" w:rsidRPr="00831E6A">
        <w:rPr>
          <w:rFonts w:cstheme="minorHAnsi"/>
          <w:b/>
          <w:lang w:val="en-US"/>
        </w:rPr>
        <w:t xml:space="preserve"> microfinance</w:t>
      </w:r>
      <w:r w:rsidR="00983161" w:rsidRPr="00831E6A">
        <w:rPr>
          <w:rFonts w:cstheme="minorHAnsi"/>
          <w:b/>
          <w:lang w:val="en-US"/>
        </w:rPr>
        <w:t xml:space="preserve"> market</w:t>
      </w:r>
      <w:r w:rsidR="00983161" w:rsidRPr="00831E6A">
        <w:rPr>
          <w:rFonts w:cstheme="minorHAnsi"/>
          <w:lang w:val="en-US"/>
        </w:rPr>
        <w:t xml:space="preserve">. </w:t>
      </w:r>
      <w:r w:rsidR="006A5CCC" w:rsidRPr="00831E6A">
        <w:rPr>
          <w:rFonts w:ascii="Calibri-Bold" w:hAnsi="Calibri-Bold" w:cs="Calibri-Bold"/>
          <w:bCs/>
          <w:lang w:val="en-US"/>
        </w:rPr>
        <w:t>FC</w:t>
      </w:r>
      <w:r w:rsidR="00983161" w:rsidRPr="00831E6A">
        <w:rPr>
          <w:rFonts w:cstheme="minorHAnsi"/>
          <w:lang w:val="en-US"/>
        </w:rPr>
        <w:t xml:space="preserve"> represent 76 percent of the MFIs listed in Benin, 62 percent of the total points of services, and 71 percent of the clientele. </w:t>
      </w:r>
      <w:r w:rsidR="006A5CCC" w:rsidRPr="00831E6A">
        <w:rPr>
          <w:rFonts w:cstheme="minorHAnsi"/>
          <w:bCs/>
          <w:lang w:val="en-US"/>
        </w:rPr>
        <w:t xml:space="preserve">It is critical </w:t>
      </w:r>
      <w:r w:rsidR="006A5CCC" w:rsidRPr="00831E6A">
        <w:rPr>
          <w:rFonts w:cstheme="minorHAnsi"/>
          <w:lang w:val="en-US"/>
        </w:rPr>
        <w:t>to prevent any crisis affecting these institution</w:t>
      </w:r>
      <w:r w:rsidR="00141BD7" w:rsidRPr="00831E6A">
        <w:rPr>
          <w:rFonts w:cstheme="minorHAnsi"/>
          <w:lang w:val="en-US"/>
        </w:rPr>
        <w:t>s</w:t>
      </w:r>
      <w:r w:rsidR="006A5CCC" w:rsidRPr="00831E6A">
        <w:rPr>
          <w:rFonts w:cstheme="minorHAnsi"/>
          <w:lang w:val="en-US"/>
        </w:rPr>
        <w:t>, given the systemic risk they represent</w:t>
      </w:r>
      <w:r w:rsidR="00197E24" w:rsidRPr="00831E6A">
        <w:rPr>
          <w:rFonts w:cstheme="minorHAnsi"/>
          <w:lang w:val="en-US"/>
        </w:rPr>
        <w:t xml:space="preserve"> and could create in the country financial sector.</w:t>
      </w:r>
    </w:p>
    <w:p w14:paraId="0A99534B" w14:textId="53A46673" w:rsidR="00983161" w:rsidRPr="00A34DFE" w:rsidRDefault="00983161" w:rsidP="00983161">
      <w:pPr>
        <w:pStyle w:val="Caption"/>
        <w:keepNext/>
        <w:rPr>
          <w:b/>
          <w:lang w:val="en-US"/>
        </w:rPr>
      </w:pPr>
      <w:r w:rsidRPr="00A34DFE">
        <w:rPr>
          <w:b/>
          <w:lang w:val="en-US"/>
        </w:rPr>
        <w:t>Figure</w:t>
      </w:r>
      <w:r w:rsidR="00C702B4" w:rsidRPr="00A34DFE">
        <w:rPr>
          <w:b/>
          <w:lang w:val="en-US"/>
        </w:rPr>
        <w:t> </w:t>
      </w:r>
      <w:r w:rsidRPr="00A34DFE">
        <w:rPr>
          <w:b/>
          <w:lang w:val="en-US"/>
        </w:rPr>
        <w:t>2.</w:t>
      </w:r>
      <w:r w:rsidRPr="00A34DFE">
        <w:rPr>
          <w:b/>
          <w:lang w:val="en-US"/>
        </w:rPr>
        <w:fldChar w:fldCharType="begin"/>
      </w:r>
      <w:r w:rsidRPr="00A34DFE">
        <w:rPr>
          <w:b/>
          <w:lang w:val="en-US"/>
        </w:rPr>
        <w:instrText xml:space="preserve"> SEQ Figure_2. \* ARABIC </w:instrText>
      </w:r>
      <w:r w:rsidRPr="00A34DFE">
        <w:rPr>
          <w:b/>
          <w:lang w:val="en-US"/>
        </w:rPr>
        <w:fldChar w:fldCharType="separate"/>
      </w:r>
      <w:r w:rsidR="004C6E5F" w:rsidRPr="00A34DFE">
        <w:rPr>
          <w:b/>
          <w:noProof/>
          <w:lang w:val="en-US"/>
        </w:rPr>
        <w:t>4</w:t>
      </w:r>
      <w:r w:rsidRPr="00A34DFE">
        <w:rPr>
          <w:b/>
          <w:lang w:val="en-US"/>
        </w:rPr>
        <w:fldChar w:fldCharType="end"/>
      </w:r>
      <w:r w:rsidRPr="00A34DFE">
        <w:rPr>
          <w:b/>
          <w:lang w:val="en-US"/>
        </w:rPr>
        <w:t>: Microfinance market structure in Benin</w:t>
      </w:r>
    </w:p>
    <w:p w14:paraId="371D18B2" w14:textId="77777777" w:rsidR="00983161" w:rsidRPr="00124DA6" w:rsidRDefault="00983161" w:rsidP="00983161">
      <w:pPr>
        <w:keepNext/>
        <w:spacing w:after="0" w:line="240" w:lineRule="auto"/>
        <w:ind w:firstLine="706"/>
        <w:jc w:val="center"/>
        <w:rPr>
          <w:lang w:val="en-US"/>
        </w:rPr>
      </w:pPr>
      <w:r w:rsidRPr="00124DA6">
        <w:rPr>
          <w:noProof/>
          <w:lang w:eastAsia="fr-FR"/>
        </w:rPr>
        <w:drawing>
          <wp:inline distT="0" distB="0" distL="0" distR="0" wp14:anchorId="64648862" wp14:editId="026F5317">
            <wp:extent cx="4374489" cy="1784909"/>
            <wp:effectExtent l="0" t="0" r="7620" b="6350"/>
            <wp:docPr id="44" name="Chart 44">
              <a:extLst xmlns:a="http://schemas.openxmlformats.org/drawingml/2006/main">
                <a:ext uri="{FF2B5EF4-FFF2-40B4-BE49-F238E27FC236}">
                  <a16:creationId xmlns:a16="http://schemas.microsoft.com/office/drawing/2014/main" id="{EC92AECF-FE17-41A6-8111-C730A00098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2494432" w14:textId="77777777" w:rsidR="00983161" w:rsidRPr="00124DA6" w:rsidRDefault="00983161" w:rsidP="00983161">
      <w:pPr>
        <w:spacing w:after="120" w:line="240" w:lineRule="auto"/>
        <w:ind w:left="900" w:firstLine="706"/>
        <w:rPr>
          <w:rFonts w:asciiTheme="majorHAnsi" w:hAnsiTheme="majorHAnsi" w:cstheme="majorHAnsi"/>
          <w:color w:val="2E74B5" w:themeColor="accent1" w:themeShade="BF"/>
          <w:sz w:val="20"/>
          <w:szCs w:val="16"/>
          <w:lang w:val="en-US"/>
        </w:rPr>
      </w:pPr>
      <w:r w:rsidRPr="00124DA6">
        <w:rPr>
          <w:rFonts w:asciiTheme="majorHAnsi" w:hAnsiTheme="majorHAnsi" w:cstheme="majorHAnsi"/>
          <w:i/>
          <w:color w:val="2E74B5" w:themeColor="accent1" w:themeShade="BF"/>
          <w:sz w:val="20"/>
          <w:szCs w:val="16"/>
          <w:lang w:val="en-US"/>
        </w:rPr>
        <w:t>Source</w:t>
      </w:r>
      <w:r w:rsidRPr="00124DA6">
        <w:rPr>
          <w:rFonts w:asciiTheme="majorHAnsi" w:hAnsiTheme="majorHAnsi" w:cstheme="majorHAnsi"/>
          <w:color w:val="2E74B5" w:themeColor="accent1" w:themeShade="BF"/>
          <w:sz w:val="20"/>
          <w:szCs w:val="16"/>
          <w:lang w:val="en-US"/>
        </w:rPr>
        <w:t>: ANSSFD (2017) data as of December 2016.</w:t>
      </w:r>
    </w:p>
    <w:p w14:paraId="5570CB58" w14:textId="77777777" w:rsidR="00CC0842" w:rsidRPr="00A34DFE" w:rsidRDefault="002D142D" w:rsidP="00ED23FD">
      <w:pPr>
        <w:pStyle w:val="Heading2"/>
        <w:rPr>
          <w:b/>
          <w:lang w:val="en-US"/>
        </w:rPr>
      </w:pPr>
      <w:bookmarkStart w:id="23" w:name="_Toc3975131"/>
      <w:bookmarkEnd w:id="21"/>
      <w:r w:rsidRPr="00A34DFE">
        <w:rPr>
          <w:b/>
          <w:lang w:val="en-US"/>
        </w:rPr>
        <w:t>2.</w:t>
      </w:r>
      <w:r w:rsidR="00197E24" w:rsidRPr="00A34DFE">
        <w:rPr>
          <w:b/>
          <w:lang w:val="en-US"/>
        </w:rPr>
        <w:t xml:space="preserve">3 </w:t>
      </w:r>
      <w:r w:rsidR="00ED23FD" w:rsidRPr="00A34DFE">
        <w:rPr>
          <w:b/>
          <w:lang w:val="en-US"/>
        </w:rPr>
        <w:t>The Beninese microfinance, a strong asset</w:t>
      </w:r>
      <w:r w:rsidR="00197E24" w:rsidRPr="00A34DFE">
        <w:rPr>
          <w:b/>
          <w:lang w:val="en-US"/>
        </w:rPr>
        <w:t xml:space="preserve"> </w:t>
      </w:r>
      <w:r w:rsidR="00413F3E" w:rsidRPr="00A34DFE">
        <w:rPr>
          <w:b/>
          <w:lang w:val="en-US"/>
        </w:rPr>
        <w:t xml:space="preserve">in bringing financial services to poor and remote </w:t>
      </w:r>
      <w:r w:rsidR="00ED23FD" w:rsidRPr="00A34DFE">
        <w:rPr>
          <w:b/>
          <w:lang w:val="en-US"/>
        </w:rPr>
        <w:t>households and businesses, but</w:t>
      </w:r>
      <w:r w:rsidR="00413F3E" w:rsidRPr="00A34DFE">
        <w:rPr>
          <w:b/>
          <w:lang w:val="en-US"/>
        </w:rPr>
        <w:t xml:space="preserve"> require support </w:t>
      </w:r>
      <w:r w:rsidR="00197E24" w:rsidRPr="00A34DFE">
        <w:rPr>
          <w:b/>
          <w:lang w:val="en-US"/>
        </w:rPr>
        <w:t>to move</w:t>
      </w:r>
      <w:r w:rsidR="00CC0842" w:rsidRPr="00A34DFE">
        <w:rPr>
          <w:b/>
          <w:lang w:val="en-US"/>
        </w:rPr>
        <w:t xml:space="preserve"> </w:t>
      </w:r>
      <w:r w:rsidR="00197E24" w:rsidRPr="00A34DFE">
        <w:rPr>
          <w:b/>
          <w:lang w:val="en-US"/>
        </w:rPr>
        <w:t>f</w:t>
      </w:r>
      <w:r w:rsidR="00CC0842" w:rsidRPr="00A34DFE">
        <w:rPr>
          <w:b/>
          <w:lang w:val="en-US"/>
        </w:rPr>
        <w:t>orward</w:t>
      </w:r>
      <w:bookmarkEnd w:id="23"/>
    </w:p>
    <w:p w14:paraId="6335E0B5" w14:textId="7CF3F10E" w:rsidR="00197E24" w:rsidRPr="00197E24" w:rsidRDefault="00197E24" w:rsidP="00A34DFE">
      <w:pPr>
        <w:pStyle w:val="ListParagraph"/>
        <w:numPr>
          <w:ilvl w:val="0"/>
          <w:numId w:val="47"/>
        </w:numPr>
        <w:spacing w:after="240" w:line="240" w:lineRule="auto"/>
        <w:ind w:left="0" w:firstLine="0"/>
        <w:contextualSpacing w:val="0"/>
        <w:jc w:val="both"/>
        <w:rPr>
          <w:rFonts w:cstheme="minorHAnsi"/>
          <w:b/>
          <w:lang w:val="en-US"/>
        </w:rPr>
      </w:pPr>
      <w:r w:rsidRPr="00197E24">
        <w:rPr>
          <w:rFonts w:cstheme="minorHAnsi"/>
          <w:b/>
          <w:lang w:val="en-US"/>
        </w:rPr>
        <w:t xml:space="preserve">The </w:t>
      </w:r>
      <w:r w:rsidR="00C61C7F">
        <w:rPr>
          <w:rFonts w:cstheme="minorHAnsi"/>
          <w:b/>
          <w:lang w:val="en-US"/>
        </w:rPr>
        <w:t>unde</w:t>
      </w:r>
      <w:r w:rsidR="00831E6A">
        <w:rPr>
          <w:rFonts w:cstheme="minorHAnsi"/>
          <w:b/>
          <w:lang w:val="en-US"/>
        </w:rPr>
        <w:t xml:space="preserve">niable assets of the </w:t>
      </w:r>
      <w:r w:rsidRPr="00197E24">
        <w:rPr>
          <w:rFonts w:cstheme="minorHAnsi"/>
          <w:b/>
          <w:lang w:val="en-US"/>
        </w:rPr>
        <w:t xml:space="preserve">microfinance sector </w:t>
      </w:r>
      <w:r w:rsidR="00831E6A">
        <w:rPr>
          <w:rFonts w:cstheme="minorHAnsi"/>
          <w:b/>
          <w:lang w:val="en-US"/>
        </w:rPr>
        <w:t>can</w:t>
      </w:r>
      <w:r w:rsidRPr="00197E24">
        <w:rPr>
          <w:rFonts w:cstheme="minorHAnsi"/>
          <w:b/>
          <w:lang w:val="en-US"/>
        </w:rPr>
        <w:t xml:space="preserve"> </w:t>
      </w:r>
      <w:r w:rsidR="00831E6A">
        <w:rPr>
          <w:rFonts w:cstheme="minorHAnsi"/>
          <w:b/>
          <w:lang w:val="en-US"/>
        </w:rPr>
        <w:t>foster</w:t>
      </w:r>
      <w:r w:rsidR="00831E6A" w:rsidRPr="00197E24">
        <w:rPr>
          <w:rFonts w:cstheme="minorHAnsi"/>
          <w:b/>
          <w:lang w:val="en-US"/>
        </w:rPr>
        <w:t xml:space="preserve"> </w:t>
      </w:r>
      <w:r w:rsidRPr="00197E24">
        <w:rPr>
          <w:rFonts w:cstheme="minorHAnsi"/>
          <w:b/>
          <w:lang w:val="en-US"/>
        </w:rPr>
        <w:t>financial inclusion in Benin.</w:t>
      </w:r>
      <w:r>
        <w:rPr>
          <w:rFonts w:cstheme="minorHAnsi"/>
          <w:b/>
          <w:lang w:val="en-US"/>
        </w:rPr>
        <w:t xml:space="preserve"> </w:t>
      </w:r>
      <w:r w:rsidR="00413F3E" w:rsidRPr="00413F3E">
        <w:rPr>
          <w:rFonts w:cs="Times New Roman"/>
          <w:lang w:val="en-US"/>
        </w:rPr>
        <w:t xml:space="preserve">In contrast to e-money providers, which offer transfer, cash-in and cash-out services, MFIs promote a broader set of financial products, including savings, credit, insurance and financial education. In contrast to banks, MFIs focus on reaching smaller and more remote customers that often have limited formal documentation and collateral. </w:t>
      </w:r>
      <w:r w:rsidR="00413F3E">
        <w:rPr>
          <w:rFonts w:cs="Times New Roman"/>
          <w:lang w:val="en-US"/>
        </w:rPr>
        <w:t xml:space="preserve">The microfinance sector </w:t>
      </w:r>
      <w:r>
        <w:rPr>
          <w:rFonts w:cstheme="minorHAnsi"/>
          <w:lang w:val="en-US"/>
        </w:rPr>
        <w:t xml:space="preserve">has an important reach in the population, a significant number of branches offering </w:t>
      </w:r>
      <w:r w:rsidR="00413F3E">
        <w:rPr>
          <w:rFonts w:cstheme="minorHAnsi"/>
          <w:lang w:val="en-US"/>
        </w:rPr>
        <w:t xml:space="preserve">a diversify range of financial services and products (credit, savings, transfer, etc.), strong partnerships with other financial sector stakeholders. </w:t>
      </w:r>
      <w:r w:rsidR="00413F3E" w:rsidRPr="00413F3E">
        <w:rPr>
          <w:rFonts w:cs="Times New Roman"/>
          <w:lang w:val="en-US"/>
        </w:rPr>
        <w:t xml:space="preserve">Nonetheless, the sector faces important challenges </w:t>
      </w:r>
      <w:r w:rsidR="00141BD7">
        <w:rPr>
          <w:rFonts w:cs="Times New Roman"/>
          <w:lang w:val="en-US"/>
        </w:rPr>
        <w:t>threatening</w:t>
      </w:r>
      <w:r w:rsidR="00413F3E" w:rsidRPr="00413F3E">
        <w:rPr>
          <w:rFonts w:cs="Times New Roman"/>
          <w:lang w:val="en-US"/>
        </w:rPr>
        <w:t xml:space="preserve"> its stability and g</w:t>
      </w:r>
      <w:r w:rsidR="00413F3E">
        <w:rPr>
          <w:rFonts w:cs="Times New Roman"/>
          <w:lang w:val="en-US"/>
        </w:rPr>
        <w:t xml:space="preserve">rowth. As the following recommendations are suggested </w:t>
      </w:r>
      <w:proofErr w:type="gramStart"/>
      <w:r w:rsidR="00413F3E">
        <w:rPr>
          <w:rFonts w:cs="Times New Roman"/>
          <w:lang w:val="en-US"/>
        </w:rPr>
        <w:t>in order to</w:t>
      </w:r>
      <w:proofErr w:type="gramEnd"/>
      <w:r w:rsidR="00413F3E">
        <w:rPr>
          <w:rFonts w:cs="Times New Roman"/>
          <w:lang w:val="en-US"/>
        </w:rPr>
        <w:t xml:space="preserve"> enable the sector to broaden the reach and play a more significant role in enhancing financial inclusion in Benin: </w:t>
      </w:r>
    </w:p>
    <w:p w14:paraId="24FA759E" w14:textId="79BDC5EB" w:rsidR="00C13529" w:rsidRDefault="00CC0842" w:rsidP="005B3D8A">
      <w:pPr>
        <w:pStyle w:val="ListParagraph"/>
        <w:numPr>
          <w:ilvl w:val="1"/>
          <w:numId w:val="46"/>
        </w:numPr>
        <w:spacing w:before="120" w:after="120" w:line="240" w:lineRule="auto"/>
        <w:ind w:left="720"/>
        <w:contextualSpacing w:val="0"/>
        <w:jc w:val="both"/>
        <w:rPr>
          <w:rFonts w:cstheme="minorHAnsi"/>
          <w:lang w:val="en-US"/>
        </w:rPr>
      </w:pPr>
      <w:r w:rsidRPr="00124DA6">
        <w:rPr>
          <w:b/>
          <w:lang w:val="en-US"/>
        </w:rPr>
        <w:t xml:space="preserve">Strengthen the supervisory authority capacities to fully implement </w:t>
      </w:r>
      <w:r w:rsidR="005D2A3F" w:rsidRPr="00124DA6">
        <w:rPr>
          <w:b/>
          <w:lang w:val="en-US"/>
        </w:rPr>
        <w:t>its</w:t>
      </w:r>
      <w:r w:rsidRPr="00124DA6">
        <w:rPr>
          <w:b/>
          <w:lang w:val="en-US"/>
        </w:rPr>
        <w:t xml:space="preserve"> mandate.</w:t>
      </w:r>
      <w:r w:rsidRPr="00124DA6">
        <w:rPr>
          <w:lang w:val="en-US"/>
        </w:rPr>
        <w:t xml:space="preserve"> </w:t>
      </w:r>
      <w:r w:rsidRPr="00C61C7F">
        <w:rPr>
          <w:rFonts w:cstheme="minorHAnsi"/>
          <w:lang w:val="en-US"/>
        </w:rPr>
        <w:t xml:space="preserve">The multitude of licensed </w:t>
      </w:r>
      <w:r w:rsidR="00A327AC" w:rsidRPr="00C61C7F">
        <w:rPr>
          <w:rFonts w:cstheme="minorHAnsi"/>
          <w:lang w:val="en-US"/>
        </w:rPr>
        <w:t>MFI</w:t>
      </w:r>
      <w:r w:rsidRPr="00C61C7F">
        <w:rPr>
          <w:rFonts w:cstheme="minorHAnsi"/>
          <w:lang w:val="en-US"/>
        </w:rPr>
        <w:t xml:space="preserve">s has an unfavorable impact on the effectiveness of its supervision. ANSSFD has limited resources (human and financial) to carry out its mandate well. </w:t>
      </w:r>
      <w:r w:rsidRPr="00C61C7F">
        <w:rPr>
          <w:rFonts w:cstheme="minorHAnsi"/>
          <w:bCs/>
          <w:lang w:val="en-US"/>
        </w:rPr>
        <w:t>The supervision authorities do not have a view of actual risks in the sector.</w:t>
      </w:r>
      <w:r w:rsidRPr="00C61C7F">
        <w:rPr>
          <w:rFonts w:ascii="Arial-BoldMT" w:hAnsi="Arial-BoldMT" w:cs="Arial-BoldMT"/>
          <w:b/>
          <w:bCs/>
          <w:lang w:val="en-US"/>
        </w:rPr>
        <w:t xml:space="preserve"> </w:t>
      </w:r>
      <w:r w:rsidRPr="00C61C7F">
        <w:rPr>
          <w:rFonts w:cstheme="minorHAnsi"/>
          <w:lang w:val="en-US"/>
        </w:rPr>
        <w:t>Supervisory activities (monitoring, inspection</w:t>
      </w:r>
      <w:r w:rsidR="005D2A3F" w:rsidRPr="00C61C7F">
        <w:rPr>
          <w:rFonts w:cstheme="minorHAnsi"/>
          <w:lang w:val="en-US"/>
        </w:rPr>
        <w:t>,</w:t>
      </w:r>
      <w:r w:rsidRPr="00C61C7F">
        <w:rPr>
          <w:rFonts w:cstheme="minorHAnsi"/>
          <w:lang w:val="en-US"/>
        </w:rPr>
        <w:t xml:space="preserve"> and off-site audit) need to be strengthened</w:t>
      </w:r>
      <w:r w:rsidR="005D2A3F" w:rsidRPr="00C61C7F">
        <w:rPr>
          <w:rFonts w:cstheme="minorHAnsi"/>
          <w:lang w:val="en-US"/>
        </w:rPr>
        <w:t>,</w:t>
      </w:r>
      <w:r w:rsidRPr="00C61C7F">
        <w:rPr>
          <w:rFonts w:cstheme="minorHAnsi"/>
          <w:lang w:val="en-US"/>
        </w:rPr>
        <w:t xml:space="preserve"> which will require a revision of the organization and resources allocated to ANSSFD. There is a need to </w:t>
      </w:r>
      <w:r w:rsidR="005D2A3F" w:rsidRPr="00C61C7F">
        <w:rPr>
          <w:rFonts w:cstheme="minorHAnsi"/>
          <w:lang w:val="en-US"/>
        </w:rPr>
        <w:t>(</w:t>
      </w:r>
      <w:r w:rsidRPr="00C61C7F">
        <w:rPr>
          <w:rFonts w:cstheme="minorHAnsi"/>
          <w:lang w:val="en-US"/>
        </w:rPr>
        <w:t>a) adopt a risk</w:t>
      </w:r>
      <w:r w:rsidR="005D2A3F" w:rsidRPr="00C61C7F">
        <w:rPr>
          <w:rFonts w:cstheme="minorHAnsi"/>
          <w:lang w:val="en-US"/>
        </w:rPr>
        <w:t>-</w:t>
      </w:r>
      <w:r w:rsidRPr="00C61C7F">
        <w:rPr>
          <w:rFonts w:cstheme="minorHAnsi"/>
          <w:lang w:val="en-US"/>
        </w:rPr>
        <w:t xml:space="preserve">based supervision approach </w:t>
      </w:r>
      <w:r w:rsidR="005D2A3F" w:rsidRPr="00C61C7F">
        <w:rPr>
          <w:rFonts w:cstheme="minorHAnsi"/>
          <w:lang w:val="en-US"/>
        </w:rPr>
        <w:t xml:space="preserve">that </w:t>
      </w:r>
      <w:r w:rsidRPr="00C61C7F">
        <w:rPr>
          <w:rFonts w:cstheme="minorHAnsi"/>
          <w:lang w:val="en-US"/>
        </w:rPr>
        <w:t>will allow hav</w:t>
      </w:r>
      <w:r w:rsidR="005D2A3F" w:rsidRPr="00C61C7F">
        <w:rPr>
          <w:rFonts w:cstheme="minorHAnsi"/>
          <w:lang w:val="en-US"/>
        </w:rPr>
        <w:t>ing</w:t>
      </w:r>
      <w:r w:rsidRPr="00C61C7F">
        <w:rPr>
          <w:rFonts w:cstheme="minorHAnsi"/>
          <w:lang w:val="en-US"/>
        </w:rPr>
        <w:t xml:space="preserve"> early warning alerts on MFIs performance, </w:t>
      </w:r>
      <w:r w:rsidR="005D2A3F" w:rsidRPr="00C61C7F">
        <w:rPr>
          <w:rFonts w:cstheme="minorHAnsi"/>
          <w:lang w:val="en-US"/>
        </w:rPr>
        <w:t>(</w:t>
      </w:r>
      <w:r w:rsidRPr="00C61C7F">
        <w:rPr>
          <w:rFonts w:cstheme="minorHAnsi"/>
          <w:lang w:val="en-US"/>
        </w:rPr>
        <w:t xml:space="preserve">b) enhance the technical capacities of </w:t>
      </w:r>
      <w:r w:rsidRPr="00C61C7F">
        <w:rPr>
          <w:rFonts w:ascii="Calibri" w:hAnsi="Calibri" w:cs="Calibri"/>
          <w:lang w:val="en-US"/>
        </w:rPr>
        <w:t>staff</w:t>
      </w:r>
      <w:r w:rsidRPr="00C61C7F">
        <w:rPr>
          <w:rFonts w:cstheme="minorHAnsi"/>
          <w:lang w:val="en-US"/>
        </w:rPr>
        <w:t xml:space="preserve"> through training and technical assistance on this risk</w:t>
      </w:r>
      <w:r w:rsidR="005D2A3F" w:rsidRPr="00C61C7F">
        <w:rPr>
          <w:rFonts w:cstheme="minorHAnsi"/>
          <w:lang w:val="en-US"/>
        </w:rPr>
        <w:t>-</w:t>
      </w:r>
      <w:r w:rsidRPr="00C61C7F">
        <w:rPr>
          <w:rFonts w:cstheme="minorHAnsi"/>
          <w:lang w:val="en-US"/>
        </w:rPr>
        <w:t>based supervision approach,</w:t>
      </w:r>
      <w:r w:rsidR="005D2A3F" w:rsidRPr="00C61C7F">
        <w:rPr>
          <w:rFonts w:cstheme="minorHAnsi"/>
          <w:lang w:val="en-US"/>
        </w:rPr>
        <w:t xml:space="preserve"> and (</w:t>
      </w:r>
      <w:r w:rsidRPr="00C61C7F">
        <w:rPr>
          <w:rFonts w:cstheme="minorHAnsi"/>
          <w:lang w:val="en-US"/>
        </w:rPr>
        <w:t xml:space="preserve">c) introduce technologies that increase the efficiency of the supervision. Staff at ANSSFD are civil servants and thereby subject to relocation. </w:t>
      </w:r>
      <w:r w:rsidR="00C820DC">
        <w:rPr>
          <w:rFonts w:cstheme="minorHAnsi"/>
          <w:lang w:val="en-US"/>
        </w:rPr>
        <w:t>To</w:t>
      </w:r>
      <w:r w:rsidRPr="00C61C7F">
        <w:rPr>
          <w:rFonts w:cstheme="minorHAnsi"/>
          <w:lang w:val="en-US"/>
        </w:rPr>
        <w:t xml:space="preserve"> ensure a successful capacity development of the supervisory authority, these measures should be accompanied by effort to limit inspectors’ turnover. As already mentioned in the cleanup </w:t>
      </w:r>
      <w:r w:rsidRPr="00C820DC">
        <w:rPr>
          <w:rFonts w:cstheme="minorHAnsi"/>
          <w:lang w:val="en-US"/>
        </w:rPr>
        <w:t xml:space="preserve">strategy of the sector, the decentralization of ANSSFD activities through the creation of in-country entities is key to </w:t>
      </w:r>
      <w:r w:rsidR="00C820DC">
        <w:rPr>
          <w:rFonts w:cstheme="minorHAnsi"/>
          <w:lang w:val="en-US"/>
        </w:rPr>
        <w:t>ensuring the efficiency</w:t>
      </w:r>
      <w:r w:rsidR="00C820DC" w:rsidRPr="00C820DC">
        <w:rPr>
          <w:rFonts w:cstheme="minorHAnsi"/>
          <w:lang w:val="en-US"/>
        </w:rPr>
        <w:t xml:space="preserve"> </w:t>
      </w:r>
      <w:r w:rsidR="00C820DC">
        <w:rPr>
          <w:rFonts w:cstheme="minorHAnsi"/>
          <w:lang w:val="en-US"/>
        </w:rPr>
        <w:t>of</w:t>
      </w:r>
      <w:r w:rsidR="00C820DC" w:rsidRPr="00C820DC">
        <w:rPr>
          <w:rFonts w:cstheme="minorHAnsi"/>
          <w:lang w:val="en-US"/>
        </w:rPr>
        <w:t xml:space="preserve"> </w:t>
      </w:r>
      <w:r w:rsidRPr="00C820DC">
        <w:rPr>
          <w:rFonts w:cstheme="minorHAnsi"/>
          <w:lang w:val="en-US"/>
        </w:rPr>
        <w:t xml:space="preserve">the supervision and the licensing process of MFIs. Unfortunately, the implementation of this plan </w:t>
      </w:r>
      <w:r w:rsidR="00E91832" w:rsidRPr="00C820DC">
        <w:rPr>
          <w:rFonts w:cstheme="minorHAnsi"/>
          <w:lang w:val="en-US"/>
        </w:rPr>
        <w:t>ha</w:t>
      </w:r>
      <w:r w:rsidRPr="00C820DC">
        <w:rPr>
          <w:rFonts w:cstheme="minorHAnsi"/>
          <w:lang w:val="en-US"/>
        </w:rPr>
        <w:t xml:space="preserve">s slowed down, </w:t>
      </w:r>
      <w:r w:rsidR="0011150B" w:rsidRPr="00C820DC">
        <w:rPr>
          <w:rFonts w:cstheme="minorHAnsi"/>
          <w:lang w:val="en-US"/>
        </w:rPr>
        <w:t xml:space="preserve">and </w:t>
      </w:r>
      <w:r w:rsidRPr="00C820DC">
        <w:rPr>
          <w:rFonts w:cstheme="minorHAnsi"/>
          <w:lang w:val="en-US"/>
        </w:rPr>
        <w:t xml:space="preserve">an alternative might be to leverage the </w:t>
      </w:r>
      <w:r w:rsidR="00A51517" w:rsidRPr="00C820DC">
        <w:rPr>
          <w:rFonts w:cstheme="minorHAnsi"/>
          <w:lang w:val="en-US"/>
        </w:rPr>
        <w:t xml:space="preserve">Ministry </w:t>
      </w:r>
      <w:r w:rsidRPr="00C820DC">
        <w:rPr>
          <w:rFonts w:cstheme="minorHAnsi"/>
          <w:lang w:val="en-US"/>
        </w:rPr>
        <w:t>of Finance staff already deployed in-country through capacit</w:t>
      </w:r>
      <w:r w:rsidR="0011150B" w:rsidRPr="00C820DC">
        <w:rPr>
          <w:rFonts w:cstheme="minorHAnsi"/>
          <w:lang w:val="en-US"/>
        </w:rPr>
        <w:t>y</w:t>
      </w:r>
      <w:r w:rsidRPr="00C820DC">
        <w:rPr>
          <w:rFonts w:cstheme="minorHAnsi"/>
          <w:lang w:val="en-US"/>
        </w:rPr>
        <w:t xml:space="preserve"> development on the microfinance supervision instead of establishing in-country entities. </w:t>
      </w:r>
    </w:p>
    <w:p w14:paraId="377EFD86" w14:textId="5440C88F" w:rsidR="00C13529" w:rsidRPr="00C13529" w:rsidRDefault="00C13529" w:rsidP="005B3D8A">
      <w:pPr>
        <w:pStyle w:val="ListParagraph"/>
        <w:numPr>
          <w:ilvl w:val="1"/>
          <w:numId w:val="46"/>
        </w:numPr>
        <w:spacing w:before="120" w:after="120" w:line="240" w:lineRule="auto"/>
        <w:ind w:left="720"/>
        <w:contextualSpacing w:val="0"/>
        <w:jc w:val="both"/>
        <w:rPr>
          <w:rFonts w:cstheme="minorHAnsi"/>
          <w:lang w:val="en-US"/>
        </w:rPr>
      </w:pPr>
      <w:r w:rsidRPr="00C13529">
        <w:rPr>
          <w:rFonts w:cstheme="minorHAnsi"/>
          <w:b/>
          <w:color w:val="222222"/>
          <w:lang w:val="en-US"/>
        </w:rPr>
        <w:t>Consolidate the sector of licensed MFIs and adopt a resolution framework</w:t>
      </w:r>
      <w:r w:rsidRPr="00C13529">
        <w:rPr>
          <w:rFonts w:cstheme="minorHAnsi"/>
          <w:color w:val="222222"/>
          <w:lang w:val="en-US"/>
        </w:rPr>
        <w:t xml:space="preserve">. The microfinance sector in Benin is fragmented with 16 large MFIs and a multitude of small and medium-size institutions, which are relatively fragile and many of which operate outside of a federation or network. It </w:t>
      </w:r>
      <w:r w:rsidR="00C820DC">
        <w:rPr>
          <w:rFonts w:cstheme="minorHAnsi"/>
          <w:color w:val="222222"/>
          <w:lang w:val="en-US"/>
        </w:rPr>
        <w:t xml:space="preserve">is in the best of </w:t>
      </w:r>
      <w:r w:rsidRPr="00C13529">
        <w:rPr>
          <w:rFonts w:cstheme="minorHAnsi"/>
          <w:color w:val="222222"/>
          <w:lang w:val="en-US"/>
        </w:rPr>
        <w:t xml:space="preserve">the country to consolidate the microfinance sector by reducing the number of small institutions with </w:t>
      </w:r>
      <w:r w:rsidR="00C820DC">
        <w:rPr>
          <w:rFonts w:cstheme="minorHAnsi"/>
          <w:color w:val="222222"/>
          <w:lang w:val="en-US"/>
        </w:rPr>
        <w:t>low</w:t>
      </w:r>
      <w:r w:rsidR="00C820DC" w:rsidRPr="00C13529">
        <w:rPr>
          <w:rFonts w:cstheme="minorHAnsi"/>
          <w:color w:val="222222"/>
          <w:lang w:val="en-US"/>
        </w:rPr>
        <w:t xml:space="preserve"> </w:t>
      </w:r>
      <w:r w:rsidRPr="00C13529">
        <w:rPr>
          <w:rFonts w:ascii="Calibri" w:hAnsi="Calibri" w:cs="Calibri"/>
          <w:lang w:val="en-US"/>
        </w:rPr>
        <w:t>potential</w:t>
      </w:r>
      <w:r w:rsidRPr="00C13529">
        <w:rPr>
          <w:rFonts w:cstheme="minorHAnsi"/>
          <w:color w:val="222222"/>
          <w:lang w:val="en-US"/>
        </w:rPr>
        <w:t xml:space="preserve"> for expansion and to stimulate either their merger into larger entities or their incorporation into well-organized federations that allow for better management and risk mitigation as well as for the diversification of financial services that these small entities can provide. In addition, </w:t>
      </w:r>
      <w:r w:rsidRPr="00C13529">
        <w:rPr>
          <w:rFonts w:ascii="Calibri" w:hAnsi="Calibri" w:cs="Calibri"/>
          <w:lang w:val="en-US"/>
        </w:rPr>
        <w:t>it is essential to develop an official resolution framework to ensure account holders</w:t>
      </w:r>
      <w:r w:rsidR="00C820DC">
        <w:rPr>
          <w:rFonts w:ascii="Calibri" w:hAnsi="Calibri" w:cs="Calibri"/>
          <w:lang w:val="en-US"/>
        </w:rPr>
        <w:t xml:space="preserve"> compensation mechanisms</w:t>
      </w:r>
      <w:r w:rsidRPr="00C13529">
        <w:rPr>
          <w:rFonts w:ascii="Calibri" w:hAnsi="Calibri" w:cs="Calibri"/>
          <w:lang w:val="en-US"/>
        </w:rPr>
        <w:t xml:space="preserve">. </w:t>
      </w:r>
    </w:p>
    <w:p w14:paraId="1DD0D054" w14:textId="24336307" w:rsidR="00C13529" w:rsidRPr="00C13529" w:rsidRDefault="00C13529" w:rsidP="005B3D8A">
      <w:pPr>
        <w:pStyle w:val="ListParagraph"/>
        <w:numPr>
          <w:ilvl w:val="1"/>
          <w:numId w:val="46"/>
        </w:numPr>
        <w:spacing w:before="120" w:after="120" w:line="240" w:lineRule="auto"/>
        <w:ind w:left="720"/>
        <w:contextualSpacing w:val="0"/>
        <w:jc w:val="both"/>
        <w:rPr>
          <w:rFonts w:cstheme="minorHAnsi"/>
          <w:lang w:val="en-US"/>
        </w:rPr>
      </w:pPr>
      <w:r>
        <w:rPr>
          <w:rFonts w:cstheme="minorHAnsi"/>
          <w:b/>
          <w:lang w:val="en-US"/>
        </w:rPr>
        <w:t>Enhance</w:t>
      </w:r>
      <w:r w:rsidRPr="00C13529">
        <w:rPr>
          <w:rFonts w:cstheme="minorHAnsi"/>
          <w:b/>
          <w:lang w:val="en-US"/>
        </w:rPr>
        <w:t xml:space="preserve"> c</w:t>
      </w:r>
      <w:r>
        <w:rPr>
          <w:rFonts w:cstheme="minorHAnsi"/>
          <w:b/>
          <w:lang w:val="en-US"/>
        </w:rPr>
        <w:t>apacity</w:t>
      </w:r>
      <w:r w:rsidRPr="00C13529">
        <w:rPr>
          <w:rFonts w:cstheme="minorHAnsi"/>
          <w:b/>
          <w:lang w:val="en-US"/>
        </w:rPr>
        <w:t xml:space="preserve"> of the judicial system staffs (judges) on the specialized laws and regulations is crucial </w:t>
      </w:r>
      <w:r>
        <w:rPr>
          <w:rFonts w:cstheme="minorHAnsi"/>
          <w:b/>
          <w:lang w:val="en-US"/>
        </w:rPr>
        <w:t xml:space="preserve">for effective enforcement and </w:t>
      </w:r>
      <w:r w:rsidRPr="00C13529">
        <w:rPr>
          <w:rFonts w:cstheme="minorHAnsi"/>
          <w:b/>
          <w:lang w:val="en-US"/>
        </w:rPr>
        <w:t>cleaning up of the sector</w:t>
      </w:r>
      <w:r w:rsidRPr="00C13529">
        <w:rPr>
          <w:rFonts w:cstheme="minorHAnsi"/>
          <w:lang w:val="en-US"/>
        </w:rPr>
        <w:t xml:space="preserve">. Weak judicial sector </w:t>
      </w:r>
      <w:r w:rsidR="00C820DC" w:rsidRPr="00C13529">
        <w:rPr>
          <w:rFonts w:cstheme="minorHAnsi"/>
          <w:lang w:val="en-US"/>
        </w:rPr>
        <w:t>support hampers</w:t>
      </w:r>
      <w:r w:rsidRPr="00C13529">
        <w:rPr>
          <w:rFonts w:cstheme="minorHAnsi"/>
          <w:lang w:val="en-US"/>
        </w:rPr>
        <w:t xml:space="preserve"> effective supervision. Indeed, enforcement actions initiated by ANSSFD against </w:t>
      </w:r>
      <w:r w:rsidR="00C820DC">
        <w:rPr>
          <w:rFonts w:cstheme="minorHAnsi"/>
          <w:lang w:val="en-US"/>
        </w:rPr>
        <w:t>a</w:t>
      </w:r>
      <w:r w:rsidR="00C820DC" w:rsidRPr="00C13529">
        <w:rPr>
          <w:rFonts w:cstheme="minorHAnsi"/>
          <w:lang w:val="en-US"/>
        </w:rPr>
        <w:t xml:space="preserve"> </w:t>
      </w:r>
      <w:r w:rsidRPr="00C13529">
        <w:rPr>
          <w:rFonts w:cstheme="minorHAnsi"/>
          <w:lang w:val="en-US"/>
        </w:rPr>
        <w:t>distressed unauthorized MFI triggered a court ruling that prevented the MFI’s closure, which in turn delayed all other enforcement actions.</w:t>
      </w:r>
    </w:p>
    <w:p w14:paraId="6ED4E767" w14:textId="3499F9DE" w:rsidR="00C13529" w:rsidRPr="00124DA6" w:rsidRDefault="00CC0842" w:rsidP="005B3D8A">
      <w:pPr>
        <w:pStyle w:val="ListParagraph"/>
        <w:numPr>
          <w:ilvl w:val="1"/>
          <w:numId w:val="46"/>
        </w:numPr>
        <w:spacing w:before="120" w:after="120" w:line="240" w:lineRule="auto"/>
        <w:ind w:left="720"/>
        <w:contextualSpacing w:val="0"/>
        <w:jc w:val="both"/>
        <w:rPr>
          <w:rFonts w:cstheme="minorHAnsi"/>
          <w:lang w:val="en-US"/>
        </w:rPr>
      </w:pPr>
      <w:r w:rsidRPr="00124DA6">
        <w:rPr>
          <w:rFonts w:cstheme="minorHAnsi"/>
          <w:b/>
          <w:lang w:val="en-US"/>
        </w:rPr>
        <w:t>Conduct a nationwide assessment of informal savings and credit institutions to identify and develop a transition plan to the formal sector for the strongest</w:t>
      </w:r>
      <w:r w:rsidR="00E63C1D">
        <w:rPr>
          <w:rFonts w:cstheme="minorHAnsi"/>
          <w:b/>
          <w:lang w:val="en-US"/>
        </w:rPr>
        <w:t xml:space="preserve"> institutions</w:t>
      </w:r>
      <w:r w:rsidRPr="00124DA6">
        <w:rPr>
          <w:rFonts w:cstheme="minorHAnsi"/>
          <w:b/>
          <w:lang w:val="en-US"/>
        </w:rPr>
        <w:t>.</w:t>
      </w:r>
      <w:r w:rsidR="00165C4D" w:rsidRPr="00124DA6">
        <w:rPr>
          <w:rFonts w:cstheme="minorHAnsi"/>
          <w:b/>
          <w:lang w:val="en-US"/>
        </w:rPr>
        <w:t xml:space="preserve"> </w:t>
      </w:r>
      <w:r w:rsidRPr="00124DA6">
        <w:rPr>
          <w:rFonts w:cstheme="minorHAnsi"/>
          <w:lang w:val="en-US"/>
        </w:rPr>
        <w:t xml:space="preserve">The </w:t>
      </w:r>
      <w:r w:rsidR="00C820DC">
        <w:rPr>
          <w:rFonts w:cstheme="minorHAnsi"/>
          <w:lang w:val="en-US"/>
        </w:rPr>
        <w:t>most recent</w:t>
      </w:r>
      <w:r w:rsidR="00C820DC" w:rsidRPr="00124DA6">
        <w:rPr>
          <w:rFonts w:cstheme="minorHAnsi"/>
          <w:lang w:val="en-US"/>
        </w:rPr>
        <w:t xml:space="preserve"> </w:t>
      </w:r>
      <w:r w:rsidRPr="00124DA6">
        <w:rPr>
          <w:rFonts w:cstheme="minorHAnsi"/>
          <w:lang w:val="en-US"/>
        </w:rPr>
        <w:t xml:space="preserve">survey on informal savings and credit institutions was </w:t>
      </w:r>
      <w:r w:rsidR="00C820DC">
        <w:rPr>
          <w:rFonts w:cstheme="minorHAnsi"/>
          <w:lang w:val="en-US"/>
        </w:rPr>
        <w:t>conducted in</w:t>
      </w:r>
      <w:r w:rsidR="00C820DC" w:rsidRPr="00124DA6">
        <w:rPr>
          <w:rFonts w:cstheme="minorHAnsi"/>
          <w:lang w:val="en-US"/>
        </w:rPr>
        <w:t xml:space="preserve"> </w:t>
      </w:r>
      <w:r w:rsidRPr="00124DA6">
        <w:rPr>
          <w:rFonts w:cstheme="minorHAnsi"/>
          <w:lang w:val="en-US"/>
        </w:rPr>
        <w:t xml:space="preserve">2011. As the country is developing a </w:t>
      </w:r>
      <w:r w:rsidRPr="00124DA6">
        <w:rPr>
          <w:rFonts w:cstheme="minorHAnsi"/>
          <w:color w:val="222222"/>
          <w:lang w:val="en-US"/>
        </w:rPr>
        <w:t>national</w:t>
      </w:r>
      <w:r w:rsidRPr="00124DA6">
        <w:rPr>
          <w:rFonts w:cstheme="minorHAnsi"/>
          <w:lang w:val="en-US"/>
        </w:rPr>
        <w:t xml:space="preserve"> financial inclusion strategy, it would help conduct a national survey/assessment on informal institutions to determine their numbers</w:t>
      </w:r>
      <w:r w:rsidR="0011150B" w:rsidRPr="00124DA6">
        <w:rPr>
          <w:rFonts w:cstheme="minorHAnsi"/>
          <w:lang w:val="en-US"/>
        </w:rPr>
        <w:t xml:space="preserve"> and</w:t>
      </w:r>
      <w:r w:rsidRPr="00124DA6">
        <w:rPr>
          <w:rFonts w:cstheme="minorHAnsi"/>
          <w:lang w:val="en-US"/>
        </w:rPr>
        <w:t xml:space="preserve"> their weight, </w:t>
      </w:r>
      <w:r w:rsidR="0011150B" w:rsidRPr="00124DA6">
        <w:rPr>
          <w:rFonts w:cstheme="minorHAnsi"/>
          <w:lang w:val="en-US"/>
        </w:rPr>
        <w:t>conduct</w:t>
      </w:r>
      <w:r w:rsidRPr="00124DA6">
        <w:rPr>
          <w:rFonts w:cstheme="minorHAnsi"/>
          <w:lang w:val="en-US"/>
        </w:rPr>
        <w:t xml:space="preserve"> discussion on a transition plan</w:t>
      </w:r>
      <w:r w:rsidR="0011150B" w:rsidRPr="00124DA6">
        <w:rPr>
          <w:rFonts w:cstheme="minorHAnsi"/>
          <w:lang w:val="en-US"/>
        </w:rPr>
        <w:t>,</w:t>
      </w:r>
      <w:r w:rsidRPr="00124DA6">
        <w:rPr>
          <w:rFonts w:cstheme="minorHAnsi"/>
          <w:lang w:val="en-US"/>
        </w:rPr>
        <w:t xml:space="preserve"> and </w:t>
      </w:r>
      <w:r w:rsidR="0011150B" w:rsidRPr="00124DA6">
        <w:rPr>
          <w:rFonts w:cstheme="minorHAnsi"/>
          <w:lang w:val="en-US"/>
        </w:rPr>
        <w:t xml:space="preserve">incorporate </w:t>
      </w:r>
      <w:r w:rsidRPr="00124DA6">
        <w:rPr>
          <w:rFonts w:cstheme="minorHAnsi"/>
          <w:lang w:val="en-US"/>
        </w:rPr>
        <w:t xml:space="preserve">viable and </w:t>
      </w:r>
      <w:r w:rsidRPr="00124DA6">
        <w:rPr>
          <w:rFonts w:ascii="Calibri" w:hAnsi="Calibri" w:cs="Calibri"/>
          <w:lang w:val="en-US"/>
        </w:rPr>
        <w:t>large</w:t>
      </w:r>
      <w:r w:rsidRPr="00124DA6">
        <w:rPr>
          <w:rFonts w:cstheme="minorHAnsi"/>
          <w:lang w:val="en-US"/>
        </w:rPr>
        <w:t xml:space="preserve"> institutions into the formal microfinance sector. A </w:t>
      </w:r>
      <w:r w:rsidR="0011150B" w:rsidRPr="00124DA6">
        <w:rPr>
          <w:rFonts w:cstheme="minorHAnsi"/>
          <w:lang w:val="en-US"/>
        </w:rPr>
        <w:t>c</w:t>
      </w:r>
      <w:r w:rsidRPr="00124DA6">
        <w:rPr>
          <w:rFonts w:cstheme="minorHAnsi"/>
          <w:lang w:val="en-US"/>
        </w:rPr>
        <w:t>leanup strategy for informal institutions will not be relevant and fully implement</w:t>
      </w:r>
      <w:r w:rsidR="0011150B" w:rsidRPr="00124DA6">
        <w:rPr>
          <w:rFonts w:cstheme="minorHAnsi"/>
          <w:lang w:val="en-US"/>
        </w:rPr>
        <w:t>ed</w:t>
      </w:r>
      <w:r w:rsidRPr="00124DA6">
        <w:rPr>
          <w:rFonts w:cstheme="minorHAnsi"/>
          <w:lang w:val="en-US"/>
        </w:rPr>
        <w:t xml:space="preserve"> until there is more clarity on the</w:t>
      </w:r>
      <w:r w:rsidR="00A51517" w:rsidRPr="00124DA6">
        <w:rPr>
          <w:rFonts w:cstheme="minorHAnsi"/>
          <w:lang w:val="en-US"/>
        </w:rPr>
        <w:t>se institutions</w:t>
      </w:r>
      <w:r w:rsidRPr="00124DA6">
        <w:rPr>
          <w:rFonts w:cstheme="minorHAnsi"/>
          <w:lang w:val="en-US"/>
        </w:rPr>
        <w:t xml:space="preserve">. </w:t>
      </w:r>
    </w:p>
    <w:p w14:paraId="78BE3FCB" w14:textId="114AD3E6" w:rsidR="00C13529" w:rsidRDefault="00CC0842" w:rsidP="005B3D8A">
      <w:pPr>
        <w:pStyle w:val="ListParagraph"/>
        <w:numPr>
          <w:ilvl w:val="1"/>
          <w:numId w:val="46"/>
        </w:numPr>
        <w:spacing w:before="120" w:after="120" w:line="240" w:lineRule="auto"/>
        <w:ind w:left="720"/>
        <w:contextualSpacing w:val="0"/>
        <w:jc w:val="both"/>
        <w:rPr>
          <w:rFonts w:cstheme="minorHAnsi"/>
          <w:lang w:val="en-US"/>
        </w:rPr>
      </w:pPr>
      <w:r w:rsidRPr="00C13529">
        <w:rPr>
          <w:rFonts w:cstheme="minorHAnsi"/>
          <w:b/>
          <w:lang w:val="en-US"/>
        </w:rPr>
        <w:t xml:space="preserve">Develop and implement a national awareness campaign on unauthorized MFIs by leveraging new means of communication. </w:t>
      </w:r>
      <w:r w:rsidRPr="00C13529">
        <w:rPr>
          <w:rFonts w:cstheme="minorHAnsi"/>
          <w:lang w:val="en-US"/>
        </w:rPr>
        <w:t>Currently, ANSSFD works with churches, mosques, radio</w:t>
      </w:r>
      <w:r w:rsidR="0011150B" w:rsidRPr="00C13529">
        <w:rPr>
          <w:rFonts w:cstheme="minorHAnsi"/>
          <w:lang w:val="en-US"/>
        </w:rPr>
        <w:t>,</w:t>
      </w:r>
      <w:r w:rsidRPr="00C13529">
        <w:rPr>
          <w:rFonts w:cstheme="minorHAnsi"/>
          <w:lang w:val="en-US"/>
        </w:rPr>
        <w:t xml:space="preserve"> and newspapers. Mobile phone penetration is growing fast in Benin. A specific </w:t>
      </w:r>
      <w:r w:rsidR="003A7DC6">
        <w:rPr>
          <w:rFonts w:cstheme="minorHAnsi"/>
          <w:lang w:val="en-US"/>
        </w:rPr>
        <w:t xml:space="preserve">mobile-based </w:t>
      </w:r>
      <w:r w:rsidRPr="00C13529">
        <w:rPr>
          <w:rFonts w:cstheme="minorHAnsi"/>
          <w:lang w:val="en-US"/>
        </w:rPr>
        <w:t>campaign (</w:t>
      </w:r>
      <w:r w:rsidR="0011150B" w:rsidRPr="00C13529">
        <w:rPr>
          <w:rFonts w:cstheme="minorHAnsi"/>
          <w:lang w:val="en-US"/>
        </w:rPr>
        <w:t>t</w:t>
      </w:r>
      <w:r w:rsidRPr="00C13529">
        <w:rPr>
          <w:rFonts w:cstheme="minorHAnsi"/>
          <w:lang w:val="en-US"/>
        </w:rPr>
        <w:t xml:space="preserve">ext and </w:t>
      </w:r>
      <w:r w:rsidR="0011150B" w:rsidRPr="00C13529">
        <w:rPr>
          <w:rFonts w:cstheme="minorHAnsi"/>
          <w:lang w:val="en-US"/>
        </w:rPr>
        <w:t>v</w:t>
      </w:r>
      <w:r w:rsidRPr="00C13529">
        <w:rPr>
          <w:rFonts w:cstheme="minorHAnsi"/>
          <w:lang w:val="en-US"/>
        </w:rPr>
        <w:t xml:space="preserve">oice SMS) will </w:t>
      </w:r>
      <w:r w:rsidRPr="00C13529">
        <w:rPr>
          <w:rFonts w:ascii="Calibri" w:hAnsi="Calibri" w:cs="Calibri"/>
          <w:lang w:val="en-US"/>
        </w:rPr>
        <w:t>allow</w:t>
      </w:r>
      <w:r w:rsidRPr="00C13529">
        <w:rPr>
          <w:rFonts w:cstheme="minorHAnsi"/>
          <w:lang w:val="en-US"/>
        </w:rPr>
        <w:t xml:space="preserve"> reach</w:t>
      </w:r>
      <w:r w:rsidR="0011150B" w:rsidRPr="00C13529">
        <w:rPr>
          <w:rFonts w:cstheme="minorHAnsi"/>
          <w:lang w:val="en-US"/>
        </w:rPr>
        <w:t>ing</w:t>
      </w:r>
      <w:r w:rsidRPr="00C13529">
        <w:rPr>
          <w:rFonts w:cstheme="minorHAnsi"/>
          <w:lang w:val="en-US"/>
        </w:rPr>
        <w:t xml:space="preserve"> more people and should be encourage</w:t>
      </w:r>
      <w:r w:rsidR="00A51517" w:rsidRPr="00C13529">
        <w:rPr>
          <w:rFonts w:cstheme="minorHAnsi"/>
          <w:lang w:val="en-US"/>
        </w:rPr>
        <w:t>d</w:t>
      </w:r>
      <w:r w:rsidRPr="00C13529">
        <w:rPr>
          <w:rFonts w:cstheme="minorHAnsi"/>
          <w:lang w:val="en-US"/>
        </w:rPr>
        <w:t xml:space="preserve">. This campaign will </w:t>
      </w:r>
      <w:r w:rsidRPr="00C13529">
        <w:rPr>
          <w:rFonts w:cstheme="minorHAnsi"/>
          <w:color w:val="222222"/>
          <w:lang w:val="en-US"/>
        </w:rPr>
        <w:t>contribute</w:t>
      </w:r>
      <w:r w:rsidRPr="00C13529">
        <w:rPr>
          <w:rFonts w:ascii="Calibri" w:hAnsi="Calibri" w:cs="Calibri"/>
          <w:lang w:val="en-US"/>
        </w:rPr>
        <w:t xml:space="preserve"> </w:t>
      </w:r>
      <w:r w:rsidR="0011150B" w:rsidRPr="00C13529">
        <w:rPr>
          <w:rFonts w:ascii="Calibri" w:hAnsi="Calibri" w:cs="Calibri"/>
          <w:lang w:val="en-US"/>
        </w:rPr>
        <w:t xml:space="preserve">to </w:t>
      </w:r>
      <w:r w:rsidRPr="00C13529">
        <w:rPr>
          <w:rFonts w:ascii="Calibri" w:hAnsi="Calibri" w:cs="Calibri"/>
          <w:lang w:val="en-US"/>
        </w:rPr>
        <w:t>building confidence in the microfinance sector and to alleviat</w:t>
      </w:r>
      <w:r w:rsidR="0011150B" w:rsidRPr="00C13529">
        <w:rPr>
          <w:rFonts w:ascii="Calibri" w:hAnsi="Calibri" w:cs="Calibri"/>
          <w:lang w:val="en-US"/>
        </w:rPr>
        <w:t>ing</w:t>
      </w:r>
      <w:r w:rsidRPr="00C13529">
        <w:rPr>
          <w:rFonts w:ascii="Calibri" w:hAnsi="Calibri" w:cs="Calibri"/>
          <w:lang w:val="en-US"/>
        </w:rPr>
        <w:t xml:space="preserve"> confusion.</w:t>
      </w:r>
    </w:p>
    <w:p w14:paraId="35A245CF" w14:textId="77777777" w:rsidR="00C13529" w:rsidRPr="00C13529" w:rsidRDefault="00C13529" w:rsidP="005B3D8A">
      <w:pPr>
        <w:pStyle w:val="ListParagraph"/>
        <w:numPr>
          <w:ilvl w:val="1"/>
          <w:numId w:val="46"/>
        </w:numPr>
        <w:spacing w:before="120" w:after="120" w:line="240" w:lineRule="auto"/>
        <w:ind w:left="720"/>
        <w:contextualSpacing w:val="0"/>
        <w:jc w:val="both"/>
        <w:rPr>
          <w:rFonts w:cstheme="minorHAnsi"/>
          <w:lang w:val="en-US"/>
        </w:rPr>
      </w:pPr>
      <w:r w:rsidRPr="00C13529">
        <w:rPr>
          <w:b/>
          <w:lang w:val="en-US"/>
        </w:rPr>
        <w:t>Strengthen consumer protection mechanism.</w:t>
      </w:r>
      <w:r w:rsidRPr="00C13529">
        <w:rPr>
          <w:lang w:val="en-US"/>
        </w:rPr>
        <w:t xml:space="preserve"> </w:t>
      </w:r>
      <w:r w:rsidRPr="00C13529">
        <w:rPr>
          <w:rFonts w:cstheme="minorHAnsi"/>
          <w:bCs/>
          <w:lang w:val="en-US"/>
        </w:rPr>
        <w:t>Transparency, fair and respectful treatment of clients, and mechanisms for complaint resolution emerge as the Client Protection Principles that resonate most as priorities for client protection in Benin.</w:t>
      </w:r>
      <w:r w:rsidRPr="00C13529">
        <w:rPr>
          <w:rFonts w:cstheme="minorHAnsi"/>
          <w:b/>
          <w:bCs/>
          <w:lang w:val="en-US"/>
        </w:rPr>
        <w:t xml:space="preserve"> </w:t>
      </w:r>
      <w:r w:rsidRPr="00C13529">
        <w:rPr>
          <w:rFonts w:cstheme="minorHAnsi"/>
          <w:color w:val="2E121F"/>
          <w:lang w:val="en-US"/>
        </w:rPr>
        <w:t xml:space="preserve">Addressing these concerns requires a market-level approach based on three pillars: regulation for client protection and supervision, standard and code of conduct for the industry, and financial education and capability. In countries such as Senegal, an Observatory of Quality of Financial Services was established, and a similar initiative would be relevant in Beninese financial sector in general and in the microfinance </w:t>
      </w:r>
      <w:proofErr w:type="gramStart"/>
      <w:r w:rsidRPr="00C13529">
        <w:rPr>
          <w:rFonts w:cstheme="minorHAnsi"/>
          <w:color w:val="2E121F"/>
          <w:lang w:val="en-US"/>
        </w:rPr>
        <w:t>sector in particular</w:t>
      </w:r>
      <w:proofErr w:type="gramEnd"/>
      <w:r w:rsidRPr="00C13529">
        <w:rPr>
          <w:rFonts w:cstheme="minorHAnsi"/>
          <w:color w:val="2E121F"/>
          <w:lang w:val="en-US"/>
        </w:rPr>
        <w:t xml:space="preserve">. </w:t>
      </w:r>
    </w:p>
    <w:p w14:paraId="2D5CE1CE" w14:textId="3C7AB329" w:rsidR="00C13529" w:rsidRPr="00C13529" w:rsidRDefault="00C13529" w:rsidP="005B3D8A">
      <w:pPr>
        <w:pStyle w:val="ListParagraph"/>
        <w:numPr>
          <w:ilvl w:val="1"/>
          <w:numId w:val="46"/>
        </w:numPr>
        <w:spacing w:before="120" w:after="120" w:line="240" w:lineRule="auto"/>
        <w:ind w:left="720"/>
        <w:contextualSpacing w:val="0"/>
        <w:jc w:val="both"/>
        <w:rPr>
          <w:rFonts w:cstheme="minorHAnsi"/>
          <w:lang w:val="en-US"/>
        </w:rPr>
      </w:pPr>
      <w:r w:rsidRPr="00124DA6">
        <w:rPr>
          <w:rFonts w:cstheme="minorHAnsi"/>
          <w:b/>
          <w:color w:val="2E121F"/>
          <w:lang w:val="en-US"/>
        </w:rPr>
        <w:t xml:space="preserve">Ensure the quality of the credit reporting systems </w:t>
      </w:r>
      <w:r>
        <w:rPr>
          <w:rFonts w:cstheme="minorHAnsi"/>
          <w:b/>
          <w:color w:val="2E121F"/>
          <w:lang w:val="en-US"/>
        </w:rPr>
        <w:t xml:space="preserve">to </w:t>
      </w:r>
      <w:r w:rsidRPr="00124DA6">
        <w:rPr>
          <w:rFonts w:cstheme="minorHAnsi"/>
          <w:b/>
          <w:color w:val="2E121F"/>
          <w:lang w:val="en-US"/>
        </w:rPr>
        <w:t>cover a large client base</w:t>
      </w:r>
      <w:r w:rsidRPr="00124DA6">
        <w:rPr>
          <w:rFonts w:cstheme="minorHAnsi"/>
          <w:color w:val="2E121F"/>
          <w:lang w:val="en-US"/>
        </w:rPr>
        <w:t>. The credit bureau consultation is mandatory for Article</w:t>
      </w:r>
      <w:r w:rsidR="00C702B4">
        <w:rPr>
          <w:rFonts w:cstheme="minorHAnsi"/>
          <w:color w:val="2E121F"/>
          <w:lang w:val="en-US"/>
        </w:rPr>
        <w:t> </w:t>
      </w:r>
      <w:r w:rsidRPr="00124DA6">
        <w:rPr>
          <w:rFonts w:cstheme="minorHAnsi"/>
          <w:color w:val="2E121F"/>
          <w:lang w:val="en-US"/>
        </w:rPr>
        <w:t xml:space="preserve">44 institutions before granting loans. The fees are considered expensive and </w:t>
      </w:r>
      <w:r w:rsidRPr="00124DA6">
        <w:rPr>
          <w:rFonts w:ascii="Calibri" w:hAnsi="Calibri" w:cs="Calibri"/>
          <w:lang w:val="en-US"/>
        </w:rPr>
        <w:t>the</w:t>
      </w:r>
      <w:r w:rsidRPr="00124DA6">
        <w:rPr>
          <w:rFonts w:cstheme="minorHAnsi"/>
          <w:color w:val="2E121F"/>
          <w:lang w:val="en-US"/>
        </w:rPr>
        <w:t xml:space="preserve"> bureau does not have a strong database on clients as the prior consent of clients is needed. </w:t>
      </w:r>
      <w:r w:rsidRPr="00124DA6">
        <w:rPr>
          <w:rFonts w:cstheme="minorHAnsi"/>
          <w:color w:val="222222"/>
          <w:lang w:val="en-US"/>
        </w:rPr>
        <w:t xml:space="preserve">To build a larger client credit information base, neighboring countries such as </w:t>
      </w:r>
      <w:r w:rsidRPr="00124DA6">
        <w:rPr>
          <w:rFonts w:cstheme="minorHAnsi"/>
          <w:color w:val="2E121F"/>
          <w:lang w:val="en-US"/>
        </w:rPr>
        <w:t>Côte d’Ivoire and Niger have lifted the need for customer consent. A similar decree</w:t>
      </w:r>
      <w:r w:rsidRPr="00124DA6">
        <w:rPr>
          <w:rFonts w:cstheme="minorHAnsi"/>
          <w:color w:val="222222"/>
          <w:lang w:val="en-US"/>
        </w:rPr>
        <w:t xml:space="preserve"> will help boost credit information at Benin</w:t>
      </w:r>
      <w:r w:rsidR="00141BD7">
        <w:rPr>
          <w:rFonts w:cstheme="minorHAnsi"/>
          <w:color w:val="222222"/>
          <w:lang w:val="en-US"/>
        </w:rPr>
        <w:t>’</w:t>
      </w:r>
      <w:r w:rsidRPr="00124DA6">
        <w:rPr>
          <w:rFonts w:cstheme="minorHAnsi"/>
          <w:color w:val="222222"/>
          <w:lang w:val="en-US"/>
        </w:rPr>
        <w:t>s Credit Bureau.</w:t>
      </w:r>
    </w:p>
    <w:p w14:paraId="5F4F59E0" w14:textId="6382C07B" w:rsidR="00C13529" w:rsidRPr="00124DA6" w:rsidRDefault="00C13529" w:rsidP="005B3D8A">
      <w:pPr>
        <w:pStyle w:val="ListParagraph"/>
        <w:numPr>
          <w:ilvl w:val="1"/>
          <w:numId w:val="46"/>
        </w:numPr>
        <w:spacing w:before="120" w:after="120" w:line="240" w:lineRule="auto"/>
        <w:ind w:left="720"/>
        <w:contextualSpacing w:val="0"/>
        <w:jc w:val="both"/>
        <w:rPr>
          <w:rFonts w:cstheme="minorHAnsi"/>
          <w:lang w:val="en-US"/>
        </w:rPr>
      </w:pPr>
      <w:r w:rsidRPr="00C13529">
        <w:rPr>
          <w:rFonts w:cstheme="minorHAnsi"/>
          <w:b/>
          <w:color w:val="222222"/>
          <w:lang w:val="en-US"/>
        </w:rPr>
        <w:t>Continue and expand UNCDF supports to s</w:t>
      </w:r>
      <w:r w:rsidR="00CC0842" w:rsidRPr="00C13529">
        <w:rPr>
          <w:rFonts w:cstheme="minorHAnsi"/>
          <w:b/>
          <w:color w:val="222222"/>
          <w:lang w:val="en-US"/>
        </w:rPr>
        <w:t>trengthen MFIs</w:t>
      </w:r>
      <w:r w:rsidR="0011150B" w:rsidRPr="00C13529">
        <w:rPr>
          <w:rFonts w:cstheme="minorHAnsi"/>
          <w:b/>
          <w:color w:val="222222"/>
          <w:lang w:val="en-US"/>
        </w:rPr>
        <w:t>’</w:t>
      </w:r>
      <w:r w:rsidR="00CC0842" w:rsidRPr="00C13529">
        <w:rPr>
          <w:rFonts w:cstheme="minorHAnsi"/>
          <w:b/>
          <w:color w:val="222222"/>
          <w:lang w:val="en-US"/>
        </w:rPr>
        <w:t xml:space="preserve"> capacities and transition to digital microfinance services</w:t>
      </w:r>
      <w:r w:rsidR="00CC0842" w:rsidRPr="00C13529">
        <w:rPr>
          <w:rFonts w:cstheme="minorHAnsi"/>
          <w:color w:val="222222"/>
          <w:lang w:val="en-US"/>
        </w:rPr>
        <w:t xml:space="preserve">. In parallel to consolidating the sector, priority must be given to </w:t>
      </w:r>
      <w:r w:rsidR="003A7DC6">
        <w:rPr>
          <w:rFonts w:cstheme="minorHAnsi"/>
          <w:color w:val="222222"/>
          <w:lang w:val="en-US"/>
        </w:rPr>
        <w:t>the reinforcement of</w:t>
      </w:r>
      <w:r w:rsidR="003A7DC6" w:rsidRPr="00C13529">
        <w:rPr>
          <w:rFonts w:cstheme="minorHAnsi"/>
          <w:color w:val="222222"/>
          <w:lang w:val="en-US"/>
        </w:rPr>
        <w:t xml:space="preserve"> </w:t>
      </w:r>
      <w:r w:rsidR="00CC0842" w:rsidRPr="00C13529">
        <w:rPr>
          <w:rFonts w:cstheme="minorHAnsi"/>
          <w:color w:val="222222"/>
          <w:lang w:val="en-US"/>
        </w:rPr>
        <w:t xml:space="preserve">the technical capacities of MFIs. Beninese MFIs need to strengthen different capacities, including their governance. Dedicated tools and </w:t>
      </w:r>
      <w:r w:rsidR="0011150B" w:rsidRPr="00C13529">
        <w:rPr>
          <w:rFonts w:cstheme="minorHAnsi"/>
          <w:color w:val="222222"/>
          <w:lang w:val="en-US"/>
        </w:rPr>
        <w:t xml:space="preserve">a </w:t>
      </w:r>
      <w:r w:rsidR="00CC0842" w:rsidRPr="00C13529">
        <w:rPr>
          <w:rFonts w:cstheme="minorHAnsi"/>
          <w:color w:val="222222"/>
          <w:lang w:val="en-US"/>
        </w:rPr>
        <w:t xml:space="preserve">training manual must be developed for </w:t>
      </w:r>
      <w:r w:rsidR="00CC0842" w:rsidRPr="00C13529">
        <w:rPr>
          <w:rFonts w:cstheme="minorHAnsi"/>
          <w:lang w:val="en-US"/>
        </w:rPr>
        <w:t xml:space="preserve">elected bodies of financial cooperative to play their role. </w:t>
      </w:r>
      <w:r w:rsidR="00CC0842" w:rsidRPr="00C13529">
        <w:rPr>
          <w:rFonts w:cstheme="minorHAnsi"/>
          <w:color w:val="222222"/>
          <w:lang w:val="en-US"/>
        </w:rPr>
        <w:t xml:space="preserve">In addition, the sector’s high </w:t>
      </w:r>
      <w:r w:rsidR="0011150B" w:rsidRPr="00C13529">
        <w:rPr>
          <w:rFonts w:cstheme="minorHAnsi"/>
          <w:color w:val="222222"/>
          <w:lang w:val="en-US"/>
        </w:rPr>
        <w:t>NPL</w:t>
      </w:r>
      <w:r w:rsidR="00CC0842" w:rsidRPr="00C13529">
        <w:rPr>
          <w:rFonts w:cstheme="minorHAnsi"/>
          <w:color w:val="222222"/>
          <w:lang w:val="en-US"/>
        </w:rPr>
        <w:t xml:space="preserve"> rates point to weaknesses in the internal control systems and in credit processes and management that should be addressed. MFIs will need capacit</w:t>
      </w:r>
      <w:r w:rsidR="0011150B" w:rsidRPr="00C13529">
        <w:rPr>
          <w:rFonts w:cstheme="minorHAnsi"/>
          <w:color w:val="222222"/>
          <w:lang w:val="en-US"/>
        </w:rPr>
        <w:t>y</w:t>
      </w:r>
      <w:r w:rsidR="00CC0842" w:rsidRPr="00C13529">
        <w:rPr>
          <w:rFonts w:cstheme="minorHAnsi"/>
          <w:color w:val="222222"/>
          <w:lang w:val="en-US"/>
        </w:rPr>
        <w:t xml:space="preserve"> development on alternative delivery channels of financial services and fintech solutions in managing their credit and </w:t>
      </w:r>
      <w:r w:rsidR="00CC0842" w:rsidRPr="00C13529">
        <w:rPr>
          <w:rFonts w:cstheme="minorHAnsi"/>
          <w:lang w:val="en-US"/>
        </w:rPr>
        <w:t>saving</w:t>
      </w:r>
      <w:r w:rsidR="00CC0842" w:rsidRPr="00C13529">
        <w:rPr>
          <w:rFonts w:cstheme="minorHAnsi"/>
          <w:color w:val="222222"/>
          <w:lang w:val="en-US"/>
        </w:rPr>
        <w:t xml:space="preserve"> processes to reduce their operating costs and improve their profitability. The </w:t>
      </w:r>
      <w:r w:rsidR="00CC0842" w:rsidRPr="00C13529">
        <w:rPr>
          <w:rFonts w:cstheme="minorHAnsi"/>
          <w:lang w:val="en-US"/>
        </w:rPr>
        <w:t>model of microfinance services based on traditional system of branches generates important transaction costs both for the institution (physical infrastructure, operating costs</w:t>
      </w:r>
      <w:r w:rsidR="0011150B" w:rsidRPr="00C13529">
        <w:rPr>
          <w:rFonts w:cstheme="minorHAnsi"/>
          <w:lang w:val="en-US"/>
        </w:rPr>
        <w:t>)</w:t>
      </w:r>
      <w:r w:rsidR="00CC0842" w:rsidRPr="00C13529">
        <w:rPr>
          <w:rFonts w:cstheme="minorHAnsi"/>
          <w:lang w:val="en-US"/>
        </w:rPr>
        <w:t xml:space="preserve"> and for the customer (transport costs, waiting time in the agencies). The provision of financial services </w:t>
      </w:r>
      <w:r w:rsidR="0011150B" w:rsidRPr="00C13529">
        <w:rPr>
          <w:rFonts w:cstheme="minorHAnsi"/>
          <w:lang w:val="en-US"/>
        </w:rPr>
        <w:t xml:space="preserve">through </w:t>
      </w:r>
      <w:r w:rsidR="00CC0842" w:rsidRPr="00C13529">
        <w:rPr>
          <w:rFonts w:cstheme="minorHAnsi"/>
          <w:lang w:val="en-US"/>
        </w:rPr>
        <w:t>branches is one of the most expensive methods of distribution</w:t>
      </w:r>
      <w:r w:rsidR="00CC0842" w:rsidRPr="00C13529">
        <w:rPr>
          <w:rFonts w:cstheme="minorHAnsi"/>
          <w:color w:val="222222"/>
          <w:lang w:val="en-US"/>
        </w:rPr>
        <w:t xml:space="preserve">. </w:t>
      </w:r>
      <w:r w:rsidR="00CC0842" w:rsidRPr="00C13529">
        <w:rPr>
          <w:rFonts w:cstheme="minorHAnsi"/>
          <w:lang w:val="en-US"/>
        </w:rPr>
        <w:t>According to a study by McKinsey &amp; Company (2016), digital technologies cut the cost of providing financial services by 80</w:t>
      </w:r>
      <w:r w:rsidR="00756A3C" w:rsidRPr="00C13529">
        <w:rPr>
          <w:rFonts w:cstheme="minorHAnsi"/>
          <w:lang w:val="en-US"/>
        </w:rPr>
        <w:t>–</w:t>
      </w:r>
      <w:r w:rsidR="00CC0842" w:rsidRPr="00C13529">
        <w:rPr>
          <w:rFonts w:cstheme="minorHAnsi"/>
          <w:lang w:val="en-US"/>
        </w:rPr>
        <w:t>90</w:t>
      </w:r>
      <w:r w:rsidR="00756A3C" w:rsidRPr="00C13529">
        <w:rPr>
          <w:rFonts w:cstheme="minorHAnsi"/>
          <w:lang w:val="en-US"/>
        </w:rPr>
        <w:t xml:space="preserve"> percent</w:t>
      </w:r>
      <w:r w:rsidR="00CC0842" w:rsidRPr="00C13529">
        <w:rPr>
          <w:rFonts w:cstheme="minorHAnsi"/>
          <w:lang w:val="en-US"/>
        </w:rPr>
        <w:t xml:space="preserve"> while allow</w:t>
      </w:r>
      <w:r w:rsidR="00CC0842" w:rsidRPr="00124DA6">
        <w:rPr>
          <w:rFonts w:cstheme="minorHAnsi"/>
          <w:lang w:val="en-US"/>
        </w:rPr>
        <w:t>ing existing MFI clients to save time, money, manage their cash flows more flexibly.</w:t>
      </w:r>
    </w:p>
    <w:p w14:paraId="0237CF81" w14:textId="77777777" w:rsidR="00CC0842" w:rsidRPr="00882BDD" w:rsidRDefault="00C13529" w:rsidP="005B3D8A">
      <w:pPr>
        <w:pStyle w:val="ListParagraph"/>
        <w:numPr>
          <w:ilvl w:val="1"/>
          <w:numId w:val="46"/>
        </w:numPr>
        <w:spacing w:before="120" w:after="120" w:line="240" w:lineRule="auto"/>
        <w:ind w:left="720"/>
        <w:contextualSpacing w:val="0"/>
        <w:jc w:val="both"/>
        <w:rPr>
          <w:rFonts w:cstheme="minorHAnsi"/>
          <w:lang w:val="en-US"/>
        </w:rPr>
      </w:pPr>
      <w:r w:rsidRPr="00C13529">
        <w:rPr>
          <w:rFonts w:cstheme="minorHAnsi"/>
          <w:b/>
          <w:color w:val="222222"/>
          <w:lang w:val="en-US"/>
        </w:rPr>
        <w:t>Strengthen</w:t>
      </w:r>
      <w:r w:rsidR="00CC0842" w:rsidRPr="00C13529">
        <w:rPr>
          <w:rFonts w:cstheme="minorHAnsi"/>
          <w:b/>
          <w:color w:val="222222"/>
          <w:lang w:val="en-US"/>
        </w:rPr>
        <w:t xml:space="preserve"> the MIS of licensed MFIs.</w:t>
      </w:r>
      <w:r w:rsidR="00CC0842" w:rsidRPr="00C13529">
        <w:rPr>
          <w:rFonts w:cstheme="minorHAnsi"/>
          <w:color w:val="222222"/>
          <w:lang w:val="en-US"/>
        </w:rPr>
        <w:t xml:space="preserve"> </w:t>
      </w:r>
      <w:r w:rsidR="00CC0842" w:rsidRPr="00882BDD">
        <w:rPr>
          <w:rFonts w:cstheme="minorHAnsi"/>
          <w:lang w:val="en-US"/>
        </w:rPr>
        <w:t xml:space="preserve">The MIS of many MFIs </w:t>
      </w:r>
      <w:r w:rsidR="00362D12" w:rsidRPr="00882BDD">
        <w:rPr>
          <w:rFonts w:cstheme="minorHAnsi"/>
          <w:lang w:val="en-US"/>
        </w:rPr>
        <w:t>is</w:t>
      </w:r>
      <w:r w:rsidR="00CC0842" w:rsidRPr="00882BDD">
        <w:rPr>
          <w:rFonts w:cstheme="minorHAnsi"/>
          <w:lang w:val="en-US"/>
        </w:rPr>
        <w:t xml:space="preserve"> not up-to-date and do</w:t>
      </w:r>
      <w:r w:rsidR="00362D12" w:rsidRPr="00882BDD">
        <w:rPr>
          <w:rFonts w:cstheme="minorHAnsi"/>
          <w:lang w:val="en-US"/>
        </w:rPr>
        <w:t>es</w:t>
      </w:r>
      <w:r w:rsidR="00CC0842" w:rsidRPr="00882BDD">
        <w:rPr>
          <w:rFonts w:cstheme="minorHAnsi"/>
          <w:lang w:val="en-US"/>
        </w:rPr>
        <w:t xml:space="preserve"> not allow them to prepare and report their data in a manner consistent with the requirements of the supervisory authority and in real time. Without external support, most MFIs could</w:t>
      </w:r>
      <w:r w:rsidR="00756A3C" w:rsidRPr="00882BDD">
        <w:rPr>
          <w:rFonts w:cstheme="minorHAnsi"/>
          <w:lang w:val="en-US"/>
        </w:rPr>
        <w:t xml:space="preserve"> </w:t>
      </w:r>
      <w:r w:rsidR="00CC0842" w:rsidRPr="00882BDD">
        <w:rPr>
          <w:rFonts w:cstheme="minorHAnsi"/>
          <w:lang w:val="en-US"/>
        </w:rPr>
        <w:t>n</w:t>
      </w:r>
      <w:r w:rsidR="00756A3C" w:rsidRPr="00882BDD">
        <w:rPr>
          <w:rFonts w:cstheme="minorHAnsi"/>
          <w:lang w:val="en-US"/>
        </w:rPr>
        <w:t>o</w:t>
      </w:r>
      <w:r w:rsidR="00CC0842" w:rsidRPr="00882BDD">
        <w:rPr>
          <w:rFonts w:cstheme="minorHAnsi"/>
          <w:lang w:val="en-US"/>
        </w:rPr>
        <w:t>t afford an automate</w:t>
      </w:r>
      <w:r w:rsidR="00756A3C" w:rsidRPr="00882BDD">
        <w:rPr>
          <w:rFonts w:cstheme="minorHAnsi"/>
          <w:lang w:val="en-US"/>
        </w:rPr>
        <w:t>d</w:t>
      </w:r>
      <w:r w:rsidR="00CC0842" w:rsidRPr="00882BDD">
        <w:rPr>
          <w:rFonts w:cstheme="minorHAnsi"/>
          <w:lang w:val="en-US"/>
        </w:rPr>
        <w:t xml:space="preserve"> MIS. Given the number of licensed MFIs in Benin, </w:t>
      </w:r>
      <w:r w:rsidR="00CC0842" w:rsidRPr="00882BDD">
        <w:rPr>
          <w:lang w:val="en-US"/>
        </w:rPr>
        <w:t xml:space="preserve">a shared MIS </w:t>
      </w:r>
      <w:r w:rsidR="006811EA" w:rsidRPr="00882BDD">
        <w:rPr>
          <w:lang w:val="en-US"/>
        </w:rPr>
        <w:t xml:space="preserve">is used </w:t>
      </w:r>
      <w:r w:rsidR="00CC0842" w:rsidRPr="00882BDD">
        <w:rPr>
          <w:lang w:val="en-US"/>
        </w:rPr>
        <w:t>for small and medium MFIs to secure</w:t>
      </w:r>
      <w:r w:rsidR="00E213E6" w:rsidRPr="00882BDD">
        <w:rPr>
          <w:lang w:val="en-US"/>
        </w:rPr>
        <w:t xml:space="preserve"> and</w:t>
      </w:r>
      <w:r w:rsidR="00CC0842" w:rsidRPr="00882BDD">
        <w:rPr>
          <w:lang w:val="en-US"/>
        </w:rPr>
        <w:t xml:space="preserve"> automate the processing of transactions and facilitate reliable reporting to the supervisor.</w:t>
      </w:r>
    </w:p>
    <w:p w14:paraId="32203545" w14:textId="77777777" w:rsidR="00CD3B58" w:rsidRPr="0026735F" w:rsidRDefault="005163E6" w:rsidP="0026735F">
      <w:pPr>
        <w:spacing w:after="240" w:line="240" w:lineRule="auto"/>
        <w:jc w:val="both"/>
        <w:rPr>
          <w:rFonts w:cstheme="minorHAnsi"/>
          <w:color w:val="222222"/>
          <w:lang w:val="en-US"/>
        </w:rPr>
        <w:sectPr w:rsidR="00CD3B58" w:rsidRPr="0026735F" w:rsidSect="00165AEF">
          <w:pgSz w:w="12240" w:h="15840" w:code="1"/>
          <w:pgMar w:top="1440" w:right="1440" w:bottom="1440" w:left="1440" w:header="708" w:footer="708" w:gutter="0"/>
          <w:cols w:space="708"/>
          <w:docGrid w:linePitch="360"/>
        </w:sectPr>
      </w:pPr>
      <w:r w:rsidRPr="0026735F">
        <w:rPr>
          <w:rFonts w:cstheme="minorHAnsi"/>
          <w:color w:val="222222"/>
          <w:lang w:val="en-US"/>
        </w:rPr>
        <w:t xml:space="preserve"> </w:t>
      </w:r>
    </w:p>
    <w:p w14:paraId="18A874C2" w14:textId="77777777" w:rsidR="00440953" w:rsidRPr="009E38DA" w:rsidRDefault="00440953" w:rsidP="00017964">
      <w:pPr>
        <w:pStyle w:val="Heading2"/>
        <w:rPr>
          <w:b/>
          <w:lang w:val="en-US"/>
        </w:rPr>
      </w:pPr>
      <w:bookmarkStart w:id="24" w:name="_Toc3975132"/>
      <w:r w:rsidRPr="009E38DA">
        <w:rPr>
          <w:b/>
          <w:lang w:val="en-US"/>
        </w:rPr>
        <w:t>2.</w:t>
      </w:r>
      <w:r w:rsidR="00EB3A83" w:rsidRPr="009E38DA">
        <w:rPr>
          <w:b/>
          <w:lang w:val="en-US"/>
        </w:rPr>
        <w:t>8</w:t>
      </w:r>
      <w:r w:rsidRPr="009E38DA">
        <w:rPr>
          <w:b/>
          <w:lang w:val="en-US"/>
        </w:rPr>
        <w:t xml:space="preserve"> </w:t>
      </w:r>
      <w:r w:rsidR="00CC0842" w:rsidRPr="009E38DA">
        <w:rPr>
          <w:b/>
          <w:lang w:val="en-US"/>
        </w:rPr>
        <w:t>Annex</w:t>
      </w:r>
      <w:bookmarkEnd w:id="24"/>
    </w:p>
    <w:p w14:paraId="1193F50B" w14:textId="77777777" w:rsidR="00CC0842" w:rsidRPr="009E38DA" w:rsidRDefault="00CC0842" w:rsidP="00CD3B58">
      <w:pPr>
        <w:pStyle w:val="Caption"/>
        <w:rPr>
          <w:b/>
          <w:lang w:val="en-US"/>
        </w:rPr>
      </w:pPr>
      <w:r w:rsidRPr="009E38DA">
        <w:rPr>
          <w:b/>
          <w:lang w:val="en-US"/>
        </w:rPr>
        <w:t>Outreach and financial indicators</w:t>
      </w:r>
    </w:p>
    <w:p w14:paraId="742C742B" w14:textId="77777777" w:rsidR="00440953" w:rsidRPr="00124DA6" w:rsidRDefault="00CC0842" w:rsidP="001F296A">
      <w:pPr>
        <w:spacing w:after="0" w:line="240" w:lineRule="auto"/>
        <w:jc w:val="center"/>
        <w:rPr>
          <w:rFonts w:cstheme="minorHAnsi"/>
          <w:sz w:val="16"/>
          <w:szCs w:val="16"/>
          <w:lang w:val="en-US"/>
        </w:rPr>
      </w:pPr>
      <w:r w:rsidRPr="00124DA6">
        <w:rPr>
          <w:noProof/>
          <w:lang w:eastAsia="fr-FR"/>
        </w:rPr>
        <w:drawing>
          <wp:inline distT="0" distB="0" distL="0" distR="0" wp14:anchorId="0FB6D79C" wp14:editId="03D35860">
            <wp:extent cx="8100676" cy="35433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09403" cy="3547117"/>
                    </a:xfrm>
                    <a:prstGeom prst="rect">
                      <a:avLst/>
                    </a:prstGeom>
                    <a:noFill/>
                    <a:ln>
                      <a:noFill/>
                    </a:ln>
                  </pic:spPr>
                </pic:pic>
              </a:graphicData>
            </a:graphic>
          </wp:inline>
        </w:drawing>
      </w:r>
    </w:p>
    <w:p w14:paraId="68719945" w14:textId="77777777" w:rsidR="00CD3B58" w:rsidRPr="00124DA6" w:rsidRDefault="00CC0842" w:rsidP="002C3496">
      <w:pPr>
        <w:spacing w:after="0" w:line="240" w:lineRule="auto"/>
        <w:ind w:left="90"/>
        <w:rPr>
          <w:rFonts w:asciiTheme="majorHAnsi" w:hAnsiTheme="majorHAnsi" w:cstheme="majorHAnsi"/>
          <w:color w:val="2E74B5" w:themeColor="accent1" w:themeShade="BF"/>
          <w:sz w:val="20"/>
          <w:szCs w:val="20"/>
          <w:lang w:val="en-US"/>
        </w:rPr>
        <w:sectPr w:rsidR="00CD3B58" w:rsidRPr="00124DA6" w:rsidSect="00CD3B58">
          <w:pgSz w:w="15840" w:h="12240" w:orient="landscape" w:code="1"/>
          <w:pgMar w:top="1440" w:right="1440" w:bottom="1440" w:left="1440" w:header="708" w:footer="708" w:gutter="0"/>
          <w:cols w:space="708"/>
          <w:docGrid w:linePitch="360"/>
        </w:sectPr>
      </w:pPr>
      <w:r w:rsidRPr="00124DA6">
        <w:rPr>
          <w:rFonts w:asciiTheme="majorHAnsi" w:hAnsiTheme="majorHAnsi" w:cstheme="majorHAnsi"/>
          <w:i/>
          <w:color w:val="2E74B5" w:themeColor="accent1" w:themeShade="BF"/>
          <w:sz w:val="20"/>
          <w:szCs w:val="20"/>
          <w:lang w:val="en-US"/>
        </w:rPr>
        <w:t>Source</w:t>
      </w:r>
      <w:r w:rsidRPr="00124DA6">
        <w:rPr>
          <w:rFonts w:asciiTheme="majorHAnsi" w:hAnsiTheme="majorHAnsi" w:cstheme="majorHAnsi"/>
          <w:color w:val="2E74B5" w:themeColor="accent1" w:themeShade="BF"/>
          <w:sz w:val="20"/>
          <w:szCs w:val="20"/>
          <w:lang w:val="en-US"/>
        </w:rPr>
        <w:t>: ANSSFD (2017)</w:t>
      </w:r>
      <w:r w:rsidR="00E468E4" w:rsidRPr="00124DA6">
        <w:rPr>
          <w:rFonts w:asciiTheme="majorHAnsi" w:hAnsiTheme="majorHAnsi" w:cstheme="majorHAnsi"/>
          <w:color w:val="2E74B5" w:themeColor="accent1" w:themeShade="BF"/>
          <w:sz w:val="20"/>
          <w:szCs w:val="20"/>
          <w:lang w:val="en-US"/>
        </w:rPr>
        <w:t>.</w:t>
      </w:r>
    </w:p>
    <w:p w14:paraId="6911CB73" w14:textId="77777777" w:rsidR="00CC0842" w:rsidRPr="00124DA6" w:rsidRDefault="00CC0842">
      <w:pPr>
        <w:rPr>
          <w:rFonts w:eastAsiaTheme="majorEastAsia" w:cstheme="majorBidi"/>
          <w:b/>
          <w:color w:val="2E74B5" w:themeColor="accent1" w:themeShade="BF"/>
          <w:sz w:val="28"/>
          <w:szCs w:val="28"/>
          <w:lang w:val="en-US"/>
        </w:rPr>
      </w:pPr>
      <w:r w:rsidRPr="00124DA6">
        <w:rPr>
          <w:b/>
          <w:noProof/>
          <w:sz w:val="28"/>
          <w:szCs w:val="28"/>
          <w:lang w:eastAsia="fr-FR"/>
        </w:rPr>
        <mc:AlternateContent>
          <mc:Choice Requires="wps">
            <w:drawing>
              <wp:anchor distT="91440" distB="91440" distL="365760" distR="365760" simplePos="0" relativeHeight="251640832" behindDoc="0" locked="0" layoutInCell="1" allowOverlap="1" wp14:anchorId="1201AD5B" wp14:editId="5DF20523">
                <wp:simplePos x="0" y="0"/>
                <wp:positionH relativeFrom="margin">
                  <wp:align>center</wp:align>
                </wp:positionH>
                <wp:positionV relativeFrom="margin">
                  <wp:align>center</wp:align>
                </wp:positionV>
                <wp:extent cx="4160520" cy="2003425"/>
                <wp:effectExtent l="0" t="0" r="0" b="0"/>
                <wp:wrapTopAndBottom/>
                <wp:docPr id="146" name="Rectangle 146"/>
                <wp:cNvGraphicFramePr/>
                <a:graphic xmlns:a="http://schemas.openxmlformats.org/drawingml/2006/main">
                  <a:graphicData uri="http://schemas.microsoft.com/office/word/2010/wordprocessingShape">
                    <wps:wsp>
                      <wps:cNvSpPr/>
                      <wps:spPr>
                        <a:xfrm>
                          <a:off x="0" y="0"/>
                          <a:ext cx="4160520" cy="200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571F0" w14:textId="77777777" w:rsidR="003B0984" w:rsidRDefault="003B0984">
                            <w:pPr>
                              <w:pStyle w:val="NoSpacing"/>
                              <w:jc w:val="center"/>
                              <w:rPr>
                                <w:color w:val="5B9BD5" w:themeColor="accent1"/>
                              </w:rPr>
                            </w:pPr>
                            <w:r>
                              <w:rPr>
                                <w:noProof/>
                                <w:color w:val="5B9BD5" w:themeColor="accent1"/>
                                <w:lang w:eastAsia="fr-FR"/>
                              </w:rPr>
                              <w:drawing>
                                <wp:inline distT="0" distB="0" distL="0" distR="0" wp14:anchorId="197A53A7" wp14:editId="04E7FA40">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250C4EE" w14:textId="77777777" w:rsidR="003B0984" w:rsidRPr="0042530F" w:rsidRDefault="003B0984" w:rsidP="0042530F">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sidRPr="0042530F">
                              <w:rPr>
                                <w:color w:val="5B9BD5" w:themeColor="accent1"/>
                                <w:sz w:val="56"/>
                                <w:szCs w:val="56"/>
                              </w:rPr>
                              <w:t>RETAIL PAYMENTS DIAGNOSTIC</w:t>
                            </w:r>
                          </w:p>
                          <w:p w14:paraId="3F9F8F8A" w14:textId="77777777" w:rsidR="003B0984" w:rsidRDefault="003B0984">
                            <w:pPr>
                              <w:pStyle w:val="NoSpacing"/>
                              <w:spacing w:before="240"/>
                              <w:jc w:val="center"/>
                              <w:rPr>
                                <w:color w:val="5B9BD5" w:themeColor="accent1"/>
                              </w:rPr>
                            </w:pPr>
                            <w:r>
                              <w:rPr>
                                <w:noProof/>
                                <w:color w:val="5B9BD5" w:themeColor="accent1"/>
                                <w:lang w:eastAsia="fr-FR"/>
                              </w:rPr>
                              <w:drawing>
                                <wp:inline distT="0" distB="0" distL="0" distR="0" wp14:anchorId="52780ECA" wp14:editId="62DC354C">
                                  <wp:extent cx="374904" cy="23774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spAutoFit/>
                      </wps:bodyPr>
                    </wps:wsp>
                  </a:graphicData>
                </a:graphic>
                <wp14:sizeRelH relativeFrom="margin">
                  <wp14:pctWidth>70000</wp14:pctWidth>
                </wp14:sizeRelH>
                <wp14:sizeRelV relativeFrom="margin">
                  <wp14:pctHeight>0</wp14:pctHeight>
                </wp14:sizeRelV>
              </wp:anchor>
            </w:drawing>
          </mc:Choice>
          <mc:Fallback>
            <w:pict>
              <v:rect w14:anchorId="1201AD5B" id="Rectangle 146" o:spid="_x0000_s1032" style="position:absolute;margin-left:0;margin-top:0;width:327.6pt;height:157.75pt;z-index:251640832;visibility:visible;mso-wrap-style:square;mso-width-percent:700;mso-height-percent:0;mso-wrap-distance-left:28.8pt;mso-wrap-distance-top:7.2pt;mso-wrap-distance-right:28.8pt;mso-wrap-distance-bottom:7.2pt;mso-position-horizontal:center;mso-position-horizontal-relative:margin;mso-position-vertical:center;mso-position-vertical-relative:margin;mso-width-percent:7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" filled="f" stroked="f" strokeweight="1pt">
                <v:textbox style="mso-fit-shape-to-text:t" inset="10.8pt,0,10.8pt,0">
                  <w:txbxContent>
                    <w:p w14:paraId="19E571F0" w14:textId="77777777" w:rsidR="003B0984" w:rsidRDefault="003B0984">
                      <w:pPr>
                        <w:pStyle w:val="NoSpacing"/>
                        <w:jc w:val="center"/>
                        <w:rPr>
                          <w:color w:val="5B9BD5" w:themeColor="accent1"/>
                        </w:rPr>
                      </w:pPr>
                      <w:r>
                        <w:rPr>
                          <w:noProof/>
                          <w:color w:val="5B9BD5" w:themeColor="accent1"/>
                          <w:lang w:eastAsia="fr-FR"/>
                        </w:rPr>
                        <w:drawing>
                          <wp:inline distT="0" distB="0" distL="0" distR="0" wp14:anchorId="197A53A7" wp14:editId="04E7FA40">
                            <wp:extent cx="722376" cy="384048"/>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1250C4EE" w14:textId="77777777" w:rsidR="003B0984" w:rsidRPr="0042530F" w:rsidRDefault="003B0984" w:rsidP="0042530F">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sidRPr="0042530F">
                        <w:rPr>
                          <w:color w:val="5B9BD5" w:themeColor="accent1"/>
                          <w:sz w:val="56"/>
                          <w:szCs w:val="56"/>
                        </w:rPr>
                        <w:t>RETAIL PAYMENTS DIAGNOSTIC</w:t>
                      </w:r>
                    </w:p>
                    <w:p w14:paraId="3F9F8F8A" w14:textId="77777777" w:rsidR="003B0984" w:rsidRDefault="003B0984">
                      <w:pPr>
                        <w:pStyle w:val="NoSpacing"/>
                        <w:spacing w:before="240"/>
                        <w:jc w:val="center"/>
                        <w:rPr>
                          <w:color w:val="5B9BD5" w:themeColor="accent1"/>
                        </w:rPr>
                      </w:pPr>
                      <w:r>
                        <w:rPr>
                          <w:noProof/>
                          <w:color w:val="5B9BD5" w:themeColor="accent1"/>
                          <w:lang w:eastAsia="fr-FR"/>
                        </w:rPr>
                        <w:drawing>
                          <wp:inline distT="0" distB="0" distL="0" distR="0" wp14:anchorId="52780ECA" wp14:editId="62DC354C">
                            <wp:extent cx="374904" cy="23774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sidRPr="00124DA6">
        <w:rPr>
          <w:b/>
          <w:sz w:val="28"/>
          <w:szCs w:val="28"/>
          <w:lang w:val="en-US"/>
        </w:rPr>
        <w:br w:type="page"/>
      </w:r>
    </w:p>
    <w:p w14:paraId="6AB6DD61" w14:textId="2A1F2D3D" w:rsidR="00102FE0" w:rsidRPr="009E38DA" w:rsidRDefault="00102FE0" w:rsidP="006823B8">
      <w:pPr>
        <w:pStyle w:val="Heading1"/>
        <w:rPr>
          <w:b/>
        </w:rPr>
      </w:pPr>
      <w:bookmarkStart w:id="25" w:name="_Toc3975133"/>
      <w:bookmarkStart w:id="26" w:name="_Hlk511926659"/>
      <w:bookmarkStart w:id="27" w:name="_Hlk512621503"/>
      <w:r w:rsidRPr="009E38DA">
        <w:rPr>
          <w:b/>
        </w:rPr>
        <w:t>CHAPTER</w:t>
      </w:r>
      <w:r w:rsidR="00C702B4" w:rsidRPr="009E38DA">
        <w:rPr>
          <w:b/>
        </w:rPr>
        <w:t> </w:t>
      </w:r>
      <w:r w:rsidRPr="009E38DA">
        <w:rPr>
          <w:b/>
        </w:rPr>
        <w:t xml:space="preserve">3: Payment </w:t>
      </w:r>
      <w:r w:rsidR="00BC41B9" w:rsidRPr="009E38DA">
        <w:rPr>
          <w:b/>
        </w:rPr>
        <w:t>S</w:t>
      </w:r>
      <w:r w:rsidRPr="009E38DA">
        <w:rPr>
          <w:b/>
        </w:rPr>
        <w:t xml:space="preserve">ystem </w:t>
      </w:r>
      <w:r w:rsidR="00BC41B9" w:rsidRPr="009E38DA">
        <w:rPr>
          <w:b/>
        </w:rPr>
        <w:t>D</w:t>
      </w:r>
      <w:r w:rsidRPr="009E38DA">
        <w:rPr>
          <w:b/>
        </w:rPr>
        <w:t xml:space="preserve">iagnostic </w:t>
      </w:r>
      <w:r w:rsidR="00BC41B9" w:rsidRPr="009E38DA">
        <w:rPr>
          <w:b/>
        </w:rPr>
        <w:t>K</w:t>
      </w:r>
      <w:r w:rsidRPr="009E38DA">
        <w:rPr>
          <w:b/>
        </w:rPr>
        <w:t xml:space="preserve">ey </w:t>
      </w:r>
      <w:r w:rsidR="00BC41B9" w:rsidRPr="009E38DA">
        <w:rPr>
          <w:b/>
        </w:rPr>
        <w:t>F</w:t>
      </w:r>
      <w:r w:rsidRPr="009E38DA">
        <w:rPr>
          <w:b/>
        </w:rPr>
        <w:t>indings</w:t>
      </w:r>
      <w:bookmarkEnd w:id="25"/>
    </w:p>
    <w:p w14:paraId="0457D3F1" w14:textId="09174EFC" w:rsidR="00102FE0" w:rsidRPr="00124DA6" w:rsidRDefault="00102FE0" w:rsidP="009E38DA">
      <w:pPr>
        <w:pStyle w:val="ListParagraph"/>
        <w:numPr>
          <w:ilvl w:val="0"/>
          <w:numId w:val="47"/>
        </w:numPr>
        <w:spacing w:after="240" w:line="240" w:lineRule="auto"/>
        <w:ind w:left="0" w:firstLine="0"/>
        <w:contextualSpacing w:val="0"/>
        <w:jc w:val="both"/>
        <w:rPr>
          <w:lang w:val="en-US"/>
        </w:rPr>
      </w:pPr>
      <w:r w:rsidRPr="00E63C1D">
        <w:rPr>
          <w:b/>
          <w:lang w:val="en-US"/>
        </w:rPr>
        <w:t xml:space="preserve">The </w:t>
      </w:r>
      <w:r w:rsidRPr="00E63C1D">
        <w:rPr>
          <w:rFonts w:ascii="Calibri" w:hAnsi="Calibri" w:cs="Calibri"/>
          <w:b/>
          <w:lang w:val="en-US"/>
        </w:rPr>
        <w:t>analysis</w:t>
      </w:r>
      <w:r w:rsidRPr="00E63C1D">
        <w:rPr>
          <w:b/>
          <w:lang w:val="en-US"/>
        </w:rPr>
        <w:t xml:space="preserve"> of retail payment flows in Benin</w:t>
      </w:r>
      <w:r w:rsidR="00141BD7">
        <w:rPr>
          <w:b/>
          <w:lang w:val="en-US"/>
        </w:rPr>
        <w:t>’</w:t>
      </w:r>
      <w:r w:rsidRPr="00E63C1D">
        <w:rPr>
          <w:b/>
          <w:lang w:val="en-US"/>
        </w:rPr>
        <w:t>s economy shows</w:t>
      </w:r>
      <w:r w:rsidR="00BC75C0" w:rsidRPr="00E63C1D">
        <w:rPr>
          <w:b/>
          <w:lang w:val="en-US"/>
        </w:rPr>
        <w:t xml:space="preserve"> the following</w:t>
      </w:r>
      <w:r w:rsidRPr="00124DA6">
        <w:rPr>
          <w:lang w:val="en-US"/>
        </w:rPr>
        <w:t>:</w:t>
      </w:r>
    </w:p>
    <w:p w14:paraId="386A8823" w14:textId="13B468E8" w:rsidR="00102FE0" w:rsidRPr="00124DA6" w:rsidRDefault="00882BDD" w:rsidP="00E90A01">
      <w:pPr>
        <w:pStyle w:val="ListParagraph"/>
        <w:numPr>
          <w:ilvl w:val="0"/>
          <w:numId w:val="6"/>
        </w:numPr>
        <w:spacing w:before="240" w:after="240" w:line="240" w:lineRule="auto"/>
        <w:ind w:left="1195" w:hanging="475"/>
        <w:contextualSpacing w:val="0"/>
        <w:jc w:val="both"/>
        <w:rPr>
          <w:rFonts w:cstheme="minorHAnsi"/>
          <w:lang w:val="en-US"/>
        </w:rPr>
      </w:pPr>
      <w:r>
        <w:rPr>
          <w:rFonts w:cstheme="minorHAnsi"/>
          <w:lang w:val="en-US"/>
        </w:rPr>
        <w:t>F</w:t>
      </w:r>
      <w:r w:rsidR="00102FE0" w:rsidRPr="00124DA6">
        <w:rPr>
          <w:rFonts w:cstheme="minorHAnsi"/>
          <w:lang w:val="en-US"/>
        </w:rPr>
        <w:t>ormal payment transactions made by individuals</w:t>
      </w:r>
      <w:r>
        <w:rPr>
          <w:rFonts w:cstheme="minorHAnsi"/>
          <w:lang w:val="en-US"/>
        </w:rPr>
        <w:t xml:space="preserve"> are predominantly digital</w:t>
      </w:r>
      <w:r w:rsidR="00EC099C">
        <w:rPr>
          <w:rFonts w:cstheme="minorHAnsi"/>
          <w:lang w:val="en-US"/>
        </w:rPr>
        <w:t>;</w:t>
      </w:r>
    </w:p>
    <w:p w14:paraId="69F57A68" w14:textId="0B295138"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Almost all government payments to people are in the form of transfers</w:t>
      </w:r>
      <w:r w:rsidR="00EC099C">
        <w:rPr>
          <w:rFonts w:cstheme="minorHAnsi"/>
          <w:lang w:val="en-US"/>
        </w:rPr>
        <w:t>;</w:t>
      </w:r>
    </w:p>
    <w:p w14:paraId="0965E3DE" w14:textId="4B1D8904"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 xml:space="preserve">In terms of value, the check is the first payment method used, followed by the electronic money (mobile money) </w:t>
      </w:r>
      <w:r w:rsidR="00BC75C0" w:rsidRPr="00124DA6">
        <w:rPr>
          <w:rFonts w:cstheme="minorHAnsi"/>
          <w:lang w:val="en-US"/>
        </w:rPr>
        <w:t xml:space="preserve">and </w:t>
      </w:r>
      <w:r w:rsidRPr="00124DA6">
        <w:rPr>
          <w:rFonts w:cstheme="minorHAnsi"/>
          <w:lang w:val="en-US"/>
        </w:rPr>
        <w:t>then the transfer</w:t>
      </w:r>
      <w:r w:rsidR="00EC099C">
        <w:rPr>
          <w:rFonts w:cstheme="minorHAnsi"/>
          <w:lang w:val="en-US"/>
        </w:rPr>
        <w:t>;</w:t>
      </w:r>
    </w:p>
    <w:p w14:paraId="24E36755" w14:textId="0454C62F"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 xml:space="preserve">The average value of the checks processed at the level of the compensation system varies between </w:t>
      </w:r>
      <w:r w:rsidR="00BC75C0" w:rsidRPr="00124DA6">
        <w:rPr>
          <w:rFonts w:cstheme="minorHAnsi"/>
          <w:lang w:val="en-US"/>
        </w:rPr>
        <w:t>CFAF</w:t>
      </w:r>
      <w:r w:rsidR="00C702B4">
        <w:rPr>
          <w:rFonts w:cstheme="minorHAnsi"/>
          <w:lang w:val="en-US"/>
        </w:rPr>
        <w:t> </w:t>
      </w:r>
      <w:r w:rsidRPr="00124DA6">
        <w:rPr>
          <w:rFonts w:cstheme="minorHAnsi"/>
          <w:lang w:val="en-US"/>
        </w:rPr>
        <w:t>6</w:t>
      </w:r>
      <w:r w:rsidR="00C702B4">
        <w:rPr>
          <w:rFonts w:cstheme="minorHAnsi"/>
          <w:lang w:val="en-US"/>
        </w:rPr>
        <w:t> </w:t>
      </w:r>
      <w:r w:rsidR="00BC75C0" w:rsidRPr="00124DA6">
        <w:rPr>
          <w:rFonts w:cstheme="minorHAnsi"/>
          <w:lang w:val="en-US"/>
        </w:rPr>
        <w:t>million and CFAF</w:t>
      </w:r>
      <w:r w:rsidR="00C702B4">
        <w:rPr>
          <w:rFonts w:cstheme="minorHAnsi"/>
          <w:lang w:val="en-US"/>
        </w:rPr>
        <w:t> </w:t>
      </w:r>
      <w:r w:rsidRPr="00124DA6">
        <w:rPr>
          <w:rFonts w:cstheme="minorHAnsi"/>
          <w:lang w:val="en-US"/>
        </w:rPr>
        <w:t>7</w:t>
      </w:r>
      <w:r w:rsidR="00C702B4">
        <w:rPr>
          <w:rFonts w:cstheme="minorHAnsi"/>
          <w:lang w:val="en-US"/>
        </w:rPr>
        <w:t> </w:t>
      </w:r>
      <w:r w:rsidRPr="00124DA6">
        <w:rPr>
          <w:rFonts w:cstheme="minorHAnsi"/>
          <w:lang w:val="en-US"/>
        </w:rPr>
        <w:t>million</w:t>
      </w:r>
      <w:r w:rsidR="00EC099C">
        <w:rPr>
          <w:rFonts w:cstheme="minorHAnsi"/>
          <w:lang w:val="en-US"/>
        </w:rPr>
        <w:t>;</w:t>
      </w:r>
    </w:p>
    <w:p w14:paraId="42FFFDBF" w14:textId="15CC7412"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The average value of transfers processed in the national compensation system is</w:t>
      </w:r>
      <w:r w:rsidR="00165C4D" w:rsidRPr="00124DA6">
        <w:rPr>
          <w:rFonts w:cstheme="minorHAnsi"/>
          <w:lang w:val="en-US"/>
        </w:rPr>
        <w:t xml:space="preserve"> </w:t>
      </w:r>
      <w:r w:rsidR="00BC75C0" w:rsidRPr="00124DA6">
        <w:rPr>
          <w:rFonts w:cstheme="minorHAnsi"/>
          <w:lang w:val="en-US"/>
        </w:rPr>
        <w:t>CFAF</w:t>
      </w:r>
      <w:r w:rsidR="00C702B4">
        <w:rPr>
          <w:rFonts w:cstheme="minorHAnsi"/>
          <w:lang w:val="en-US"/>
        </w:rPr>
        <w:t> </w:t>
      </w:r>
      <w:r w:rsidRPr="00124DA6">
        <w:rPr>
          <w:rFonts w:cstheme="minorHAnsi"/>
          <w:lang w:val="en-US"/>
        </w:rPr>
        <w:t>1</w:t>
      </w:r>
      <w:r w:rsidR="00BC75C0" w:rsidRPr="00124DA6">
        <w:rPr>
          <w:rFonts w:cstheme="minorHAnsi"/>
          <w:lang w:val="en-US"/>
        </w:rPr>
        <w:t>,</w:t>
      </w:r>
      <w:r w:rsidRPr="00124DA6">
        <w:rPr>
          <w:rFonts w:cstheme="minorHAnsi"/>
          <w:lang w:val="en-US"/>
        </w:rPr>
        <w:t>400</w:t>
      </w:r>
      <w:r w:rsidR="00BC75C0" w:rsidRPr="00124DA6">
        <w:rPr>
          <w:rFonts w:cstheme="minorHAnsi"/>
          <w:lang w:val="en-US"/>
        </w:rPr>
        <w:t>,</w:t>
      </w:r>
      <w:r w:rsidRPr="00124DA6">
        <w:rPr>
          <w:rFonts w:cstheme="minorHAnsi"/>
          <w:lang w:val="en-US"/>
        </w:rPr>
        <w:t>000</w:t>
      </w:r>
      <w:r w:rsidR="00EC099C">
        <w:rPr>
          <w:rFonts w:cstheme="minorHAnsi"/>
          <w:lang w:val="en-US"/>
        </w:rPr>
        <w:t>;</w:t>
      </w:r>
    </w:p>
    <w:p w14:paraId="71B6685E" w14:textId="55983A3E"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 xml:space="preserve">The average value of P2P transactions via mobile money is </w:t>
      </w:r>
      <w:r w:rsidR="00BC75C0" w:rsidRPr="00124DA6">
        <w:rPr>
          <w:rFonts w:cstheme="minorHAnsi"/>
          <w:lang w:val="en-US"/>
        </w:rPr>
        <w:t>CFAF</w:t>
      </w:r>
      <w:r w:rsidR="00C702B4">
        <w:rPr>
          <w:rFonts w:cstheme="minorHAnsi"/>
          <w:lang w:val="en-US"/>
        </w:rPr>
        <w:t> </w:t>
      </w:r>
      <w:r w:rsidRPr="00124DA6">
        <w:rPr>
          <w:rFonts w:cstheme="minorHAnsi"/>
          <w:lang w:val="en-US"/>
        </w:rPr>
        <w:t>50,000</w:t>
      </w:r>
      <w:r w:rsidR="00EC099C">
        <w:rPr>
          <w:rFonts w:cstheme="minorHAnsi"/>
          <w:lang w:val="en-US"/>
        </w:rPr>
        <w:t>;</w:t>
      </w:r>
    </w:p>
    <w:p w14:paraId="7DCED222" w14:textId="4BFF420D"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The life cycle of the mobile money product is in a phase of strong growth</w:t>
      </w:r>
      <w:r w:rsidR="00EC099C">
        <w:rPr>
          <w:rFonts w:cstheme="minorHAnsi"/>
          <w:lang w:val="en-US"/>
        </w:rPr>
        <w:t>;</w:t>
      </w:r>
    </w:p>
    <w:p w14:paraId="02606974" w14:textId="1A95CB49"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 xml:space="preserve">At the end of 2016, there were 298,185 debit cards and 56,687 prepaid cards (source: </w:t>
      </w:r>
      <w:r w:rsidR="00762ACC" w:rsidRPr="00124DA6">
        <w:rPr>
          <w:rFonts w:cstheme="minorHAnsi"/>
          <w:lang w:val="en-US"/>
        </w:rPr>
        <w:t>BCEAO</w:t>
      </w:r>
      <w:r w:rsidRPr="00124DA6">
        <w:rPr>
          <w:rFonts w:cstheme="minorHAnsi"/>
          <w:lang w:val="en-US"/>
        </w:rPr>
        <w:t>)</w:t>
      </w:r>
      <w:r w:rsidR="00EC099C">
        <w:rPr>
          <w:rFonts w:cstheme="minorHAnsi"/>
          <w:lang w:val="en-US"/>
        </w:rPr>
        <w:t>;</w:t>
      </w:r>
    </w:p>
    <w:p w14:paraId="47BA276F" w14:textId="7FA46BD5" w:rsidR="00102FE0" w:rsidRPr="00124DA6" w:rsidRDefault="003F0EDC" w:rsidP="00E90A01">
      <w:pPr>
        <w:pStyle w:val="ListParagraph"/>
        <w:numPr>
          <w:ilvl w:val="0"/>
          <w:numId w:val="6"/>
        </w:numPr>
        <w:spacing w:before="240" w:after="240" w:line="240" w:lineRule="auto"/>
        <w:ind w:left="1195" w:hanging="475"/>
        <w:contextualSpacing w:val="0"/>
        <w:jc w:val="both"/>
        <w:rPr>
          <w:rFonts w:cstheme="minorHAnsi"/>
          <w:lang w:val="en-US"/>
        </w:rPr>
      </w:pPr>
      <w:r>
        <w:rPr>
          <w:rFonts w:cstheme="minorHAnsi"/>
          <w:lang w:val="en-US"/>
        </w:rPr>
        <w:t>C</w:t>
      </w:r>
      <w:r w:rsidR="00102FE0" w:rsidRPr="00124DA6">
        <w:rPr>
          <w:rFonts w:cstheme="minorHAnsi"/>
          <w:lang w:val="en-US"/>
        </w:rPr>
        <w:t xml:space="preserve">ards are mainly used for </w:t>
      </w:r>
      <w:r w:rsidR="00BC75C0" w:rsidRPr="00124DA6">
        <w:rPr>
          <w:rFonts w:cstheme="minorHAnsi"/>
          <w:lang w:val="en-US"/>
        </w:rPr>
        <w:t>a</w:t>
      </w:r>
      <w:r w:rsidR="00DA452E" w:rsidRPr="00124DA6">
        <w:rPr>
          <w:rFonts w:cstheme="minorHAnsi"/>
          <w:lang w:val="en-US"/>
        </w:rPr>
        <w:t>utomated teller machine (</w:t>
      </w:r>
      <w:r w:rsidR="00102FE0" w:rsidRPr="00124DA6">
        <w:rPr>
          <w:rFonts w:cstheme="minorHAnsi"/>
          <w:lang w:val="en-US"/>
        </w:rPr>
        <w:t>ATM</w:t>
      </w:r>
      <w:r w:rsidR="00DA452E" w:rsidRPr="00124DA6">
        <w:rPr>
          <w:rFonts w:cstheme="minorHAnsi"/>
          <w:lang w:val="en-US"/>
        </w:rPr>
        <w:t>)</w:t>
      </w:r>
      <w:r w:rsidR="00102FE0" w:rsidRPr="00124DA6">
        <w:rPr>
          <w:rFonts w:cstheme="minorHAnsi"/>
          <w:lang w:val="en-US"/>
        </w:rPr>
        <w:t xml:space="preserve"> withdrawals</w:t>
      </w:r>
      <w:r w:rsidR="00BC75C0" w:rsidRPr="00124DA6">
        <w:rPr>
          <w:rFonts w:cstheme="minorHAnsi"/>
          <w:lang w:val="en-US"/>
        </w:rPr>
        <w:t>.</w:t>
      </w:r>
    </w:p>
    <w:p w14:paraId="4B87B22E" w14:textId="53145A82"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 xml:space="preserve">Average ATM withdrawals range from </w:t>
      </w:r>
      <w:r w:rsidR="00BC75C0" w:rsidRPr="00124DA6">
        <w:rPr>
          <w:rFonts w:cstheme="minorHAnsi"/>
          <w:lang w:val="en-US"/>
        </w:rPr>
        <w:t>CFAF</w:t>
      </w:r>
      <w:r w:rsidR="00C702B4">
        <w:rPr>
          <w:rFonts w:cstheme="minorHAnsi"/>
          <w:lang w:val="en-US"/>
        </w:rPr>
        <w:t> </w:t>
      </w:r>
      <w:r w:rsidRPr="00124DA6">
        <w:rPr>
          <w:rFonts w:cstheme="minorHAnsi"/>
          <w:lang w:val="en-US"/>
        </w:rPr>
        <w:t xml:space="preserve">50,000 to </w:t>
      </w:r>
      <w:r w:rsidR="00BC75C0" w:rsidRPr="00124DA6">
        <w:rPr>
          <w:rFonts w:cstheme="minorHAnsi"/>
          <w:lang w:val="en-US"/>
        </w:rPr>
        <w:t>CFAF</w:t>
      </w:r>
      <w:r w:rsidR="00C702B4">
        <w:rPr>
          <w:rFonts w:cstheme="minorHAnsi"/>
          <w:lang w:val="en-US"/>
        </w:rPr>
        <w:t> </w:t>
      </w:r>
      <w:r w:rsidRPr="00124DA6">
        <w:rPr>
          <w:rFonts w:cstheme="minorHAnsi"/>
          <w:lang w:val="en-US"/>
        </w:rPr>
        <w:t>65,000</w:t>
      </w:r>
      <w:r w:rsidR="00EC099C">
        <w:rPr>
          <w:rFonts w:cstheme="minorHAnsi"/>
          <w:lang w:val="en-US"/>
        </w:rPr>
        <w:t>;</w:t>
      </w:r>
    </w:p>
    <w:p w14:paraId="2FCB6BEC" w14:textId="28B3B60A"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 xml:space="preserve">The use of cards to process payments via EPT is </w:t>
      </w:r>
      <w:r w:rsidR="00EC099C">
        <w:rPr>
          <w:rFonts w:cstheme="minorHAnsi"/>
          <w:lang w:val="en-US"/>
        </w:rPr>
        <w:t>limited</w:t>
      </w:r>
      <w:r w:rsidR="00EC099C" w:rsidRPr="00124DA6">
        <w:rPr>
          <w:rFonts w:cstheme="minorHAnsi"/>
          <w:lang w:val="en-US"/>
        </w:rPr>
        <w:t xml:space="preserve"> </w:t>
      </w:r>
      <w:r w:rsidRPr="00124DA6">
        <w:rPr>
          <w:rFonts w:cstheme="minorHAnsi"/>
          <w:lang w:val="en-US"/>
        </w:rPr>
        <w:t>and not very popular</w:t>
      </w:r>
      <w:r w:rsidR="00EC099C">
        <w:rPr>
          <w:rFonts w:cstheme="minorHAnsi"/>
          <w:lang w:val="en-US"/>
        </w:rPr>
        <w:t>;</w:t>
      </w:r>
    </w:p>
    <w:p w14:paraId="29F81514" w14:textId="115B7561"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The merchant network’s acceptance of the card is poorly developed (a total of 248 EPT</w:t>
      </w:r>
      <w:r w:rsidR="00BC75C0" w:rsidRPr="00124DA6">
        <w:rPr>
          <w:rFonts w:cstheme="minorHAnsi"/>
          <w:lang w:val="en-US"/>
        </w:rPr>
        <w:t>s</w:t>
      </w:r>
      <w:r w:rsidRPr="00124DA6">
        <w:rPr>
          <w:rFonts w:cstheme="minorHAnsi"/>
          <w:lang w:val="en-US"/>
        </w:rPr>
        <w:t xml:space="preserve"> for Benin in 2016)</w:t>
      </w:r>
      <w:r w:rsidR="00EC099C">
        <w:rPr>
          <w:rFonts w:cstheme="minorHAnsi"/>
          <w:lang w:val="en-US"/>
        </w:rPr>
        <w:t>;</w:t>
      </w:r>
    </w:p>
    <w:p w14:paraId="2D4D59AA" w14:textId="77777777" w:rsidR="00102FE0" w:rsidRPr="00124DA6" w:rsidRDefault="00102FE0" w:rsidP="00E90A01">
      <w:pPr>
        <w:pStyle w:val="ListParagraph"/>
        <w:numPr>
          <w:ilvl w:val="0"/>
          <w:numId w:val="6"/>
        </w:numPr>
        <w:spacing w:before="240" w:after="240" w:line="240" w:lineRule="auto"/>
        <w:ind w:left="1195" w:hanging="475"/>
        <w:contextualSpacing w:val="0"/>
        <w:jc w:val="both"/>
        <w:rPr>
          <w:rFonts w:cstheme="minorHAnsi"/>
          <w:lang w:val="en-US"/>
        </w:rPr>
      </w:pPr>
      <w:r w:rsidRPr="00124DA6">
        <w:rPr>
          <w:rFonts w:cstheme="minorHAnsi"/>
          <w:lang w:val="en-US"/>
        </w:rPr>
        <w:t>At the end of 2016, the banking network consisted of 209 branches (branches, offices</w:t>
      </w:r>
      <w:r w:rsidR="00BC75C0" w:rsidRPr="00124DA6">
        <w:rPr>
          <w:rFonts w:cstheme="minorHAnsi"/>
          <w:lang w:val="en-US"/>
        </w:rPr>
        <w:t>,</w:t>
      </w:r>
      <w:r w:rsidRPr="00124DA6">
        <w:rPr>
          <w:rFonts w:cstheme="minorHAnsi"/>
          <w:lang w:val="en-US"/>
        </w:rPr>
        <w:t xml:space="preserve"> and points of sale) and 301 </w:t>
      </w:r>
      <w:r w:rsidR="004A0CA2" w:rsidRPr="00124DA6">
        <w:rPr>
          <w:rFonts w:cstheme="minorHAnsi"/>
          <w:lang w:val="en-US"/>
        </w:rPr>
        <w:t>A</w:t>
      </w:r>
      <w:r w:rsidRPr="00124DA6">
        <w:rPr>
          <w:rFonts w:cstheme="minorHAnsi"/>
          <w:lang w:val="en-US"/>
        </w:rPr>
        <w:t>TMs</w:t>
      </w:r>
      <w:r w:rsidR="00BC75C0" w:rsidRPr="00124DA6">
        <w:rPr>
          <w:rFonts w:cstheme="minorHAnsi"/>
          <w:lang w:val="en-U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4774"/>
      </w:tblGrid>
      <w:tr w:rsidR="00602180" w:rsidRPr="008A6E7B" w14:paraId="36DB406B" w14:textId="77777777" w:rsidTr="00602180">
        <w:tc>
          <w:tcPr>
            <w:tcW w:w="5000" w:type="pct"/>
            <w:gridSpan w:val="2"/>
          </w:tcPr>
          <w:p w14:paraId="0B75877B" w14:textId="7CB2B23F" w:rsidR="00602180" w:rsidRPr="009E38DA" w:rsidRDefault="003B0586" w:rsidP="00602180">
            <w:pPr>
              <w:pStyle w:val="Caption"/>
              <w:keepNext/>
              <w:keepLines/>
              <w:spacing w:before="0" w:after="0"/>
              <w:rPr>
                <w:b/>
              </w:rPr>
            </w:pPr>
            <w:r w:rsidRPr="009E38DA">
              <w:rPr>
                <w:b/>
              </w:rPr>
              <w:t>Figure</w:t>
            </w:r>
            <w:r w:rsidR="00C702B4" w:rsidRPr="009E38DA">
              <w:rPr>
                <w:b/>
              </w:rPr>
              <w:t> </w:t>
            </w:r>
            <w:r w:rsidRPr="009E38DA">
              <w:rPr>
                <w:b/>
              </w:rPr>
              <w:t>3.</w:t>
            </w:r>
            <w:r w:rsidRPr="009E38DA">
              <w:rPr>
                <w:b/>
              </w:rPr>
              <w:fldChar w:fldCharType="begin"/>
            </w:r>
            <w:r w:rsidRPr="009E38DA">
              <w:rPr>
                <w:b/>
              </w:rPr>
              <w:instrText xml:space="preserve"> SEQ Figure_3. \* ARABIC </w:instrText>
            </w:r>
            <w:r w:rsidRPr="009E38DA">
              <w:rPr>
                <w:b/>
              </w:rPr>
              <w:fldChar w:fldCharType="separate"/>
            </w:r>
            <w:r w:rsidR="004C6E5F" w:rsidRPr="009E38DA">
              <w:rPr>
                <w:b/>
                <w:noProof/>
              </w:rPr>
              <w:t>1</w:t>
            </w:r>
            <w:r w:rsidRPr="009E38DA">
              <w:rPr>
                <w:b/>
              </w:rPr>
              <w:fldChar w:fldCharType="end"/>
            </w:r>
            <w:r w:rsidR="00602180" w:rsidRPr="009E38DA">
              <w:rPr>
                <w:b/>
              </w:rPr>
              <w:t>: Government-to-person (G2P) and person-to-government (P2G) payments</w:t>
            </w:r>
          </w:p>
        </w:tc>
      </w:tr>
      <w:tr w:rsidR="00602180" w:rsidRPr="00124DA6" w14:paraId="1824A984" w14:textId="77777777" w:rsidTr="00602180">
        <w:tc>
          <w:tcPr>
            <w:tcW w:w="2507" w:type="pct"/>
          </w:tcPr>
          <w:p w14:paraId="14430E55" w14:textId="77777777" w:rsidR="00602180" w:rsidRPr="00124DA6" w:rsidRDefault="00602180" w:rsidP="00602180">
            <w:pPr>
              <w:pStyle w:val="NoSpacing"/>
              <w:keepNext/>
              <w:keepLines/>
              <w:tabs>
                <w:tab w:val="left" w:pos="2980"/>
              </w:tabs>
              <w:jc w:val="both"/>
            </w:pPr>
            <w:r w:rsidRPr="00124DA6">
              <w:rPr>
                <w:noProof/>
                <w:lang w:eastAsia="fr-FR"/>
              </w:rPr>
              <w:drawing>
                <wp:inline distT="0" distB="0" distL="0" distR="0" wp14:anchorId="4E8377D2" wp14:editId="3BE593BE">
                  <wp:extent cx="3219450" cy="3004820"/>
                  <wp:effectExtent l="0" t="0" r="0" b="5080"/>
                  <wp:docPr id="9"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2493" w:type="pct"/>
          </w:tcPr>
          <w:p w14:paraId="6B8994F7" w14:textId="77777777" w:rsidR="00602180" w:rsidRPr="00124DA6" w:rsidRDefault="00602180" w:rsidP="003B0586">
            <w:pPr>
              <w:pStyle w:val="NoSpacing"/>
              <w:keepNext/>
              <w:keepLines/>
              <w:jc w:val="both"/>
            </w:pPr>
            <w:r w:rsidRPr="00124DA6">
              <w:rPr>
                <w:noProof/>
                <w:lang w:eastAsia="fr-FR"/>
              </w:rPr>
              <w:drawing>
                <wp:inline distT="0" distB="0" distL="0" distR="0" wp14:anchorId="0DF49F70" wp14:editId="6633D1F3">
                  <wp:extent cx="3200400" cy="3000375"/>
                  <wp:effectExtent l="0" t="0" r="0" b="9525"/>
                  <wp:docPr id="10"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187E214" w14:textId="77777777" w:rsidR="00602180" w:rsidRPr="00124DA6" w:rsidRDefault="00602180" w:rsidP="003B0586">
      <w:pPr>
        <w:pStyle w:val="Caption"/>
        <w:rPr>
          <w:lang w:val="en-US"/>
        </w:rPr>
      </w:pPr>
    </w:p>
    <w:p w14:paraId="3C5412D6" w14:textId="0B1E6469" w:rsidR="00102FE0" w:rsidRPr="00124DA6" w:rsidRDefault="00102FE0" w:rsidP="009E38DA">
      <w:pPr>
        <w:pStyle w:val="ListParagraph"/>
        <w:numPr>
          <w:ilvl w:val="0"/>
          <w:numId w:val="47"/>
        </w:numPr>
        <w:spacing w:after="240" w:line="240" w:lineRule="auto"/>
        <w:ind w:left="0" w:firstLine="0"/>
        <w:contextualSpacing w:val="0"/>
        <w:jc w:val="both"/>
        <w:rPr>
          <w:lang w:val="en-US"/>
        </w:rPr>
      </w:pPr>
      <w:r w:rsidRPr="00E63C1D">
        <w:rPr>
          <w:b/>
          <w:lang w:val="en-US"/>
        </w:rPr>
        <w:t>An ecosystem approach to digital finance identifies five essential pillars</w:t>
      </w:r>
      <w:r w:rsidRPr="00124DA6">
        <w:rPr>
          <w:lang w:val="en-US"/>
        </w:rPr>
        <w:t xml:space="preserve">: customers (population), distribution </w:t>
      </w:r>
      <w:r w:rsidRPr="00124DA6">
        <w:rPr>
          <w:rFonts w:ascii="Calibri" w:hAnsi="Calibri" w:cs="Calibri"/>
          <w:lang w:val="en-US"/>
        </w:rPr>
        <w:t>networks</w:t>
      </w:r>
      <w:r w:rsidRPr="00124DA6">
        <w:rPr>
          <w:lang w:val="en-US"/>
        </w:rPr>
        <w:t xml:space="preserve">, suppliers, major billers and the government, </w:t>
      </w:r>
      <w:r w:rsidR="00BC75C0" w:rsidRPr="00124DA6">
        <w:rPr>
          <w:lang w:val="en-US"/>
        </w:rPr>
        <w:t xml:space="preserve">and </w:t>
      </w:r>
      <w:r w:rsidRPr="00124DA6">
        <w:rPr>
          <w:lang w:val="en-US"/>
        </w:rPr>
        <w:t>regulation</w:t>
      </w:r>
      <w:r w:rsidR="003F0EDC">
        <w:rPr>
          <w:lang w:val="en-US"/>
        </w:rPr>
        <w:t>s</w:t>
      </w:r>
      <w:r w:rsidRPr="00124DA6">
        <w:rPr>
          <w:lang w:val="en-US"/>
        </w:rPr>
        <w:t xml:space="preserve">. </w:t>
      </w:r>
      <w:r w:rsidR="00E63C1D">
        <w:rPr>
          <w:lang w:val="en-US"/>
        </w:rPr>
        <w:t>The</w:t>
      </w:r>
      <w:r w:rsidRPr="00124DA6">
        <w:rPr>
          <w:lang w:val="en-US"/>
        </w:rPr>
        <w:t xml:space="preserve"> analysis based on the ecosystem approach reveals the</w:t>
      </w:r>
      <w:r w:rsidR="00EC099C">
        <w:rPr>
          <w:lang w:val="en-US"/>
        </w:rPr>
        <w:t xml:space="preserve"> following</w:t>
      </w:r>
      <w:r w:rsidRPr="00124DA6">
        <w:rPr>
          <w:lang w:val="en-US"/>
        </w:rPr>
        <w:t xml:space="preserve"> obstacles to the development of digital finance:</w:t>
      </w:r>
    </w:p>
    <w:p w14:paraId="00637237" w14:textId="27FEB8D5"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w:t>
      </w:r>
      <w:r w:rsidR="00102FE0" w:rsidRPr="00124DA6">
        <w:rPr>
          <w:rFonts w:cstheme="minorHAnsi"/>
          <w:lang w:val="en-US"/>
        </w:rPr>
        <w:t xml:space="preserve">he low level of equipment of the population </w:t>
      </w:r>
      <w:r w:rsidR="003F0EDC" w:rsidRPr="00124DA6">
        <w:rPr>
          <w:rFonts w:cstheme="minorHAnsi"/>
          <w:lang w:val="en-US"/>
        </w:rPr>
        <w:t>in</w:t>
      </w:r>
      <w:r w:rsidR="003F0EDC">
        <w:rPr>
          <w:rFonts w:cstheme="minorHAnsi"/>
          <w:lang w:val="en-US"/>
        </w:rPr>
        <w:t xml:space="preserve"> terms of </w:t>
      </w:r>
      <w:r w:rsidR="00102FE0" w:rsidRPr="00124DA6">
        <w:rPr>
          <w:rFonts w:cstheme="minorHAnsi"/>
          <w:lang w:val="en-US"/>
        </w:rPr>
        <w:t xml:space="preserve">national identity documents, which represents a problem </w:t>
      </w:r>
      <w:proofErr w:type="gramStart"/>
      <w:r w:rsidR="00102FE0" w:rsidRPr="00124DA6">
        <w:rPr>
          <w:rFonts w:cstheme="minorHAnsi"/>
          <w:lang w:val="en-US"/>
        </w:rPr>
        <w:t>with regard to</w:t>
      </w:r>
      <w:proofErr w:type="gramEnd"/>
      <w:r w:rsidR="00102FE0" w:rsidRPr="00124DA6">
        <w:rPr>
          <w:rFonts w:cstheme="minorHAnsi"/>
          <w:lang w:val="en-US"/>
        </w:rPr>
        <w:t xml:space="preserve"> </w:t>
      </w:r>
      <w:r w:rsidR="00FF6F35" w:rsidRPr="00124DA6">
        <w:rPr>
          <w:rFonts w:cstheme="minorHAnsi"/>
          <w:lang w:val="en-US"/>
        </w:rPr>
        <w:t>know your customer (</w:t>
      </w:r>
      <w:r w:rsidR="00102FE0" w:rsidRPr="00124DA6">
        <w:rPr>
          <w:rFonts w:cstheme="minorHAnsi"/>
          <w:lang w:val="en-US"/>
        </w:rPr>
        <w:t>KYC</w:t>
      </w:r>
      <w:r w:rsidR="00FF6F35" w:rsidRPr="00124DA6">
        <w:rPr>
          <w:rFonts w:cstheme="minorHAnsi"/>
          <w:lang w:val="en-US"/>
        </w:rPr>
        <w:t>)</w:t>
      </w:r>
      <w:r w:rsidR="00102FE0" w:rsidRPr="00124DA6">
        <w:rPr>
          <w:rFonts w:cstheme="minorHAnsi"/>
          <w:lang w:val="en-US"/>
        </w:rPr>
        <w:t xml:space="preserve"> and accounts opening</w:t>
      </w:r>
      <w:r w:rsidR="003F0EDC">
        <w:rPr>
          <w:rFonts w:cstheme="minorHAnsi"/>
          <w:lang w:val="en-US"/>
        </w:rPr>
        <w:t>.</w:t>
      </w:r>
    </w:p>
    <w:p w14:paraId="02214CA0" w14:textId="77777777"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w:t>
      </w:r>
      <w:r w:rsidR="00102FE0" w:rsidRPr="00124DA6">
        <w:rPr>
          <w:rFonts w:cstheme="minorHAnsi"/>
          <w:lang w:val="en-US"/>
        </w:rPr>
        <w:t>he large share of the informal sector in the economy</w:t>
      </w:r>
      <w:r w:rsidR="003F0EDC">
        <w:rPr>
          <w:rFonts w:cstheme="minorHAnsi"/>
          <w:lang w:val="en-US"/>
        </w:rPr>
        <w:t>.</w:t>
      </w:r>
    </w:p>
    <w:p w14:paraId="528542C8" w14:textId="72058F0E"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A</w:t>
      </w:r>
      <w:r w:rsidR="00102FE0" w:rsidRPr="00124DA6">
        <w:rPr>
          <w:rFonts w:cstheme="minorHAnsi"/>
          <w:lang w:val="en-US"/>
        </w:rPr>
        <w:t xml:space="preserve"> relatively high incidence of poverty (59.9</w:t>
      </w:r>
      <w:r w:rsidRPr="00124DA6">
        <w:rPr>
          <w:rFonts w:cstheme="minorHAnsi"/>
          <w:lang w:val="en-US"/>
        </w:rPr>
        <w:t xml:space="preserve"> percent</w:t>
      </w:r>
      <w:r w:rsidR="00102FE0" w:rsidRPr="00124DA6">
        <w:rPr>
          <w:rFonts w:cstheme="minorHAnsi"/>
          <w:lang w:val="en-US"/>
        </w:rPr>
        <w:t xml:space="preserve"> of the population earns </w:t>
      </w:r>
      <w:r w:rsidR="00141BD7">
        <w:rPr>
          <w:rFonts w:cstheme="minorHAnsi"/>
          <w:lang w:val="en-US"/>
        </w:rPr>
        <w:t>U.S.</w:t>
      </w:r>
      <w:r w:rsidR="00102FE0" w:rsidRPr="00124DA6">
        <w:rPr>
          <w:rFonts w:cstheme="minorHAnsi"/>
          <w:lang w:val="en-US"/>
        </w:rPr>
        <w:t xml:space="preserve">$1.9 </w:t>
      </w:r>
      <w:r w:rsidRPr="00124DA6">
        <w:rPr>
          <w:rFonts w:cstheme="minorHAnsi"/>
          <w:lang w:val="en-US"/>
        </w:rPr>
        <w:t>per</w:t>
      </w:r>
      <w:r w:rsidR="00102FE0" w:rsidRPr="00124DA6">
        <w:rPr>
          <w:rFonts w:cstheme="minorHAnsi"/>
          <w:lang w:val="en-US"/>
        </w:rPr>
        <w:t xml:space="preserve"> day)</w:t>
      </w:r>
      <w:r w:rsidR="003F0EDC">
        <w:rPr>
          <w:rFonts w:cstheme="minorHAnsi"/>
          <w:lang w:val="en-US"/>
        </w:rPr>
        <w:t>.</w:t>
      </w:r>
    </w:p>
    <w:p w14:paraId="5D5FE4C2" w14:textId="77777777"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w:t>
      </w:r>
      <w:r w:rsidR="00102FE0" w:rsidRPr="00124DA6">
        <w:rPr>
          <w:rFonts w:cstheme="minorHAnsi"/>
          <w:lang w:val="en-US"/>
        </w:rPr>
        <w:t>he merchant acceptance network by EPT is not very developed</w:t>
      </w:r>
      <w:r w:rsidR="003F0EDC">
        <w:rPr>
          <w:rFonts w:cstheme="minorHAnsi"/>
          <w:lang w:val="en-US"/>
        </w:rPr>
        <w:t>.</w:t>
      </w:r>
    </w:p>
    <w:p w14:paraId="42D7D8E4" w14:textId="77777777"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w:t>
      </w:r>
      <w:r w:rsidR="00102FE0" w:rsidRPr="00124DA6">
        <w:rPr>
          <w:rFonts w:cstheme="minorHAnsi"/>
          <w:lang w:val="en-US"/>
        </w:rPr>
        <w:t>he inexistence of a merchant payment product and an acceptance network for mobile payment</w:t>
      </w:r>
      <w:r w:rsidR="003F0EDC">
        <w:rPr>
          <w:rFonts w:cstheme="minorHAnsi"/>
          <w:lang w:val="en-US"/>
        </w:rPr>
        <w:t>.</w:t>
      </w:r>
    </w:p>
    <w:p w14:paraId="6DA88AAD" w14:textId="77777777"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w:t>
      </w:r>
      <w:r w:rsidR="00102FE0" w:rsidRPr="00124DA6">
        <w:rPr>
          <w:rFonts w:cstheme="minorHAnsi"/>
          <w:lang w:val="en-US"/>
        </w:rPr>
        <w:t xml:space="preserve">he </w:t>
      </w:r>
      <w:r w:rsidR="006E1DE3" w:rsidRPr="00124DA6">
        <w:rPr>
          <w:rFonts w:cstheme="minorHAnsi"/>
          <w:lang w:val="en-US"/>
        </w:rPr>
        <w:t xml:space="preserve">low diversification of </w:t>
      </w:r>
      <w:r w:rsidR="00102FE0" w:rsidRPr="00124DA6">
        <w:rPr>
          <w:rFonts w:cstheme="minorHAnsi"/>
          <w:lang w:val="en-US"/>
        </w:rPr>
        <w:t>digital finance offer</w:t>
      </w:r>
      <w:r w:rsidR="006E1DE3" w:rsidRPr="00124DA6">
        <w:rPr>
          <w:rFonts w:cstheme="minorHAnsi"/>
          <w:lang w:val="en-US"/>
        </w:rPr>
        <w:t>ings</w:t>
      </w:r>
      <w:r w:rsidR="00102FE0" w:rsidRPr="00124DA6">
        <w:rPr>
          <w:rFonts w:cstheme="minorHAnsi"/>
          <w:lang w:val="en-US"/>
        </w:rPr>
        <w:t xml:space="preserve"> (mainly first-generation services: cash-in, cash-out, money transfer, purchase of telephone call units)</w:t>
      </w:r>
      <w:r w:rsidR="003F0EDC">
        <w:rPr>
          <w:rFonts w:cstheme="minorHAnsi"/>
          <w:lang w:val="en-US"/>
        </w:rPr>
        <w:t>.</w:t>
      </w:r>
    </w:p>
    <w:p w14:paraId="75DD059B" w14:textId="77777777"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W</w:t>
      </w:r>
      <w:r w:rsidR="00102FE0" w:rsidRPr="00124DA6">
        <w:rPr>
          <w:rFonts w:cstheme="minorHAnsi"/>
          <w:lang w:val="en-US"/>
        </w:rPr>
        <w:t xml:space="preserve">eak management information systems for the </w:t>
      </w:r>
      <w:r w:rsidR="00231583" w:rsidRPr="00124DA6">
        <w:rPr>
          <w:rFonts w:cstheme="minorHAnsi"/>
          <w:lang w:val="en-US"/>
        </w:rPr>
        <w:t>MFI</w:t>
      </w:r>
      <w:r w:rsidR="003F0EDC">
        <w:rPr>
          <w:rFonts w:cstheme="minorHAnsi"/>
          <w:lang w:val="en-US"/>
        </w:rPr>
        <w:t>.</w:t>
      </w:r>
    </w:p>
    <w:p w14:paraId="3B2D07C4" w14:textId="77777777"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w:t>
      </w:r>
      <w:r w:rsidR="00102FE0" w:rsidRPr="00124DA6">
        <w:rPr>
          <w:rFonts w:cstheme="minorHAnsi"/>
          <w:lang w:val="en-US"/>
        </w:rPr>
        <w:t xml:space="preserve">he low level of development of partnerships between banks, </w:t>
      </w:r>
      <w:r w:rsidR="00231583" w:rsidRPr="00124DA6">
        <w:rPr>
          <w:rFonts w:cstheme="minorHAnsi"/>
          <w:lang w:val="en-US"/>
        </w:rPr>
        <w:t>MFI</w:t>
      </w:r>
      <w:r w:rsidRPr="00124DA6">
        <w:rPr>
          <w:rFonts w:cstheme="minorHAnsi"/>
          <w:lang w:val="en-US"/>
        </w:rPr>
        <w:t>s,</w:t>
      </w:r>
      <w:r w:rsidR="00102FE0" w:rsidRPr="00124DA6">
        <w:rPr>
          <w:rFonts w:cstheme="minorHAnsi"/>
          <w:lang w:val="en-US"/>
        </w:rPr>
        <w:t xml:space="preserve"> and mobile money solution providers for the development of innovative services: bank to wallet, wallet to bank, credit scoring</w:t>
      </w:r>
      <w:r w:rsidR="003F0EDC">
        <w:rPr>
          <w:rFonts w:cstheme="minorHAnsi"/>
          <w:lang w:val="en-US"/>
        </w:rPr>
        <w:t>.</w:t>
      </w:r>
    </w:p>
    <w:p w14:paraId="498FB8CD" w14:textId="77777777"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w:t>
      </w:r>
      <w:r w:rsidR="00102FE0" w:rsidRPr="00124DA6">
        <w:rPr>
          <w:rFonts w:cstheme="minorHAnsi"/>
          <w:lang w:val="en-US"/>
        </w:rPr>
        <w:t>he lack of a reflection framework, for the development of interoperability, between the various mobile money service providers</w:t>
      </w:r>
      <w:r w:rsidR="003F0EDC">
        <w:rPr>
          <w:rFonts w:cstheme="minorHAnsi"/>
          <w:lang w:val="en-US"/>
        </w:rPr>
        <w:t>.</w:t>
      </w:r>
    </w:p>
    <w:p w14:paraId="29B17F12" w14:textId="77777777"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w:t>
      </w:r>
      <w:r w:rsidR="00102FE0" w:rsidRPr="00124DA6">
        <w:rPr>
          <w:rFonts w:cstheme="minorHAnsi"/>
          <w:lang w:val="en-US"/>
        </w:rPr>
        <w:t>he nonacceptance of the digital payment of invoices, for public companies such as the National Water Company of Benin (SONEB) and the Beninese Electricity Company (SBEE)</w:t>
      </w:r>
      <w:r w:rsidR="003F0EDC">
        <w:rPr>
          <w:rFonts w:cstheme="minorHAnsi"/>
          <w:lang w:val="en-US"/>
        </w:rPr>
        <w:t>.</w:t>
      </w:r>
    </w:p>
    <w:p w14:paraId="19648CEA" w14:textId="77777777"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 xml:space="preserve">The nonacceptance, for the time being, by the government of P2G payments: taxes, stamp duties, </w:t>
      </w:r>
      <w:r w:rsidR="0035716F" w:rsidRPr="00124DA6">
        <w:rPr>
          <w:rFonts w:cstheme="minorHAnsi"/>
          <w:lang w:val="en-US"/>
        </w:rPr>
        <w:t>and so on</w:t>
      </w:r>
      <w:r w:rsidRPr="00124DA6">
        <w:rPr>
          <w:rFonts w:cstheme="minorHAnsi"/>
          <w:lang w:val="en-US"/>
        </w:rPr>
        <w:t>, through the digital channel (mobile money, card, EPT)</w:t>
      </w:r>
      <w:r w:rsidR="003F0EDC">
        <w:rPr>
          <w:rFonts w:cstheme="minorHAnsi"/>
          <w:lang w:val="en-US"/>
        </w:rPr>
        <w:t>.</w:t>
      </w:r>
    </w:p>
    <w:p w14:paraId="417EA966" w14:textId="77777777" w:rsidR="00102FE0" w:rsidRPr="00124DA6" w:rsidRDefault="0035716F"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w:t>
      </w:r>
      <w:r w:rsidR="00102FE0" w:rsidRPr="00124DA6">
        <w:rPr>
          <w:rFonts w:cstheme="minorHAnsi"/>
          <w:lang w:val="en-US"/>
        </w:rPr>
        <w:t>he lack of a flexible regulatory framework on agency banking for banks</w:t>
      </w:r>
      <w:r w:rsidR="003F0EDC">
        <w:rPr>
          <w:rFonts w:cstheme="minorHAnsi"/>
          <w:lang w:val="en-US"/>
        </w:rPr>
        <w:t>.</w:t>
      </w:r>
    </w:p>
    <w:p w14:paraId="33359754" w14:textId="7C1B2894" w:rsidR="00102FE0" w:rsidRPr="00E63C1D" w:rsidRDefault="003F0EDC" w:rsidP="009E38DA">
      <w:pPr>
        <w:pStyle w:val="ListParagraph"/>
        <w:numPr>
          <w:ilvl w:val="0"/>
          <w:numId w:val="47"/>
        </w:numPr>
        <w:spacing w:after="240" w:line="240" w:lineRule="auto"/>
        <w:ind w:left="0" w:firstLine="0"/>
        <w:contextualSpacing w:val="0"/>
        <w:jc w:val="both"/>
        <w:rPr>
          <w:b/>
          <w:lang w:val="en-US"/>
        </w:rPr>
      </w:pPr>
      <w:r>
        <w:rPr>
          <w:b/>
          <w:lang w:val="en-US"/>
        </w:rPr>
        <w:t>Several</w:t>
      </w:r>
      <w:r w:rsidRPr="00E63C1D">
        <w:rPr>
          <w:b/>
          <w:lang w:val="en-US"/>
        </w:rPr>
        <w:t xml:space="preserve"> </w:t>
      </w:r>
      <w:r w:rsidR="00102FE0" w:rsidRPr="00E63C1D">
        <w:rPr>
          <w:b/>
          <w:lang w:val="en-US"/>
        </w:rPr>
        <w:t>factors</w:t>
      </w:r>
      <w:r>
        <w:rPr>
          <w:b/>
          <w:lang w:val="en-US"/>
        </w:rPr>
        <w:t xml:space="preserve"> are</w:t>
      </w:r>
      <w:r w:rsidR="00102FE0" w:rsidRPr="00E63C1D">
        <w:rPr>
          <w:b/>
          <w:lang w:val="en-US"/>
        </w:rPr>
        <w:t xml:space="preserve"> conducive to the development of digital finance in Benin</w:t>
      </w:r>
      <w:r w:rsidR="0035716F" w:rsidRPr="00E63C1D">
        <w:rPr>
          <w:b/>
          <w:lang w:val="en-US"/>
        </w:rPr>
        <w:t>:</w:t>
      </w:r>
    </w:p>
    <w:p w14:paraId="29FB5339" w14:textId="77777777"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The rapid and strong penetration of mobile money at the population level in both urban and rural areas</w:t>
      </w:r>
      <w:r w:rsidR="003F0EDC">
        <w:rPr>
          <w:rFonts w:cstheme="minorHAnsi"/>
          <w:lang w:val="en-US"/>
        </w:rPr>
        <w:t>.</w:t>
      </w:r>
    </w:p>
    <w:p w14:paraId="29B48627" w14:textId="77777777"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 xml:space="preserve">The commitment of the political authorities and the central bank to develop digital technology in general and digital </w:t>
      </w:r>
      <w:proofErr w:type="gramStart"/>
      <w:r w:rsidRPr="00124DA6">
        <w:rPr>
          <w:rFonts w:cstheme="minorHAnsi"/>
          <w:lang w:val="en-US"/>
        </w:rPr>
        <w:t>finance in particular</w:t>
      </w:r>
      <w:proofErr w:type="gramEnd"/>
      <w:r w:rsidR="003F0EDC">
        <w:rPr>
          <w:rFonts w:cstheme="minorHAnsi"/>
          <w:lang w:val="en-US"/>
        </w:rPr>
        <w:t>.</w:t>
      </w:r>
    </w:p>
    <w:p w14:paraId="0D8B54D9" w14:textId="77777777"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A strong interest in mobile money from mobile operators who have had to make heavy investments</w:t>
      </w:r>
      <w:r w:rsidR="003F0EDC">
        <w:rPr>
          <w:rFonts w:cstheme="minorHAnsi"/>
          <w:lang w:val="en-US"/>
        </w:rPr>
        <w:t>.</w:t>
      </w:r>
    </w:p>
    <w:p w14:paraId="3542B1AB" w14:textId="77777777"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The existence of a dynamic competitive environment between providers of mobile money solutions</w:t>
      </w:r>
      <w:r w:rsidR="003F0EDC">
        <w:rPr>
          <w:rFonts w:cstheme="minorHAnsi"/>
          <w:lang w:val="en-US"/>
        </w:rPr>
        <w:t>.</w:t>
      </w:r>
    </w:p>
    <w:p w14:paraId="5AA6C6BC" w14:textId="7A65D75D"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 xml:space="preserve">The development of mobile Internet, although weak </w:t>
      </w:r>
      <w:proofErr w:type="gramStart"/>
      <w:r w:rsidRPr="00124DA6">
        <w:rPr>
          <w:rFonts w:cstheme="minorHAnsi"/>
          <w:lang w:val="en-US"/>
        </w:rPr>
        <w:t>at the moment</w:t>
      </w:r>
      <w:proofErr w:type="gramEnd"/>
      <w:r w:rsidRPr="00124DA6">
        <w:rPr>
          <w:rFonts w:cstheme="minorHAnsi"/>
          <w:lang w:val="en-US"/>
        </w:rPr>
        <w:t xml:space="preserve">, which could in the </w:t>
      </w:r>
      <w:r w:rsidR="009E38DA" w:rsidRPr="00124DA6">
        <w:rPr>
          <w:rFonts w:cstheme="minorHAnsi"/>
          <w:lang w:val="en-US"/>
        </w:rPr>
        <w:t>medium- and long-term</w:t>
      </w:r>
      <w:r w:rsidRPr="00124DA6">
        <w:rPr>
          <w:rFonts w:cstheme="minorHAnsi"/>
          <w:lang w:val="en-US"/>
        </w:rPr>
        <w:t xml:space="preserve"> open perspectives for innovation (QR </w:t>
      </w:r>
      <w:r w:rsidR="0035716F" w:rsidRPr="00124DA6">
        <w:rPr>
          <w:rFonts w:cstheme="minorHAnsi"/>
          <w:lang w:val="en-US"/>
        </w:rPr>
        <w:t>c</w:t>
      </w:r>
      <w:r w:rsidRPr="00124DA6">
        <w:rPr>
          <w:rFonts w:cstheme="minorHAnsi"/>
          <w:lang w:val="en-US"/>
        </w:rPr>
        <w:t xml:space="preserve">ode, mobile application, </w:t>
      </w:r>
      <w:r w:rsidR="0035716F" w:rsidRPr="00124DA6">
        <w:rPr>
          <w:rFonts w:cstheme="minorHAnsi"/>
          <w:lang w:val="en-US"/>
        </w:rPr>
        <w:t>and so on</w:t>
      </w:r>
      <w:r w:rsidRPr="00124DA6">
        <w:rPr>
          <w:rFonts w:cstheme="minorHAnsi"/>
          <w:lang w:val="en-US"/>
        </w:rPr>
        <w:t>)</w:t>
      </w:r>
      <w:r w:rsidR="003F0EDC">
        <w:rPr>
          <w:rFonts w:cstheme="minorHAnsi"/>
          <w:lang w:val="en-US"/>
        </w:rPr>
        <w:t>.</w:t>
      </w:r>
    </w:p>
    <w:p w14:paraId="4B22FD6D" w14:textId="77777777"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 xml:space="preserve">The existence of a payment infrastructure through the </w:t>
      </w:r>
      <w:r w:rsidR="00991FED" w:rsidRPr="00124DA6">
        <w:rPr>
          <w:rFonts w:cstheme="minorHAnsi"/>
          <w:lang w:val="en-US"/>
        </w:rPr>
        <w:t>Interbank Banking Group of the West African Economic and Monetary Union (</w:t>
      </w:r>
      <w:r w:rsidRPr="00124DA6">
        <w:rPr>
          <w:rFonts w:cstheme="minorHAnsi"/>
          <w:lang w:val="en-US"/>
        </w:rPr>
        <w:t>GIM-WAEMU</w:t>
      </w:r>
      <w:r w:rsidR="00991FED" w:rsidRPr="00124DA6">
        <w:rPr>
          <w:rFonts w:cstheme="minorHAnsi"/>
          <w:lang w:val="en-US"/>
        </w:rPr>
        <w:t>)</w:t>
      </w:r>
      <w:r w:rsidR="003F0EDC">
        <w:rPr>
          <w:rFonts w:cstheme="minorHAnsi"/>
          <w:lang w:val="en-US"/>
        </w:rPr>
        <w:t>.</w:t>
      </w:r>
    </w:p>
    <w:p w14:paraId="1861245A" w14:textId="77777777"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 xml:space="preserve">The existence of </w:t>
      </w:r>
      <w:r w:rsidR="0035716F" w:rsidRPr="00124DA6">
        <w:rPr>
          <w:rFonts w:cstheme="minorHAnsi"/>
          <w:lang w:val="en-US"/>
        </w:rPr>
        <w:t>P2G</w:t>
      </w:r>
      <w:r w:rsidRPr="00124DA6">
        <w:rPr>
          <w:rFonts w:cstheme="minorHAnsi"/>
          <w:lang w:val="en-US"/>
        </w:rPr>
        <w:t xml:space="preserve"> payments, </w:t>
      </w:r>
      <w:r w:rsidR="0035716F" w:rsidRPr="00124DA6">
        <w:rPr>
          <w:rFonts w:cstheme="minorHAnsi"/>
          <w:lang w:val="en-US"/>
        </w:rPr>
        <w:t xml:space="preserve">which are </w:t>
      </w:r>
      <w:r w:rsidRPr="00124DA6">
        <w:rPr>
          <w:rFonts w:cstheme="minorHAnsi"/>
          <w:lang w:val="en-US"/>
        </w:rPr>
        <w:t>currently made in cash and could be digitized</w:t>
      </w:r>
      <w:r w:rsidR="00394251">
        <w:rPr>
          <w:rFonts w:cstheme="minorHAnsi"/>
          <w:lang w:val="en-US"/>
        </w:rPr>
        <w:t>.</w:t>
      </w:r>
    </w:p>
    <w:p w14:paraId="61BC5DCB" w14:textId="77777777"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The presence of major billers (SONEB and SBEE), which could foster the development of digitalization of payments and serve as a driving force for the adoption of digital finance</w:t>
      </w:r>
      <w:r w:rsidR="00394251">
        <w:rPr>
          <w:rFonts w:cstheme="minorHAnsi"/>
          <w:lang w:val="en-US"/>
        </w:rPr>
        <w:t>.</w:t>
      </w:r>
    </w:p>
    <w:p w14:paraId="1267316E" w14:textId="77777777" w:rsidR="00102FE0" w:rsidRPr="00124DA6" w:rsidRDefault="00102FE0" w:rsidP="009E38DA">
      <w:pPr>
        <w:pStyle w:val="ListParagraph"/>
        <w:numPr>
          <w:ilvl w:val="0"/>
          <w:numId w:val="6"/>
        </w:numPr>
        <w:spacing w:before="120" w:after="120" w:line="240" w:lineRule="auto"/>
        <w:ind w:left="1195" w:hanging="475"/>
        <w:contextualSpacing w:val="0"/>
        <w:jc w:val="both"/>
        <w:rPr>
          <w:rFonts w:cstheme="minorHAnsi"/>
          <w:lang w:val="en-US"/>
        </w:rPr>
      </w:pPr>
      <w:r w:rsidRPr="00124DA6">
        <w:rPr>
          <w:rFonts w:cstheme="minorHAnsi"/>
          <w:lang w:val="en-US"/>
        </w:rPr>
        <w:t xml:space="preserve">The existence of large volumes of </w:t>
      </w:r>
      <w:r w:rsidR="0035716F" w:rsidRPr="00124DA6">
        <w:rPr>
          <w:rFonts w:cstheme="minorHAnsi"/>
          <w:lang w:val="en-US"/>
        </w:rPr>
        <w:t xml:space="preserve">P2G </w:t>
      </w:r>
      <w:r w:rsidRPr="00124DA6">
        <w:rPr>
          <w:rFonts w:cstheme="minorHAnsi"/>
          <w:lang w:val="en-US"/>
        </w:rPr>
        <w:t>payments that could be digitized (taxes, taxes)</w:t>
      </w:r>
      <w:r w:rsidR="00E63C1D">
        <w:rPr>
          <w:rFonts w:cstheme="minorHAnsi"/>
          <w:lang w:val="en-US"/>
        </w:rPr>
        <w:t>.</w:t>
      </w:r>
    </w:p>
    <w:p w14:paraId="1BE00608" w14:textId="38F0B73E" w:rsidR="00102FE0" w:rsidRPr="009E38DA" w:rsidRDefault="0081597A" w:rsidP="0081597A">
      <w:pPr>
        <w:pStyle w:val="Caption"/>
        <w:rPr>
          <w:b/>
          <w:lang w:val="en-US"/>
        </w:rPr>
      </w:pPr>
      <w:r w:rsidRPr="009E38DA">
        <w:rPr>
          <w:b/>
          <w:lang w:val="en-US"/>
        </w:rPr>
        <w:t>Table</w:t>
      </w:r>
      <w:r w:rsidR="00C702B4" w:rsidRPr="009E38DA">
        <w:rPr>
          <w:b/>
          <w:lang w:val="en-US"/>
        </w:rPr>
        <w:t> </w:t>
      </w:r>
      <w:r w:rsidRPr="009E38DA">
        <w:rPr>
          <w:b/>
          <w:lang w:val="en-US"/>
        </w:rPr>
        <w:t>3.</w:t>
      </w:r>
      <w:r w:rsidRPr="009E38DA">
        <w:rPr>
          <w:b/>
          <w:lang w:val="en-US"/>
        </w:rPr>
        <w:fldChar w:fldCharType="begin"/>
      </w:r>
      <w:r w:rsidRPr="009E38DA">
        <w:rPr>
          <w:b/>
          <w:lang w:val="en-US"/>
        </w:rPr>
        <w:instrText xml:space="preserve"> SEQ Table_3. \* ARABIC </w:instrText>
      </w:r>
      <w:r w:rsidRPr="009E38DA">
        <w:rPr>
          <w:b/>
          <w:lang w:val="en-US"/>
        </w:rPr>
        <w:fldChar w:fldCharType="separate"/>
      </w:r>
      <w:r w:rsidR="004C6E5F" w:rsidRPr="009E38DA">
        <w:rPr>
          <w:b/>
          <w:noProof/>
          <w:lang w:val="en-US"/>
        </w:rPr>
        <w:t>1</w:t>
      </w:r>
      <w:r w:rsidRPr="009E38DA">
        <w:rPr>
          <w:b/>
          <w:lang w:val="en-US"/>
        </w:rPr>
        <w:fldChar w:fldCharType="end"/>
      </w:r>
      <w:r w:rsidRPr="009E38DA">
        <w:rPr>
          <w:b/>
          <w:lang w:val="en-US"/>
        </w:rPr>
        <w:t>: Recommendations for the digitalization of retail payments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7617"/>
      </w:tblGrid>
      <w:tr w:rsidR="0081597A" w:rsidRPr="008A6E7B" w14:paraId="553CC3D1" w14:textId="77777777" w:rsidTr="005163E6">
        <w:tc>
          <w:tcPr>
            <w:tcW w:w="1913" w:type="dxa"/>
            <w:vMerge w:val="restart"/>
          </w:tcPr>
          <w:p w14:paraId="7C5415CD" w14:textId="77777777" w:rsidR="0081597A" w:rsidRPr="00124DA6" w:rsidRDefault="0081597A" w:rsidP="005163E6">
            <w:pPr>
              <w:pStyle w:val="NoSpacing"/>
              <w:rPr>
                <w:rFonts w:cstheme="minorHAnsi"/>
                <w:b/>
                <w:sz w:val="20"/>
                <w:szCs w:val="20"/>
                <w:lang w:val="en-US"/>
              </w:rPr>
            </w:pPr>
            <w:r w:rsidRPr="00124DA6">
              <w:rPr>
                <w:rFonts w:cstheme="minorHAnsi"/>
                <w:b/>
                <w:sz w:val="20"/>
                <w:szCs w:val="20"/>
                <w:lang w:val="en-US"/>
              </w:rPr>
              <w:t>Clients</w:t>
            </w:r>
          </w:p>
        </w:tc>
        <w:tc>
          <w:tcPr>
            <w:tcW w:w="7437" w:type="dxa"/>
          </w:tcPr>
          <w:p w14:paraId="40D562D1" w14:textId="77777777" w:rsidR="0081597A" w:rsidRPr="00124DA6" w:rsidRDefault="0081597A" w:rsidP="005163E6">
            <w:pPr>
              <w:pStyle w:val="NoSpacing"/>
              <w:rPr>
                <w:rFonts w:cstheme="minorHAnsi"/>
                <w:bCs/>
                <w:sz w:val="20"/>
                <w:szCs w:val="20"/>
                <w:lang w:val="en-US"/>
              </w:rPr>
            </w:pPr>
            <w:r w:rsidRPr="00124DA6">
              <w:rPr>
                <w:rFonts w:cstheme="minorHAnsi"/>
                <w:b/>
                <w:sz w:val="20"/>
                <w:szCs w:val="20"/>
                <w:lang w:val="en-US"/>
              </w:rPr>
              <w:t>Conduct financial education campaigns and strengthen the supervision provisions of the digital finance sector</w:t>
            </w:r>
          </w:p>
        </w:tc>
      </w:tr>
      <w:tr w:rsidR="0081597A" w:rsidRPr="008A6E7B" w14:paraId="55AA1328" w14:textId="77777777" w:rsidTr="005163E6">
        <w:tc>
          <w:tcPr>
            <w:tcW w:w="1913" w:type="dxa"/>
            <w:vMerge/>
          </w:tcPr>
          <w:p w14:paraId="1731053E" w14:textId="77777777" w:rsidR="0081597A" w:rsidRPr="00124DA6" w:rsidRDefault="0081597A" w:rsidP="005163E6">
            <w:pPr>
              <w:pStyle w:val="NoSpacing"/>
              <w:rPr>
                <w:rFonts w:cstheme="minorHAnsi"/>
                <w:sz w:val="20"/>
                <w:szCs w:val="20"/>
                <w:lang w:val="en-US"/>
              </w:rPr>
            </w:pPr>
          </w:p>
        </w:tc>
        <w:tc>
          <w:tcPr>
            <w:tcW w:w="7437" w:type="dxa"/>
          </w:tcPr>
          <w:p w14:paraId="4EA2C69B"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Conduct financial literacy campaigns based on local languages with special emphasis on digital finance and its value proposition. Financial education campaigns should target</w:t>
            </w:r>
            <w:proofErr w:type="gramStart"/>
            <w:r w:rsidRPr="00124DA6">
              <w:rPr>
                <w:rFonts w:cstheme="minorHAnsi"/>
                <w:sz w:val="20"/>
                <w:szCs w:val="20"/>
                <w:lang w:val="en-US"/>
              </w:rPr>
              <w:t>, in particular, users</w:t>
            </w:r>
            <w:proofErr w:type="gramEnd"/>
            <w:r w:rsidRPr="00124DA6">
              <w:rPr>
                <w:rFonts w:cstheme="minorHAnsi"/>
                <w:sz w:val="20"/>
                <w:szCs w:val="20"/>
                <w:lang w:val="en-US"/>
              </w:rPr>
              <w:t xml:space="preserve"> of tontines in the informal sector. The contributors to the development of the financial education campaign could be the </w:t>
            </w:r>
            <w:r w:rsidR="00B5073F" w:rsidRPr="00124DA6">
              <w:rPr>
                <w:rFonts w:cstheme="minorHAnsi"/>
                <w:sz w:val="20"/>
                <w:szCs w:val="20"/>
                <w:lang w:val="en-US"/>
              </w:rPr>
              <w:t>g</w:t>
            </w:r>
            <w:r w:rsidRPr="00124DA6">
              <w:rPr>
                <w:rFonts w:cstheme="minorHAnsi"/>
                <w:sz w:val="20"/>
                <w:szCs w:val="20"/>
                <w:lang w:val="en-US"/>
              </w:rPr>
              <w:t>overnment, the BCEAO, the financial institutions (banks, MFI</w:t>
            </w:r>
            <w:r w:rsidR="00B5073F" w:rsidRPr="00124DA6">
              <w:rPr>
                <w:rFonts w:cstheme="minorHAnsi"/>
                <w:sz w:val="20"/>
                <w:szCs w:val="20"/>
                <w:lang w:val="en-US"/>
              </w:rPr>
              <w:t>s</w:t>
            </w:r>
            <w:r w:rsidRPr="00124DA6">
              <w:rPr>
                <w:rFonts w:cstheme="minorHAnsi"/>
                <w:sz w:val="20"/>
                <w:szCs w:val="20"/>
                <w:lang w:val="en-US"/>
              </w:rPr>
              <w:t>, MNOs)</w:t>
            </w:r>
            <w:r w:rsidR="00B5073F" w:rsidRPr="00124DA6">
              <w:rPr>
                <w:rFonts w:cstheme="minorHAnsi"/>
                <w:sz w:val="20"/>
                <w:szCs w:val="20"/>
                <w:lang w:val="en-US"/>
              </w:rPr>
              <w:t>,</w:t>
            </w:r>
            <w:r w:rsidRPr="00124DA6">
              <w:rPr>
                <w:rFonts w:cstheme="minorHAnsi"/>
                <w:sz w:val="20"/>
                <w:szCs w:val="20"/>
                <w:lang w:val="en-US"/>
              </w:rPr>
              <w:t xml:space="preserve"> and the donors. The government</w:t>
            </w:r>
            <w:r w:rsidR="00B5073F" w:rsidRPr="00124DA6">
              <w:rPr>
                <w:rFonts w:cstheme="minorHAnsi"/>
                <w:sz w:val="20"/>
                <w:szCs w:val="20"/>
                <w:lang w:val="en-US"/>
              </w:rPr>
              <w:t>-</w:t>
            </w:r>
            <w:r w:rsidRPr="00124DA6">
              <w:rPr>
                <w:rFonts w:cstheme="minorHAnsi"/>
                <w:sz w:val="20"/>
                <w:szCs w:val="20"/>
                <w:lang w:val="en-US"/>
              </w:rPr>
              <w:t xml:space="preserve">approved </w:t>
            </w:r>
            <w:proofErr w:type="spellStart"/>
            <w:r w:rsidRPr="00124DA6">
              <w:rPr>
                <w:rFonts w:cstheme="minorHAnsi"/>
                <w:sz w:val="20"/>
                <w:szCs w:val="20"/>
                <w:lang w:val="en-US"/>
              </w:rPr>
              <w:t>finscope</w:t>
            </w:r>
            <w:proofErr w:type="spellEnd"/>
            <w:r w:rsidRPr="00124DA6">
              <w:rPr>
                <w:rFonts w:cstheme="minorHAnsi"/>
                <w:sz w:val="20"/>
                <w:szCs w:val="20"/>
                <w:lang w:val="en-US"/>
              </w:rPr>
              <w:t xml:space="preserve"> survey, scheduled for 2018, could be used to develop the financial education strategy.</w:t>
            </w:r>
          </w:p>
        </w:tc>
      </w:tr>
      <w:tr w:rsidR="0081597A" w:rsidRPr="008A6E7B" w14:paraId="4E2A145F" w14:textId="77777777" w:rsidTr="005163E6">
        <w:tc>
          <w:tcPr>
            <w:tcW w:w="1913" w:type="dxa"/>
            <w:vMerge/>
          </w:tcPr>
          <w:p w14:paraId="78ADC01E" w14:textId="77777777" w:rsidR="0081597A" w:rsidRPr="00124DA6" w:rsidRDefault="0081597A" w:rsidP="005163E6">
            <w:pPr>
              <w:pStyle w:val="NoSpacing"/>
              <w:rPr>
                <w:rFonts w:cstheme="minorHAnsi"/>
                <w:sz w:val="20"/>
                <w:szCs w:val="20"/>
                <w:lang w:val="en-US"/>
              </w:rPr>
            </w:pPr>
          </w:p>
        </w:tc>
        <w:tc>
          <w:tcPr>
            <w:tcW w:w="7437" w:type="dxa"/>
          </w:tcPr>
          <w:p w14:paraId="3CB02FE4"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Strengthen the provisions of supervision and monitoring of the digital finance business for consumer protection, a better management of systemic risk, and an increased customer confidence in the digital financial system.</w:t>
            </w:r>
          </w:p>
        </w:tc>
      </w:tr>
      <w:tr w:rsidR="0081597A" w:rsidRPr="008A6E7B" w14:paraId="34508105" w14:textId="77777777" w:rsidTr="005163E6">
        <w:tc>
          <w:tcPr>
            <w:tcW w:w="1913" w:type="dxa"/>
            <w:vMerge w:val="restart"/>
          </w:tcPr>
          <w:p w14:paraId="3F5C527C" w14:textId="77777777" w:rsidR="0081597A" w:rsidRPr="00124DA6" w:rsidRDefault="0081597A" w:rsidP="005163E6">
            <w:pPr>
              <w:pStyle w:val="NoSpacing"/>
              <w:rPr>
                <w:rFonts w:cstheme="minorHAnsi"/>
                <w:b/>
                <w:sz w:val="20"/>
                <w:szCs w:val="20"/>
                <w:lang w:val="en-US"/>
              </w:rPr>
            </w:pPr>
            <w:r w:rsidRPr="00124DA6">
              <w:rPr>
                <w:rFonts w:cstheme="minorHAnsi"/>
                <w:b/>
                <w:sz w:val="20"/>
                <w:szCs w:val="20"/>
                <w:lang w:val="en-US"/>
              </w:rPr>
              <w:t>Networks of access to financial services</w:t>
            </w:r>
          </w:p>
        </w:tc>
        <w:tc>
          <w:tcPr>
            <w:tcW w:w="7437" w:type="dxa"/>
          </w:tcPr>
          <w:p w14:paraId="53D52DF2" w14:textId="77777777" w:rsidR="0081597A" w:rsidRPr="00124DA6" w:rsidRDefault="0081597A" w:rsidP="005163E6">
            <w:pPr>
              <w:pStyle w:val="NoSpacing"/>
              <w:rPr>
                <w:rFonts w:cstheme="minorHAnsi"/>
                <w:b/>
                <w:sz w:val="20"/>
                <w:szCs w:val="20"/>
                <w:lang w:val="en-US"/>
              </w:rPr>
            </w:pPr>
            <w:r w:rsidRPr="00124DA6">
              <w:rPr>
                <w:rFonts w:cstheme="minorHAnsi"/>
                <w:b/>
                <w:sz w:val="20"/>
                <w:szCs w:val="20"/>
                <w:lang w:val="en-US"/>
              </w:rPr>
              <w:t>Develop an ecosystem of merchant acceptance networks</w:t>
            </w:r>
          </w:p>
        </w:tc>
      </w:tr>
      <w:tr w:rsidR="0081597A" w:rsidRPr="008A6E7B" w14:paraId="69704125" w14:textId="77777777" w:rsidTr="005163E6">
        <w:tc>
          <w:tcPr>
            <w:tcW w:w="1913" w:type="dxa"/>
            <w:vMerge/>
          </w:tcPr>
          <w:p w14:paraId="0F726A12" w14:textId="77777777" w:rsidR="0081597A" w:rsidRPr="00124DA6" w:rsidRDefault="0081597A" w:rsidP="005163E6">
            <w:pPr>
              <w:pStyle w:val="NoSpacing"/>
              <w:rPr>
                <w:rFonts w:cstheme="minorHAnsi"/>
                <w:sz w:val="20"/>
                <w:szCs w:val="20"/>
                <w:lang w:val="en-US"/>
              </w:rPr>
            </w:pPr>
          </w:p>
        </w:tc>
        <w:tc>
          <w:tcPr>
            <w:tcW w:w="7437" w:type="dxa"/>
          </w:tcPr>
          <w:p w14:paraId="335BF26E" w14:textId="05B29A92" w:rsidR="0081597A" w:rsidRPr="00124DA6" w:rsidRDefault="0081597A" w:rsidP="005163E6">
            <w:pPr>
              <w:pStyle w:val="NoSpacing"/>
              <w:rPr>
                <w:rFonts w:cstheme="minorHAnsi"/>
                <w:sz w:val="20"/>
                <w:szCs w:val="20"/>
                <w:lang w:val="en-US"/>
              </w:rPr>
            </w:pPr>
            <w:r w:rsidRPr="00124DA6">
              <w:rPr>
                <w:rFonts w:cstheme="minorHAnsi"/>
                <w:sz w:val="20"/>
                <w:szCs w:val="20"/>
                <w:lang w:val="en-US"/>
              </w:rPr>
              <w:t>Develop an ecosystem of merchant acceptance networks. There is a strong density of mobile money agent networks in Benin and the main services used are cash-in, cash-out</w:t>
            </w:r>
            <w:r w:rsidR="00B5073F" w:rsidRPr="00124DA6">
              <w:rPr>
                <w:rFonts w:cstheme="minorHAnsi"/>
                <w:sz w:val="20"/>
                <w:szCs w:val="20"/>
                <w:lang w:val="en-US"/>
              </w:rPr>
              <w:t>,</w:t>
            </w:r>
            <w:r w:rsidRPr="00124DA6">
              <w:rPr>
                <w:rFonts w:cstheme="minorHAnsi"/>
                <w:sz w:val="20"/>
                <w:szCs w:val="20"/>
                <w:lang w:val="en-US"/>
              </w:rPr>
              <w:t xml:space="preserve"> and money transfer. These uses represent a first step </w:t>
            </w:r>
            <w:r w:rsidR="00141BD7">
              <w:rPr>
                <w:rFonts w:cstheme="minorHAnsi"/>
                <w:sz w:val="20"/>
                <w:szCs w:val="20"/>
                <w:lang w:val="en-US"/>
              </w:rPr>
              <w:t>toward</w:t>
            </w:r>
            <w:r w:rsidRPr="00124DA6">
              <w:rPr>
                <w:rFonts w:cstheme="minorHAnsi"/>
                <w:sz w:val="20"/>
                <w:szCs w:val="20"/>
                <w:lang w:val="en-US"/>
              </w:rPr>
              <w:t xml:space="preserve"> the digitization of transactions, </w:t>
            </w:r>
            <w:r w:rsidR="00B5073F" w:rsidRPr="00124DA6">
              <w:rPr>
                <w:rFonts w:cstheme="minorHAnsi"/>
                <w:sz w:val="20"/>
                <w:szCs w:val="20"/>
                <w:lang w:val="en-US"/>
              </w:rPr>
              <w:t>but</w:t>
            </w:r>
            <w:r w:rsidRPr="00124DA6">
              <w:rPr>
                <w:rFonts w:cstheme="minorHAnsi"/>
                <w:sz w:val="20"/>
                <w:szCs w:val="20"/>
                <w:lang w:val="en-US"/>
              </w:rPr>
              <w:t xml:space="preserve"> they do not reduce the circulation of cash in the economy. It is desirable that electronic money circulates in economic exchanges without friction (without leaving the system in the form of cash). To do this, it is essential to create a merchant payment ecosystem through which purchases of goods and services will be made by electronic money, thus minimizing the conversion rate from electronic money to cash.</w:t>
            </w:r>
          </w:p>
        </w:tc>
      </w:tr>
      <w:tr w:rsidR="0081597A" w:rsidRPr="008A6E7B" w14:paraId="048B4642" w14:textId="77777777" w:rsidTr="005163E6">
        <w:tc>
          <w:tcPr>
            <w:tcW w:w="1913" w:type="dxa"/>
            <w:vMerge/>
          </w:tcPr>
          <w:p w14:paraId="12802AD2" w14:textId="77777777" w:rsidR="0081597A" w:rsidRPr="00124DA6" w:rsidRDefault="0081597A" w:rsidP="005163E6">
            <w:pPr>
              <w:pStyle w:val="NoSpacing"/>
              <w:rPr>
                <w:rFonts w:cstheme="minorHAnsi"/>
                <w:sz w:val="20"/>
                <w:szCs w:val="20"/>
                <w:lang w:val="en-US"/>
              </w:rPr>
            </w:pPr>
          </w:p>
        </w:tc>
        <w:tc>
          <w:tcPr>
            <w:tcW w:w="7437" w:type="dxa"/>
          </w:tcPr>
          <w:p w14:paraId="59F76FDD" w14:textId="77777777" w:rsidR="0081597A" w:rsidRPr="00124DA6" w:rsidRDefault="0081597A" w:rsidP="005163E6">
            <w:pPr>
              <w:spacing w:after="0" w:line="240" w:lineRule="auto"/>
              <w:rPr>
                <w:rFonts w:cstheme="minorHAnsi"/>
                <w:iCs/>
                <w:sz w:val="20"/>
                <w:szCs w:val="20"/>
                <w:lang w:val="en-US"/>
              </w:rPr>
            </w:pPr>
            <w:r w:rsidRPr="00124DA6">
              <w:rPr>
                <w:rFonts w:cstheme="minorHAnsi"/>
                <w:iCs/>
                <w:sz w:val="20"/>
                <w:szCs w:val="20"/>
                <w:lang w:val="en-US"/>
              </w:rPr>
              <w:t>Promote the development of</w:t>
            </w:r>
            <w:r w:rsidR="005163E6" w:rsidRPr="00124DA6">
              <w:rPr>
                <w:rFonts w:cstheme="minorHAnsi"/>
                <w:iCs/>
                <w:sz w:val="20"/>
                <w:szCs w:val="20"/>
                <w:lang w:val="en-US"/>
              </w:rPr>
              <w:t xml:space="preserve"> </w:t>
            </w:r>
            <w:r w:rsidRPr="00124DA6">
              <w:rPr>
                <w:rFonts w:cstheme="minorHAnsi"/>
                <w:iCs/>
                <w:sz w:val="20"/>
                <w:szCs w:val="20"/>
                <w:lang w:val="en-US"/>
              </w:rPr>
              <w:t>agency banking solutions at the level of banking players.</w:t>
            </w:r>
          </w:p>
        </w:tc>
      </w:tr>
      <w:tr w:rsidR="0081597A" w:rsidRPr="008A6E7B" w14:paraId="5496560B" w14:textId="77777777" w:rsidTr="005163E6">
        <w:trPr>
          <w:trHeight w:val="233"/>
        </w:trPr>
        <w:tc>
          <w:tcPr>
            <w:tcW w:w="1913" w:type="dxa"/>
            <w:vMerge w:val="restart"/>
          </w:tcPr>
          <w:p w14:paraId="6E1304B3" w14:textId="77777777" w:rsidR="0081597A" w:rsidRPr="00124DA6" w:rsidRDefault="0081597A" w:rsidP="005163E6">
            <w:pPr>
              <w:pStyle w:val="NoSpacing"/>
              <w:rPr>
                <w:rFonts w:cstheme="minorHAnsi"/>
                <w:b/>
                <w:sz w:val="20"/>
                <w:szCs w:val="20"/>
                <w:lang w:val="en-US"/>
              </w:rPr>
            </w:pPr>
            <w:r w:rsidRPr="00124DA6">
              <w:rPr>
                <w:rFonts w:cstheme="minorHAnsi"/>
                <w:b/>
                <w:sz w:val="20"/>
                <w:szCs w:val="20"/>
                <w:lang w:val="en-US"/>
              </w:rPr>
              <w:t>Suppliers</w:t>
            </w:r>
          </w:p>
        </w:tc>
        <w:tc>
          <w:tcPr>
            <w:tcW w:w="7437" w:type="dxa"/>
          </w:tcPr>
          <w:p w14:paraId="6AA8461A" w14:textId="77777777" w:rsidR="0081597A" w:rsidRPr="00124DA6" w:rsidRDefault="0081597A" w:rsidP="005163E6">
            <w:pPr>
              <w:pStyle w:val="NoSpacing"/>
              <w:rPr>
                <w:rFonts w:cstheme="minorHAnsi"/>
                <w:b/>
                <w:bCs/>
                <w:sz w:val="20"/>
                <w:szCs w:val="20"/>
                <w:lang w:val="en-US"/>
              </w:rPr>
            </w:pPr>
            <w:r w:rsidRPr="00124DA6">
              <w:rPr>
                <w:rFonts w:cstheme="minorHAnsi"/>
                <w:b/>
                <w:bCs/>
                <w:sz w:val="20"/>
                <w:szCs w:val="20"/>
                <w:lang w:val="en-US"/>
              </w:rPr>
              <w:t>Develop the</w:t>
            </w:r>
            <w:r w:rsidR="005163E6" w:rsidRPr="00124DA6">
              <w:rPr>
                <w:rFonts w:cstheme="minorHAnsi"/>
                <w:b/>
                <w:bCs/>
                <w:sz w:val="20"/>
                <w:szCs w:val="20"/>
                <w:lang w:val="en-US"/>
              </w:rPr>
              <w:t xml:space="preserve"> </w:t>
            </w:r>
            <w:r w:rsidRPr="00124DA6">
              <w:rPr>
                <w:rFonts w:cstheme="minorHAnsi"/>
                <w:b/>
                <w:bCs/>
                <w:sz w:val="20"/>
                <w:szCs w:val="20"/>
                <w:lang w:val="en-US"/>
              </w:rPr>
              <w:t xml:space="preserve">offering market for the digital finance service provider </w:t>
            </w:r>
          </w:p>
        </w:tc>
      </w:tr>
      <w:tr w:rsidR="0081597A" w:rsidRPr="008A6E7B" w14:paraId="11D29456" w14:textId="77777777" w:rsidTr="005163E6">
        <w:tc>
          <w:tcPr>
            <w:tcW w:w="1913" w:type="dxa"/>
            <w:vMerge/>
          </w:tcPr>
          <w:p w14:paraId="266FD4D7" w14:textId="77777777" w:rsidR="0081597A" w:rsidRPr="00124DA6" w:rsidRDefault="0081597A" w:rsidP="005163E6">
            <w:pPr>
              <w:pStyle w:val="NoSpacing"/>
              <w:rPr>
                <w:rFonts w:cstheme="minorHAnsi"/>
                <w:sz w:val="20"/>
                <w:szCs w:val="20"/>
                <w:lang w:val="en-US"/>
              </w:rPr>
            </w:pPr>
          </w:p>
        </w:tc>
        <w:tc>
          <w:tcPr>
            <w:tcW w:w="7437" w:type="dxa"/>
          </w:tcPr>
          <w:p w14:paraId="2B4504B6"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Develop/</w:t>
            </w:r>
            <w:r w:rsidR="00B5073F" w:rsidRPr="00124DA6">
              <w:rPr>
                <w:rFonts w:cstheme="minorHAnsi"/>
                <w:sz w:val="20"/>
                <w:szCs w:val="20"/>
                <w:lang w:val="en-US"/>
              </w:rPr>
              <w:t>e</w:t>
            </w:r>
            <w:r w:rsidRPr="00124DA6">
              <w:rPr>
                <w:rFonts w:cstheme="minorHAnsi"/>
                <w:sz w:val="20"/>
                <w:szCs w:val="20"/>
                <w:lang w:val="en-US"/>
              </w:rPr>
              <w:t>nhance the</w:t>
            </w:r>
            <w:r w:rsidR="005163E6" w:rsidRPr="00124DA6">
              <w:rPr>
                <w:rFonts w:cstheme="minorHAnsi"/>
                <w:sz w:val="20"/>
                <w:szCs w:val="20"/>
                <w:lang w:val="en-US"/>
              </w:rPr>
              <w:t xml:space="preserve"> </w:t>
            </w:r>
            <w:r w:rsidRPr="00124DA6">
              <w:rPr>
                <w:rFonts w:cstheme="minorHAnsi"/>
                <w:sz w:val="20"/>
                <w:szCs w:val="20"/>
                <w:lang w:val="en-US"/>
              </w:rPr>
              <w:t>offering market for the digital finance service provider through innovation</w:t>
            </w:r>
          </w:p>
        </w:tc>
      </w:tr>
      <w:tr w:rsidR="0081597A" w:rsidRPr="008A6E7B" w14:paraId="324E1866" w14:textId="77777777" w:rsidTr="005163E6">
        <w:tc>
          <w:tcPr>
            <w:tcW w:w="1913" w:type="dxa"/>
            <w:vMerge/>
          </w:tcPr>
          <w:p w14:paraId="56914F07" w14:textId="77777777" w:rsidR="0081597A" w:rsidRPr="00124DA6" w:rsidRDefault="0081597A" w:rsidP="005163E6">
            <w:pPr>
              <w:pStyle w:val="NoSpacing"/>
              <w:rPr>
                <w:rFonts w:cstheme="minorHAnsi"/>
                <w:sz w:val="20"/>
                <w:szCs w:val="20"/>
                <w:lang w:val="en-US"/>
              </w:rPr>
            </w:pPr>
          </w:p>
        </w:tc>
        <w:tc>
          <w:tcPr>
            <w:tcW w:w="7437" w:type="dxa"/>
          </w:tcPr>
          <w:p w14:paraId="1F91AAB1"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 xml:space="preserve">Bring the digital tool into the tontine system in the informal sector </w:t>
            </w:r>
          </w:p>
        </w:tc>
      </w:tr>
      <w:tr w:rsidR="0081597A" w:rsidRPr="008A6E7B" w14:paraId="034B4C06" w14:textId="77777777" w:rsidTr="005163E6">
        <w:tc>
          <w:tcPr>
            <w:tcW w:w="1913" w:type="dxa"/>
            <w:vMerge/>
          </w:tcPr>
          <w:p w14:paraId="790AE18F" w14:textId="77777777" w:rsidR="0081597A" w:rsidRPr="00124DA6" w:rsidRDefault="0081597A" w:rsidP="005163E6">
            <w:pPr>
              <w:pStyle w:val="NoSpacing"/>
              <w:rPr>
                <w:rFonts w:cstheme="minorHAnsi"/>
                <w:sz w:val="20"/>
                <w:szCs w:val="20"/>
                <w:lang w:val="en-US"/>
              </w:rPr>
            </w:pPr>
          </w:p>
        </w:tc>
        <w:tc>
          <w:tcPr>
            <w:tcW w:w="7437" w:type="dxa"/>
          </w:tcPr>
          <w:p w14:paraId="317C295B"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Develop payment services for taxicab bikes (</w:t>
            </w:r>
            <w:proofErr w:type="spellStart"/>
            <w:r w:rsidR="00B5073F" w:rsidRPr="00124DA6">
              <w:rPr>
                <w:rFonts w:cstheme="minorHAnsi"/>
                <w:sz w:val="20"/>
                <w:szCs w:val="20"/>
                <w:lang w:val="en-US"/>
              </w:rPr>
              <w:t>z</w:t>
            </w:r>
            <w:r w:rsidRPr="00124DA6">
              <w:rPr>
                <w:rFonts w:cstheme="minorHAnsi"/>
                <w:sz w:val="20"/>
                <w:szCs w:val="20"/>
                <w:lang w:val="en-US"/>
              </w:rPr>
              <w:t>emidjans</w:t>
            </w:r>
            <w:proofErr w:type="spellEnd"/>
            <w:r w:rsidRPr="00124DA6">
              <w:rPr>
                <w:rFonts w:cstheme="minorHAnsi"/>
                <w:sz w:val="20"/>
                <w:szCs w:val="20"/>
                <w:lang w:val="en-US"/>
              </w:rPr>
              <w:t xml:space="preserve">). There are nearly 250,000 </w:t>
            </w:r>
            <w:proofErr w:type="spellStart"/>
            <w:r w:rsidRPr="00124DA6">
              <w:rPr>
                <w:rFonts w:cstheme="minorHAnsi"/>
                <w:sz w:val="20"/>
                <w:szCs w:val="20"/>
                <w:lang w:val="en-US"/>
              </w:rPr>
              <w:t>zemidjans</w:t>
            </w:r>
            <w:proofErr w:type="spellEnd"/>
            <w:r w:rsidRPr="00124DA6">
              <w:rPr>
                <w:rFonts w:cstheme="minorHAnsi"/>
                <w:sz w:val="20"/>
                <w:szCs w:val="20"/>
                <w:lang w:val="en-US"/>
              </w:rPr>
              <w:t xml:space="preserve"> in Benin. Beyond the payment aspects, the proximity of motorcycle taxis with the population makes them important levers for the promotion and the popularization of mobile money uses (especially for payment). </w:t>
            </w:r>
          </w:p>
        </w:tc>
      </w:tr>
      <w:tr w:rsidR="0081597A" w:rsidRPr="008A6E7B" w14:paraId="602B2AB0" w14:textId="77777777" w:rsidTr="005163E6">
        <w:tc>
          <w:tcPr>
            <w:tcW w:w="1913" w:type="dxa"/>
            <w:vMerge/>
          </w:tcPr>
          <w:p w14:paraId="7AB02BFD" w14:textId="77777777" w:rsidR="0081597A" w:rsidRPr="00124DA6" w:rsidRDefault="0081597A" w:rsidP="005163E6">
            <w:pPr>
              <w:pStyle w:val="NoSpacing"/>
              <w:rPr>
                <w:rFonts w:cstheme="minorHAnsi"/>
                <w:sz w:val="20"/>
                <w:szCs w:val="20"/>
                <w:lang w:val="en-US"/>
              </w:rPr>
            </w:pPr>
          </w:p>
        </w:tc>
        <w:tc>
          <w:tcPr>
            <w:tcW w:w="7437" w:type="dxa"/>
          </w:tcPr>
          <w:p w14:paraId="53947063" w14:textId="77777777" w:rsidR="0081597A" w:rsidRPr="00124DA6" w:rsidRDefault="0081597A" w:rsidP="005163E6">
            <w:pPr>
              <w:spacing w:after="0" w:line="240" w:lineRule="auto"/>
              <w:rPr>
                <w:rFonts w:cstheme="minorHAnsi"/>
                <w:sz w:val="20"/>
                <w:szCs w:val="20"/>
                <w:lang w:val="en-US"/>
              </w:rPr>
            </w:pPr>
            <w:r w:rsidRPr="00124DA6">
              <w:rPr>
                <w:rFonts w:cstheme="minorHAnsi"/>
                <w:sz w:val="20"/>
                <w:szCs w:val="20"/>
                <w:lang w:val="en-US"/>
              </w:rPr>
              <w:t xml:space="preserve">Promote the development of partnerships </w:t>
            </w:r>
            <w:r w:rsidR="00B5073F" w:rsidRPr="00124DA6">
              <w:rPr>
                <w:rFonts w:cstheme="minorHAnsi"/>
                <w:sz w:val="20"/>
                <w:szCs w:val="20"/>
                <w:lang w:val="en-US"/>
              </w:rPr>
              <w:t>(</w:t>
            </w:r>
            <w:r w:rsidRPr="00124DA6">
              <w:rPr>
                <w:rFonts w:cstheme="minorHAnsi"/>
                <w:sz w:val="20"/>
                <w:szCs w:val="20"/>
                <w:lang w:val="en-US"/>
              </w:rPr>
              <w:t>financial institutions</w:t>
            </w:r>
            <w:r w:rsidR="00B5073F" w:rsidRPr="00124DA6">
              <w:rPr>
                <w:rFonts w:cstheme="minorHAnsi"/>
                <w:sz w:val="20"/>
                <w:szCs w:val="20"/>
                <w:lang w:val="en-US"/>
              </w:rPr>
              <w:t>—</w:t>
            </w:r>
            <w:r w:rsidRPr="00124DA6">
              <w:rPr>
                <w:rFonts w:cstheme="minorHAnsi"/>
                <w:sz w:val="20"/>
                <w:szCs w:val="20"/>
                <w:lang w:val="en-US"/>
              </w:rPr>
              <w:t>mobile money providers</w:t>
            </w:r>
            <w:r w:rsidR="00B5073F" w:rsidRPr="00124DA6">
              <w:rPr>
                <w:rFonts w:cstheme="minorHAnsi"/>
                <w:sz w:val="20"/>
                <w:szCs w:val="20"/>
                <w:lang w:val="en-US"/>
              </w:rPr>
              <w:t>)</w:t>
            </w:r>
            <w:r w:rsidRPr="00124DA6">
              <w:rPr>
                <w:rFonts w:cstheme="minorHAnsi"/>
                <w:sz w:val="20"/>
                <w:szCs w:val="20"/>
                <w:lang w:val="en-US"/>
              </w:rPr>
              <w:t xml:space="preserve"> that would</w:t>
            </w:r>
          </w:p>
          <w:p w14:paraId="00A870E4" w14:textId="77777777" w:rsidR="0081597A" w:rsidRPr="00124DA6" w:rsidRDefault="00B5073F" w:rsidP="007414AC">
            <w:pPr>
              <w:pStyle w:val="ListParagraph"/>
              <w:numPr>
                <w:ilvl w:val="0"/>
                <w:numId w:val="31"/>
              </w:numPr>
              <w:spacing w:after="0" w:line="240" w:lineRule="auto"/>
              <w:ind w:left="576" w:hanging="288"/>
              <w:contextualSpacing w:val="0"/>
              <w:rPr>
                <w:rFonts w:cstheme="minorHAnsi"/>
                <w:sz w:val="20"/>
                <w:szCs w:val="20"/>
                <w:lang w:val="en-US"/>
              </w:rPr>
            </w:pPr>
            <w:r w:rsidRPr="00124DA6">
              <w:rPr>
                <w:rFonts w:cstheme="minorHAnsi"/>
                <w:sz w:val="20"/>
                <w:szCs w:val="20"/>
                <w:lang w:val="en-US"/>
              </w:rPr>
              <w:t>E</w:t>
            </w:r>
            <w:r w:rsidR="0081597A" w:rsidRPr="00124DA6">
              <w:rPr>
                <w:rFonts w:cstheme="minorHAnsi"/>
                <w:sz w:val="20"/>
                <w:szCs w:val="20"/>
                <w:lang w:val="en-US"/>
              </w:rPr>
              <w:t>xtend the geographical scope of financial services to peri-urban and rural areas, notably through the large presence of mobile money agent networks</w:t>
            </w:r>
            <w:r w:rsidRPr="00124DA6">
              <w:rPr>
                <w:rFonts w:cstheme="minorHAnsi"/>
                <w:sz w:val="20"/>
                <w:szCs w:val="20"/>
                <w:lang w:val="en-US"/>
              </w:rPr>
              <w:t>, and</w:t>
            </w:r>
          </w:p>
          <w:p w14:paraId="58FF9605" w14:textId="77777777" w:rsidR="0081597A" w:rsidRPr="00124DA6" w:rsidRDefault="00923FCD" w:rsidP="007414AC">
            <w:pPr>
              <w:pStyle w:val="ListParagraph"/>
              <w:numPr>
                <w:ilvl w:val="0"/>
                <w:numId w:val="31"/>
              </w:numPr>
              <w:spacing w:after="0" w:line="240" w:lineRule="auto"/>
              <w:ind w:left="576" w:hanging="288"/>
              <w:contextualSpacing w:val="0"/>
              <w:rPr>
                <w:rFonts w:cstheme="minorHAnsi"/>
                <w:sz w:val="20"/>
                <w:szCs w:val="20"/>
                <w:lang w:val="en-US"/>
              </w:rPr>
            </w:pPr>
            <w:r w:rsidRPr="00124DA6">
              <w:rPr>
                <w:rFonts w:cstheme="minorHAnsi"/>
                <w:sz w:val="20"/>
                <w:szCs w:val="20"/>
                <w:lang w:val="en-US"/>
              </w:rPr>
              <w:t>E</w:t>
            </w:r>
            <w:r w:rsidR="0081597A" w:rsidRPr="00124DA6">
              <w:rPr>
                <w:rFonts w:cstheme="minorHAnsi"/>
                <w:sz w:val="20"/>
                <w:szCs w:val="20"/>
                <w:lang w:val="en-US"/>
              </w:rPr>
              <w:t>nhance the launch of credit solutions based on credit scoring. In this regard, a dialogue framework will have to be set up between the BCEAO and the market players (banks, MFI</w:t>
            </w:r>
            <w:r w:rsidR="00B5073F" w:rsidRPr="00124DA6">
              <w:rPr>
                <w:rFonts w:cstheme="minorHAnsi"/>
                <w:sz w:val="20"/>
                <w:szCs w:val="20"/>
                <w:lang w:val="en-US"/>
              </w:rPr>
              <w:t>s</w:t>
            </w:r>
            <w:r w:rsidR="0081597A" w:rsidRPr="00124DA6">
              <w:rPr>
                <w:rFonts w:cstheme="minorHAnsi"/>
                <w:sz w:val="20"/>
                <w:szCs w:val="20"/>
                <w:lang w:val="en-US"/>
              </w:rPr>
              <w:t xml:space="preserve">) to understand their concerns and even the regulatory constraints for the launch of such solutions (wear rate, consumer protection, management of the repayment defaults risk, </w:t>
            </w:r>
            <w:r w:rsidR="00B5073F" w:rsidRPr="00124DA6">
              <w:rPr>
                <w:rFonts w:cstheme="minorHAnsi"/>
                <w:sz w:val="20"/>
                <w:szCs w:val="20"/>
                <w:lang w:val="en-US"/>
              </w:rPr>
              <w:t>and so on</w:t>
            </w:r>
            <w:r w:rsidR="0081597A" w:rsidRPr="00124DA6">
              <w:rPr>
                <w:rFonts w:cstheme="minorHAnsi"/>
                <w:sz w:val="20"/>
                <w:szCs w:val="20"/>
                <w:lang w:val="en-US"/>
              </w:rPr>
              <w:t>). Areas of collaboration and synergies could be envisaged between the Mobile Money for the Poor (MM4P) program of the United Nations Capital Development Fund (UNCDF) and the future actions of the World Bank on digital finance in Benin. Indeed, the MM4P program has set up a working group on digital finance.</w:t>
            </w:r>
          </w:p>
        </w:tc>
      </w:tr>
      <w:tr w:rsidR="0081597A" w:rsidRPr="008A6E7B" w14:paraId="6EC4CEA7" w14:textId="77777777" w:rsidTr="005163E6">
        <w:tc>
          <w:tcPr>
            <w:tcW w:w="1913" w:type="dxa"/>
            <w:vMerge/>
          </w:tcPr>
          <w:p w14:paraId="73118451" w14:textId="77777777" w:rsidR="0081597A" w:rsidRPr="00124DA6" w:rsidRDefault="0081597A" w:rsidP="005163E6">
            <w:pPr>
              <w:pStyle w:val="NoSpacing"/>
              <w:rPr>
                <w:rFonts w:cstheme="minorHAnsi"/>
                <w:sz w:val="20"/>
                <w:szCs w:val="20"/>
                <w:lang w:val="en-US"/>
              </w:rPr>
            </w:pPr>
          </w:p>
        </w:tc>
        <w:tc>
          <w:tcPr>
            <w:tcW w:w="7437" w:type="dxa"/>
            <w:shd w:val="clear" w:color="auto" w:fill="FFFFFF" w:themeFill="background1"/>
          </w:tcPr>
          <w:p w14:paraId="020E043A"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 xml:space="preserve">Develop and extend (through the MNOs) the high-speed mobile </w:t>
            </w:r>
            <w:r w:rsidR="00B5073F" w:rsidRPr="00124DA6">
              <w:rPr>
                <w:rFonts w:cstheme="minorHAnsi"/>
                <w:sz w:val="20"/>
                <w:szCs w:val="20"/>
                <w:lang w:val="en-US"/>
              </w:rPr>
              <w:t>I</w:t>
            </w:r>
            <w:r w:rsidRPr="00124DA6">
              <w:rPr>
                <w:rFonts w:cstheme="minorHAnsi"/>
                <w:sz w:val="20"/>
                <w:szCs w:val="20"/>
                <w:lang w:val="en-US"/>
              </w:rPr>
              <w:t>nternet access network to enable financial sector players (banks, MFI</w:t>
            </w:r>
            <w:r w:rsidR="00B5073F" w:rsidRPr="00124DA6">
              <w:rPr>
                <w:rFonts w:cstheme="minorHAnsi"/>
                <w:sz w:val="20"/>
                <w:szCs w:val="20"/>
                <w:lang w:val="en-US"/>
              </w:rPr>
              <w:t>s</w:t>
            </w:r>
            <w:r w:rsidRPr="00124DA6">
              <w:rPr>
                <w:rFonts w:cstheme="minorHAnsi"/>
                <w:sz w:val="20"/>
                <w:szCs w:val="20"/>
                <w:lang w:val="en-US"/>
              </w:rPr>
              <w:t>, fintech, MNO</w:t>
            </w:r>
            <w:r w:rsidR="00B5073F" w:rsidRPr="00124DA6">
              <w:rPr>
                <w:rFonts w:cstheme="minorHAnsi"/>
                <w:sz w:val="20"/>
                <w:szCs w:val="20"/>
                <w:lang w:val="en-US"/>
              </w:rPr>
              <w:t>s</w:t>
            </w:r>
            <w:r w:rsidRPr="00124DA6">
              <w:rPr>
                <w:rFonts w:cstheme="minorHAnsi"/>
                <w:sz w:val="20"/>
                <w:szCs w:val="20"/>
                <w:lang w:val="en-US"/>
              </w:rPr>
              <w:t>) to deploy innovative mobile payment solutions.</w:t>
            </w:r>
          </w:p>
        </w:tc>
      </w:tr>
      <w:tr w:rsidR="0081597A" w:rsidRPr="008A6E7B" w14:paraId="24B2D3BD" w14:textId="77777777" w:rsidTr="005163E6">
        <w:tc>
          <w:tcPr>
            <w:tcW w:w="1913" w:type="dxa"/>
            <w:vMerge/>
          </w:tcPr>
          <w:p w14:paraId="0F38D59C" w14:textId="77777777" w:rsidR="0081597A" w:rsidRPr="00124DA6" w:rsidRDefault="0081597A" w:rsidP="005163E6">
            <w:pPr>
              <w:pStyle w:val="NoSpacing"/>
              <w:rPr>
                <w:rFonts w:cstheme="minorHAnsi"/>
                <w:sz w:val="20"/>
                <w:szCs w:val="20"/>
                <w:lang w:val="en-US"/>
              </w:rPr>
            </w:pPr>
          </w:p>
        </w:tc>
        <w:tc>
          <w:tcPr>
            <w:tcW w:w="7437" w:type="dxa"/>
            <w:shd w:val="clear" w:color="auto" w:fill="FFFFFF" w:themeFill="background1"/>
          </w:tcPr>
          <w:p w14:paraId="12676C4F"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Promote a framework for consultation and collaboration between the different providers of digital finance solutions for the development of interoperability, including the participation of the GIM-WAEMU as the main actor, designated by the BCEAO.</w:t>
            </w:r>
          </w:p>
        </w:tc>
      </w:tr>
      <w:tr w:rsidR="0081597A" w:rsidRPr="008A6E7B" w14:paraId="0089F755" w14:textId="77777777" w:rsidTr="005163E6">
        <w:tc>
          <w:tcPr>
            <w:tcW w:w="1913" w:type="dxa"/>
            <w:vMerge w:val="restart"/>
          </w:tcPr>
          <w:p w14:paraId="7B71C69C" w14:textId="77777777" w:rsidR="0081597A" w:rsidRPr="00124DA6" w:rsidRDefault="0081597A" w:rsidP="005163E6">
            <w:pPr>
              <w:pStyle w:val="NoSpacing"/>
              <w:rPr>
                <w:rFonts w:cstheme="minorHAnsi"/>
                <w:b/>
                <w:bCs/>
                <w:sz w:val="20"/>
                <w:szCs w:val="20"/>
                <w:lang w:val="en-US"/>
              </w:rPr>
            </w:pPr>
            <w:r w:rsidRPr="00124DA6">
              <w:rPr>
                <w:rFonts w:cstheme="minorHAnsi"/>
                <w:b/>
                <w:bCs/>
                <w:sz w:val="20"/>
                <w:szCs w:val="20"/>
                <w:lang w:val="en-US"/>
              </w:rPr>
              <w:t>Major billers and the government</w:t>
            </w:r>
          </w:p>
        </w:tc>
        <w:tc>
          <w:tcPr>
            <w:tcW w:w="7437" w:type="dxa"/>
          </w:tcPr>
          <w:p w14:paraId="56DD3D6A" w14:textId="2FE08CBC" w:rsidR="0081597A" w:rsidRPr="00124DA6" w:rsidRDefault="0081597A" w:rsidP="005163E6">
            <w:pPr>
              <w:pStyle w:val="NoSpacing"/>
              <w:rPr>
                <w:rFonts w:cstheme="minorHAnsi"/>
                <w:b/>
                <w:bCs/>
                <w:sz w:val="20"/>
                <w:szCs w:val="20"/>
                <w:lang w:val="en-US"/>
              </w:rPr>
            </w:pPr>
            <w:r w:rsidRPr="00124DA6">
              <w:rPr>
                <w:rFonts w:cstheme="minorHAnsi"/>
                <w:b/>
                <w:bCs/>
                <w:sz w:val="20"/>
                <w:szCs w:val="20"/>
                <w:lang w:val="en-US"/>
              </w:rPr>
              <w:t>Digitaliz</w:t>
            </w:r>
            <w:r w:rsidR="00B5073F" w:rsidRPr="00124DA6">
              <w:rPr>
                <w:rFonts w:cstheme="minorHAnsi"/>
                <w:b/>
                <w:bCs/>
                <w:sz w:val="20"/>
                <w:szCs w:val="20"/>
                <w:lang w:val="en-US"/>
              </w:rPr>
              <w:t>e</w:t>
            </w:r>
            <w:r w:rsidRPr="00124DA6">
              <w:rPr>
                <w:rFonts w:cstheme="minorHAnsi"/>
                <w:b/>
                <w:bCs/>
                <w:sz w:val="20"/>
                <w:szCs w:val="20"/>
                <w:lang w:val="en-US"/>
              </w:rPr>
              <w:t xml:space="preserve"> people</w:t>
            </w:r>
            <w:r w:rsidR="00141BD7">
              <w:rPr>
                <w:rFonts w:cstheme="minorHAnsi"/>
                <w:b/>
                <w:bCs/>
                <w:sz w:val="20"/>
                <w:szCs w:val="20"/>
                <w:lang w:val="en-US"/>
              </w:rPr>
              <w:t>’</w:t>
            </w:r>
            <w:r w:rsidRPr="00124DA6">
              <w:rPr>
                <w:rFonts w:cstheme="minorHAnsi"/>
                <w:b/>
                <w:bCs/>
                <w:sz w:val="20"/>
                <w:szCs w:val="20"/>
                <w:lang w:val="en-US"/>
              </w:rPr>
              <w:t xml:space="preserve">s payments to major billers and the </w:t>
            </w:r>
            <w:r w:rsidR="00B5073F" w:rsidRPr="00124DA6">
              <w:rPr>
                <w:rFonts w:cstheme="minorHAnsi"/>
                <w:b/>
                <w:bCs/>
                <w:sz w:val="20"/>
                <w:szCs w:val="20"/>
                <w:lang w:val="en-US"/>
              </w:rPr>
              <w:t>g</w:t>
            </w:r>
            <w:r w:rsidRPr="00124DA6">
              <w:rPr>
                <w:rFonts w:cstheme="minorHAnsi"/>
                <w:b/>
                <w:bCs/>
                <w:sz w:val="20"/>
                <w:szCs w:val="20"/>
                <w:lang w:val="en-US"/>
              </w:rPr>
              <w:t>overnment</w:t>
            </w:r>
          </w:p>
        </w:tc>
      </w:tr>
      <w:tr w:rsidR="0081597A" w:rsidRPr="008A6E7B" w14:paraId="5FF27A77" w14:textId="77777777" w:rsidTr="005163E6">
        <w:tc>
          <w:tcPr>
            <w:tcW w:w="1913" w:type="dxa"/>
            <w:vMerge/>
          </w:tcPr>
          <w:p w14:paraId="47E239F7" w14:textId="77777777" w:rsidR="0081597A" w:rsidRPr="00124DA6" w:rsidRDefault="0081597A" w:rsidP="005163E6">
            <w:pPr>
              <w:pStyle w:val="NoSpacing"/>
              <w:rPr>
                <w:rFonts w:cstheme="minorHAnsi"/>
                <w:sz w:val="20"/>
                <w:szCs w:val="20"/>
                <w:lang w:val="en-US"/>
              </w:rPr>
            </w:pPr>
          </w:p>
        </w:tc>
        <w:tc>
          <w:tcPr>
            <w:tcW w:w="7437" w:type="dxa"/>
          </w:tcPr>
          <w:p w14:paraId="4CD69A83"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 xml:space="preserve">Involve the </w:t>
            </w:r>
            <w:r w:rsidR="00B5073F" w:rsidRPr="00124DA6">
              <w:rPr>
                <w:rFonts w:cstheme="minorHAnsi"/>
                <w:sz w:val="20"/>
                <w:szCs w:val="20"/>
                <w:lang w:val="en-US"/>
              </w:rPr>
              <w:t>g</w:t>
            </w:r>
            <w:r w:rsidRPr="00124DA6">
              <w:rPr>
                <w:rFonts w:cstheme="minorHAnsi"/>
                <w:sz w:val="20"/>
                <w:szCs w:val="20"/>
                <w:lang w:val="en-US"/>
              </w:rPr>
              <w:t>overnment in the process of digitizing retail payments</w:t>
            </w:r>
          </w:p>
        </w:tc>
      </w:tr>
      <w:tr w:rsidR="0081597A" w:rsidRPr="008A6E7B" w14:paraId="32EFD21B" w14:textId="77777777" w:rsidTr="005163E6">
        <w:tc>
          <w:tcPr>
            <w:tcW w:w="1913" w:type="dxa"/>
            <w:vMerge/>
          </w:tcPr>
          <w:p w14:paraId="74511021" w14:textId="77777777" w:rsidR="0081597A" w:rsidRPr="00124DA6" w:rsidRDefault="0081597A" w:rsidP="005163E6">
            <w:pPr>
              <w:pStyle w:val="NoSpacing"/>
              <w:rPr>
                <w:rFonts w:cstheme="minorHAnsi"/>
                <w:sz w:val="20"/>
                <w:szCs w:val="20"/>
                <w:lang w:val="en-US"/>
              </w:rPr>
            </w:pPr>
          </w:p>
        </w:tc>
        <w:tc>
          <w:tcPr>
            <w:tcW w:w="7437" w:type="dxa"/>
          </w:tcPr>
          <w:p w14:paraId="64E4A737"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Upgrade the management information systems of the major billers: SBEE and SONEB to enable and support transactions in real time</w:t>
            </w:r>
          </w:p>
        </w:tc>
      </w:tr>
      <w:tr w:rsidR="0081597A" w:rsidRPr="008A6E7B" w14:paraId="30F60311" w14:textId="77777777" w:rsidTr="005163E6">
        <w:tc>
          <w:tcPr>
            <w:tcW w:w="1913" w:type="dxa"/>
            <w:vMerge/>
          </w:tcPr>
          <w:p w14:paraId="355C2994" w14:textId="77777777" w:rsidR="0081597A" w:rsidRPr="00124DA6" w:rsidRDefault="0081597A" w:rsidP="005163E6">
            <w:pPr>
              <w:pStyle w:val="NoSpacing"/>
              <w:rPr>
                <w:rFonts w:cstheme="minorHAnsi"/>
                <w:sz w:val="20"/>
                <w:szCs w:val="20"/>
                <w:lang w:val="en-US"/>
              </w:rPr>
            </w:pPr>
          </w:p>
        </w:tc>
        <w:tc>
          <w:tcPr>
            <w:tcW w:w="7437" w:type="dxa"/>
          </w:tcPr>
          <w:p w14:paraId="2BB3EF74" w14:textId="4F30FD02" w:rsidR="0081597A" w:rsidRPr="00124DA6" w:rsidRDefault="0081597A" w:rsidP="005163E6">
            <w:pPr>
              <w:pStyle w:val="NoSpacing"/>
              <w:rPr>
                <w:rFonts w:cstheme="minorHAnsi"/>
                <w:sz w:val="20"/>
                <w:szCs w:val="20"/>
                <w:lang w:val="en-US"/>
              </w:rPr>
            </w:pPr>
            <w:r w:rsidRPr="00124DA6">
              <w:rPr>
                <w:rFonts w:cstheme="minorHAnsi"/>
                <w:sz w:val="20"/>
                <w:szCs w:val="20"/>
                <w:lang w:val="en-US"/>
              </w:rPr>
              <w:t>Develop for large billers open digital payment solutions accepting: cards (EPT) and mobile (mobile money, mobile applications, near</w:t>
            </w:r>
            <w:r w:rsidR="00706F23">
              <w:rPr>
                <w:rFonts w:cstheme="minorHAnsi"/>
                <w:sz w:val="20"/>
                <w:szCs w:val="20"/>
                <w:lang w:val="en-US"/>
              </w:rPr>
              <w:t>-</w:t>
            </w:r>
            <w:r w:rsidRPr="00124DA6">
              <w:rPr>
                <w:rFonts w:cstheme="minorHAnsi"/>
                <w:sz w:val="20"/>
                <w:szCs w:val="20"/>
                <w:lang w:val="en-US"/>
              </w:rPr>
              <w:t xml:space="preserve">field communication </w:t>
            </w:r>
            <w:r w:rsidR="002425E2">
              <w:rPr>
                <w:rFonts w:cstheme="minorHAnsi"/>
                <w:sz w:val="20"/>
                <w:szCs w:val="20"/>
                <w:lang w:val="en-US"/>
              </w:rPr>
              <w:t>[</w:t>
            </w:r>
            <w:r w:rsidRPr="00124DA6">
              <w:rPr>
                <w:rFonts w:cstheme="minorHAnsi"/>
                <w:sz w:val="20"/>
                <w:szCs w:val="20"/>
                <w:lang w:val="en-US"/>
              </w:rPr>
              <w:t>NFC</w:t>
            </w:r>
            <w:r w:rsidR="002425E2">
              <w:rPr>
                <w:rFonts w:cstheme="minorHAnsi"/>
                <w:sz w:val="20"/>
                <w:szCs w:val="20"/>
                <w:lang w:val="en-US"/>
              </w:rPr>
              <w:t>]</w:t>
            </w:r>
            <w:r w:rsidRPr="00124DA6">
              <w:rPr>
                <w:rFonts w:cstheme="minorHAnsi"/>
                <w:sz w:val="20"/>
                <w:szCs w:val="20"/>
                <w:lang w:val="en-US"/>
              </w:rPr>
              <w:t xml:space="preserve"> and QR code)</w:t>
            </w:r>
            <w:r w:rsidR="00706F23">
              <w:rPr>
                <w:rFonts w:cstheme="minorHAnsi"/>
                <w:sz w:val="20"/>
                <w:szCs w:val="20"/>
                <w:lang w:val="en-US"/>
              </w:rPr>
              <w:t>.</w:t>
            </w:r>
          </w:p>
        </w:tc>
      </w:tr>
      <w:tr w:rsidR="0081597A" w:rsidRPr="008A6E7B" w14:paraId="172ACE44" w14:textId="77777777" w:rsidTr="005163E6">
        <w:tc>
          <w:tcPr>
            <w:tcW w:w="1913" w:type="dxa"/>
            <w:vMerge/>
          </w:tcPr>
          <w:p w14:paraId="68E0796B" w14:textId="77777777" w:rsidR="0081597A" w:rsidRPr="00124DA6" w:rsidRDefault="0081597A" w:rsidP="005163E6">
            <w:pPr>
              <w:pStyle w:val="NoSpacing"/>
              <w:rPr>
                <w:rFonts w:cstheme="minorHAnsi"/>
                <w:sz w:val="20"/>
                <w:szCs w:val="20"/>
                <w:lang w:val="en-US"/>
              </w:rPr>
            </w:pPr>
          </w:p>
        </w:tc>
        <w:tc>
          <w:tcPr>
            <w:tcW w:w="7437" w:type="dxa"/>
          </w:tcPr>
          <w:p w14:paraId="069EDA56"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 xml:space="preserve">Upgrade the </w:t>
            </w:r>
            <w:r w:rsidR="00B5073F" w:rsidRPr="00124DA6">
              <w:rPr>
                <w:rFonts w:cstheme="minorHAnsi"/>
                <w:sz w:val="20"/>
                <w:szCs w:val="20"/>
                <w:lang w:val="en-US"/>
              </w:rPr>
              <w:t>MIS</w:t>
            </w:r>
            <w:r w:rsidRPr="00124DA6">
              <w:rPr>
                <w:rFonts w:cstheme="minorHAnsi"/>
                <w:sz w:val="20"/>
                <w:szCs w:val="20"/>
                <w:lang w:val="en-US"/>
              </w:rPr>
              <w:t xml:space="preserve"> of the public treasury and expand the computerization of all the offices of the public treasury and the </w:t>
            </w:r>
            <w:r w:rsidR="00B5073F" w:rsidRPr="00124DA6">
              <w:rPr>
                <w:rFonts w:cstheme="minorHAnsi"/>
                <w:sz w:val="20"/>
                <w:szCs w:val="20"/>
                <w:lang w:val="en-US"/>
              </w:rPr>
              <w:t>T</w:t>
            </w:r>
            <w:r w:rsidRPr="00124DA6">
              <w:rPr>
                <w:rFonts w:cstheme="minorHAnsi"/>
                <w:sz w:val="20"/>
                <w:szCs w:val="20"/>
                <w:lang w:val="en-US"/>
              </w:rPr>
              <w:t xml:space="preserve">ax </w:t>
            </w:r>
            <w:r w:rsidR="00B5073F" w:rsidRPr="00124DA6">
              <w:rPr>
                <w:rFonts w:cstheme="minorHAnsi"/>
                <w:sz w:val="20"/>
                <w:szCs w:val="20"/>
                <w:lang w:val="en-US"/>
              </w:rPr>
              <w:t>D</w:t>
            </w:r>
            <w:r w:rsidRPr="00124DA6">
              <w:rPr>
                <w:rFonts w:cstheme="minorHAnsi"/>
                <w:sz w:val="20"/>
                <w:szCs w:val="20"/>
                <w:lang w:val="en-US"/>
              </w:rPr>
              <w:t xml:space="preserve">epartment. </w:t>
            </w:r>
          </w:p>
        </w:tc>
      </w:tr>
      <w:tr w:rsidR="0081597A" w:rsidRPr="008A6E7B" w14:paraId="3A8A1633" w14:textId="77777777" w:rsidTr="005163E6">
        <w:tc>
          <w:tcPr>
            <w:tcW w:w="1913" w:type="dxa"/>
            <w:vMerge/>
          </w:tcPr>
          <w:p w14:paraId="6037C2F2" w14:textId="77777777" w:rsidR="0081597A" w:rsidRPr="00124DA6" w:rsidRDefault="0081597A" w:rsidP="005163E6">
            <w:pPr>
              <w:pStyle w:val="NoSpacing"/>
              <w:rPr>
                <w:rFonts w:cstheme="minorHAnsi"/>
                <w:sz w:val="20"/>
                <w:szCs w:val="20"/>
                <w:lang w:val="en-US"/>
              </w:rPr>
            </w:pPr>
          </w:p>
        </w:tc>
        <w:tc>
          <w:tcPr>
            <w:tcW w:w="7437" w:type="dxa"/>
          </w:tcPr>
          <w:p w14:paraId="563E9940" w14:textId="77777777" w:rsidR="0081597A" w:rsidRPr="00124DA6" w:rsidRDefault="0081597A" w:rsidP="005163E6">
            <w:pPr>
              <w:pStyle w:val="NoSpacing"/>
              <w:rPr>
                <w:rFonts w:cstheme="minorHAnsi"/>
                <w:iCs/>
                <w:color w:val="000000"/>
                <w:sz w:val="20"/>
                <w:szCs w:val="20"/>
                <w:lang w:val="en-US"/>
              </w:rPr>
            </w:pPr>
            <w:r w:rsidRPr="00124DA6">
              <w:rPr>
                <w:rFonts w:cstheme="minorHAnsi"/>
                <w:iCs/>
                <w:color w:val="000000"/>
                <w:sz w:val="20"/>
                <w:szCs w:val="20"/>
                <w:lang w:val="en-US"/>
              </w:rPr>
              <w:t>Centralize the management system of the different entities of the Public Treasury</w:t>
            </w:r>
          </w:p>
        </w:tc>
      </w:tr>
      <w:tr w:rsidR="0081597A" w:rsidRPr="008A6E7B" w14:paraId="2DADADA5" w14:textId="77777777" w:rsidTr="005163E6">
        <w:tc>
          <w:tcPr>
            <w:tcW w:w="1913" w:type="dxa"/>
            <w:vMerge w:val="restart"/>
          </w:tcPr>
          <w:p w14:paraId="5E827639" w14:textId="77777777" w:rsidR="0081597A" w:rsidRPr="00124DA6" w:rsidRDefault="0081597A" w:rsidP="005163E6">
            <w:pPr>
              <w:pStyle w:val="NoSpacing"/>
              <w:rPr>
                <w:rFonts w:cstheme="minorHAnsi"/>
                <w:b/>
                <w:bCs/>
                <w:sz w:val="20"/>
                <w:szCs w:val="20"/>
                <w:lang w:val="en-US"/>
              </w:rPr>
            </w:pPr>
            <w:r w:rsidRPr="00124DA6">
              <w:rPr>
                <w:rFonts w:cstheme="minorHAnsi"/>
                <w:b/>
                <w:bCs/>
                <w:sz w:val="20"/>
                <w:szCs w:val="20"/>
                <w:lang w:val="en-US"/>
              </w:rPr>
              <w:t>Regulations</w:t>
            </w:r>
          </w:p>
        </w:tc>
        <w:tc>
          <w:tcPr>
            <w:tcW w:w="7437" w:type="dxa"/>
          </w:tcPr>
          <w:p w14:paraId="4DFE3E6D" w14:textId="77777777" w:rsidR="0081597A" w:rsidRPr="00124DA6" w:rsidRDefault="0081597A" w:rsidP="005163E6">
            <w:pPr>
              <w:pStyle w:val="NoSpacing"/>
              <w:rPr>
                <w:rFonts w:cstheme="minorHAnsi"/>
                <w:b/>
                <w:bCs/>
                <w:sz w:val="20"/>
                <w:szCs w:val="20"/>
                <w:lang w:val="en-US"/>
              </w:rPr>
            </w:pPr>
            <w:r w:rsidRPr="00124DA6">
              <w:rPr>
                <w:rFonts w:cstheme="minorHAnsi"/>
                <w:b/>
                <w:bCs/>
                <w:sz w:val="20"/>
                <w:szCs w:val="20"/>
                <w:lang w:val="en-US"/>
              </w:rPr>
              <w:t>Promote/popularize the regulatory texts of the BCEAO</w:t>
            </w:r>
          </w:p>
        </w:tc>
      </w:tr>
      <w:tr w:rsidR="0081597A" w:rsidRPr="008A6E7B" w14:paraId="7F46694F" w14:textId="77777777" w:rsidTr="005163E6">
        <w:tc>
          <w:tcPr>
            <w:tcW w:w="1913" w:type="dxa"/>
            <w:vMerge/>
          </w:tcPr>
          <w:p w14:paraId="7AEB68CE" w14:textId="77777777" w:rsidR="0081597A" w:rsidRPr="00124DA6" w:rsidRDefault="0081597A" w:rsidP="005163E6">
            <w:pPr>
              <w:pStyle w:val="NoSpacing"/>
              <w:rPr>
                <w:rFonts w:cstheme="minorHAnsi"/>
                <w:sz w:val="20"/>
                <w:szCs w:val="20"/>
                <w:lang w:val="en-US"/>
              </w:rPr>
            </w:pPr>
          </w:p>
        </w:tc>
        <w:tc>
          <w:tcPr>
            <w:tcW w:w="7437" w:type="dxa"/>
          </w:tcPr>
          <w:p w14:paraId="3420AD2F" w14:textId="77777777" w:rsidR="0081597A" w:rsidRPr="00124DA6" w:rsidRDefault="0081597A" w:rsidP="005163E6">
            <w:pPr>
              <w:spacing w:after="0" w:line="240" w:lineRule="auto"/>
              <w:rPr>
                <w:rFonts w:cstheme="minorHAnsi"/>
                <w:sz w:val="20"/>
                <w:szCs w:val="20"/>
                <w:lang w:val="en-US"/>
              </w:rPr>
            </w:pPr>
            <w:r w:rsidRPr="00124DA6">
              <w:rPr>
                <w:rFonts w:cstheme="minorHAnsi"/>
                <w:sz w:val="20"/>
                <w:szCs w:val="20"/>
                <w:lang w:val="en-US"/>
              </w:rPr>
              <w:t xml:space="preserve">The BCEAO, in collaboration with the Professional Association of Banks and Financial Institutions (PABFI) </w:t>
            </w:r>
            <w:r w:rsidRPr="002C1473">
              <w:rPr>
                <w:rFonts w:cstheme="minorHAnsi"/>
                <w:sz w:val="20"/>
                <w:szCs w:val="20"/>
                <w:lang w:val="en-US"/>
              </w:rPr>
              <w:t>and the Professional Association of Decentralized Financial Services (PAMFI), should carry out communication and awareness campaigns for decision</w:t>
            </w:r>
            <w:r w:rsidR="00B5073F" w:rsidRPr="002C1473">
              <w:rPr>
                <w:rFonts w:cstheme="minorHAnsi"/>
                <w:sz w:val="20"/>
                <w:szCs w:val="20"/>
                <w:lang w:val="en-US"/>
              </w:rPr>
              <w:t xml:space="preserve"> </w:t>
            </w:r>
            <w:r w:rsidRPr="002C1473">
              <w:rPr>
                <w:rFonts w:cstheme="minorHAnsi"/>
                <w:sz w:val="20"/>
                <w:szCs w:val="20"/>
                <w:lang w:val="en-US"/>
              </w:rPr>
              <w:t>makers in the banking sectors</w:t>
            </w:r>
            <w:r w:rsidRPr="00124DA6">
              <w:rPr>
                <w:rFonts w:cstheme="minorHAnsi"/>
                <w:sz w:val="20"/>
                <w:szCs w:val="20"/>
                <w:lang w:val="en-US"/>
              </w:rPr>
              <w:t xml:space="preserve"> and MFIs to promote and inform stakeholders on</w:t>
            </w:r>
          </w:p>
          <w:p w14:paraId="64A0B1C6" w14:textId="77777777" w:rsidR="0081597A" w:rsidRPr="00124DA6" w:rsidRDefault="00B5073F" w:rsidP="007414AC">
            <w:pPr>
              <w:pStyle w:val="ListParagraph"/>
              <w:numPr>
                <w:ilvl w:val="0"/>
                <w:numId w:val="30"/>
              </w:numPr>
              <w:spacing w:after="0" w:line="240" w:lineRule="auto"/>
              <w:ind w:left="576" w:hanging="288"/>
              <w:contextualSpacing w:val="0"/>
              <w:rPr>
                <w:rFonts w:cstheme="minorHAnsi"/>
                <w:sz w:val="20"/>
                <w:szCs w:val="20"/>
                <w:lang w:val="en-US"/>
              </w:rPr>
            </w:pPr>
            <w:r w:rsidRPr="00124DA6">
              <w:rPr>
                <w:rFonts w:cstheme="minorHAnsi"/>
                <w:sz w:val="20"/>
                <w:szCs w:val="20"/>
                <w:lang w:val="en-US"/>
              </w:rPr>
              <w:t>t</w:t>
            </w:r>
            <w:r w:rsidR="0081597A" w:rsidRPr="00124DA6">
              <w:rPr>
                <w:rFonts w:cstheme="minorHAnsi"/>
                <w:sz w:val="20"/>
                <w:szCs w:val="20"/>
                <w:lang w:val="en-US"/>
              </w:rPr>
              <w:t>he opportunities available to them (banks and MFIs) to deploy agents;</w:t>
            </w:r>
          </w:p>
          <w:p w14:paraId="03D0E0A2" w14:textId="77777777" w:rsidR="0081597A" w:rsidRPr="00124DA6" w:rsidRDefault="0081597A" w:rsidP="007414AC">
            <w:pPr>
              <w:pStyle w:val="ListParagraph"/>
              <w:numPr>
                <w:ilvl w:val="0"/>
                <w:numId w:val="30"/>
              </w:numPr>
              <w:spacing w:after="0" w:line="240" w:lineRule="auto"/>
              <w:ind w:left="576" w:hanging="288"/>
              <w:contextualSpacing w:val="0"/>
              <w:rPr>
                <w:rFonts w:cstheme="minorHAnsi"/>
                <w:sz w:val="20"/>
                <w:szCs w:val="20"/>
                <w:lang w:val="en-US"/>
              </w:rPr>
            </w:pPr>
            <w:r w:rsidRPr="00124DA6">
              <w:rPr>
                <w:rFonts w:cstheme="minorHAnsi"/>
                <w:sz w:val="20"/>
                <w:szCs w:val="20"/>
                <w:lang w:val="en-US"/>
              </w:rPr>
              <w:t>Instruction N</w:t>
            </w:r>
            <w:r w:rsidR="00DA41D4" w:rsidRPr="00124DA6">
              <w:rPr>
                <w:rFonts w:cstheme="minorHAnsi"/>
                <w:sz w:val="20"/>
                <w:szCs w:val="20"/>
                <w:lang w:val="en-US"/>
              </w:rPr>
              <w:t>o.</w:t>
            </w:r>
            <w:r w:rsidRPr="00124DA6">
              <w:rPr>
                <w:rFonts w:cstheme="minorHAnsi"/>
                <w:sz w:val="20"/>
                <w:szCs w:val="20"/>
                <w:lang w:val="en-US"/>
              </w:rPr>
              <w:t xml:space="preserve"> 008-05-2015, governing the conditions and modalities of exercise of the activities of issuers of electronic money in the member states of the WA</w:t>
            </w:r>
            <w:r w:rsidR="00551810" w:rsidRPr="00124DA6">
              <w:rPr>
                <w:rFonts w:cstheme="minorHAnsi"/>
                <w:sz w:val="20"/>
                <w:szCs w:val="20"/>
                <w:lang w:val="en-US"/>
              </w:rPr>
              <w:t>E</w:t>
            </w:r>
            <w:r w:rsidRPr="00124DA6">
              <w:rPr>
                <w:rFonts w:cstheme="minorHAnsi"/>
                <w:sz w:val="20"/>
                <w:szCs w:val="20"/>
                <w:lang w:val="en-US"/>
              </w:rPr>
              <w:t>MU.</w:t>
            </w:r>
          </w:p>
        </w:tc>
      </w:tr>
      <w:tr w:rsidR="0081597A" w:rsidRPr="008A6E7B" w14:paraId="3FFF0789" w14:textId="77777777" w:rsidTr="005163E6">
        <w:tc>
          <w:tcPr>
            <w:tcW w:w="1913" w:type="dxa"/>
            <w:vMerge/>
          </w:tcPr>
          <w:p w14:paraId="4B430052" w14:textId="77777777" w:rsidR="0081597A" w:rsidRPr="00124DA6" w:rsidRDefault="0081597A" w:rsidP="005163E6">
            <w:pPr>
              <w:pStyle w:val="NoSpacing"/>
              <w:rPr>
                <w:rFonts w:cstheme="minorHAnsi"/>
                <w:sz w:val="20"/>
                <w:szCs w:val="20"/>
                <w:lang w:val="en-US"/>
              </w:rPr>
            </w:pPr>
          </w:p>
        </w:tc>
        <w:tc>
          <w:tcPr>
            <w:tcW w:w="7437" w:type="dxa"/>
          </w:tcPr>
          <w:p w14:paraId="6470371C"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Advocate at the government level and promote government involvement in initiatives to digitize P2G payments.</w:t>
            </w:r>
          </w:p>
        </w:tc>
      </w:tr>
      <w:tr w:rsidR="0081597A" w:rsidRPr="008A6E7B" w14:paraId="5631E814" w14:textId="77777777" w:rsidTr="005163E6">
        <w:tc>
          <w:tcPr>
            <w:tcW w:w="1913" w:type="dxa"/>
            <w:vMerge/>
          </w:tcPr>
          <w:p w14:paraId="35D0EEDB" w14:textId="77777777" w:rsidR="0081597A" w:rsidRPr="00124DA6" w:rsidRDefault="0081597A" w:rsidP="005163E6">
            <w:pPr>
              <w:pStyle w:val="NoSpacing"/>
              <w:rPr>
                <w:rFonts w:cstheme="minorHAnsi"/>
                <w:sz w:val="20"/>
                <w:szCs w:val="20"/>
                <w:lang w:val="en-US"/>
              </w:rPr>
            </w:pPr>
          </w:p>
        </w:tc>
        <w:tc>
          <w:tcPr>
            <w:tcW w:w="7437" w:type="dxa"/>
          </w:tcPr>
          <w:p w14:paraId="2B682A77"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Promote a framework for consultation between the BCEAO and the banking sector stakeholders to identify the challenges and opportunities related to the large-scale development of bank branch solutions.</w:t>
            </w:r>
          </w:p>
        </w:tc>
      </w:tr>
      <w:tr w:rsidR="0081597A" w:rsidRPr="008A6E7B" w14:paraId="078D68A0" w14:textId="77777777" w:rsidTr="005163E6">
        <w:tc>
          <w:tcPr>
            <w:tcW w:w="1913" w:type="dxa"/>
            <w:vMerge/>
          </w:tcPr>
          <w:p w14:paraId="53A120BB" w14:textId="77777777" w:rsidR="0081597A" w:rsidRPr="00124DA6" w:rsidRDefault="0081597A" w:rsidP="005163E6">
            <w:pPr>
              <w:pStyle w:val="NoSpacing"/>
              <w:rPr>
                <w:rFonts w:cstheme="minorHAnsi"/>
                <w:sz w:val="20"/>
                <w:szCs w:val="20"/>
                <w:lang w:val="en-US"/>
              </w:rPr>
            </w:pPr>
          </w:p>
        </w:tc>
        <w:tc>
          <w:tcPr>
            <w:tcW w:w="7437" w:type="dxa"/>
          </w:tcPr>
          <w:p w14:paraId="67717B20" w14:textId="77777777" w:rsidR="0081597A" w:rsidRPr="00124DA6" w:rsidRDefault="0081597A" w:rsidP="005163E6">
            <w:pPr>
              <w:pStyle w:val="NoSpacing"/>
              <w:rPr>
                <w:rFonts w:cstheme="minorHAnsi"/>
                <w:sz w:val="20"/>
                <w:szCs w:val="20"/>
                <w:lang w:val="en-US"/>
              </w:rPr>
            </w:pPr>
            <w:r w:rsidRPr="00124DA6">
              <w:rPr>
                <w:rFonts w:cstheme="minorHAnsi"/>
                <w:sz w:val="20"/>
                <w:szCs w:val="20"/>
                <w:lang w:val="en-US"/>
              </w:rPr>
              <w:t>Implement tax incentive measures to promote the widespread deployment of electronic payment cards and terminals (</w:t>
            </w:r>
            <w:r w:rsidR="00205722" w:rsidRPr="00124DA6">
              <w:rPr>
                <w:rFonts w:cstheme="minorHAnsi"/>
                <w:sz w:val="20"/>
                <w:szCs w:val="20"/>
                <w:lang w:val="en-US"/>
              </w:rPr>
              <w:t>point of sale [</w:t>
            </w:r>
            <w:r w:rsidRPr="00124DA6">
              <w:rPr>
                <w:rFonts w:cstheme="minorHAnsi"/>
                <w:sz w:val="20"/>
                <w:szCs w:val="20"/>
                <w:lang w:val="en-US"/>
              </w:rPr>
              <w:t>POS</w:t>
            </w:r>
            <w:r w:rsidR="00205722" w:rsidRPr="00124DA6">
              <w:rPr>
                <w:rFonts w:cstheme="minorHAnsi"/>
                <w:sz w:val="20"/>
                <w:szCs w:val="20"/>
                <w:lang w:val="en-US"/>
              </w:rPr>
              <w:t>]</w:t>
            </w:r>
            <w:r w:rsidRPr="00124DA6">
              <w:rPr>
                <w:rFonts w:cstheme="minorHAnsi"/>
                <w:sz w:val="20"/>
                <w:szCs w:val="20"/>
                <w:lang w:val="en-US"/>
              </w:rPr>
              <w:t>). These measures could result</w:t>
            </w:r>
            <w:proofErr w:type="gramStart"/>
            <w:r w:rsidR="00551810" w:rsidRPr="00124DA6">
              <w:rPr>
                <w:rFonts w:cstheme="minorHAnsi"/>
                <w:sz w:val="20"/>
                <w:szCs w:val="20"/>
                <w:lang w:val="en-US"/>
              </w:rPr>
              <w:t>,</w:t>
            </w:r>
            <w:r w:rsidRPr="00124DA6">
              <w:rPr>
                <w:rFonts w:cstheme="minorHAnsi"/>
                <w:sz w:val="20"/>
                <w:szCs w:val="20"/>
                <w:lang w:val="en-US"/>
              </w:rPr>
              <w:t xml:space="preserve"> in particular, in</w:t>
            </w:r>
            <w:proofErr w:type="gramEnd"/>
            <w:r w:rsidRPr="00124DA6">
              <w:rPr>
                <w:rFonts w:cstheme="minorHAnsi"/>
                <w:sz w:val="20"/>
                <w:szCs w:val="20"/>
                <w:lang w:val="en-US"/>
              </w:rPr>
              <w:t xml:space="preserve"> an exemption of all or part of the customs taxes, during a certain period (the time to develop the market), to reduce the costs of acquisition of equipment and to equip the population sufficiently with cards and EPTs at affordable prices.</w:t>
            </w:r>
          </w:p>
        </w:tc>
      </w:tr>
      <w:tr w:rsidR="0081597A" w:rsidRPr="008A6E7B" w14:paraId="0F322079" w14:textId="77777777" w:rsidTr="005163E6">
        <w:tc>
          <w:tcPr>
            <w:tcW w:w="1913" w:type="dxa"/>
            <w:vMerge w:val="restart"/>
          </w:tcPr>
          <w:p w14:paraId="56F3681D" w14:textId="77777777" w:rsidR="0081597A" w:rsidRPr="00124DA6" w:rsidRDefault="0081597A" w:rsidP="005163E6">
            <w:pPr>
              <w:pStyle w:val="NoSpacing"/>
              <w:rPr>
                <w:rFonts w:cstheme="minorHAnsi"/>
                <w:sz w:val="20"/>
                <w:szCs w:val="20"/>
                <w:lang w:val="en-US"/>
              </w:rPr>
            </w:pPr>
            <w:r w:rsidRPr="00124DA6">
              <w:rPr>
                <w:rFonts w:cstheme="minorHAnsi"/>
                <w:b/>
                <w:sz w:val="20"/>
                <w:szCs w:val="20"/>
                <w:lang w:val="en-US"/>
              </w:rPr>
              <w:t>Development of the ecosystem</w:t>
            </w:r>
          </w:p>
        </w:tc>
        <w:tc>
          <w:tcPr>
            <w:tcW w:w="7437" w:type="dxa"/>
          </w:tcPr>
          <w:p w14:paraId="52EDFDE5" w14:textId="77777777" w:rsidR="0081597A" w:rsidRPr="00124DA6" w:rsidRDefault="0081597A" w:rsidP="005163E6">
            <w:pPr>
              <w:pStyle w:val="NoSpacing"/>
              <w:rPr>
                <w:rFonts w:cstheme="minorHAnsi"/>
                <w:b/>
                <w:bCs/>
                <w:iCs/>
                <w:color w:val="000000"/>
                <w:sz w:val="20"/>
                <w:szCs w:val="20"/>
                <w:lang w:val="en-US"/>
              </w:rPr>
            </w:pPr>
            <w:r w:rsidRPr="00124DA6">
              <w:rPr>
                <w:rFonts w:cstheme="minorHAnsi"/>
                <w:b/>
                <w:bCs/>
                <w:iCs/>
                <w:color w:val="000000"/>
                <w:sz w:val="20"/>
                <w:szCs w:val="20"/>
                <w:lang w:val="en-US"/>
              </w:rPr>
              <w:t>Create/</w:t>
            </w:r>
            <w:r w:rsidR="00551810" w:rsidRPr="00124DA6">
              <w:rPr>
                <w:rFonts w:cstheme="minorHAnsi"/>
                <w:b/>
                <w:bCs/>
                <w:iCs/>
                <w:color w:val="000000"/>
                <w:sz w:val="20"/>
                <w:szCs w:val="20"/>
                <w:lang w:val="en-US"/>
              </w:rPr>
              <w:t>p</w:t>
            </w:r>
            <w:r w:rsidRPr="00124DA6">
              <w:rPr>
                <w:rFonts w:cstheme="minorHAnsi"/>
                <w:b/>
                <w:bCs/>
                <w:iCs/>
                <w:color w:val="000000"/>
                <w:sz w:val="20"/>
                <w:szCs w:val="20"/>
                <w:lang w:val="en-US"/>
              </w:rPr>
              <w:t>articipate in working groups on the development of digital finance</w:t>
            </w:r>
          </w:p>
        </w:tc>
      </w:tr>
      <w:tr w:rsidR="0081597A" w:rsidRPr="008A6E7B" w14:paraId="47E1E16A" w14:textId="77777777" w:rsidTr="005163E6">
        <w:tc>
          <w:tcPr>
            <w:tcW w:w="1913" w:type="dxa"/>
            <w:vMerge/>
          </w:tcPr>
          <w:p w14:paraId="1114731D" w14:textId="77777777" w:rsidR="0081597A" w:rsidRPr="00124DA6" w:rsidRDefault="0081597A" w:rsidP="005163E6">
            <w:pPr>
              <w:pStyle w:val="NoSpacing"/>
              <w:rPr>
                <w:rFonts w:cstheme="minorHAnsi"/>
                <w:sz w:val="20"/>
                <w:szCs w:val="20"/>
                <w:lang w:val="en-US"/>
              </w:rPr>
            </w:pPr>
          </w:p>
        </w:tc>
        <w:tc>
          <w:tcPr>
            <w:tcW w:w="7437" w:type="dxa"/>
          </w:tcPr>
          <w:p w14:paraId="5890D901" w14:textId="25671018" w:rsidR="0081597A" w:rsidRPr="00124DA6" w:rsidRDefault="0081597A" w:rsidP="0081597A">
            <w:pPr>
              <w:pStyle w:val="NoSpacing"/>
              <w:keepNext/>
              <w:rPr>
                <w:rFonts w:cstheme="minorHAnsi"/>
                <w:sz w:val="20"/>
                <w:szCs w:val="20"/>
                <w:lang w:val="en-US"/>
              </w:rPr>
            </w:pPr>
            <w:r w:rsidRPr="00124DA6">
              <w:rPr>
                <w:rFonts w:cstheme="minorHAnsi"/>
                <w:sz w:val="20"/>
                <w:szCs w:val="20"/>
                <w:lang w:val="en-US"/>
              </w:rPr>
              <w:t xml:space="preserve">Collaborate with the TFPs operating in Benin in the context of the development of the digitalization of payments, </w:t>
            </w:r>
            <w:proofErr w:type="gramStart"/>
            <w:r w:rsidRPr="00124DA6">
              <w:rPr>
                <w:rFonts w:cstheme="minorHAnsi"/>
                <w:sz w:val="20"/>
                <w:szCs w:val="20"/>
                <w:lang w:val="en-US"/>
              </w:rPr>
              <w:t>in particular the</w:t>
            </w:r>
            <w:proofErr w:type="gramEnd"/>
            <w:r w:rsidRPr="00124DA6">
              <w:rPr>
                <w:rFonts w:cstheme="minorHAnsi"/>
                <w:sz w:val="20"/>
                <w:szCs w:val="20"/>
                <w:lang w:val="en-US"/>
              </w:rPr>
              <w:t xml:space="preserve"> UNCDF</w:t>
            </w:r>
            <w:r w:rsidR="00C702B4">
              <w:rPr>
                <w:rFonts w:cstheme="minorHAnsi"/>
                <w:sz w:val="20"/>
                <w:szCs w:val="20"/>
                <w:lang w:val="en-US"/>
              </w:rPr>
              <w:t> </w:t>
            </w:r>
            <w:r w:rsidRPr="00124DA6">
              <w:rPr>
                <w:rFonts w:cstheme="minorHAnsi"/>
                <w:sz w:val="20"/>
                <w:szCs w:val="20"/>
                <w:lang w:val="en-US"/>
              </w:rPr>
              <w:t>MM4P program</w:t>
            </w:r>
          </w:p>
        </w:tc>
      </w:tr>
    </w:tbl>
    <w:p w14:paraId="3F91887C" w14:textId="77777777" w:rsidR="00102FE0" w:rsidRPr="00124DA6" w:rsidRDefault="00102FE0" w:rsidP="00102FE0">
      <w:pPr>
        <w:pStyle w:val="NoSpacing"/>
        <w:jc w:val="both"/>
        <w:rPr>
          <w:sz w:val="16"/>
          <w:szCs w:val="16"/>
          <w:lang w:val="en-US"/>
        </w:rPr>
      </w:pPr>
    </w:p>
    <w:p w14:paraId="4D2DC2E1" w14:textId="77777777" w:rsidR="00102FE0" w:rsidRPr="009E38DA" w:rsidRDefault="00102FE0" w:rsidP="005163E6">
      <w:pPr>
        <w:pStyle w:val="Heading2"/>
        <w:rPr>
          <w:b/>
          <w:lang w:val="en-US"/>
        </w:rPr>
      </w:pPr>
      <w:bookmarkStart w:id="28" w:name="_Toc3975134"/>
      <w:r w:rsidRPr="009E38DA">
        <w:rPr>
          <w:b/>
          <w:lang w:val="en-US"/>
        </w:rPr>
        <w:t>3.1 Context of the Study</w:t>
      </w:r>
      <w:bookmarkEnd w:id="28"/>
    </w:p>
    <w:p w14:paraId="6F9A16AA" w14:textId="3C4257B2" w:rsidR="00102FE0" w:rsidRPr="00124DA6" w:rsidRDefault="00102FE0" w:rsidP="009E38DA">
      <w:pPr>
        <w:pStyle w:val="ListParagraph"/>
        <w:numPr>
          <w:ilvl w:val="0"/>
          <w:numId w:val="47"/>
        </w:numPr>
        <w:spacing w:after="240" w:line="240" w:lineRule="auto"/>
        <w:ind w:left="0" w:firstLine="0"/>
        <w:contextualSpacing w:val="0"/>
        <w:jc w:val="both"/>
        <w:rPr>
          <w:lang w:val="en-US"/>
        </w:rPr>
      </w:pPr>
      <w:r w:rsidRPr="00124DA6">
        <w:rPr>
          <w:b/>
          <w:lang w:val="en-US"/>
        </w:rPr>
        <w:t>The Central Bank of West African States (</w:t>
      </w:r>
      <w:r w:rsidR="00F3737B" w:rsidRPr="00124DA6">
        <w:rPr>
          <w:b/>
          <w:lang w:val="en-US"/>
        </w:rPr>
        <w:t>BCEAO</w:t>
      </w:r>
      <w:r w:rsidRPr="00124DA6">
        <w:rPr>
          <w:b/>
          <w:lang w:val="en-US"/>
        </w:rPr>
        <w:t xml:space="preserve">) is facing the obligation to maintain permanently, in circulation, monetary signs of </w:t>
      </w:r>
      <w:proofErr w:type="gramStart"/>
      <w:r w:rsidRPr="00124DA6">
        <w:rPr>
          <w:b/>
          <w:lang w:val="en-US"/>
        </w:rPr>
        <w:t>sufficient</w:t>
      </w:r>
      <w:proofErr w:type="gramEnd"/>
      <w:r w:rsidRPr="00124DA6">
        <w:rPr>
          <w:b/>
          <w:lang w:val="en-US"/>
        </w:rPr>
        <w:t xml:space="preserve"> quantity and quality</w:t>
      </w:r>
      <w:r w:rsidRPr="00124DA6">
        <w:rPr>
          <w:lang w:val="en-US"/>
        </w:rPr>
        <w:t>, in a context marked by a steady increase in the demand of economic agents, an increase in the cost of supplying banknotes and coins and the development of counterfeiting techniques. Indeed, the demand for monetary signs has increased in both volume and value. It also tends to spread over more and more areas in connection with the extension of the banking network in all countries. Fiduciary circulation has been growing steadily, rising (in the WAMU zone) to 5,863.0</w:t>
      </w:r>
      <w:r w:rsidR="00C702B4">
        <w:rPr>
          <w:lang w:val="en-US"/>
        </w:rPr>
        <w:t> </w:t>
      </w:r>
      <w:r w:rsidRPr="00124DA6">
        <w:rPr>
          <w:lang w:val="en-US"/>
        </w:rPr>
        <w:t>billion as of December 31, 2015, compared to 3,933.1</w:t>
      </w:r>
      <w:r w:rsidR="00C702B4">
        <w:rPr>
          <w:lang w:val="en-US"/>
        </w:rPr>
        <w:t> </w:t>
      </w:r>
      <w:r w:rsidRPr="00124DA6">
        <w:rPr>
          <w:lang w:val="en-US"/>
        </w:rPr>
        <w:t>billion as of December 31, 2010, an increase of 49%</w:t>
      </w:r>
      <w:r w:rsidR="00141BD7">
        <w:rPr>
          <w:lang w:val="en-US"/>
        </w:rPr>
        <w:t>”</w:t>
      </w:r>
      <w:r w:rsidR="002425E2">
        <w:rPr>
          <w:lang w:val="en-US"/>
        </w:rPr>
        <w:t xml:space="preserve"> </w:t>
      </w:r>
      <w:r w:rsidRPr="00124DA6">
        <w:rPr>
          <w:lang w:val="en-US"/>
        </w:rPr>
        <w:t>(</w:t>
      </w:r>
      <w:r w:rsidR="00F3737B" w:rsidRPr="00124DA6">
        <w:rPr>
          <w:lang w:val="en-US"/>
        </w:rPr>
        <w:t>BCEAO</w:t>
      </w:r>
      <w:r w:rsidR="00C702B4">
        <w:rPr>
          <w:lang w:val="en-US"/>
        </w:rPr>
        <w:t> </w:t>
      </w:r>
      <w:r w:rsidR="00505B52" w:rsidRPr="00124DA6">
        <w:rPr>
          <w:lang w:val="en-US"/>
        </w:rPr>
        <w:t>2016</w:t>
      </w:r>
      <w:r w:rsidRPr="00124DA6">
        <w:rPr>
          <w:lang w:val="en-US"/>
        </w:rPr>
        <w:t>).</w:t>
      </w:r>
    </w:p>
    <w:p w14:paraId="05646B4D" w14:textId="3F6FBF87" w:rsidR="00102FE0" w:rsidRPr="00124DA6" w:rsidRDefault="00102FE0" w:rsidP="009E38DA">
      <w:pPr>
        <w:pStyle w:val="ListParagraph"/>
        <w:numPr>
          <w:ilvl w:val="0"/>
          <w:numId w:val="47"/>
        </w:numPr>
        <w:spacing w:after="240" w:line="240" w:lineRule="auto"/>
        <w:ind w:left="0" w:firstLine="0"/>
        <w:contextualSpacing w:val="0"/>
        <w:jc w:val="both"/>
        <w:rPr>
          <w:lang w:val="en-US"/>
        </w:rPr>
      </w:pPr>
      <w:r w:rsidRPr="00124DA6">
        <w:rPr>
          <w:b/>
          <w:lang w:val="en-US"/>
        </w:rPr>
        <w:t xml:space="preserve">Cash is the </w:t>
      </w:r>
      <w:r w:rsidR="00394251">
        <w:rPr>
          <w:b/>
          <w:lang w:val="en-US"/>
        </w:rPr>
        <w:t>preferred</w:t>
      </w:r>
      <w:r w:rsidR="00394251" w:rsidRPr="00124DA6">
        <w:rPr>
          <w:b/>
          <w:lang w:val="en-US"/>
        </w:rPr>
        <w:t xml:space="preserve"> </w:t>
      </w:r>
      <w:r w:rsidRPr="00124DA6">
        <w:rPr>
          <w:b/>
          <w:lang w:val="en-US"/>
        </w:rPr>
        <w:t xml:space="preserve">means of payment </w:t>
      </w:r>
      <w:r w:rsidR="00394251">
        <w:rPr>
          <w:b/>
          <w:lang w:val="en-US"/>
        </w:rPr>
        <w:t>for</w:t>
      </w:r>
      <w:r w:rsidR="00394251" w:rsidRPr="00124DA6">
        <w:rPr>
          <w:b/>
          <w:lang w:val="en-US"/>
        </w:rPr>
        <w:t xml:space="preserve"> </w:t>
      </w:r>
      <w:r w:rsidRPr="00124DA6">
        <w:rPr>
          <w:b/>
          <w:lang w:val="en-US"/>
        </w:rPr>
        <w:t>trade between econo</w:t>
      </w:r>
      <w:r w:rsidR="00686492" w:rsidRPr="00124DA6">
        <w:rPr>
          <w:b/>
          <w:lang w:val="en-US"/>
        </w:rPr>
        <w:t>mic actors in Benin.</w:t>
      </w:r>
      <w:r w:rsidR="00686492" w:rsidRPr="00124DA6">
        <w:rPr>
          <w:lang w:val="en-US"/>
        </w:rPr>
        <w:t xml:space="preserve"> T</w:t>
      </w:r>
      <w:r w:rsidRPr="00124DA6">
        <w:rPr>
          <w:lang w:val="en-US"/>
        </w:rPr>
        <w:t xml:space="preserve">he volume of banknotes and coins in circulation grew strongly from </w:t>
      </w:r>
      <w:r w:rsidR="00361D49" w:rsidRPr="00124DA6">
        <w:rPr>
          <w:lang w:val="en-US"/>
        </w:rPr>
        <w:t>CFAF</w:t>
      </w:r>
      <w:r w:rsidR="00C702B4">
        <w:rPr>
          <w:lang w:val="en-US"/>
        </w:rPr>
        <w:t> </w:t>
      </w:r>
      <w:r w:rsidRPr="00124DA6">
        <w:rPr>
          <w:lang w:val="en-US"/>
        </w:rPr>
        <w:t>365.08</w:t>
      </w:r>
      <w:r w:rsidR="00C702B4">
        <w:rPr>
          <w:lang w:val="en-US"/>
        </w:rPr>
        <w:t> </w:t>
      </w:r>
      <w:r w:rsidRPr="00124DA6">
        <w:rPr>
          <w:lang w:val="en-US"/>
        </w:rPr>
        <w:t xml:space="preserve">billion in 2010 to </w:t>
      </w:r>
      <w:r w:rsidR="00361D49" w:rsidRPr="00124DA6">
        <w:rPr>
          <w:lang w:val="en-US"/>
        </w:rPr>
        <w:t>CFAF</w:t>
      </w:r>
      <w:r w:rsidR="00C702B4">
        <w:rPr>
          <w:lang w:val="en-US"/>
        </w:rPr>
        <w:t> </w:t>
      </w:r>
      <w:r w:rsidRPr="00124DA6">
        <w:rPr>
          <w:lang w:val="en-US"/>
        </w:rPr>
        <w:t>580.9</w:t>
      </w:r>
      <w:r w:rsidR="00C702B4">
        <w:rPr>
          <w:lang w:val="en-US"/>
        </w:rPr>
        <w:t> </w:t>
      </w:r>
      <w:r w:rsidRPr="00124DA6">
        <w:rPr>
          <w:lang w:val="en-US"/>
        </w:rPr>
        <w:t>billion</w:t>
      </w:r>
      <w:r w:rsidR="009B7B95" w:rsidRPr="00124DA6">
        <w:rPr>
          <w:lang w:val="en-US"/>
        </w:rPr>
        <w:t xml:space="preserve"> in 2016. </w:t>
      </w:r>
      <w:r w:rsidR="00686492" w:rsidRPr="00124DA6">
        <w:rPr>
          <w:lang w:val="en-US"/>
        </w:rPr>
        <w:t>S</w:t>
      </w:r>
      <w:r w:rsidRPr="00124DA6">
        <w:rPr>
          <w:lang w:val="en-US"/>
        </w:rPr>
        <w:t>trong hold of cash in the economy</w:t>
      </w:r>
      <w:r w:rsidR="00686492" w:rsidRPr="00124DA6">
        <w:rPr>
          <w:lang w:val="en-US"/>
        </w:rPr>
        <w:t xml:space="preserve"> is mainly due to the following factors</w:t>
      </w:r>
      <w:r w:rsidRPr="00124DA6">
        <w:rPr>
          <w:lang w:val="en-US"/>
        </w:rPr>
        <w:t>:</w:t>
      </w:r>
    </w:p>
    <w:p w14:paraId="7875200B" w14:textId="738AC5E2" w:rsidR="00102FE0" w:rsidRPr="00124DA6" w:rsidRDefault="00361D49" w:rsidP="007414AC">
      <w:pPr>
        <w:pStyle w:val="NoSpacing"/>
        <w:numPr>
          <w:ilvl w:val="0"/>
          <w:numId w:val="27"/>
        </w:numPr>
        <w:spacing w:after="240"/>
        <w:ind w:left="1195" w:hanging="475"/>
        <w:jc w:val="both"/>
        <w:rPr>
          <w:lang w:val="en-US"/>
        </w:rPr>
      </w:pPr>
      <w:r w:rsidRPr="00124DA6">
        <w:rPr>
          <w:lang w:val="en-US"/>
        </w:rPr>
        <w:t>P</w:t>
      </w:r>
      <w:r w:rsidR="00102FE0" w:rsidRPr="00124DA6">
        <w:rPr>
          <w:lang w:val="en-US"/>
        </w:rPr>
        <w:t xml:space="preserve">redominance of the informal sector in the economic fabric. According to </w:t>
      </w:r>
      <w:r w:rsidR="00394251">
        <w:rPr>
          <w:lang w:val="en-US"/>
        </w:rPr>
        <w:t xml:space="preserve">IMF </w:t>
      </w:r>
      <w:r w:rsidR="00102FE0" w:rsidRPr="00124DA6">
        <w:rPr>
          <w:lang w:val="en-US"/>
        </w:rPr>
        <w:t>estimates, the informal sector would represent between 2010 and 2014 on average between 40</w:t>
      </w:r>
      <w:r w:rsidRPr="00124DA6">
        <w:rPr>
          <w:lang w:val="en-US"/>
        </w:rPr>
        <w:t xml:space="preserve"> percent</w:t>
      </w:r>
      <w:r w:rsidR="00102FE0" w:rsidRPr="00124DA6">
        <w:rPr>
          <w:lang w:val="en-US"/>
        </w:rPr>
        <w:t xml:space="preserve"> and 50</w:t>
      </w:r>
      <w:r w:rsidRPr="00124DA6">
        <w:rPr>
          <w:lang w:val="en-US"/>
        </w:rPr>
        <w:t xml:space="preserve"> percent</w:t>
      </w:r>
      <w:r w:rsidR="00102FE0" w:rsidRPr="00124DA6">
        <w:rPr>
          <w:lang w:val="en-US"/>
        </w:rPr>
        <w:t xml:space="preserve"> of Benin</w:t>
      </w:r>
      <w:r w:rsidR="00141BD7">
        <w:rPr>
          <w:lang w:val="en-US"/>
        </w:rPr>
        <w:t>’</w:t>
      </w:r>
      <w:r w:rsidR="00102FE0" w:rsidRPr="00124DA6">
        <w:rPr>
          <w:lang w:val="en-US"/>
        </w:rPr>
        <w:t xml:space="preserve">s GDP (see </w:t>
      </w:r>
      <w:r w:rsidRPr="00124DA6">
        <w:rPr>
          <w:lang w:val="en-US"/>
        </w:rPr>
        <w:fldChar w:fldCharType="begin"/>
      </w:r>
      <w:r w:rsidRPr="00124DA6">
        <w:rPr>
          <w:lang w:val="en-US"/>
        </w:rPr>
        <w:instrText xml:space="preserve"> REF _Ref520369477 \h  \* MERGEFORMAT </w:instrText>
      </w:r>
      <w:r w:rsidRPr="00124DA6">
        <w:rPr>
          <w:lang w:val="en-US"/>
        </w:rPr>
      </w:r>
      <w:r w:rsidRPr="00124DA6">
        <w:rPr>
          <w:lang w:val="en-US"/>
        </w:rPr>
        <w:fldChar w:fldCharType="separate"/>
      </w:r>
      <w:r w:rsidR="004C6E5F" w:rsidRPr="004C6E5F">
        <w:rPr>
          <w:lang w:val="en-US"/>
        </w:rPr>
        <w:t>Figure 3.2</w:t>
      </w:r>
      <w:r w:rsidRPr="00124DA6">
        <w:rPr>
          <w:lang w:val="en-US"/>
        </w:rPr>
        <w:fldChar w:fldCharType="end"/>
      </w:r>
      <w:r w:rsidR="00102FE0" w:rsidRPr="00124DA6">
        <w:rPr>
          <w:lang w:val="en-US"/>
        </w:rPr>
        <w:t>). According to the World Bank</w:t>
      </w:r>
      <w:r w:rsidR="00141BD7">
        <w:rPr>
          <w:lang w:val="en-US"/>
        </w:rPr>
        <w:t>’</w:t>
      </w:r>
      <w:r w:rsidR="00102FE0" w:rsidRPr="00124DA6">
        <w:rPr>
          <w:lang w:val="en-US"/>
        </w:rPr>
        <w:t xml:space="preserve">s </w:t>
      </w:r>
      <w:r w:rsidR="00686492" w:rsidRPr="00124DA6">
        <w:rPr>
          <w:lang w:val="en-US"/>
        </w:rPr>
        <w:t>estimates</w:t>
      </w:r>
      <w:r w:rsidR="00102FE0" w:rsidRPr="00124DA6">
        <w:rPr>
          <w:lang w:val="en-US"/>
        </w:rPr>
        <w:t>, the informal sector would employ more than 90</w:t>
      </w:r>
      <w:r w:rsidRPr="00124DA6">
        <w:rPr>
          <w:lang w:val="en-US"/>
        </w:rPr>
        <w:t xml:space="preserve"> percent</w:t>
      </w:r>
      <w:r w:rsidR="00102FE0" w:rsidRPr="00124DA6">
        <w:rPr>
          <w:lang w:val="en-US"/>
        </w:rPr>
        <w:t xml:space="preserve"> of the labor force;</w:t>
      </w:r>
    </w:p>
    <w:p w14:paraId="405B333E" w14:textId="2DD676A6" w:rsidR="00102FE0" w:rsidRPr="00124DA6" w:rsidRDefault="00361D49" w:rsidP="00102FE0">
      <w:pPr>
        <w:pStyle w:val="NoSpacing"/>
        <w:numPr>
          <w:ilvl w:val="0"/>
          <w:numId w:val="27"/>
        </w:numPr>
        <w:spacing w:after="240"/>
        <w:ind w:left="1195" w:hanging="475"/>
        <w:jc w:val="both"/>
        <w:rPr>
          <w:lang w:val="en-US"/>
        </w:rPr>
      </w:pPr>
      <w:r w:rsidRPr="00124DA6">
        <w:rPr>
          <w:lang w:val="en-US"/>
        </w:rPr>
        <w:t>H</w:t>
      </w:r>
      <w:r w:rsidR="00686492" w:rsidRPr="00124DA6">
        <w:rPr>
          <w:lang w:val="en-US"/>
        </w:rPr>
        <w:t xml:space="preserve">igh dependence of </w:t>
      </w:r>
      <w:r w:rsidR="00102FE0" w:rsidRPr="00124DA6">
        <w:rPr>
          <w:lang w:val="en-US"/>
        </w:rPr>
        <w:t>Benin</w:t>
      </w:r>
      <w:r w:rsidR="00141BD7">
        <w:rPr>
          <w:lang w:val="en-US"/>
        </w:rPr>
        <w:t>’</w:t>
      </w:r>
      <w:r w:rsidR="00102FE0" w:rsidRPr="00124DA6">
        <w:rPr>
          <w:lang w:val="en-US"/>
        </w:rPr>
        <w:t>s economy on informal trade in reexport and transit to Nigeria (which accounts for about 20</w:t>
      </w:r>
      <w:r w:rsidRPr="00124DA6">
        <w:rPr>
          <w:lang w:val="en-US"/>
        </w:rPr>
        <w:t xml:space="preserve"> percent</w:t>
      </w:r>
      <w:r w:rsidR="00102FE0" w:rsidRPr="00124DA6">
        <w:rPr>
          <w:lang w:val="en-US"/>
        </w:rPr>
        <w:t xml:space="preserve"> of the GDP) and </w:t>
      </w:r>
      <w:r w:rsidR="00AD6F09" w:rsidRPr="00124DA6">
        <w:rPr>
          <w:lang w:val="en-US"/>
        </w:rPr>
        <w:t xml:space="preserve">on </w:t>
      </w:r>
      <w:r w:rsidR="00102FE0" w:rsidRPr="00124DA6">
        <w:rPr>
          <w:lang w:val="en-US"/>
        </w:rPr>
        <w:t>agricultural production</w:t>
      </w:r>
      <w:r w:rsidR="00AD6F09" w:rsidRPr="00124DA6">
        <w:rPr>
          <w:lang w:val="en-US"/>
        </w:rP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5163E6" w:rsidRPr="008A6E7B" w14:paraId="23CE6B53" w14:textId="77777777" w:rsidTr="007E3A23">
        <w:trPr>
          <w:jc w:val="center"/>
        </w:trPr>
        <w:tc>
          <w:tcPr>
            <w:tcW w:w="5000" w:type="pct"/>
          </w:tcPr>
          <w:p w14:paraId="05C9A513" w14:textId="17928869" w:rsidR="005163E6" w:rsidRPr="009E38DA" w:rsidRDefault="003B0586" w:rsidP="005163E6">
            <w:pPr>
              <w:pStyle w:val="Caption"/>
              <w:keepNext/>
              <w:keepLines/>
              <w:spacing w:before="0" w:after="0"/>
              <w:rPr>
                <w:rFonts w:cstheme="minorHAnsi"/>
                <w:b/>
              </w:rPr>
            </w:pPr>
            <w:bookmarkStart w:id="29" w:name="_Ref520369477"/>
            <w:r w:rsidRPr="009E38DA">
              <w:rPr>
                <w:b/>
              </w:rPr>
              <w:t>Figure</w:t>
            </w:r>
            <w:r w:rsidR="00C702B4" w:rsidRPr="009E38DA">
              <w:rPr>
                <w:b/>
              </w:rPr>
              <w:t> </w:t>
            </w:r>
            <w:r w:rsidRPr="009E38DA">
              <w:rPr>
                <w:b/>
              </w:rPr>
              <w:t>3.</w:t>
            </w:r>
            <w:r w:rsidRPr="009E38DA">
              <w:rPr>
                <w:b/>
              </w:rPr>
              <w:fldChar w:fldCharType="begin"/>
            </w:r>
            <w:r w:rsidRPr="009E38DA">
              <w:rPr>
                <w:b/>
              </w:rPr>
              <w:instrText xml:space="preserve"> SEQ Figure_3. \* ARABIC </w:instrText>
            </w:r>
            <w:r w:rsidRPr="009E38DA">
              <w:rPr>
                <w:b/>
              </w:rPr>
              <w:fldChar w:fldCharType="separate"/>
            </w:r>
            <w:r w:rsidR="004C6E5F" w:rsidRPr="009E38DA">
              <w:rPr>
                <w:b/>
                <w:noProof/>
              </w:rPr>
              <w:t>2</w:t>
            </w:r>
            <w:r w:rsidRPr="009E38DA">
              <w:rPr>
                <w:b/>
              </w:rPr>
              <w:fldChar w:fldCharType="end"/>
            </w:r>
            <w:bookmarkEnd w:id="29"/>
            <w:r w:rsidR="005163E6" w:rsidRPr="009E38DA">
              <w:rPr>
                <w:b/>
              </w:rPr>
              <w:t>: Informal sector of Benin as a percentage of the GDP</w:t>
            </w:r>
          </w:p>
        </w:tc>
      </w:tr>
      <w:tr w:rsidR="005163E6" w:rsidRPr="00124DA6" w14:paraId="059AEB63" w14:textId="77777777" w:rsidTr="007E3A23">
        <w:trPr>
          <w:jc w:val="center"/>
        </w:trPr>
        <w:tc>
          <w:tcPr>
            <w:tcW w:w="5000" w:type="pct"/>
          </w:tcPr>
          <w:p w14:paraId="40F80314" w14:textId="77777777" w:rsidR="005163E6" w:rsidRPr="00124DA6" w:rsidRDefault="005163E6" w:rsidP="007E3A23">
            <w:pPr>
              <w:pStyle w:val="NoSpacing"/>
              <w:keepNext/>
              <w:keepLines/>
              <w:jc w:val="center"/>
              <w:rPr>
                <w:rFonts w:cstheme="minorHAnsi"/>
              </w:rPr>
            </w:pPr>
            <w:r w:rsidRPr="00124DA6">
              <w:rPr>
                <w:noProof/>
                <w:lang w:eastAsia="fr-FR"/>
              </w:rPr>
              <w:drawing>
                <wp:inline distT="0" distB="0" distL="0" distR="0" wp14:anchorId="02FB9313" wp14:editId="6E4865A9">
                  <wp:extent cx="5793638" cy="1551265"/>
                  <wp:effectExtent l="0" t="0" r="0" b="0"/>
                  <wp:docPr id="1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5267"/>
                          <a:stretch/>
                        </pic:blipFill>
                        <pic:spPr bwMode="auto">
                          <a:xfrm>
                            <a:off x="0" y="0"/>
                            <a:ext cx="5838484" cy="15632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63E6" w:rsidRPr="00124DA6" w14:paraId="278FF1F7" w14:textId="77777777" w:rsidTr="007E3A23">
        <w:trPr>
          <w:jc w:val="center"/>
        </w:trPr>
        <w:tc>
          <w:tcPr>
            <w:tcW w:w="5000" w:type="pct"/>
          </w:tcPr>
          <w:p w14:paraId="2344F5A1" w14:textId="77777777" w:rsidR="005163E6" w:rsidRPr="00A549E7" w:rsidRDefault="005163E6" w:rsidP="009E38DA">
            <w:pPr>
              <w:pStyle w:val="NoSpacing"/>
              <w:keepNext/>
              <w:keepLines/>
              <w:ind w:left="708"/>
              <w:rPr>
                <w:rFonts w:asciiTheme="majorHAnsi" w:hAnsiTheme="majorHAnsi" w:cstheme="majorHAnsi"/>
                <w:lang w:val="fr-FR"/>
              </w:rPr>
            </w:pPr>
            <w:proofErr w:type="gramStart"/>
            <w:r w:rsidRPr="00A549E7">
              <w:rPr>
                <w:rFonts w:asciiTheme="majorHAnsi" w:hAnsiTheme="majorHAnsi" w:cstheme="majorHAnsi"/>
                <w:i/>
                <w:color w:val="2E74B5" w:themeColor="accent1" w:themeShade="BF"/>
                <w:lang w:val="fr-FR"/>
              </w:rPr>
              <w:t>Source</w:t>
            </w:r>
            <w:r w:rsidRPr="00A549E7">
              <w:rPr>
                <w:rFonts w:asciiTheme="majorHAnsi" w:hAnsiTheme="majorHAnsi" w:cstheme="majorHAnsi"/>
                <w:color w:val="2E74B5" w:themeColor="accent1" w:themeShade="BF"/>
                <w:lang w:val="fr-FR"/>
              </w:rPr>
              <w:t>:</w:t>
            </w:r>
            <w:proofErr w:type="gramEnd"/>
            <w:r w:rsidRPr="00A549E7">
              <w:rPr>
                <w:rFonts w:asciiTheme="majorHAnsi" w:hAnsiTheme="majorHAnsi" w:cstheme="majorHAnsi"/>
                <w:color w:val="2E74B5" w:themeColor="accent1" w:themeShade="BF"/>
                <w:lang w:val="fr-FR"/>
              </w:rPr>
              <w:t xml:space="preserve"> calculs des services du FMI.</w:t>
            </w:r>
          </w:p>
        </w:tc>
      </w:tr>
    </w:tbl>
    <w:p w14:paraId="5842475A" w14:textId="77777777" w:rsidR="005163E6" w:rsidRPr="00A549E7" w:rsidRDefault="005163E6" w:rsidP="00102FE0">
      <w:pPr>
        <w:pStyle w:val="NoSpacing"/>
        <w:jc w:val="both"/>
        <w:rPr>
          <w:rFonts w:cstheme="minorHAnsi"/>
        </w:rPr>
      </w:pPr>
    </w:p>
    <w:p w14:paraId="01B83180" w14:textId="305782CC" w:rsidR="00102FE0" w:rsidRPr="00124DA6" w:rsidRDefault="00102FE0" w:rsidP="009E38DA">
      <w:pPr>
        <w:pStyle w:val="ListParagraph"/>
        <w:numPr>
          <w:ilvl w:val="0"/>
          <w:numId w:val="47"/>
        </w:numPr>
        <w:spacing w:after="240" w:line="240" w:lineRule="auto"/>
        <w:ind w:left="0" w:firstLine="0"/>
        <w:contextualSpacing w:val="0"/>
        <w:jc w:val="both"/>
        <w:rPr>
          <w:lang w:val="en-US"/>
        </w:rPr>
      </w:pPr>
      <w:r w:rsidRPr="00124DA6">
        <w:rPr>
          <w:b/>
          <w:lang w:val="en-US"/>
        </w:rPr>
        <w:t xml:space="preserve">In 2015, Benin was the second </w:t>
      </w:r>
      <w:r w:rsidRPr="002C1473">
        <w:rPr>
          <w:b/>
          <w:lang w:val="en-US"/>
        </w:rPr>
        <w:t xml:space="preserve">country in the WAEMU zone in terms of </w:t>
      </w:r>
      <w:r w:rsidR="00152B73">
        <w:rPr>
          <w:b/>
          <w:lang w:val="en-US"/>
        </w:rPr>
        <w:t>availability of banking services</w:t>
      </w:r>
      <w:r w:rsidR="00152B73" w:rsidRPr="002C1473">
        <w:rPr>
          <w:b/>
          <w:lang w:val="en-US"/>
        </w:rPr>
        <w:t xml:space="preserve"> </w:t>
      </w:r>
      <w:r w:rsidR="00AD6F09" w:rsidRPr="002C1473">
        <w:rPr>
          <w:b/>
          <w:lang w:val="en-US"/>
        </w:rPr>
        <w:t>(</w:t>
      </w:r>
      <w:r w:rsidRPr="002C1473">
        <w:rPr>
          <w:b/>
          <w:lang w:val="en-US"/>
        </w:rPr>
        <w:t>18.4</w:t>
      </w:r>
      <w:r w:rsidR="0054027F" w:rsidRPr="002C1473">
        <w:rPr>
          <w:b/>
          <w:lang w:val="en-US"/>
        </w:rPr>
        <w:t xml:space="preserve"> percent</w:t>
      </w:r>
      <w:r w:rsidR="00AD6F09" w:rsidRPr="002C1473">
        <w:rPr>
          <w:b/>
          <w:lang w:val="en-US"/>
        </w:rPr>
        <w:t>),</w:t>
      </w:r>
      <w:r w:rsidRPr="002C1473">
        <w:rPr>
          <w:lang w:val="en-US"/>
        </w:rPr>
        <w:t xml:space="preserve"> behind Togo </w:t>
      </w:r>
      <w:r w:rsidR="00AD6F09" w:rsidRPr="002C1473">
        <w:rPr>
          <w:lang w:val="en-US"/>
        </w:rPr>
        <w:t>(</w:t>
      </w:r>
      <w:r w:rsidRPr="002C1473">
        <w:rPr>
          <w:lang w:val="en-US"/>
        </w:rPr>
        <w:t>26.63</w:t>
      </w:r>
      <w:r w:rsidR="0054027F" w:rsidRPr="002C1473">
        <w:rPr>
          <w:lang w:val="en-US"/>
        </w:rPr>
        <w:t xml:space="preserve"> percent</w:t>
      </w:r>
      <w:r w:rsidR="00AD6F09" w:rsidRPr="002C1473">
        <w:rPr>
          <w:lang w:val="en-US"/>
        </w:rPr>
        <w:t>)</w:t>
      </w:r>
      <w:r w:rsidRPr="002C1473">
        <w:rPr>
          <w:lang w:val="en-US"/>
        </w:rPr>
        <w:t xml:space="preserve"> and ahead of </w:t>
      </w:r>
      <w:r w:rsidR="0054027F" w:rsidRPr="002C1473">
        <w:rPr>
          <w:rFonts w:cstheme="minorHAnsi"/>
          <w:color w:val="2E121F"/>
          <w:lang w:val="en-US"/>
        </w:rPr>
        <w:t>Côte d’Ivoire</w:t>
      </w:r>
      <w:r w:rsidRPr="002C1473">
        <w:rPr>
          <w:lang w:val="en-US"/>
        </w:rPr>
        <w:t xml:space="preserve"> </w:t>
      </w:r>
      <w:r w:rsidR="00AD6F09" w:rsidRPr="002C1473">
        <w:rPr>
          <w:lang w:val="en-US"/>
        </w:rPr>
        <w:t>(</w:t>
      </w:r>
      <w:r w:rsidRPr="002C1473">
        <w:rPr>
          <w:lang w:val="en-US"/>
        </w:rPr>
        <w:t>18.28</w:t>
      </w:r>
      <w:r w:rsidR="0054027F" w:rsidRPr="002C1473">
        <w:rPr>
          <w:lang w:val="en-US"/>
        </w:rPr>
        <w:t xml:space="preserve"> percent</w:t>
      </w:r>
      <w:r w:rsidR="00AD6F09" w:rsidRPr="002C1473">
        <w:rPr>
          <w:lang w:val="en-US"/>
        </w:rPr>
        <w:t>), S</w:t>
      </w:r>
      <w:r w:rsidRPr="002C1473">
        <w:rPr>
          <w:lang w:val="en-US"/>
        </w:rPr>
        <w:t xml:space="preserve">enegal </w:t>
      </w:r>
      <w:r w:rsidR="00AD6F09" w:rsidRPr="002C1473">
        <w:rPr>
          <w:lang w:val="en-US"/>
        </w:rPr>
        <w:t>(</w:t>
      </w:r>
      <w:r w:rsidRPr="002C1473">
        <w:rPr>
          <w:lang w:val="en-US"/>
        </w:rPr>
        <w:t>16.91</w:t>
      </w:r>
      <w:r w:rsidR="0054027F" w:rsidRPr="002C1473">
        <w:rPr>
          <w:lang w:val="en-US"/>
        </w:rPr>
        <w:t xml:space="preserve"> percent</w:t>
      </w:r>
      <w:r w:rsidR="00AD6F09" w:rsidRPr="002C1473">
        <w:rPr>
          <w:lang w:val="en-US"/>
        </w:rPr>
        <w:t xml:space="preserve">), </w:t>
      </w:r>
      <w:r w:rsidRPr="002C1473">
        <w:rPr>
          <w:lang w:val="en-US"/>
        </w:rPr>
        <w:t xml:space="preserve">Burkina </w:t>
      </w:r>
      <w:r w:rsidR="002C1473" w:rsidRPr="002C1473">
        <w:rPr>
          <w:lang w:val="en-US"/>
        </w:rPr>
        <w:t xml:space="preserve">Faso </w:t>
      </w:r>
      <w:r w:rsidR="00AD6F09" w:rsidRPr="002C1473">
        <w:rPr>
          <w:lang w:val="en-US"/>
        </w:rPr>
        <w:t>(</w:t>
      </w:r>
      <w:r w:rsidRPr="002C1473">
        <w:rPr>
          <w:lang w:val="en-US"/>
        </w:rPr>
        <w:t>14.05</w:t>
      </w:r>
      <w:r w:rsidR="0054027F" w:rsidRPr="002C1473">
        <w:rPr>
          <w:lang w:val="en-US"/>
        </w:rPr>
        <w:t xml:space="preserve"> percent</w:t>
      </w:r>
      <w:r w:rsidR="00AD6F09" w:rsidRPr="002C1473">
        <w:rPr>
          <w:lang w:val="en-US"/>
        </w:rPr>
        <w:t xml:space="preserve">), </w:t>
      </w:r>
      <w:r w:rsidRPr="002C1473">
        <w:rPr>
          <w:lang w:val="en-US"/>
        </w:rPr>
        <w:t xml:space="preserve">Mali </w:t>
      </w:r>
      <w:r w:rsidR="00AD6F09" w:rsidRPr="002C1473">
        <w:rPr>
          <w:lang w:val="en-US"/>
        </w:rPr>
        <w:t>(</w:t>
      </w:r>
      <w:r w:rsidRPr="002C1473">
        <w:rPr>
          <w:lang w:val="en-US"/>
        </w:rPr>
        <w:t>13.8</w:t>
      </w:r>
      <w:r w:rsidR="0054027F" w:rsidRPr="002C1473">
        <w:rPr>
          <w:lang w:val="en-US"/>
        </w:rPr>
        <w:t xml:space="preserve"> percent</w:t>
      </w:r>
      <w:r w:rsidR="00AD6F09" w:rsidRPr="002C1473">
        <w:rPr>
          <w:lang w:val="en-US"/>
        </w:rPr>
        <w:t xml:space="preserve">), </w:t>
      </w:r>
      <w:r w:rsidRPr="002C1473">
        <w:rPr>
          <w:lang w:val="en-US"/>
        </w:rPr>
        <w:t xml:space="preserve">Guinea-Bissau </w:t>
      </w:r>
      <w:r w:rsidR="00AD6F09" w:rsidRPr="002C1473">
        <w:rPr>
          <w:lang w:val="en-US"/>
        </w:rPr>
        <w:t>(</w:t>
      </w:r>
      <w:r w:rsidRPr="002C1473">
        <w:rPr>
          <w:lang w:val="en-US"/>
        </w:rPr>
        <w:t>11.29</w:t>
      </w:r>
      <w:r w:rsidR="0054027F" w:rsidRPr="002C1473">
        <w:rPr>
          <w:lang w:val="en-US"/>
        </w:rPr>
        <w:t xml:space="preserve"> percent</w:t>
      </w:r>
      <w:r w:rsidR="00AD6F09" w:rsidRPr="002C1473">
        <w:rPr>
          <w:lang w:val="en-US"/>
        </w:rPr>
        <w:t>)</w:t>
      </w:r>
      <w:r w:rsidRPr="002C1473">
        <w:rPr>
          <w:lang w:val="en-US"/>
        </w:rPr>
        <w:t xml:space="preserve"> and Niger </w:t>
      </w:r>
      <w:r w:rsidR="00AD6F09" w:rsidRPr="002C1473">
        <w:rPr>
          <w:lang w:val="en-US"/>
        </w:rPr>
        <w:t>(</w:t>
      </w:r>
      <w:r w:rsidRPr="002C1473">
        <w:rPr>
          <w:lang w:val="en-US"/>
        </w:rPr>
        <w:t>5.17</w:t>
      </w:r>
      <w:r w:rsidR="0054027F" w:rsidRPr="002C1473">
        <w:rPr>
          <w:lang w:val="en-US"/>
        </w:rPr>
        <w:t xml:space="preserve"> percent</w:t>
      </w:r>
      <w:r w:rsidRPr="002C1473">
        <w:rPr>
          <w:lang w:val="en-US"/>
        </w:rPr>
        <w:t>). At the end of 2016, the</w:t>
      </w:r>
      <w:r w:rsidRPr="00124DA6">
        <w:rPr>
          <w:lang w:val="en-US"/>
        </w:rPr>
        <w:t xml:space="preserve"> number of accounts with banks stood at 1,166,380 (</w:t>
      </w:r>
      <w:r w:rsidR="00AD6F09" w:rsidRPr="00124DA6">
        <w:rPr>
          <w:lang w:val="en-US"/>
        </w:rPr>
        <w:t>BCEAO</w:t>
      </w:r>
      <w:r w:rsidR="00C702B4">
        <w:rPr>
          <w:lang w:val="en-US"/>
        </w:rPr>
        <w:t> </w:t>
      </w:r>
      <w:r w:rsidR="00505B52" w:rsidRPr="00124DA6">
        <w:rPr>
          <w:lang w:val="en-US"/>
        </w:rPr>
        <w:t>2016</w:t>
      </w:r>
      <w:r w:rsidRPr="00124DA6">
        <w:rPr>
          <w:lang w:val="en-US"/>
        </w:rPr>
        <w:t>)</w:t>
      </w:r>
      <w:r w:rsidRPr="00124DA6">
        <w:rPr>
          <w:i/>
          <w:lang w:val="en-US"/>
        </w:rPr>
        <w:t xml:space="preserve"> </w:t>
      </w:r>
      <w:r w:rsidRPr="00124DA6">
        <w:rPr>
          <w:lang w:val="en-US"/>
        </w:rPr>
        <w:t xml:space="preserve">and the number of customers </w:t>
      </w:r>
      <w:r w:rsidR="00AD6F09" w:rsidRPr="00124DA6">
        <w:rPr>
          <w:lang w:val="en-US"/>
        </w:rPr>
        <w:t>at MFIs</w:t>
      </w:r>
      <w:r w:rsidRPr="00124DA6">
        <w:rPr>
          <w:lang w:val="en-US"/>
        </w:rPr>
        <w:t xml:space="preserve"> was estimated at 2.2</w:t>
      </w:r>
      <w:r w:rsidR="00C702B4">
        <w:rPr>
          <w:lang w:val="en-US"/>
        </w:rPr>
        <w:t> </w:t>
      </w:r>
      <w:r w:rsidRPr="00124DA6">
        <w:rPr>
          <w:lang w:val="en-US"/>
        </w:rPr>
        <w:t>million. The phenomenon of dormant accounts as well as that of people with m</w:t>
      </w:r>
      <w:r w:rsidR="00CF60EF" w:rsidRPr="00124DA6">
        <w:rPr>
          <w:lang w:val="en-US"/>
        </w:rPr>
        <w:t>ultiple accounts with banks and/</w:t>
      </w:r>
      <w:r w:rsidRPr="00124DA6">
        <w:rPr>
          <w:lang w:val="en-US"/>
        </w:rPr>
        <w:t xml:space="preserve">or </w:t>
      </w:r>
      <w:r w:rsidR="00CF60EF" w:rsidRPr="00124DA6">
        <w:rPr>
          <w:lang w:val="en-US"/>
        </w:rPr>
        <w:t>MFIs</w:t>
      </w:r>
      <w:r w:rsidRPr="00124DA6">
        <w:rPr>
          <w:lang w:val="en-US"/>
        </w:rPr>
        <w:t xml:space="preserve"> means that real use of the banking system </w:t>
      </w:r>
      <w:r w:rsidR="00CF60EF" w:rsidRPr="00124DA6">
        <w:rPr>
          <w:lang w:val="en-US"/>
        </w:rPr>
        <w:t xml:space="preserve">could be lower than </w:t>
      </w:r>
      <w:r w:rsidRPr="00124DA6">
        <w:rPr>
          <w:lang w:val="en-US"/>
        </w:rPr>
        <w:t xml:space="preserve">shown by the figures of the rate of expanded use of the </w:t>
      </w:r>
      <w:r w:rsidR="00CF60EF" w:rsidRPr="00124DA6">
        <w:rPr>
          <w:lang w:val="en-US"/>
        </w:rPr>
        <w:t>financial</w:t>
      </w:r>
      <w:r w:rsidRPr="00124DA6">
        <w:rPr>
          <w:lang w:val="en-US"/>
        </w:rPr>
        <w:t xml:space="preserve"> system (banks and </w:t>
      </w:r>
      <w:r w:rsidR="00A327AC" w:rsidRPr="00124DA6">
        <w:rPr>
          <w:lang w:val="en-US"/>
        </w:rPr>
        <w:t>MFI</w:t>
      </w:r>
      <w:r w:rsidRPr="00124DA6">
        <w:rPr>
          <w:lang w:val="en-US"/>
        </w:rPr>
        <w:t>s).</w:t>
      </w:r>
    </w:p>
    <w:p w14:paraId="124F9AE6" w14:textId="0BF0D6F3" w:rsidR="00102FE0" w:rsidRPr="00124DA6" w:rsidRDefault="00102FE0" w:rsidP="009E38DA">
      <w:pPr>
        <w:pStyle w:val="ListParagraph"/>
        <w:numPr>
          <w:ilvl w:val="0"/>
          <w:numId w:val="47"/>
        </w:numPr>
        <w:spacing w:after="240" w:line="240" w:lineRule="auto"/>
        <w:ind w:left="0" w:firstLine="0"/>
        <w:contextualSpacing w:val="0"/>
        <w:jc w:val="both"/>
        <w:rPr>
          <w:lang w:val="en-US"/>
        </w:rPr>
      </w:pPr>
      <w:r w:rsidRPr="00124DA6">
        <w:rPr>
          <w:b/>
          <w:lang w:val="en-US"/>
        </w:rPr>
        <w:t xml:space="preserve">At the same time, digital financial services </w:t>
      </w:r>
      <w:r w:rsidRPr="002C1473">
        <w:rPr>
          <w:b/>
          <w:lang w:val="en-US"/>
        </w:rPr>
        <w:t>through “mobile money</w:t>
      </w:r>
      <w:r w:rsidR="00706F23">
        <w:rPr>
          <w:b/>
          <w:lang w:val="en-US"/>
        </w:rPr>
        <w:t>”,</w:t>
      </w:r>
      <w:r w:rsidRPr="00124DA6">
        <w:rPr>
          <w:b/>
          <w:lang w:val="en-US"/>
        </w:rPr>
        <w:t xml:space="preserve"> among others, are experiencing significant growth,</w:t>
      </w:r>
      <w:r w:rsidRPr="00124DA6">
        <w:rPr>
          <w:lang w:val="en-US"/>
        </w:rPr>
        <w:t xml:space="preserve"> as the number of mobile money accounts has increased from 159</w:t>
      </w:r>
      <w:r w:rsidR="00261CC5" w:rsidRPr="00124DA6">
        <w:rPr>
          <w:lang w:val="en-US"/>
        </w:rPr>
        <w:t>,</w:t>
      </w:r>
      <w:r w:rsidRPr="00124DA6">
        <w:rPr>
          <w:lang w:val="en-US"/>
        </w:rPr>
        <w:t>154 in 2013 to</w:t>
      </w:r>
      <w:r w:rsidR="00165C4D" w:rsidRPr="00124DA6">
        <w:rPr>
          <w:lang w:val="en-US"/>
        </w:rPr>
        <w:t xml:space="preserve"> </w:t>
      </w:r>
      <w:r w:rsidRPr="00124DA6">
        <w:rPr>
          <w:lang w:val="en-US"/>
        </w:rPr>
        <w:t>4</w:t>
      </w:r>
      <w:r w:rsidR="00261CC5" w:rsidRPr="00124DA6">
        <w:rPr>
          <w:lang w:val="en-US"/>
        </w:rPr>
        <w:t>,</w:t>
      </w:r>
      <w:r w:rsidRPr="00124DA6">
        <w:rPr>
          <w:lang w:val="en-US"/>
        </w:rPr>
        <w:t>357</w:t>
      </w:r>
      <w:r w:rsidR="00261CC5" w:rsidRPr="00124DA6">
        <w:rPr>
          <w:lang w:val="en-US"/>
        </w:rPr>
        <w:t>,</w:t>
      </w:r>
      <w:r w:rsidRPr="00124DA6">
        <w:rPr>
          <w:lang w:val="en-US"/>
        </w:rPr>
        <w:t xml:space="preserve">574 in 2016. </w:t>
      </w:r>
      <w:r w:rsidR="00CF60EF" w:rsidRPr="00124DA6">
        <w:rPr>
          <w:lang w:val="en-US"/>
        </w:rPr>
        <w:t>Though</w:t>
      </w:r>
      <w:r w:rsidR="00165C4D" w:rsidRPr="00124DA6">
        <w:rPr>
          <w:lang w:val="en-US"/>
        </w:rPr>
        <w:t xml:space="preserve"> </w:t>
      </w:r>
      <w:r w:rsidRPr="00124DA6">
        <w:rPr>
          <w:lang w:val="en-US"/>
        </w:rPr>
        <w:t>at the end of 2016, the rate of activity on mobile m</w:t>
      </w:r>
      <w:r w:rsidR="00CF60EF" w:rsidRPr="00124DA6">
        <w:rPr>
          <w:lang w:val="en-US"/>
        </w:rPr>
        <w:t>oney (over a period of 90 days)</w:t>
      </w:r>
      <w:r w:rsidRPr="00124DA6">
        <w:rPr>
          <w:lang w:val="en-US"/>
        </w:rPr>
        <w:t xml:space="preserve"> remain</w:t>
      </w:r>
      <w:r w:rsidR="00261CC5" w:rsidRPr="00124DA6">
        <w:rPr>
          <w:lang w:val="en-US"/>
        </w:rPr>
        <w:t>ed</w:t>
      </w:r>
      <w:r w:rsidRPr="00124DA6">
        <w:rPr>
          <w:lang w:val="en-US"/>
        </w:rPr>
        <w:t xml:space="preserve"> low at 22</w:t>
      </w:r>
      <w:r w:rsidR="00CF60EF" w:rsidRPr="00124DA6">
        <w:rPr>
          <w:lang w:val="en-US"/>
        </w:rPr>
        <w:t>.4</w:t>
      </w:r>
      <w:r w:rsidR="0054027F" w:rsidRPr="00124DA6">
        <w:rPr>
          <w:lang w:val="en-US"/>
        </w:rPr>
        <w:t xml:space="preserve"> percent</w:t>
      </w:r>
      <w:r w:rsidR="00CF60EF" w:rsidRPr="00124DA6">
        <w:rPr>
          <w:lang w:val="en-US"/>
        </w:rPr>
        <w:t>, t</w:t>
      </w:r>
      <w:r w:rsidRPr="00124DA6">
        <w:rPr>
          <w:lang w:val="en-US"/>
        </w:rPr>
        <w:t>he financial services access</w:t>
      </w:r>
      <w:r w:rsidR="009B7B95" w:rsidRPr="00124DA6">
        <w:rPr>
          <w:lang w:val="en-US"/>
        </w:rPr>
        <w:t xml:space="preserve"> networks gr</w:t>
      </w:r>
      <w:r w:rsidR="00261CC5" w:rsidRPr="00124DA6">
        <w:rPr>
          <w:lang w:val="en-US"/>
        </w:rPr>
        <w:t>e</w:t>
      </w:r>
      <w:r w:rsidR="009B7B95" w:rsidRPr="00124DA6">
        <w:rPr>
          <w:lang w:val="en-US"/>
        </w:rPr>
        <w:t>w remarkably</w:t>
      </w:r>
      <w:r w:rsidRPr="00124DA6">
        <w:rPr>
          <w:lang w:val="en-US"/>
        </w:rPr>
        <w:t xml:space="preserve"> from 158 bank branches and 498 MF</w:t>
      </w:r>
      <w:r w:rsidR="00E63C1D">
        <w:rPr>
          <w:lang w:val="en-US"/>
        </w:rPr>
        <w:t xml:space="preserve">Is </w:t>
      </w:r>
      <w:r w:rsidRPr="00124DA6">
        <w:rPr>
          <w:lang w:val="en-US"/>
        </w:rPr>
        <w:t>service points in 2010 to 209 bank branches and 668</w:t>
      </w:r>
      <w:r w:rsidR="00C702B4">
        <w:rPr>
          <w:lang w:val="en-US"/>
        </w:rPr>
        <w:t> </w:t>
      </w:r>
      <w:r w:rsidRPr="00124DA6">
        <w:rPr>
          <w:lang w:val="en-US"/>
        </w:rPr>
        <w:t xml:space="preserve">MFS service points in 2016. The network development access to financial services via mobile far surpasses that of banks and </w:t>
      </w:r>
      <w:r w:rsidR="00CF60EF" w:rsidRPr="00124DA6">
        <w:rPr>
          <w:lang w:val="en-US"/>
        </w:rPr>
        <w:t>MFIs</w:t>
      </w:r>
      <w:r w:rsidRPr="00124DA6">
        <w:rPr>
          <w:lang w:val="en-US"/>
        </w:rPr>
        <w:t>, since Benin had 20,298 mobile money service agents at the end of 2016 (MNO</w:t>
      </w:r>
      <w:r w:rsidR="009B7B95" w:rsidRPr="00124DA6">
        <w:rPr>
          <w:lang w:val="en-US"/>
        </w:rPr>
        <w:t>s</w:t>
      </w:r>
      <w:r w:rsidRPr="00124DA6">
        <w:rPr>
          <w:lang w:val="en-US"/>
        </w:rPr>
        <w:t>).</w:t>
      </w:r>
    </w:p>
    <w:p w14:paraId="12F62128" w14:textId="77777777" w:rsidR="00102FE0" w:rsidRPr="00124DA6" w:rsidRDefault="00102FE0" w:rsidP="009E38DA">
      <w:pPr>
        <w:pStyle w:val="ListParagraph"/>
        <w:numPr>
          <w:ilvl w:val="0"/>
          <w:numId w:val="47"/>
        </w:numPr>
        <w:spacing w:after="240" w:line="240" w:lineRule="auto"/>
        <w:ind w:left="0" w:firstLine="0"/>
        <w:contextualSpacing w:val="0"/>
        <w:jc w:val="both"/>
        <w:rPr>
          <w:lang w:val="en-US"/>
        </w:rPr>
      </w:pPr>
      <w:r w:rsidRPr="00124DA6">
        <w:rPr>
          <w:b/>
          <w:lang w:val="en-US"/>
        </w:rPr>
        <w:t xml:space="preserve">The development of the financial sector (especially </w:t>
      </w:r>
      <w:r w:rsidR="009B7B95" w:rsidRPr="00124DA6">
        <w:rPr>
          <w:b/>
          <w:lang w:val="en-US"/>
        </w:rPr>
        <w:t>through MFIs</w:t>
      </w:r>
      <w:r w:rsidRPr="00124DA6">
        <w:rPr>
          <w:b/>
          <w:lang w:val="en-US"/>
        </w:rPr>
        <w:t xml:space="preserve">) combined with the growth of mobile money offers </w:t>
      </w:r>
      <w:r w:rsidR="009B7B95" w:rsidRPr="00124DA6">
        <w:rPr>
          <w:b/>
          <w:lang w:val="en-US"/>
        </w:rPr>
        <w:t>substan</w:t>
      </w:r>
      <w:r w:rsidR="00261CC5" w:rsidRPr="00124DA6">
        <w:rPr>
          <w:b/>
          <w:lang w:val="en-US"/>
        </w:rPr>
        <w:t>t</w:t>
      </w:r>
      <w:r w:rsidR="009B7B95" w:rsidRPr="00124DA6">
        <w:rPr>
          <w:b/>
          <w:lang w:val="en-US"/>
        </w:rPr>
        <w:t>ial</w:t>
      </w:r>
      <w:r w:rsidR="00165C4D" w:rsidRPr="00124DA6">
        <w:rPr>
          <w:b/>
          <w:lang w:val="en-US"/>
        </w:rPr>
        <w:t xml:space="preserve"> </w:t>
      </w:r>
      <w:r w:rsidRPr="00124DA6">
        <w:rPr>
          <w:b/>
          <w:lang w:val="en-US"/>
        </w:rPr>
        <w:t>opportunities for financial inclusion and the digitization of retail payments.</w:t>
      </w:r>
      <w:r w:rsidR="009B7B95" w:rsidRPr="00124DA6">
        <w:rPr>
          <w:lang w:val="en-US"/>
        </w:rPr>
        <w:t xml:space="preserve"> D</w:t>
      </w:r>
      <w:r w:rsidRPr="00124DA6">
        <w:rPr>
          <w:lang w:val="en-US"/>
        </w:rPr>
        <w:t>igitalization of retail payments would reduce the impact of the informal sector and provide an efficient response to the strong growth in the volumes of banknotes and coins in circulation while providing traceability and securing transactions in the economy.</w:t>
      </w:r>
    </w:p>
    <w:p w14:paraId="0762BD79" w14:textId="014586C1" w:rsidR="008039F0" w:rsidRPr="00124DA6" w:rsidRDefault="004A7B85" w:rsidP="009E38DA">
      <w:pPr>
        <w:pStyle w:val="ListParagraph"/>
        <w:numPr>
          <w:ilvl w:val="0"/>
          <w:numId w:val="47"/>
        </w:numPr>
        <w:spacing w:after="240" w:line="240" w:lineRule="auto"/>
        <w:ind w:left="0" w:firstLine="0"/>
        <w:contextualSpacing w:val="0"/>
        <w:jc w:val="both"/>
        <w:rPr>
          <w:lang w:val="en-US"/>
        </w:rPr>
      </w:pPr>
      <w:r>
        <w:rPr>
          <w:b/>
          <w:lang w:val="en-US"/>
        </w:rPr>
        <w:t>All</w:t>
      </w:r>
      <w:r w:rsidRPr="00124DA6">
        <w:rPr>
          <w:b/>
          <w:lang w:val="en-US"/>
        </w:rPr>
        <w:t xml:space="preserve"> </w:t>
      </w:r>
      <w:r w:rsidR="00F81F2E" w:rsidRPr="00124DA6">
        <w:rPr>
          <w:b/>
          <w:lang w:val="en-US"/>
        </w:rPr>
        <w:t>stakeholders</w:t>
      </w:r>
      <w:r>
        <w:rPr>
          <w:b/>
          <w:lang w:val="en-US"/>
        </w:rPr>
        <w:t xml:space="preserve"> </w:t>
      </w:r>
      <w:r w:rsidR="002425E2">
        <w:rPr>
          <w:b/>
          <w:lang w:val="en-US"/>
        </w:rPr>
        <w:t>—</w:t>
      </w:r>
      <w:r w:rsidR="00102FE0" w:rsidRPr="00124DA6">
        <w:rPr>
          <w:b/>
          <w:lang w:val="en-US"/>
        </w:rPr>
        <w:t xml:space="preserve"> </w:t>
      </w:r>
      <w:r>
        <w:rPr>
          <w:b/>
          <w:lang w:val="en-US"/>
        </w:rPr>
        <w:t xml:space="preserve">ranging </w:t>
      </w:r>
      <w:r w:rsidR="00F81F2E" w:rsidRPr="00124DA6">
        <w:rPr>
          <w:b/>
          <w:lang w:val="en-US"/>
        </w:rPr>
        <w:t>from</w:t>
      </w:r>
      <w:r w:rsidR="00102FE0" w:rsidRPr="00124DA6">
        <w:rPr>
          <w:b/>
          <w:lang w:val="en-US"/>
        </w:rPr>
        <w:t xml:space="preserve"> the </w:t>
      </w:r>
      <w:r w:rsidR="00261CC5" w:rsidRPr="00124DA6">
        <w:rPr>
          <w:b/>
          <w:lang w:val="en-US"/>
        </w:rPr>
        <w:t>g</w:t>
      </w:r>
      <w:r w:rsidR="00102FE0" w:rsidRPr="00124DA6">
        <w:rPr>
          <w:b/>
          <w:lang w:val="en-US"/>
        </w:rPr>
        <w:t xml:space="preserve">overnment and </w:t>
      </w:r>
      <w:r w:rsidR="00F81F2E" w:rsidRPr="00124DA6">
        <w:rPr>
          <w:b/>
          <w:lang w:val="en-US"/>
        </w:rPr>
        <w:t>parastatal</w:t>
      </w:r>
      <w:r w:rsidR="00165C4D" w:rsidRPr="00124DA6">
        <w:rPr>
          <w:b/>
          <w:lang w:val="en-US"/>
        </w:rPr>
        <w:t xml:space="preserve"> </w:t>
      </w:r>
      <w:r w:rsidR="00102FE0" w:rsidRPr="00124DA6">
        <w:rPr>
          <w:b/>
          <w:lang w:val="en-US"/>
        </w:rPr>
        <w:t>institutions</w:t>
      </w:r>
      <w:r w:rsidR="00F81F2E" w:rsidRPr="00124DA6">
        <w:rPr>
          <w:b/>
          <w:lang w:val="en-US"/>
        </w:rPr>
        <w:t xml:space="preserve"> to the private sector </w:t>
      </w:r>
      <w:r w:rsidR="00102FE0" w:rsidRPr="00124DA6">
        <w:rPr>
          <w:b/>
          <w:lang w:val="en-US"/>
        </w:rPr>
        <w:t>and development partners</w:t>
      </w:r>
      <w:r>
        <w:rPr>
          <w:b/>
          <w:lang w:val="en-US"/>
        </w:rPr>
        <w:t xml:space="preserve"> </w:t>
      </w:r>
      <w:r w:rsidR="002425E2">
        <w:rPr>
          <w:b/>
          <w:lang w:val="en-US"/>
        </w:rPr>
        <w:t>—</w:t>
      </w:r>
      <w:r>
        <w:rPr>
          <w:b/>
          <w:lang w:val="en-US"/>
        </w:rPr>
        <w:t xml:space="preserve"> and could benefit from the diagnosis of retail payment flows set forth herein</w:t>
      </w:r>
      <w:r w:rsidR="00102FE0" w:rsidRPr="00124DA6">
        <w:rPr>
          <w:lang w:val="en-US"/>
        </w:rPr>
        <w:t xml:space="preserve">. </w:t>
      </w:r>
      <w:r w:rsidR="00F81F2E" w:rsidRPr="00124DA6">
        <w:rPr>
          <w:lang w:val="en-US"/>
        </w:rPr>
        <w:t>At</w:t>
      </w:r>
      <w:r w:rsidR="00102FE0" w:rsidRPr="00124DA6">
        <w:rPr>
          <w:lang w:val="en-US"/>
        </w:rPr>
        <w:t xml:space="preserve"> the national level, the census by category of actors (</w:t>
      </w:r>
      <w:r w:rsidR="00261CC5" w:rsidRPr="00124DA6">
        <w:rPr>
          <w:lang w:val="en-US"/>
        </w:rPr>
        <w:t>g</w:t>
      </w:r>
      <w:r w:rsidR="00102FE0" w:rsidRPr="00124DA6">
        <w:rPr>
          <w:lang w:val="en-US"/>
        </w:rPr>
        <w:t xml:space="preserve">overnment, companies, people, donors), </w:t>
      </w:r>
      <w:r w:rsidR="00F81F2E" w:rsidRPr="00124DA6">
        <w:rPr>
          <w:lang w:val="en-US"/>
        </w:rPr>
        <w:t xml:space="preserve">by </w:t>
      </w:r>
      <w:r w:rsidR="00102FE0" w:rsidRPr="00124DA6">
        <w:rPr>
          <w:lang w:val="en-US"/>
        </w:rPr>
        <w:t xml:space="preserve">payment flows (value, number) and by type of means of payment (cash, check, transfer, card, electronic money), allows to </w:t>
      </w:r>
    </w:p>
    <w:p w14:paraId="720B7870" w14:textId="634F5CCC" w:rsidR="00102FE0" w:rsidRPr="00124DA6" w:rsidRDefault="00706F23" w:rsidP="009E38DA">
      <w:pPr>
        <w:pStyle w:val="NoSpacing"/>
        <w:numPr>
          <w:ilvl w:val="0"/>
          <w:numId w:val="27"/>
        </w:numPr>
        <w:spacing w:before="120" w:after="120"/>
        <w:ind w:left="1195" w:hanging="475"/>
        <w:jc w:val="both"/>
        <w:rPr>
          <w:lang w:val="en-US"/>
        </w:rPr>
      </w:pPr>
      <w:r>
        <w:rPr>
          <w:lang w:val="en-US"/>
        </w:rPr>
        <w:t>e</w:t>
      </w:r>
      <w:r w:rsidR="00102FE0" w:rsidRPr="00124DA6">
        <w:rPr>
          <w:lang w:val="en-US"/>
        </w:rPr>
        <w:t>stablish the status of payments;</w:t>
      </w:r>
    </w:p>
    <w:p w14:paraId="3D184458" w14:textId="76A7F146" w:rsidR="00102FE0" w:rsidRPr="00124DA6" w:rsidRDefault="00706F23" w:rsidP="009E38DA">
      <w:pPr>
        <w:pStyle w:val="NoSpacing"/>
        <w:numPr>
          <w:ilvl w:val="0"/>
          <w:numId w:val="27"/>
        </w:numPr>
        <w:spacing w:before="120" w:after="120"/>
        <w:ind w:left="1195" w:hanging="475"/>
        <w:jc w:val="both"/>
        <w:rPr>
          <w:lang w:val="en-US"/>
        </w:rPr>
      </w:pPr>
      <w:r>
        <w:rPr>
          <w:lang w:val="en-US"/>
        </w:rPr>
        <w:t>u</w:t>
      </w:r>
      <w:r w:rsidR="00102FE0" w:rsidRPr="00124DA6">
        <w:rPr>
          <w:lang w:val="en-US"/>
        </w:rPr>
        <w:t>nderstand and analyze the dynamics of different payment methods;</w:t>
      </w:r>
    </w:p>
    <w:p w14:paraId="6702ADEC" w14:textId="23DFF6B4" w:rsidR="00102FE0" w:rsidRPr="00124DA6" w:rsidRDefault="00706F23" w:rsidP="009E38DA">
      <w:pPr>
        <w:pStyle w:val="NoSpacing"/>
        <w:numPr>
          <w:ilvl w:val="0"/>
          <w:numId w:val="27"/>
        </w:numPr>
        <w:spacing w:before="120" w:after="120"/>
        <w:ind w:left="1195" w:hanging="475"/>
        <w:jc w:val="both"/>
        <w:rPr>
          <w:lang w:val="en-US"/>
        </w:rPr>
      </w:pPr>
      <w:r>
        <w:rPr>
          <w:lang w:val="en-US"/>
        </w:rPr>
        <w:t>m</w:t>
      </w:r>
      <w:r w:rsidR="00102FE0" w:rsidRPr="00124DA6">
        <w:rPr>
          <w:lang w:val="en-US"/>
        </w:rPr>
        <w:t>onitor changes that occur over time;</w:t>
      </w:r>
      <w:r w:rsidR="00261CC5" w:rsidRPr="00124DA6">
        <w:rPr>
          <w:lang w:val="en-US"/>
        </w:rPr>
        <w:t xml:space="preserve"> and</w:t>
      </w:r>
    </w:p>
    <w:p w14:paraId="6CD71B49" w14:textId="62081CFF" w:rsidR="00102FE0" w:rsidRPr="00124DA6" w:rsidRDefault="00706F23" w:rsidP="009E38DA">
      <w:pPr>
        <w:pStyle w:val="NoSpacing"/>
        <w:numPr>
          <w:ilvl w:val="0"/>
          <w:numId w:val="27"/>
        </w:numPr>
        <w:spacing w:before="120" w:after="120"/>
        <w:ind w:left="1195" w:hanging="475"/>
        <w:jc w:val="both"/>
        <w:rPr>
          <w:lang w:val="en-US"/>
        </w:rPr>
      </w:pPr>
      <w:r>
        <w:rPr>
          <w:lang w:val="en-US"/>
        </w:rPr>
        <w:t>f</w:t>
      </w:r>
      <w:r w:rsidR="00102FE0" w:rsidRPr="00124DA6">
        <w:rPr>
          <w:lang w:val="en-US"/>
        </w:rPr>
        <w:t>ormulate strategic directions for the digitalization of retail payments.</w:t>
      </w:r>
    </w:p>
    <w:p w14:paraId="133EB695" w14:textId="5E4B3F64" w:rsidR="00102FE0" w:rsidRPr="00124DA6" w:rsidRDefault="00102FE0" w:rsidP="00102FE0">
      <w:pPr>
        <w:jc w:val="both"/>
        <w:rPr>
          <w:lang w:val="en-US"/>
        </w:rPr>
      </w:pPr>
      <w:r w:rsidRPr="00124DA6">
        <w:rPr>
          <w:b/>
          <w:lang w:val="en-US"/>
        </w:rPr>
        <w:t xml:space="preserve">This </w:t>
      </w:r>
      <w:r w:rsidR="00F81F2E" w:rsidRPr="00124DA6">
        <w:rPr>
          <w:b/>
          <w:lang w:val="en-US"/>
        </w:rPr>
        <w:t>chapter</w:t>
      </w:r>
      <w:r w:rsidRPr="00124DA6">
        <w:rPr>
          <w:b/>
          <w:lang w:val="en-US"/>
        </w:rPr>
        <w:t xml:space="preserve"> </w:t>
      </w:r>
      <w:r w:rsidR="00A56A7B" w:rsidRPr="00124DA6">
        <w:rPr>
          <w:b/>
          <w:lang w:val="en-US"/>
        </w:rPr>
        <w:t xml:space="preserve">is organized as follows: </w:t>
      </w:r>
      <w:r w:rsidR="00732CC1" w:rsidRPr="00732CC1">
        <w:rPr>
          <w:lang w:val="en-US"/>
        </w:rPr>
        <w:t>to begin with,</w:t>
      </w:r>
      <w:r w:rsidR="00732CC1" w:rsidRPr="00124DA6">
        <w:rPr>
          <w:lang w:val="en-US"/>
        </w:rPr>
        <w:t xml:space="preserve"> </w:t>
      </w:r>
      <w:r w:rsidR="00A56A7B" w:rsidRPr="00124DA6">
        <w:rPr>
          <w:lang w:val="en-US"/>
        </w:rPr>
        <w:t xml:space="preserve">it </w:t>
      </w:r>
      <w:r w:rsidRPr="00124DA6">
        <w:rPr>
          <w:lang w:val="en-US"/>
        </w:rPr>
        <w:t xml:space="preserve">draws a general picture of different retail payment flows of the Beninese economy, in particular </w:t>
      </w:r>
      <w:proofErr w:type="gramStart"/>
      <w:r w:rsidRPr="00124DA6">
        <w:rPr>
          <w:lang w:val="en-US"/>
        </w:rPr>
        <w:t>with regard to</w:t>
      </w:r>
      <w:proofErr w:type="gramEnd"/>
      <w:r w:rsidRPr="00124DA6">
        <w:rPr>
          <w:lang w:val="en-US"/>
        </w:rPr>
        <w:t xml:space="preserve"> those of P2G and G2P</w:t>
      </w:r>
      <w:r w:rsidR="00D05644" w:rsidRPr="00124DA6">
        <w:rPr>
          <w:lang w:val="en-US"/>
        </w:rPr>
        <w:t xml:space="preserve"> types</w:t>
      </w:r>
      <w:r w:rsidRPr="00124DA6">
        <w:rPr>
          <w:lang w:val="en-US"/>
        </w:rPr>
        <w:t xml:space="preserve">. Second, it </w:t>
      </w:r>
      <w:r w:rsidR="00732CC1">
        <w:rPr>
          <w:lang w:val="en-US"/>
        </w:rPr>
        <w:t>examines</w:t>
      </w:r>
      <w:r w:rsidR="00732CC1" w:rsidRPr="00124DA6">
        <w:rPr>
          <w:lang w:val="en-US"/>
        </w:rPr>
        <w:t xml:space="preserve"> </w:t>
      </w:r>
      <w:r w:rsidRPr="00124DA6">
        <w:rPr>
          <w:lang w:val="en-US"/>
        </w:rPr>
        <w:t>the challenges related to the digitalization of retail payments and proposes recommendations</w:t>
      </w:r>
      <w:r w:rsidR="00F81F2E" w:rsidRPr="00124DA6">
        <w:rPr>
          <w:lang w:val="en-US"/>
        </w:rPr>
        <w:t xml:space="preserve"> related</w:t>
      </w:r>
      <w:r w:rsidR="00165C4D" w:rsidRPr="00124DA6">
        <w:rPr>
          <w:lang w:val="en-US"/>
        </w:rPr>
        <w:t xml:space="preserve"> </w:t>
      </w:r>
      <w:r w:rsidR="00E32DE0" w:rsidRPr="00124DA6">
        <w:rPr>
          <w:lang w:val="en-US"/>
        </w:rPr>
        <w:t xml:space="preserve">to </w:t>
      </w:r>
      <w:r w:rsidR="00F81F2E" w:rsidRPr="00124DA6">
        <w:rPr>
          <w:bCs/>
          <w:lang w:val="en-US"/>
        </w:rPr>
        <w:t>customers</w:t>
      </w:r>
      <w:r w:rsidR="00E32DE0" w:rsidRPr="00124DA6">
        <w:rPr>
          <w:bCs/>
          <w:lang w:val="en-US"/>
        </w:rPr>
        <w:t>,</w:t>
      </w:r>
      <w:r w:rsidR="00F81F2E" w:rsidRPr="00124DA6">
        <w:rPr>
          <w:bCs/>
          <w:lang w:val="en-US"/>
        </w:rPr>
        <w:t xml:space="preserve"> </w:t>
      </w:r>
      <w:r w:rsidRPr="00124DA6">
        <w:rPr>
          <w:bCs/>
          <w:lang w:val="en-US"/>
        </w:rPr>
        <w:t xml:space="preserve">financial services distribution networks in general and the digital </w:t>
      </w:r>
      <w:proofErr w:type="gramStart"/>
      <w:r w:rsidRPr="00124DA6">
        <w:rPr>
          <w:bCs/>
          <w:lang w:val="en-US"/>
        </w:rPr>
        <w:t>ones</w:t>
      </w:r>
      <w:r w:rsidR="00F81F2E" w:rsidRPr="00124DA6">
        <w:rPr>
          <w:bCs/>
          <w:lang w:val="en-US"/>
        </w:rPr>
        <w:t xml:space="preserve"> in particular</w:t>
      </w:r>
      <w:r w:rsidR="00E32DE0" w:rsidRPr="00124DA6">
        <w:rPr>
          <w:bCs/>
          <w:lang w:val="en-US"/>
        </w:rPr>
        <w:t>,</w:t>
      </w:r>
      <w:r w:rsidR="00F81F2E" w:rsidRPr="00124DA6">
        <w:rPr>
          <w:bCs/>
          <w:lang w:val="en-US"/>
        </w:rPr>
        <w:t xml:space="preserve"> </w:t>
      </w:r>
      <w:r w:rsidRPr="00124DA6">
        <w:rPr>
          <w:bCs/>
          <w:lang w:val="en-US"/>
        </w:rPr>
        <w:t>digital</w:t>
      </w:r>
      <w:proofErr w:type="gramEnd"/>
      <w:r w:rsidRPr="00124DA6">
        <w:rPr>
          <w:bCs/>
          <w:lang w:val="en-US"/>
        </w:rPr>
        <w:t xml:space="preserve"> financial service providers</w:t>
      </w:r>
      <w:r w:rsidR="00E32DE0" w:rsidRPr="00124DA6">
        <w:rPr>
          <w:bCs/>
          <w:lang w:val="en-US"/>
        </w:rPr>
        <w:t>,</w:t>
      </w:r>
      <w:r w:rsidR="00F81F2E" w:rsidRPr="00124DA6">
        <w:rPr>
          <w:lang w:val="en-US"/>
        </w:rPr>
        <w:t xml:space="preserve"> </w:t>
      </w:r>
      <w:r w:rsidR="00F81F2E" w:rsidRPr="00124DA6">
        <w:rPr>
          <w:bCs/>
          <w:lang w:val="en-US"/>
        </w:rPr>
        <w:t>large</w:t>
      </w:r>
      <w:r w:rsidRPr="00124DA6">
        <w:rPr>
          <w:bCs/>
          <w:lang w:val="en-US"/>
        </w:rPr>
        <w:t xml:space="preserve"> billers and the </w:t>
      </w:r>
      <w:r w:rsidR="00E32DE0" w:rsidRPr="00124DA6">
        <w:rPr>
          <w:bCs/>
          <w:lang w:val="en-US"/>
        </w:rPr>
        <w:t>g</w:t>
      </w:r>
      <w:r w:rsidRPr="00124DA6">
        <w:rPr>
          <w:bCs/>
          <w:lang w:val="en-US"/>
        </w:rPr>
        <w:t>overnment</w:t>
      </w:r>
      <w:r w:rsidR="00E32DE0" w:rsidRPr="00124DA6">
        <w:rPr>
          <w:bCs/>
          <w:lang w:val="en-US"/>
        </w:rPr>
        <w:t>,</w:t>
      </w:r>
      <w:r w:rsidR="00A56A7B" w:rsidRPr="00124DA6">
        <w:rPr>
          <w:bCs/>
          <w:lang w:val="en-US"/>
        </w:rPr>
        <w:t xml:space="preserve"> </w:t>
      </w:r>
      <w:r w:rsidR="00E32DE0" w:rsidRPr="00124DA6">
        <w:rPr>
          <w:bCs/>
          <w:lang w:val="en-US"/>
        </w:rPr>
        <w:t xml:space="preserve">and </w:t>
      </w:r>
      <w:r w:rsidRPr="00124DA6">
        <w:rPr>
          <w:bCs/>
          <w:lang w:val="en-US"/>
        </w:rPr>
        <w:t>the regulatory framework.</w:t>
      </w:r>
      <w:r w:rsidR="00A56A7B" w:rsidRPr="00124DA6">
        <w:rPr>
          <w:lang w:val="en-US"/>
        </w:rPr>
        <w:t xml:space="preserve"> </w:t>
      </w:r>
      <w:r w:rsidRPr="00124DA6">
        <w:rPr>
          <w:lang w:val="en-US"/>
        </w:rPr>
        <w:t xml:space="preserve">Finally, scenarios </w:t>
      </w:r>
      <w:r w:rsidR="00A56A7B" w:rsidRPr="00124DA6">
        <w:rPr>
          <w:lang w:val="en-US"/>
        </w:rPr>
        <w:t xml:space="preserve">are </w:t>
      </w:r>
      <w:r w:rsidR="00732CC1">
        <w:rPr>
          <w:lang w:val="en-US"/>
        </w:rPr>
        <w:t>presented</w:t>
      </w:r>
      <w:r w:rsidR="00732CC1" w:rsidRPr="00124DA6">
        <w:rPr>
          <w:lang w:val="en-US"/>
        </w:rPr>
        <w:t xml:space="preserve"> </w:t>
      </w:r>
      <w:r w:rsidR="00A56A7B" w:rsidRPr="00124DA6">
        <w:rPr>
          <w:lang w:val="en-US"/>
        </w:rPr>
        <w:t xml:space="preserve">to </w:t>
      </w:r>
      <w:r w:rsidR="00732CC1">
        <w:rPr>
          <w:lang w:val="en-US"/>
        </w:rPr>
        <w:t>facilitate</w:t>
      </w:r>
      <w:r w:rsidR="00732CC1" w:rsidRPr="00124DA6">
        <w:rPr>
          <w:lang w:val="en-US"/>
        </w:rPr>
        <w:t xml:space="preserve"> </w:t>
      </w:r>
      <w:r w:rsidRPr="00124DA6">
        <w:rPr>
          <w:lang w:val="en-US"/>
        </w:rPr>
        <w:t>migration from retail payments to digitalization.</w:t>
      </w:r>
    </w:p>
    <w:p w14:paraId="67EF3DBB" w14:textId="77777777" w:rsidR="00102FE0" w:rsidRPr="00A96892" w:rsidRDefault="00102FE0" w:rsidP="003B0586">
      <w:pPr>
        <w:pStyle w:val="Heading3"/>
        <w:rPr>
          <w:b/>
          <w:lang w:val="en-US"/>
        </w:rPr>
      </w:pPr>
      <w:bookmarkStart w:id="30" w:name="_Toc3975135"/>
      <w:r w:rsidRPr="00A96892">
        <w:rPr>
          <w:b/>
          <w:lang w:val="en-US"/>
        </w:rPr>
        <w:t>3.1.</w:t>
      </w:r>
      <w:r w:rsidR="00440389" w:rsidRPr="00A96892">
        <w:rPr>
          <w:b/>
          <w:lang w:val="en-US"/>
        </w:rPr>
        <w:t>1</w:t>
      </w:r>
      <w:r w:rsidRPr="00A96892">
        <w:rPr>
          <w:b/>
          <w:lang w:val="en-US"/>
        </w:rPr>
        <w:t xml:space="preserve"> Methodology</w:t>
      </w:r>
      <w:bookmarkEnd w:id="30"/>
    </w:p>
    <w:p w14:paraId="60201356" w14:textId="77777777" w:rsidR="00102FE0" w:rsidRPr="00124DA6" w:rsidRDefault="00102FE0" w:rsidP="00A96892">
      <w:pPr>
        <w:pStyle w:val="ListParagraph"/>
        <w:numPr>
          <w:ilvl w:val="0"/>
          <w:numId w:val="47"/>
        </w:numPr>
        <w:spacing w:after="240" w:line="240" w:lineRule="auto"/>
        <w:ind w:left="0" w:firstLine="0"/>
        <w:contextualSpacing w:val="0"/>
        <w:jc w:val="both"/>
        <w:rPr>
          <w:lang w:val="en-US"/>
        </w:rPr>
      </w:pPr>
      <w:r w:rsidRPr="00124DA6">
        <w:rPr>
          <w:b/>
          <w:lang w:val="en-US"/>
        </w:rPr>
        <w:t>Retail Payments are typically identified by the amounts committed</w:t>
      </w:r>
      <w:r w:rsidRPr="00124DA6">
        <w:rPr>
          <w:lang w:val="en-US"/>
        </w:rPr>
        <w:t xml:space="preserve"> and often have the following characteristics:</w:t>
      </w:r>
      <w:r w:rsidR="00FC0275" w:rsidRPr="00124DA6">
        <w:rPr>
          <w:lang w:val="en-US"/>
        </w:rPr>
        <w:t xml:space="preserve"> (</w:t>
      </w:r>
      <w:r w:rsidR="00E32DE0" w:rsidRPr="00124DA6">
        <w:rPr>
          <w:lang w:val="en-US"/>
        </w:rPr>
        <w:t>a</w:t>
      </w:r>
      <w:r w:rsidR="00FC0275" w:rsidRPr="00124DA6">
        <w:rPr>
          <w:lang w:val="en-US"/>
        </w:rPr>
        <w:t xml:space="preserve">) </w:t>
      </w:r>
      <w:proofErr w:type="gramStart"/>
      <w:r w:rsidR="00FC0275" w:rsidRPr="00124DA6">
        <w:rPr>
          <w:lang w:val="en-US"/>
        </w:rPr>
        <w:t>a</w:t>
      </w:r>
      <w:r w:rsidRPr="00124DA6">
        <w:rPr>
          <w:lang w:val="en-US"/>
        </w:rPr>
        <w:t xml:space="preserve"> large number of</w:t>
      </w:r>
      <w:proofErr w:type="gramEnd"/>
      <w:r w:rsidRPr="00124DA6">
        <w:rPr>
          <w:lang w:val="en-US"/>
        </w:rPr>
        <w:t xml:space="preserve"> low-value transactions for the purchase of goods and services</w:t>
      </w:r>
      <w:r w:rsidR="00E32DE0" w:rsidRPr="00124DA6">
        <w:rPr>
          <w:lang w:val="en-US"/>
        </w:rPr>
        <w:t xml:space="preserve"> and</w:t>
      </w:r>
      <w:r w:rsidR="00FC0275" w:rsidRPr="00124DA6">
        <w:rPr>
          <w:lang w:val="en-US"/>
        </w:rPr>
        <w:t xml:space="preserve"> (</w:t>
      </w:r>
      <w:r w:rsidR="00E32DE0" w:rsidRPr="00124DA6">
        <w:rPr>
          <w:lang w:val="en-US"/>
        </w:rPr>
        <w:t>b</w:t>
      </w:r>
      <w:r w:rsidR="00FC0275" w:rsidRPr="00124DA6">
        <w:rPr>
          <w:lang w:val="en-US"/>
        </w:rPr>
        <w:t>) t</w:t>
      </w:r>
      <w:r w:rsidRPr="00124DA6">
        <w:rPr>
          <w:lang w:val="en-US"/>
        </w:rPr>
        <w:t>he diversity of the means of payment used compared to those used for transfers of large amounts.</w:t>
      </w:r>
      <w:r w:rsidR="008039F0" w:rsidRPr="00124DA6">
        <w:rPr>
          <w:lang w:val="en-US"/>
        </w:rPr>
        <w:t xml:space="preserve"> </w:t>
      </w:r>
      <w:r w:rsidRPr="00124DA6">
        <w:rPr>
          <w:lang w:val="en-US"/>
        </w:rPr>
        <w:t xml:space="preserve">This raises the question </w:t>
      </w:r>
      <w:r w:rsidR="00E32DE0" w:rsidRPr="00124DA6">
        <w:rPr>
          <w:lang w:val="en-US"/>
        </w:rPr>
        <w:t>as to</w:t>
      </w:r>
      <w:r w:rsidRPr="00124DA6">
        <w:rPr>
          <w:lang w:val="en-US"/>
        </w:rPr>
        <w:t xml:space="preserve"> the limit to be considered for the categorization of low amounts. </w:t>
      </w:r>
      <w:r w:rsidR="00E32DE0" w:rsidRPr="00124DA6">
        <w:rPr>
          <w:lang w:val="en-US"/>
        </w:rPr>
        <w:t>T</w:t>
      </w:r>
      <w:r w:rsidRPr="00124DA6">
        <w:rPr>
          <w:lang w:val="en-US"/>
        </w:rPr>
        <w:t>o define a perimeter with the notion of retail payment</w:t>
      </w:r>
      <w:r w:rsidR="00E32DE0" w:rsidRPr="00124DA6">
        <w:rPr>
          <w:lang w:val="en-US"/>
        </w:rPr>
        <w:t>s,</w:t>
      </w:r>
      <w:r w:rsidRPr="00124DA6">
        <w:rPr>
          <w:lang w:val="en-US"/>
        </w:rPr>
        <w:t xml:space="preserve"> we consider in this study that they correspond to those whose payer or payee is a natural person (operating in the formal or informal sector). The different means of retail payments that will be explored in the context of this diagnosis are</w:t>
      </w:r>
      <w:r w:rsidR="008039F0" w:rsidRPr="00124DA6">
        <w:rPr>
          <w:lang w:val="en-US"/>
        </w:rPr>
        <w:t xml:space="preserve"> </w:t>
      </w:r>
      <w:r w:rsidRPr="00124DA6">
        <w:rPr>
          <w:lang w:val="en-US"/>
        </w:rPr>
        <w:t>cash</w:t>
      </w:r>
      <w:r w:rsidR="008039F0" w:rsidRPr="00124DA6">
        <w:rPr>
          <w:lang w:val="en-US"/>
        </w:rPr>
        <w:t xml:space="preserve">, </w:t>
      </w:r>
      <w:r w:rsidRPr="00124DA6">
        <w:rPr>
          <w:lang w:val="en-US"/>
        </w:rPr>
        <w:t>checks</w:t>
      </w:r>
      <w:r w:rsidR="008039F0" w:rsidRPr="00124DA6">
        <w:rPr>
          <w:lang w:val="en-US"/>
        </w:rPr>
        <w:t>, tr</w:t>
      </w:r>
      <w:r w:rsidRPr="00124DA6">
        <w:rPr>
          <w:lang w:val="en-US"/>
        </w:rPr>
        <w:t>ansfers</w:t>
      </w:r>
      <w:r w:rsidR="008039F0" w:rsidRPr="00124DA6">
        <w:rPr>
          <w:lang w:val="en-US"/>
        </w:rPr>
        <w:t>, cards</w:t>
      </w:r>
      <w:r w:rsidR="00E32DE0" w:rsidRPr="00124DA6">
        <w:rPr>
          <w:lang w:val="en-US"/>
        </w:rPr>
        <w:t>,</w:t>
      </w:r>
      <w:r w:rsidR="008039F0" w:rsidRPr="00124DA6">
        <w:rPr>
          <w:lang w:val="en-US"/>
        </w:rPr>
        <w:t xml:space="preserve"> and e</w:t>
      </w:r>
      <w:r w:rsidRPr="00124DA6">
        <w:rPr>
          <w:lang w:val="en-US"/>
        </w:rPr>
        <w:t>lectronic money.</w:t>
      </w:r>
    </w:p>
    <w:p w14:paraId="4992B35E" w14:textId="77777777" w:rsidR="00102FE0" w:rsidRPr="00124DA6" w:rsidRDefault="00102FE0" w:rsidP="00A96892">
      <w:pPr>
        <w:pStyle w:val="ListParagraph"/>
        <w:numPr>
          <w:ilvl w:val="0"/>
          <w:numId w:val="47"/>
        </w:numPr>
        <w:spacing w:after="240" w:line="240" w:lineRule="auto"/>
        <w:ind w:left="0" w:firstLine="0"/>
        <w:contextualSpacing w:val="0"/>
        <w:jc w:val="both"/>
        <w:rPr>
          <w:lang w:val="en-US"/>
        </w:rPr>
      </w:pPr>
      <w:r w:rsidRPr="00124DA6">
        <w:rPr>
          <w:b/>
          <w:lang w:val="en-US"/>
        </w:rPr>
        <w:t>The present diagnosis of retail payments was conducted in two phases</w:t>
      </w:r>
      <w:r w:rsidR="001C067F" w:rsidRPr="00124DA6">
        <w:rPr>
          <w:b/>
          <w:lang w:val="en-US"/>
        </w:rPr>
        <w:t>:</w:t>
      </w:r>
      <w:r w:rsidRPr="00124DA6">
        <w:rPr>
          <w:lang w:val="en-US"/>
        </w:rPr>
        <w:t xml:space="preserve"> </w:t>
      </w:r>
      <w:r w:rsidR="001C067F" w:rsidRPr="00124DA6">
        <w:rPr>
          <w:lang w:val="en-US"/>
        </w:rPr>
        <w:t>a</w:t>
      </w:r>
      <w:r w:rsidRPr="00124DA6">
        <w:rPr>
          <w:lang w:val="en-US"/>
        </w:rPr>
        <w:t>n initial inventory phase of retail payment flows, followed by a phase of bilateral meetings with the main players in the retail payment</w:t>
      </w:r>
      <w:r w:rsidR="008039F0" w:rsidRPr="00124DA6">
        <w:rPr>
          <w:lang w:val="en-US"/>
        </w:rPr>
        <w:t xml:space="preserve"> and digital finance ecosystem. </w:t>
      </w:r>
      <w:r w:rsidRPr="00124DA6">
        <w:rPr>
          <w:lang w:val="en-US"/>
        </w:rPr>
        <w:t>The inventory phase consisted of a collection of retail payments by category of actors, by flows (value, number)</w:t>
      </w:r>
      <w:r w:rsidR="001C067F" w:rsidRPr="00124DA6">
        <w:rPr>
          <w:lang w:val="en-US"/>
        </w:rPr>
        <w:t>,</w:t>
      </w:r>
      <w:r w:rsidRPr="00124DA6">
        <w:rPr>
          <w:lang w:val="en-US"/>
        </w:rPr>
        <w:t xml:space="preserve"> and by types of means of payment. The main flows explored focused on the</w:t>
      </w:r>
      <w:r w:rsidR="001C067F" w:rsidRPr="00124DA6">
        <w:rPr>
          <w:lang w:val="en-US"/>
        </w:rPr>
        <w:t xml:space="preserve"> following</w:t>
      </w:r>
      <w:r w:rsidRPr="00124DA6">
        <w:rPr>
          <w:lang w:val="en-US"/>
        </w:rPr>
        <w:t xml:space="preserve"> </w:t>
      </w:r>
      <w:r w:rsidR="00E63C1D">
        <w:rPr>
          <w:lang w:val="en-US"/>
        </w:rPr>
        <w:t>relationships</w:t>
      </w:r>
      <w:r w:rsidRPr="00124DA6">
        <w:rPr>
          <w:lang w:val="en-US"/>
        </w:rPr>
        <w:t>:</w:t>
      </w:r>
      <w:r w:rsidR="006D4CDE" w:rsidRPr="00124DA6">
        <w:rPr>
          <w:lang w:val="en-US"/>
        </w:rPr>
        <w:t xml:space="preserve"> </w:t>
      </w:r>
      <w:r w:rsidRPr="00124DA6">
        <w:rPr>
          <w:lang w:val="en-US"/>
        </w:rPr>
        <w:t>G2P</w:t>
      </w:r>
      <w:r w:rsidR="006D4CDE" w:rsidRPr="00124DA6">
        <w:rPr>
          <w:lang w:val="en-US"/>
        </w:rPr>
        <w:t xml:space="preserve">, </w:t>
      </w:r>
      <w:r w:rsidRPr="00124DA6">
        <w:rPr>
          <w:lang w:val="en-US"/>
        </w:rPr>
        <w:t>P2G</w:t>
      </w:r>
      <w:r w:rsidR="006D4CDE" w:rsidRPr="00124DA6">
        <w:rPr>
          <w:lang w:val="en-US"/>
        </w:rPr>
        <w:t xml:space="preserve">, </w:t>
      </w:r>
      <w:r w:rsidRPr="00124DA6">
        <w:rPr>
          <w:lang w:val="en-US"/>
        </w:rPr>
        <w:t>P2B</w:t>
      </w:r>
      <w:r w:rsidR="006D4CDE" w:rsidRPr="00124DA6">
        <w:rPr>
          <w:lang w:val="en-US"/>
        </w:rPr>
        <w:t xml:space="preserve">, and </w:t>
      </w:r>
      <w:r w:rsidRPr="00124DA6">
        <w:rPr>
          <w:lang w:val="en-US"/>
        </w:rPr>
        <w:t>P2P.</w:t>
      </w:r>
    </w:p>
    <w:p w14:paraId="1BF7F0EC" w14:textId="77777777" w:rsidR="00102FE0" w:rsidRPr="00124DA6" w:rsidRDefault="00102FE0" w:rsidP="00A96892">
      <w:pPr>
        <w:pStyle w:val="ListParagraph"/>
        <w:numPr>
          <w:ilvl w:val="0"/>
          <w:numId w:val="47"/>
        </w:numPr>
        <w:spacing w:after="240" w:line="240" w:lineRule="auto"/>
        <w:ind w:left="0" w:firstLine="0"/>
        <w:contextualSpacing w:val="0"/>
        <w:jc w:val="both"/>
        <w:rPr>
          <w:b/>
          <w:lang w:val="en-US"/>
        </w:rPr>
      </w:pPr>
      <w:r w:rsidRPr="00124DA6">
        <w:rPr>
          <w:b/>
          <w:lang w:val="en-US"/>
        </w:rPr>
        <w:t xml:space="preserve">Questionnaires to identify retail payment flows (value, number) by type (cash, check, transfer, card, electronic money) were sent out to the </w:t>
      </w:r>
      <w:r w:rsidR="008039F0" w:rsidRPr="00124DA6">
        <w:rPr>
          <w:b/>
          <w:lang w:val="en-US"/>
        </w:rPr>
        <w:t>following</w:t>
      </w:r>
      <w:r w:rsidRPr="00124DA6">
        <w:rPr>
          <w:b/>
          <w:lang w:val="en-US"/>
        </w:rPr>
        <w:t xml:space="preserve"> institutions:</w:t>
      </w:r>
    </w:p>
    <w:p w14:paraId="11E2440F" w14:textId="13AB04C8" w:rsidR="00102FE0" w:rsidRPr="00124DA6" w:rsidRDefault="00A7584F" w:rsidP="00A96892">
      <w:pPr>
        <w:pStyle w:val="NoSpacing"/>
        <w:numPr>
          <w:ilvl w:val="0"/>
          <w:numId w:val="27"/>
        </w:numPr>
        <w:spacing w:before="120" w:after="120"/>
        <w:ind w:left="1195" w:hanging="475"/>
        <w:jc w:val="both"/>
        <w:rPr>
          <w:lang w:val="en-US"/>
        </w:rPr>
      </w:pPr>
      <w:r w:rsidRPr="00124DA6">
        <w:rPr>
          <w:lang w:val="en-US"/>
        </w:rPr>
        <w:t>BCEAO</w:t>
      </w:r>
      <w:r w:rsidR="00A31562">
        <w:rPr>
          <w:lang w:val="en-US"/>
        </w:rPr>
        <w:t>;</w:t>
      </w:r>
    </w:p>
    <w:p w14:paraId="3059C160" w14:textId="22E31C17" w:rsidR="00102FE0" w:rsidRPr="00124DA6" w:rsidRDefault="00BB5935" w:rsidP="00A96892">
      <w:pPr>
        <w:pStyle w:val="NoSpacing"/>
        <w:numPr>
          <w:ilvl w:val="0"/>
          <w:numId w:val="27"/>
        </w:numPr>
        <w:spacing w:before="120" w:after="120"/>
        <w:ind w:left="1195" w:hanging="475"/>
        <w:jc w:val="both"/>
        <w:rPr>
          <w:lang w:val="en-US"/>
        </w:rPr>
      </w:pPr>
      <w:r w:rsidRPr="00124DA6">
        <w:rPr>
          <w:lang w:val="en-US"/>
        </w:rPr>
        <w:t>D</w:t>
      </w:r>
      <w:r w:rsidR="00102FE0" w:rsidRPr="00124DA6">
        <w:rPr>
          <w:lang w:val="en-US"/>
        </w:rPr>
        <w:t>ifferent gover</w:t>
      </w:r>
      <w:r w:rsidR="00A7584F" w:rsidRPr="00124DA6">
        <w:rPr>
          <w:lang w:val="en-US"/>
        </w:rPr>
        <w:t>nment institutions (T</w:t>
      </w:r>
      <w:r w:rsidR="00102FE0" w:rsidRPr="00124DA6">
        <w:rPr>
          <w:lang w:val="en-US"/>
        </w:rPr>
        <w:t xml:space="preserve">reasury, </w:t>
      </w:r>
      <w:r w:rsidR="00A7584F" w:rsidRPr="00124DA6">
        <w:rPr>
          <w:lang w:val="en-US"/>
        </w:rPr>
        <w:t xml:space="preserve">Tax </w:t>
      </w:r>
      <w:r w:rsidRPr="00124DA6">
        <w:rPr>
          <w:lang w:val="en-US"/>
        </w:rPr>
        <w:t>O</w:t>
      </w:r>
      <w:r w:rsidR="00A7584F" w:rsidRPr="00124DA6">
        <w:rPr>
          <w:lang w:val="en-US"/>
        </w:rPr>
        <w:t>ffice</w:t>
      </w:r>
      <w:r w:rsidR="00102FE0" w:rsidRPr="00124DA6">
        <w:rPr>
          <w:lang w:val="en-US"/>
        </w:rPr>
        <w:t xml:space="preserve">, </w:t>
      </w:r>
      <w:r w:rsidRPr="00124DA6">
        <w:rPr>
          <w:lang w:val="en-US"/>
        </w:rPr>
        <w:t>and so on</w:t>
      </w:r>
      <w:r w:rsidR="00102FE0" w:rsidRPr="00124DA6">
        <w:rPr>
          <w:lang w:val="en-US"/>
        </w:rPr>
        <w:t>)</w:t>
      </w:r>
      <w:r w:rsidR="00A31562">
        <w:rPr>
          <w:lang w:val="en-US"/>
        </w:rPr>
        <w:t>;</w:t>
      </w:r>
    </w:p>
    <w:p w14:paraId="7E5C561D" w14:textId="7DB95101" w:rsidR="00102FE0" w:rsidRPr="00124DA6" w:rsidRDefault="00A7584F" w:rsidP="00A96892">
      <w:pPr>
        <w:pStyle w:val="NoSpacing"/>
        <w:numPr>
          <w:ilvl w:val="0"/>
          <w:numId w:val="27"/>
        </w:numPr>
        <w:spacing w:before="120" w:after="120"/>
        <w:ind w:left="1195" w:hanging="475"/>
        <w:jc w:val="both"/>
        <w:rPr>
          <w:lang w:val="en-US"/>
        </w:rPr>
      </w:pPr>
      <w:r w:rsidRPr="00124DA6">
        <w:rPr>
          <w:lang w:val="en-US"/>
        </w:rPr>
        <w:t>P</w:t>
      </w:r>
      <w:r w:rsidR="00102FE0" w:rsidRPr="00124DA6">
        <w:rPr>
          <w:lang w:val="en-US"/>
        </w:rPr>
        <w:t>ost</w:t>
      </w:r>
      <w:r w:rsidRPr="00124DA6">
        <w:rPr>
          <w:lang w:val="en-US"/>
        </w:rPr>
        <w:t xml:space="preserve"> </w:t>
      </w:r>
      <w:r w:rsidR="00EF41B8" w:rsidRPr="00124DA6">
        <w:rPr>
          <w:lang w:val="en-US"/>
        </w:rPr>
        <w:t>o</w:t>
      </w:r>
      <w:r w:rsidRPr="00124DA6">
        <w:rPr>
          <w:lang w:val="en-US"/>
        </w:rPr>
        <w:t>ffice</w:t>
      </w:r>
      <w:r w:rsidR="00A31562">
        <w:rPr>
          <w:lang w:val="en-US"/>
        </w:rPr>
        <w:t>;</w:t>
      </w:r>
    </w:p>
    <w:p w14:paraId="3760995C" w14:textId="49658B79" w:rsidR="00102FE0" w:rsidRPr="00124DA6" w:rsidRDefault="00A7584F" w:rsidP="00A96892">
      <w:pPr>
        <w:pStyle w:val="NoSpacing"/>
        <w:numPr>
          <w:ilvl w:val="0"/>
          <w:numId w:val="27"/>
        </w:numPr>
        <w:spacing w:before="120" w:after="120"/>
        <w:ind w:left="1195" w:hanging="475"/>
        <w:jc w:val="both"/>
        <w:rPr>
          <w:lang w:val="en-US"/>
        </w:rPr>
      </w:pPr>
      <w:r w:rsidRPr="00124DA6">
        <w:rPr>
          <w:lang w:val="en-US"/>
        </w:rPr>
        <w:t>N</w:t>
      </w:r>
      <w:r w:rsidR="00102FE0" w:rsidRPr="00124DA6">
        <w:rPr>
          <w:lang w:val="en-US"/>
        </w:rPr>
        <w:t>ational water and electricity companies</w:t>
      </w:r>
      <w:r w:rsidR="00A31562">
        <w:rPr>
          <w:lang w:val="en-US"/>
        </w:rPr>
        <w:t>;</w:t>
      </w:r>
    </w:p>
    <w:p w14:paraId="0FE83DF5" w14:textId="57A48163" w:rsidR="00102FE0" w:rsidRPr="00124DA6" w:rsidRDefault="00A7584F" w:rsidP="00A96892">
      <w:pPr>
        <w:pStyle w:val="NoSpacing"/>
        <w:numPr>
          <w:ilvl w:val="0"/>
          <w:numId w:val="27"/>
        </w:numPr>
        <w:spacing w:before="120" w:after="120"/>
        <w:ind w:left="1195" w:hanging="475"/>
        <w:jc w:val="both"/>
        <w:rPr>
          <w:lang w:val="en-US"/>
        </w:rPr>
      </w:pPr>
      <w:r w:rsidRPr="00124DA6">
        <w:rPr>
          <w:lang w:val="en-US"/>
        </w:rPr>
        <w:t>P</w:t>
      </w:r>
      <w:r w:rsidR="00102FE0" w:rsidRPr="00124DA6">
        <w:rPr>
          <w:lang w:val="en-US"/>
        </w:rPr>
        <w:t>ension and social security institutions</w:t>
      </w:r>
      <w:r w:rsidR="00A31562">
        <w:rPr>
          <w:lang w:val="en-US"/>
        </w:rPr>
        <w:t>;</w:t>
      </w:r>
    </w:p>
    <w:p w14:paraId="5B9DAA2E" w14:textId="5D04AA66" w:rsidR="00102FE0" w:rsidRPr="00124DA6" w:rsidRDefault="00A7584F" w:rsidP="00A96892">
      <w:pPr>
        <w:pStyle w:val="NoSpacing"/>
        <w:numPr>
          <w:ilvl w:val="0"/>
          <w:numId w:val="27"/>
        </w:numPr>
        <w:spacing w:before="120" w:after="120"/>
        <w:ind w:left="1195" w:hanging="475"/>
        <w:jc w:val="both"/>
        <w:rPr>
          <w:lang w:val="en-US"/>
        </w:rPr>
      </w:pPr>
      <w:r w:rsidRPr="00124DA6">
        <w:rPr>
          <w:lang w:val="en-US"/>
        </w:rPr>
        <w:t>C</w:t>
      </w:r>
      <w:r w:rsidR="00102FE0" w:rsidRPr="00124DA6">
        <w:rPr>
          <w:lang w:val="en-US"/>
        </w:rPr>
        <w:t>ommercial banks</w:t>
      </w:r>
      <w:r w:rsidR="00A31562">
        <w:rPr>
          <w:lang w:val="en-US"/>
        </w:rPr>
        <w:t>;</w:t>
      </w:r>
    </w:p>
    <w:p w14:paraId="4A96A02B" w14:textId="1709F96D" w:rsidR="00102FE0" w:rsidRPr="00124DA6" w:rsidRDefault="00A327AC" w:rsidP="00A96892">
      <w:pPr>
        <w:pStyle w:val="NoSpacing"/>
        <w:numPr>
          <w:ilvl w:val="0"/>
          <w:numId w:val="27"/>
        </w:numPr>
        <w:spacing w:before="120" w:after="120"/>
        <w:ind w:left="1195" w:hanging="475"/>
        <w:jc w:val="both"/>
        <w:rPr>
          <w:lang w:val="en-US"/>
        </w:rPr>
      </w:pPr>
      <w:r w:rsidRPr="00124DA6">
        <w:rPr>
          <w:lang w:val="en-US"/>
        </w:rPr>
        <w:t>MFI</w:t>
      </w:r>
      <w:r w:rsidR="00102FE0" w:rsidRPr="00124DA6">
        <w:rPr>
          <w:lang w:val="en-US"/>
        </w:rPr>
        <w:t>s</w:t>
      </w:r>
      <w:r w:rsidR="00A31562">
        <w:rPr>
          <w:lang w:val="en-US"/>
        </w:rPr>
        <w:t>.</w:t>
      </w:r>
    </w:p>
    <w:p w14:paraId="0F8B7C52" w14:textId="7D40CC5B" w:rsidR="00102FE0" w:rsidRDefault="00A7584F" w:rsidP="00A96892">
      <w:pPr>
        <w:pStyle w:val="ListParagraph"/>
        <w:numPr>
          <w:ilvl w:val="0"/>
          <w:numId w:val="47"/>
        </w:numPr>
        <w:spacing w:after="240" w:line="240" w:lineRule="auto"/>
        <w:ind w:left="0" w:firstLine="0"/>
        <w:contextualSpacing w:val="0"/>
        <w:jc w:val="both"/>
        <w:rPr>
          <w:lang w:val="en-US"/>
        </w:rPr>
      </w:pPr>
      <w:r w:rsidRPr="00124DA6">
        <w:rPr>
          <w:b/>
          <w:lang w:val="en-US"/>
        </w:rPr>
        <w:t>C</w:t>
      </w:r>
      <w:r w:rsidR="00102FE0" w:rsidRPr="00124DA6">
        <w:rPr>
          <w:b/>
          <w:lang w:val="en-US"/>
        </w:rPr>
        <w:t xml:space="preserve">ollection work </w:t>
      </w:r>
      <w:r w:rsidRPr="00124DA6">
        <w:rPr>
          <w:b/>
          <w:lang w:val="en-US"/>
        </w:rPr>
        <w:t>aimed</w:t>
      </w:r>
      <w:r w:rsidR="00102FE0" w:rsidRPr="00124DA6">
        <w:rPr>
          <w:b/>
          <w:lang w:val="en-US"/>
        </w:rPr>
        <w:t xml:space="preserve"> to </w:t>
      </w:r>
      <w:r w:rsidR="00541D6F" w:rsidRPr="00124DA6">
        <w:rPr>
          <w:b/>
          <w:lang w:val="en-US"/>
        </w:rPr>
        <w:t>feed</w:t>
      </w:r>
      <w:r w:rsidR="00102FE0" w:rsidRPr="00124DA6">
        <w:rPr>
          <w:b/>
          <w:lang w:val="en-US"/>
        </w:rPr>
        <w:t xml:space="preserve"> a database to inform a grid/matrix of payments</w:t>
      </w:r>
      <w:r w:rsidR="00102FE0" w:rsidRPr="00124DA6">
        <w:rPr>
          <w:lang w:val="en-US"/>
        </w:rPr>
        <w:t>, detailing the flows in Benin</w:t>
      </w:r>
      <w:r w:rsidR="00141BD7">
        <w:rPr>
          <w:lang w:val="en-US"/>
        </w:rPr>
        <w:t>’</w:t>
      </w:r>
      <w:r w:rsidR="00102FE0" w:rsidRPr="00124DA6">
        <w:rPr>
          <w:lang w:val="en-US"/>
        </w:rPr>
        <w:t xml:space="preserve">s economy in terms of payer and payee (see </w:t>
      </w:r>
      <w:r w:rsidR="00BB5935" w:rsidRPr="00124DA6">
        <w:rPr>
          <w:lang w:val="en-US"/>
        </w:rPr>
        <w:fldChar w:fldCharType="begin"/>
      </w:r>
      <w:r w:rsidR="00BB5935" w:rsidRPr="00124DA6">
        <w:rPr>
          <w:lang w:val="en-US"/>
        </w:rPr>
        <w:instrText xml:space="preserve"> REF _Ref520371481 \h </w:instrText>
      </w:r>
      <w:r w:rsidR="00BB5935" w:rsidRPr="00124DA6">
        <w:rPr>
          <w:lang w:val="en-US"/>
        </w:rPr>
      </w:r>
      <w:r w:rsidR="00BB5935" w:rsidRPr="00124DA6">
        <w:rPr>
          <w:lang w:val="en-US"/>
        </w:rPr>
        <w:fldChar w:fldCharType="separate"/>
      </w:r>
      <w:r w:rsidR="004C6E5F" w:rsidRPr="00124DA6">
        <w:rPr>
          <w:lang w:val="en-US"/>
        </w:rPr>
        <w:t>Table</w:t>
      </w:r>
      <w:r w:rsidR="004C6E5F">
        <w:rPr>
          <w:lang w:val="en-US"/>
        </w:rPr>
        <w:t> </w:t>
      </w:r>
      <w:r w:rsidR="004C6E5F" w:rsidRPr="00124DA6">
        <w:rPr>
          <w:lang w:val="en-US"/>
        </w:rPr>
        <w:t>3.</w:t>
      </w:r>
      <w:r w:rsidR="004C6E5F">
        <w:rPr>
          <w:noProof/>
          <w:lang w:val="en-US"/>
        </w:rPr>
        <w:t>2</w:t>
      </w:r>
      <w:r w:rsidR="00BB5935" w:rsidRPr="00124DA6">
        <w:rPr>
          <w:lang w:val="en-US"/>
        </w:rPr>
        <w:fldChar w:fldCharType="end"/>
      </w:r>
      <w:r w:rsidR="00102FE0" w:rsidRPr="00124DA6">
        <w:rPr>
          <w:lang w:val="en-US"/>
        </w:rPr>
        <w:t>).</w:t>
      </w:r>
    </w:p>
    <w:p w14:paraId="76868DCC" w14:textId="39ECCCAC" w:rsidR="00102FE0" w:rsidRPr="00124DA6" w:rsidRDefault="003B0586" w:rsidP="003B0586">
      <w:pPr>
        <w:pStyle w:val="Caption"/>
        <w:rPr>
          <w:lang w:val="en-US"/>
        </w:rPr>
      </w:pPr>
      <w:bookmarkStart w:id="31" w:name="_Ref520371481"/>
      <w:r w:rsidRPr="00124DA6">
        <w:rPr>
          <w:lang w:val="en-US"/>
        </w:rPr>
        <w:t>Table</w:t>
      </w:r>
      <w:r w:rsidR="00C702B4">
        <w:rPr>
          <w:lang w:val="en-US"/>
        </w:rPr>
        <w:t> </w:t>
      </w:r>
      <w:r w:rsidRPr="00124DA6">
        <w:rPr>
          <w:lang w:val="en-US"/>
        </w:rPr>
        <w:t>3.</w:t>
      </w:r>
      <w:r w:rsidRPr="00124DA6">
        <w:rPr>
          <w:lang w:val="en-US"/>
        </w:rPr>
        <w:fldChar w:fldCharType="begin"/>
      </w:r>
      <w:r w:rsidRPr="00124DA6">
        <w:rPr>
          <w:lang w:val="en-US"/>
        </w:rPr>
        <w:instrText xml:space="preserve"> SEQ Table_3. \* ARABIC </w:instrText>
      </w:r>
      <w:r w:rsidRPr="00124DA6">
        <w:rPr>
          <w:lang w:val="en-US"/>
        </w:rPr>
        <w:fldChar w:fldCharType="separate"/>
      </w:r>
      <w:r w:rsidR="004C6E5F">
        <w:rPr>
          <w:noProof/>
          <w:lang w:val="en-US"/>
        </w:rPr>
        <w:t>2</w:t>
      </w:r>
      <w:r w:rsidRPr="00124DA6">
        <w:rPr>
          <w:lang w:val="en-US"/>
        </w:rPr>
        <w:fldChar w:fldCharType="end"/>
      </w:r>
      <w:bookmarkEnd w:id="31"/>
      <w:r w:rsidR="00102FE0" w:rsidRPr="00124DA6">
        <w:rPr>
          <w:lang w:val="en-US"/>
        </w:rPr>
        <w:t xml:space="preserve">: Payment Grid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4"/>
        <w:gridCol w:w="1716"/>
        <w:gridCol w:w="1295"/>
        <w:gridCol w:w="2356"/>
        <w:gridCol w:w="3725"/>
      </w:tblGrid>
      <w:tr w:rsidR="00BB5935" w:rsidRPr="00124DA6" w14:paraId="07E3EA02" w14:textId="77777777" w:rsidTr="00BB5935">
        <w:trPr>
          <w:trHeight w:val="209"/>
          <w:jc w:val="center"/>
        </w:trPr>
        <w:tc>
          <w:tcPr>
            <w:tcW w:w="5000" w:type="pct"/>
            <w:gridSpan w:val="5"/>
            <w:shd w:val="clear" w:color="auto" w:fill="auto"/>
            <w:tcMar>
              <w:top w:w="15" w:type="dxa"/>
              <w:left w:w="108" w:type="dxa"/>
              <w:bottom w:w="0" w:type="dxa"/>
              <w:right w:w="108" w:type="dxa"/>
            </w:tcMar>
            <w:vAlign w:val="center"/>
            <w:hideMark/>
          </w:tcPr>
          <w:p w14:paraId="22FABAFB" w14:textId="77777777" w:rsidR="00BB5935" w:rsidRPr="00124DA6" w:rsidRDefault="00BB5935" w:rsidP="00BB5935">
            <w:pPr>
              <w:spacing w:after="0" w:line="240" w:lineRule="auto"/>
              <w:jc w:val="center"/>
              <w:rPr>
                <w:sz w:val="20"/>
                <w:szCs w:val="18"/>
                <w:lang w:val="en-US"/>
              </w:rPr>
            </w:pPr>
            <w:r w:rsidRPr="00124DA6">
              <w:rPr>
                <w:b/>
                <w:bCs/>
                <w:sz w:val="20"/>
                <w:szCs w:val="18"/>
                <w:lang w:val="en-US"/>
              </w:rPr>
              <w:t>Payee</w:t>
            </w:r>
          </w:p>
        </w:tc>
      </w:tr>
      <w:tr w:rsidR="00BB5935" w:rsidRPr="00124DA6" w14:paraId="24FC09E3" w14:textId="77777777" w:rsidTr="00BB5935">
        <w:trPr>
          <w:trHeight w:val="209"/>
          <w:jc w:val="center"/>
        </w:trPr>
        <w:tc>
          <w:tcPr>
            <w:tcW w:w="253" w:type="pct"/>
            <w:vMerge w:val="restart"/>
            <w:shd w:val="clear" w:color="auto" w:fill="auto"/>
            <w:tcMar>
              <w:top w:w="15" w:type="dxa"/>
              <w:left w:w="108" w:type="dxa"/>
              <w:bottom w:w="0" w:type="dxa"/>
              <w:right w:w="108" w:type="dxa"/>
            </w:tcMar>
            <w:textDirection w:val="btLr"/>
            <w:vAlign w:val="center"/>
            <w:hideMark/>
          </w:tcPr>
          <w:p w14:paraId="4D94F264" w14:textId="77777777" w:rsidR="00BB5935" w:rsidRPr="00124DA6" w:rsidRDefault="00BB5935" w:rsidP="00BB5935">
            <w:pPr>
              <w:spacing w:after="0" w:line="240" w:lineRule="auto"/>
              <w:ind w:left="113" w:right="113"/>
              <w:jc w:val="center"/>
              <w:rPr>
                <w:sz w:val="20"/>
                <w:szCs w:val="18"/>
                <w:lang w:val="en-US"/>
              </w:rPr>
            </w:pPr>
            <w:r w:rsidRPr="00124DA6">
              <w:rPr>
                <w:b/>
                <w:bCs/>
                <w:sz w:val="20"/>
                <w:szCs w:val="18"/>
                <w:lang w:val="en-US"/>
              </w:rPr>
              <w:t>Payer</w:t>
            </w:r>
          </w:p>
        </w:tc>
        <w:tc>
          <w:tcPr>
            <w:tcW w:w="896" w:type="pct"/>
            <w:shd w:val="clear" w:color="auto" w:fill="auto"/>
            <w:tcMar>
              <w:top w:w="15" w:type="dxa"/>
              <w:left w:w="108" w:type="dxa"/>
              <w:bottom w:w="0" w:type="dxa"/>
              <w:right w:w="108" w:type="dxa"/>
            </w:tcMar>
            <w:hideMark/>
          </w:tcPr>
          <w:p w14:paraId="6623D1D9" w14:textId="77777777" w:rsidR="00BB5935" w:rsidRPr="00124DA6" w:rsidRDefault="00BB5935" w:rsidP="004C5D25">
            <w:pPr>
              <w:spacing w:after="0" w:line="240" w:lineRule="auto"/>
              <w:jc w:val="both"/>
              <w:rPr>
                <w:sz w:val="20"/>
                <w:szCs w:val="18"/>
                <w:lang w:val="en-US"/>
              </w:rPr>
            </w:pPr>
          </w:p>
        </w:tc>
        <w:tc>
          <w:tcPr>
            <w:tcW w:w="676" w:type="pct"/>
            <w:shd w:val="clear" w:color="auto" w:fill="auto"/>
            <w:tcMar>
              <w:top w:w="15" w:type="dxa"/>
              <w:left w:w="108" w:type="dxa"/>
              <w:bottom w:w="0" w:type="dxa"/>
              <w:right w:w="108" w:type="dxa"/>
            </w:tcMar>
            <w:vAlign w:val="center"/>
            <w:hideMark/>
          </w:tcPr>
          <w:p w14:paraId="073664C7" w14:textId="77777777" w:rsidR="00BB5935" w:rsidRPr="00124DA6" w:rsidRDefault="00BB5935" w:rsidP="00BB5935">
            <w:pPr>
              <w:spacing w:after="0" w:line="240" w:lineRule="auto"/>
              <w:jc w:val="center"/>
              <w:rPr>
                <w:sz w:val="20"/>
                <w:szCs w:val="18"/>
                <w:lang w:val="en-US"/>
              </w:rPr>
            </w:pPr>
            <w:r w:rsidRPr="00124DA6">
              <w:rPr>
                <w:b/>
                <w:bCs/>
                <w:sz w:val="20"/>
                <w:szCs w:val="18"/>
                <w:lang w:val="en-US"/>
              </w:rPr>
              <w:t>Government</w:t>
            </w:r>
          </w:p>
        </w:tc>
        <w:tc>
          <w:tcPr>
            <w:tcW w:w="1230" w:type="pct"/>
            <w:shd w:val="clear" w:color="auto" w:fill="auto"/>
            <w:tcMar>
              <w:top w:w="15" w:type="dxa"/>
              <w:left w:w="108" w:type="dxa"/>
              <w:bottom w:w="0" w:type="dxa"/>
              <w:right w:w="108" w:type="dxa"/>
            </w:tcMar>
            <w:vAlign w:val="center"/>
            <w:hideMark/>
          </w:tcPr>
          <w:p w14:paraId="4CC4CBD5" w14:textId="77777777" w:rsidR="00BB5935" w:rsidRPr="00124DA6" w:rsidRDefault="00BB5935" w:rsidP="00BB5935">
            <w:pPr>
              <w:spacing w:after="0" w:line="240" w:lineRule="auto"/>
              <w:jc w:val="center"/>
              <w:rPr>
                <w:sz w:val="20"/>
                <w:szCs w:val="18"/>
                <w:lang w:val="en-US"/>
              </w:rPr>
            </w:pPr>
            <w:r w:rsidRPr="00124DA6">
              <w:rPr>
                <w:b/>
                <w:bCs/>
                <w:sz w:val="20"/>
                <w:szCs w:val="18"/>
                <w:lang w:val="en-US"/>
              </w:rPr>
              <w:t>Business</w:t>
            </w:r>
          </w:p>
        </w:tc>
        <w:tc>
          <w:tcPr>
            <w:tcW w:w="1945" w:type="pct"/>
            <w:shd w:val="clear" w:color="auto" w:fill="auto"/>
            <w:tcMar>
              <w:top w:w="15" w:type="dxa"/>
              <w:left w:w="108" w:type="dxa"/>
              <w:bottom w:w="0" w:type="dxa"/>
              <w:right w:w="108" w:type="dxa"/>
            </w:tcMar>
            <w:vAlign w:val="center"/>
            <w:hideMark/>
          </w:tcPr>
          <w:p w14:paraId="34CC844B" w14:textId="77777777" w:rsidR="00BB5935" w:rsidRPr="00124DA6" w:rsidRDefault="00BB5935" w:rsidP="00BB5935">
            <w:pPr>
              <w:spacing w:after="0" w:line="240" w:lineRule="auto"/>
              <w:jc w:val="center"/>
              <w:rPr>
                <w:sz w:val="20"/>
                <w:szCs w:val="18"/>
                <w:lang w:val="en-US"/>
              </w:rPr>
            </w:pPr>
            <w:r w:rsidRPr="00124DA6">
              <w:rPr>
                <w:b/>
                <w:bCs/>
                <w:sz w:val="20"/>
                <w:szCs w:val="18"/>
                <w:lang w:val="en-US"/>
              </w:rPr>
              <w:t>Person (individual)</w:t>
            </w:r>
          </w:p>
        </w:tc>
      </w:tr>
      <w:tr w:rsidR="00BB5935" w:rsidRPr="008A6E7B" w14:paraId="10AEE8D0" w14:textId="77777777" w:rsidTr="00BB5935">
        <w:trPr>
          <w:trHeight w:val="569"/>
          <w:jc w:val="center"/>
        </w:trPr>
        <w:tc>
          <w:tcPr>
            <w:tcW w:w="253" w:type="pct"/>
            <w:vMerge/>
            <w:shd w:val="clear" w:color="auto" w:fill="auto"/>
            <w:tcMar>
              <w:top w:w="15" w:type="dxa"/>
              <w:left w:w="108" w:type="dxa"/>
              <w:bottom w:w="0" w:type="dxa"/>
              <w:right w:w="108" w:type="dxa"/>
            </w:tcMar>
            <w:textDirection w:val="btLr"/>
            <w:vAlign w:val="center"/>
            <w:hideMark/>
          </w:tcPr>
          <w:p w14:paraId="74141EBB" w14:textId="77777777" w:rsidR="00BB5935" w:rsidRPr="00124DA6" w:rsidRDefault="00BB5935" w:rsidP="004C5D25">
            <w:pPr>
              <w:spacing w:after="0" w:line="240" w:lineRule="auto"/>
              <w:jc w:val="center"/>
              <w:rPr>
                <w:sz w:val="20"/>
                <w:szCs w:val="18"/>
                <w:lang w:val="en-US"/>
              </w:rPr>
            </w:pPr>
          </w:p>
        </w:tc>
        <w:tc>
          <w:tcPr>
            <w:tcW w:w="896" w:type="pct"/>
            <w:shd w:val="clear" w:color="auto" w:fill="auto"/>
            <w:tcMar>
              <w:top w:w="15" w:type="dxa"/>
              <w:left w:w="108" w:type="dxa"/>
              <w:bottom w:w="0" w:type="dxa"/>
              <w:right w:w="108" w:type="dxa"/>
            </w:tcMar>
            <w:vAlign w:val="center"/>
            <w:hideMark/>
          </w:tcPr>
          <w:p w14:paraId="42EBE0E6" w14:textId="77777777" w:rsidR="00BB5935" w:rsidRPr="00124DA6" w:rsidRDefault="00BB5935" w:rsidP="00BB5935">
            <w:pPr>
              <w:spacing w:after="0" w:line="240" w:lineRule="auto"/>
              <w:rPr>
                <w:sz w:val="20"/>
                <w:szCs w:val="18"/>
                <w:lang w:val="en-US"/>
              </w:rPr>
            </w:pPr>
            <w:r w:rsidRPr="00124DA6">
              <w:rPr>
                <w:b/>
                <w:bCs/>
                <w:sz w:val="20"/>
                <w:szCs w:val="18"/>
                <w:lang w:val="en-US"/>
              </w:rPr>
              <w:t>Government</w:t>
            </w:r>
          </w:p>
        </w:tc>
        <w:tc>
          <w:tcPr>
            <w:tcW w:w="676" w:type="pct"/>
            <w:shd w:val="clear" w:color="auto" w:fill="auto"/>
            <w:tcMar>
              <w:top w:w="15" w:type="dxa"/>
              <w:left w:w="108" w:type="dxa"/>
              <w:bottom w:w="0" w:type="dxa"/>
              <w:right w:w="108" w:type="dxa"/>
            </w:tcMar>
            <w:vAlign w:val="center"/>
            <w:hideMark/>
          </w:tcPr>
          <w:p w14:paraId="6E1F9FDC" w14:textId="77777777" w:rsidR="00BB5935" w:rsidRPr="00124DA6" w:rsidRDefault="00BB5935" w:rsidP="004C5D25">
            <w:pPr>
              <w:spacing w:after="0" w:line="240" w:lineRule="auto"/>
              <w:jc w:val="both"/>
              <w:rPr>
                <w:sz w:val="20"/>
                <w:szCs w:val="18"/>
                <w:lang w:val="en-US"/>
              </w:rPr>
            </w:pPr>
          </w:p>
        </w:tc>
        <w:tc>
          <w:tcPr>
            <w:tcW w:w="1230" w:type="pct"/>
            <w:shd w:val="clear" w:color="auto" w:fill="auto"/>
            <w:tcMar>
              <w:top w:w="15" w:type="dxa"/>
              <w:left w:w="108" w:type="dxa"/>
              <w:bottom w:w="0" w:type="dxa"/>
              <w:right w:w="108" w:type="dxa"/>
            </w:tcMar>
            <w:vAlign w:val="center"/>
            <w:hideMark/>
          </w:tcPr>
          <w:p w14:paraId="4E449FA0" w14:textId="77777777" w:rsidR="00BB5935" w:rsidRPr="00124DA6" w:rsidRDefault="00BB5935" w:rsidP="004C5D25">
            <w:pPr>
              <w:spacing w:after="0" w:line="240" w:lineRule="auto"/>
              <w:jc w:val="both"/>
              <w:rPr>
                <w:sz w:val="20"/>
                <w:szCs w:val="18"/>
                <w:lang w:val="en-US"/>
              </w:rPr>
            </w:pPr>
          </w:p>
        </w:tc>
        <w:tc>
          <w:tcPr>
            <w:tcW w:w="1945" w:type="pct"/>
            <w:shd w:val="clear" w:color="auto" w:fill="auto"/>
            <w:tcMar>
              <w:top w:w="15" w:type="dxa"/>
              <w:left w:w="108" w:type="dxa"/>
              <w:bottom w:w="0" w:type="dxa"/>
              <w:right w:w="108" w:type="dxa"/>
            </w:tcMar>
            <w:vAlign w:val="center"/>
            <w:hideMark/>
          </w:tcPr>
          <w:p w14:paraId="39AC9BC3" w14:textId="77777777" w:rsidR="00BB5935" w:rsidRPr="00124DA6" w:rsidRDefault="00BB5935" w:rsidP="004C5D25">
            <w:pPr>
              <w:spacing w:after="0" w:line="240" w:lineRule="auto"/>
              <w:jc w:val="both"/>
              <w:rPr>
                <w:sz w:val="20"/>
                <w:szCs w:val="18"/>
                <w:lang w:val="en-US"/>
              </w:rPr>
            </w:pPr>
            <w:r w:rsidRPr="00124DA6">
              <w:rPr>
                <w:b/>
                <w:bCs/>
                <w:sz w:val="20"/>
                <w:szCs w:val="18"/>
                <w:lang w:val="en-US"/>
              </w:rPr>
              <w:t>G2P</w:t>
            </w:r>
          </w:p>
          <w:p w14:paraId="2DE04B20" w14:textId="77777777" w:rsidR="00BB5935" w:rsidRPr="00124DA6" w:rsidRDefault="00BB5935" w:rsidP="004C5D25">
            <w:pPr>
              <w:spacing w:after="0" w:line="240" w:lineRule="auto"/>
              <w:jc w:val="both"/>
              <w:rPr>
                <w:sz w:val="20"/>
                <w:szCs w:val="18"/>
                <w:lang w:val="en-US"/>
              </w:rPr>
            </w:pPr>
            <w:r w:rsidRPr="00124DA6">
              <w:rPr>
                <w:sz w:val="20"/>
                <w:szCs w:val="18"/>
                <w:lang w:val="en-US"/>
              </w:rPr>
              <w:t>Salaries and retirement pensions of public officers</w:t>
            </w:r>
          </w:p>
        </w:tc>
      </w:tr>
      <w:tr w:rsidR="00BB5935" w:rsidRPr="00124DA6" w14:paraId="1C01BE0A" w14:textId="77777777" w:rsidTr="00BB5935">
        <w:trPr>
          <w:trHeight w:val="533"/>
          <w:jc w:val="center"/>
        </w:trPr>
        <w:tc>
          <w:tcPr>
            <w:tcW w:w="253" w:type="pct"/>
            <w:vMerge/>
            <w:vAlign w:val="center"/>
            <w:hideMark/>
          </w:tcPr>
          <w:p w14:paraId="21263367" w14:textId="77777777" w:rsidR="00BB5935" w:rsidRPr="00124DA6" w:rsidRDefault="00BB5935" w:rsidP="004C5D25">
            <w:pPr>
              <w:spacing w:after="0" w:line="240" w:lineRule="auto"/>
              <w:jc w:val="both"/>
              <w:rPr>
                <w:sz w:val="20"/>
                <w:szCs w:val="18"/>
                <w:lang w:val="en-US"/>
              </w:rPr>
            </w:pPr>
          </w:p>
        </w:tc>
        <w:tc>
          <w:tcPr>
            <w:tcW w:w="896" w:type="pct"/>
            <w:shd w:val="clear" w:color="auto" w:fill="auto"/>
            <w:tcMar>
              <w:top w:w="15" w:type="dxa"/>
              <w:left w:w="108" w:type="dxa"/>
              <w:bottom w:w="0" w:type="dxa"/>
              <w:right w:w="108" w:type="dxa"/>
            </w:tcMar>
            <w:vAlign w:val="center"/>
            <w:hideMark/>
          </w:tcPr>
          <w:p w14:paraId="518EC6F7" w14:textId="77777777" w:rsidR="00BB5935" w:rsidRPr="00124DA6" w:rsidRDefault="00BB5935" w:rsidP="00BB5935">
            <w:pPr>
              <w:spacing w:after="0" w:line="240" w:lineRule="auto"/>
              <w:rPr>
                <w:sz w:val="20"/>
                <w:szCs w:val="18"/>
                <w:lang w:val="en-US"/>
              </w:rPr>
            </w:pPr>
            <w:r w:rsidRPr="00124DA6">
              <w:rPr>
                <w:b/>
                <w:bCs/>
                <w:sz w:val="20"/>
                <w:szCs w:val="18"/>
                <w:lang w:val="en-US"/>
              </w:rPr>
              <w:t>Person (individual)</w:t>
            </w:r>
          </w:p>
        </w:tc>
        <w:tc>
          <w:tcPr>
            <w:tcW w:w="676" w:type="pct"/>
            <w:shd w:val="clear" w:color="auto" w:fill="auto"/>
            <w:tcMar>
              <w:top w:w="15" w:type="dxa"/>
              <w:left w:w="108" w:type="dxa"/>
              <w:bottom w:w="0" w:type="dxa"/>
              <w:right w:w="108" w:type="dxa"/>
            </w:tcMar>
            <w:vAlign w:val="center"/>
            <w:hideMark/>
          </w:tcPr>
          <w:p w14:paraId="6D73D5AF" w14:textId="77777777" w:rsidR="00BB5935" w:rsidRPr="00124DA6" w:rsidRDefault="00BB5935" w:rsidP="004C5D25">
            <w:pPr>
              <w:spacing w:after="0" w:line="240" w:lineRule="auto"/>
              <w:jc w:val="both"/>
              <w:rPr>
                <w:sz w:val="20"/>
                <w:szCs w:val="18"/>
                <w:lang w:val="en-US"/>
              </w:rPr>
            </w:pPr>
            <w:r w:rsidRPr="00124DA6">
              <w:rPr>
                <w:b/>
                <w:bCs/>
                <w:sz w:val="20"/>
                <w:szCs w:val="18"/>
                <w:lang w:val="en-US"/>
              </w:rPr>
              <w:t>P2G</w:t>
            </w:r>
          </w:p>
          <w:p w14:paraId="0FD98041" w14:textId="77777777" w:rsidR="00BB5935" w:rsidRPr="00124DA6" w:rsidRDefault="00BB5935" w:rsidP="004C5D25">
            <w:pPr>
              <w:pStyle w:val="NoSpacing"/>
              <w:jc w:val="both"/>
              <w:rPr>
                <w:sz w:val="20"/>
                <w:szCs w:val="18"/>
                <w:lang w:val="en-US"/>
              </w:rPr>
            </w:pPr>
            <w:r w:rsidRPr="00124DA6">
              <w:rPr>
                <w:sz w:val="20"/>
                <w:szCs w:val="18"/>
                <w:lang w:val="en-US"/>
              </w:rPr>
              <w:t>Taxes</w:t>
            </w:r>
          </w:p>
        </w:tc>
        <w:tc>
          <w:tcPr>
            <w:tcW w:w="1230" w:type="pct"/>
            <w:shd w:val="clear" w:color="auto" w:fill="auto"/>
            <w:tcMar>
              <w:top w:w="15" w:type="dxa"/>
              <w:left w:w="108" w:type="dxa"/>
              <w:bottom w:w="0" w:type="dxa"/>
              <w:right w:w="108" w:type="dxa"/>
            </w:tcMar>
            <w:vAlign w:val="center"/>
            <w:hideMark/>
          </w:tcPr>
          <w:p w14:paraId="261A03D3" w14:textId="77777777" w:rsidR="00BB5935" w:rsidRPr="00124DA6" w:rsidRDefault="00BB5935" w:rsidP="004C5D25">
            <w:pPr>
              <w:spacing w:after="0" w:line="240" w:lineRule="auto"/>
              <w:jc w:val="both"/>
              <w:rPr>
                <w:b/>
                <w:bCs/>
                <w:sz w:val="20"/>
                <w:szCs w:val="18"/>
                <w:lang w:val="en-US"/>
              </w:rPr>
            </w:pPr>
            <w:r w:rsidRPr="00124DA6">
              <w:rPr>
                <w:b/>
                <w:bCs/>
                <w:sz w:val="20"/>
                <w:szCs w:val="18"/>
                <w:lang w:val="en-US"/>
              </w:rPr>
              <w:t>P2B</w:t>
            </w:r>
          </w:p>
          <w:p w14:paraId="4F1170B2" w14:textId="77777777" w:rsidR="00BB5935" w:rsidRPr="00124DA6" w:rsidRDefault="00BB5935" w:rsidP="004C5D25">
            <w:pPr>
              <w:spacing w:after="0" w:line="240" w:lineRule="auto"/>
              <w:jc w:val="both"/>
              <w:rPr>
                <w:sz w:val="20"/>
                <w:szCs w:val="18"/>
                <w:lang w:val="en-US"/>
              </w:rPr>
            </w:pPr>
            <w:r w:rsidRPr="00124DA6">
              <w:rPr>
                <w:sz w:val="20"/>
                <w:szCs w:val="18"/>
                <w:lang w:val="en-US"/>
              </w:rPr>
              <w:t>Purchases of consumer goods</w:t>
            </w:r>
          </w:p>
        </w:tc>
        <w:tc>
          <w:tcPr>
            <w:tcW w:w="1945" w:type="pct"/>
            <w:shd w:val="clear" w:color="auto" w:fill="auto"/>
            <w:tcMar>
              <w:top w:w="15" w:type="dxa"/>
              <w:left w:w="108" w:type="dxa"/>
              <w:bottom w:w="0" w:type="dxa"/>
              <w:right w:w="108" w:type="dxa"/>
            </w:tcMar>
            <w:vAlign w:val="center"/>
            <w:hideMark/>
          </w:tcPr>
          <w:p w14:paraId="6B1D3B99" w14:textId="77777777" w:rsidR="00BB5935" w:rsidRPr="00124DA6" w:rsidRDefault="00BB5935" w:rsidP="004C5D25">
            <w:pPr>
              <w:spacing w:after="0" w:line="240" w:lineRule="auto"/>
              <w:jc w:val="both"/>
              <w:rPr>
                <w:sz w:val="20"/>
                <w:szCs w:val="18"/>
                <w:lang w:val="en-US"/>
              </w:rPr>
            </w:pPr>
            <w:r w:rsidRPr="00124DA6">
              <w:rPr>
                <w:b/>
                <w:bCs/>
                <w:sz w:val="20"/>
                <w:szCs w:val="18"/>
                <w:lang w:val="en-US"/>
              </w:rPr>
              <w:t>P2P</w:t>
            </w:r>
          </w:p>
          <w:p w14:paraId="5B843BBD" w14:textId="77777777" w:rsidR="00BB5935" w:rsidRPr="00124DA6" w:rsidRDefault="00BB5935" w:rsidP="004C5D25">
            <w:pPr>
              <w:pStyle w:val="NoSpacing"/>
              <w:jc w:val="both"/>
              <w:rPr>
                <w:sz w:val="20"/>
                <w:szCs w:val="18"/>
                <w:lang w:val="en-US"/>
              </w:rPr>
            </w:pPr>
            <w:r w:rsidRPr="00124DA6">
              <w:rPr>
                <w:sz w:val="20"/>
                <w:szCs w:val="18"/>
                <w:lang w:val="en-US"/>
              </w:rPr>
              <w:t xml:space="preserve">Money transfers </w:t>
            </w:r>
          </w:p>
          <w:p w14:paraId="7AF4B5DF" w14:textId="77777777" w:rsidR="00BB5935" w:rsidRPr="00124DA6" w:rsidRDefault="00BB5935" w:rsidP="004C5D25">
            <w:pPr>
              <w:pStyle w:val="NoSpacing"/>
              <w:jc w:val="both"/>
              <w:rPr>
                <w:sz w:val="20"/>
                <w:szCs w:val="18"/>
                <w:lang w:val="en-US"/>
              </w:rPr>
            </w:pPr>
            <w:r w:rsidRPr="00124DA6">
              <w:rPr>
                <w:sz w:val="20"/>
                <w:szCs w:val="18"/>
                <w:lang w:val="en-US"/>
              </w:rPr>
              <w:t xml:space="preserve">Provision of funds </w:t>
            </w:r>
          </w:p>
          <w:p w14:paraId="18F221A7" w14:textId="77777777" w:rsidR="00BB5935" w:rsidRPr="00124DA6" w:rsidRDefault="00BB5935" w:rsidP="003B0586">
            <w:pPr>
              <w:pStyle w:val="NoSpacing"/>
              <w:keepNext/>
              <w:jc w:val="both"/>
              <w:rPr>
                <w:sz w:val="20"/>
                <w:lang w:val="en-US"/>
              </w:rPr>
            </w:pPr>
            <w:r w:rsidRPr="00124DA6">
              <w:rPr>
                <w:sz w:val="20"/>
                <w:szCs w:val="18"/>
                <w:lang w:val="en-US"/>
              </w:rPr>
              <w:t xml:space="preserve">Money order </w:t>
            </w:r>
          </w:p>
        </w:tc>
      </w:tr>
    </w:tbl>
    <w:p w14:paraId="09E44C38" w14:textId="77777777" w:rsidR="00102FE0" w:rsidRPr="00124DA6" w:rsidRDefault="00102FE0" w:rsidP="003B0586">
      <w:pPr>
        <w:pStyle w:val="Caption"/>
        <w:spacing w:before="0" w:after="0"/>
        <w:rPr>
          <w:lang w:val="en-US"/>
        </w:rPr>
      </w:pPr>
    </w:p>
    <w:p w14:paraId="164CB7DE" w14:textId="4C74C803" w:rsidR="00102FE0" w:rsidRPr="00124DA6" w:rsidRDefault="00102FE0" w:rsidP="00A96892">
      <w:pPr>
        <w:pStyle w:val="ListParagraph"/>
        <w:numPr>
          <w:ilvl w:val="0"/>
          <w:numId w:val="47"/>
        </w:numPr>
        <w:spacing w:after="240" w:line="240" w:lineRule="auto"/>
        <w:ind w:left="0" w:firstLine="0"/>
        <w:contextualSpacing w:val="0"/>
        <w:jc w:val="both"/>
        <w:rPr>
          <w:lang w:val="en-US"/>
        </w:rPr>
      </w:pPr>
      <w:r w:rsidRPr="00124DA6">
        <w:rPr>
          <w:b/>
          <w:lang w:val="en-US"/>
        </w:rPr>
        <w:t>The collection phase was followed by bilateral meetings with the main players in the retail payment ecosystem</w:t>
      </w:r>
      <w:r w:rsidR="00541D6F" w:rsidRPr="00124DA6">
        <w:rPr>
          <w:lang w:val="en-US"/>
        </w:rPr>
        <w:t xml:space="preserve">. </w:t>
      </w:r>
      <w:r w:rsidRPr="00124DA6">
        <w:rPr>
          <w:lang w:val="en-US"/>
        </w:rPr>
        <w:t>The meetings allowed</w:t>
      </w:r>
      <w:r w:rsidR="00541D6F" w:rsidRPr="00124DA6">
        <w:rPr>
          <w:lang w:val="en-US"/>
        </w:rPr>
        <w:t xml:space="preserve"> (</w:t>
      </w:r>
      <w:r w:rsidR="00CE5FE6" w:rsidRPr="00124DA6">
        <w:rPr>
          <w:lang w:val="en-US"/>
        </w:rPr>
        <w:t>a</w:t>
      </w:r>
      <w:r w:rsidR="00541D6F" w:rsidRPr="00124DA6">
        <w:rPr>
          <w:lang w:val="en-US"/>
        </w:rPr>
        <w:t xml:space="preserve">) </w:t>
      </w:r>
      <w:r w:rsidRPr="00124DA6">
        <w:rPr>
          <w:lang w:val="en-US"/>
        </w:rPr>
        <w:t>get</w:t>
      </w:r>
      <w:r w:rsidR="00CE5FE6" w:rsidRPr="00124DA6">
        <w:rPr>
          <w:lang w:val="en-US"/>
        </w:rPr>
        <w:t>ting</w:t>
      </w:r>
      <w:r w:rsidRPr="00124DA6">
        <w:rPr>
          <w:lang w:val="en-US"/>
        </w:rPr>
        <w:t xml:space="preserve"> an overview of the reality of the Beninese society with regard to retail payments;</w:t>
      </w:r>
      <w:r w:rsidR="00541D6F" w:rsidRPr="00124DA6">
        <w:rPr>
          <w:lang w:val="en-US"/>
        </w:rPr>
        <w:t xml:space="preserve"> (</w:t>
      </w:r>
      <w:r w:rsidR="00CE5FE6" w:rsidRPr="00124DA6">
        <w:rPr>
          <w:lang w:val="en-US"/>
        </w:rPr>
        <w:t>b</w:t>
      </w:r>
      <w:r w:rsidR="00541D6F" w:rsidRPr="00124DA6">
        <w:rPr>
          <w:lang w:val="en-US"/>
        </w:rPr>
        <w:t xml:space="preserve">) </w:t>
      </w:r>
      <w:r w:rsidRPr="00124DA6">
        <w:rPr>
          <w:lang w:val="en-US"/>
        </w:rPr>
        <w:t>identify</w:t>
      </w:r>
      <w:r w:rsidR="00CE5FE6" w:rsidRPr="00124DA6">
        <w:rPr>
          <w:lang w:val="en-US"/>
        </w:rPr>
        <w:t>ing</w:t>
      </w:r>
      <w:r w:rsidRPr="00124DA6">
        <w:rPr>
          <w:lang w:val="en-US"/>
        </w:rPr>
        <w:t xml:space="preserve"> the challenges associated with different types of payment methods (cash, check, transfer, card, electronic money);</w:t>
      </w:r>
      <w:r w:rsidR="00541D6F" w:rsidRPr="00124DA6">
        <w:rPr>
          <w:lang w:val="en-US"/>
        </w:rPr>
        <w:t xml:space="preserve"> (</w:t>
      </w:r>
      <w:r w:rsidR="00CE5FE6" w:rsidRPr="00124DA6">
        <w:rPr>
          <w:lang w:val="en-US"/>
        </w:rPr>
        <w:t>c</w:t>
      </w:r>
      <w:r w:rsidR="00541D6F" w:rsidRPr="00124DA6">
        <w:rPr>
          <w:lang w:val="en-US"/>
        </w:rPr>
        <w:t xml:space="preserve">) </w:t>
      </w:r>
      <w:r w:rsidRPr="00124DA6">
        <w:rPr>
          <w:lang w:val="en-US"/>
        </w:rPr>
        <w:t>identify</w:t>
      </w:r>
      <w:r w:rsidR="00CE5FE6" w:rsidRPr="00124DA6">
        <w:rPr>
          <w:lang w:val="en-US"/>
        </w:rPr>
        <w:t>ing</w:t>
      </w:r>
      <w:r w:rsidRPr="00124DA6">
        <w:rPr>
          <w:lang w:val="en-US"/>
        </w:rPr>
        <w:t xml:space="preserve"> the digitization of payments projects at the level of different institutions: the government, the private sector</w:t>
      </w:r>
      <w:r w:rsidR="00CE5FE6" w:rsidRPr="00124DA6">
        <w:rPr>
          <w:lang w:val="en-US"/>
        </w:rPr>
        <w:t>, and so on</w:t>
      </w:r>
      <w:r w:rsidRPr="00124DA6">
        <w:rPr>
          <w:lang w:val="en-US"/>
        </w:rPr>
        <w:t>;</w:t>
      </w:r>
      <w:r w:rsidR="00541D6F" w:rsidRPr="00124DA6">
        <w:rPr>
          <w:lang w:val="en-US"/>
        </w:rPr>
        <w:t xml:space="preserve"> (</w:t>
      </w:r>
      <w:r w:rsidR="00CE5FE6" w:rsidRPr="00124DA6">
        <w:rPr>
          <w:lang w:val="en-US"/>
        </w:rPr>
        <w:t>d</w:t>
      </w:r>
      <w:r w:rsidR="00541D6F" w:rsidRPr="00124DA6">
        <w:rPr>
          <w:lang w:val="en-US"/>
        </w:rPr>
        <w:t xml:space="preserve">) </w:t>
      </w:r>
      <w:r w:rsidRPr="00124DA6">
        <w:rPr>
          <w:lang w:val="en-US"/>
        </w:rPr>
        <w:t>identify</w:t>
      </w:r>
      <w:r w:rsidR="00CE5FE6" w:rsidRPr="00124DA6">
        <w:rPr>
          <w:lang w:val="en-US"/>
        </w:rPr>
        <w:t>ing</w:t>
      </w:r>
      <w:r w:rsidRPr="00124DA6">
        <w:rPr>
          <w:lang w:val="en-US"/>
        </w:rPr>
        <w:t xml:space="preserve"> the expectations and challenges of the various players for the digitalization of retail payments;</w:t>
      </w:r>
      <w:r w:rsidR="00541D6F" w:rsidRPr="00124DA6">
        <w:rPr>
          <w:lang w:val="en-US"/>
        </w:rPr>
        <w:t xml:space="preserve"> </w:t>
      </w:r>
      <w:r w:rsidR="00CE5FE6" w:rsidRPr="00124DA6">
        <w:rPr>
          <w:lang w:val="en-US"/>
        </w:rPr>
        <w:t xml:space="preserve">and </w:t>
      </w:r>
      <w:r w:rsidR="00541D6F" w:rsidRPr="00124DA6">
        <w:rPr>
          <w:lang w:val="en-US"/>
        </w:rPr>
        <w:t>(</w:t>
      </w:r>
      <w:r w:rsidR="00CE5FE6" w:rsidRPr="00124DA6">
        <w:rPr>
          <w:lang w:val="en-US"/>
        </w:rPr>
        <w:t>e</w:t>
      </w:r>
      <w:r w:rsidR="00541D6F" w:rsidRPr="00124DA6">
        <w:rPr>
          <w:lang w:val="en-US"/>
        </w:rPr>
        <w:t xml:space="preserve">) </w:t>
      </w:r>
      <w:r w:rsidRPr="00124DA6">
        <w:rPr>
          <w:lang w:val="en-US"/>
        </w:rPr>
        <w:t>identify</w:t>
      </w:r>
      <w:r w:rsidR="00CE5FE6" w:rsidRPr="00124DA6">
        <w:rPr>
          <w:lang w:val="en-US"/>
        </w:rPr>
        <w:t>ing</w:t>
      </w:r>
      <w:r w:rsidRPr="00124DA6">
        <w:rPr>
          <w:lang w:val="en-US"/>
        </w:rPr>
        <w:t xml:space="preserve"> challenges to the digitalization of retail payments.</w:t>
      </w:r>
      <w:r w:rsidR="00541D6F" w:rsidRPr="00124DA6">
        <w:rPr>
          <w:lang w:val="en-US"/>
        </w:rPr>
        <w:t xml:space="preserve"> </w:t>
      </w:r>
      <w:r w:rsidRPr="00124DA6">
        <w:rPr>
          <w:lang w:val="en-US"/>
        </w:rPr>
        <w:t xml:space="preserve">The results </w:t>
      </w:r>
      <w:r w:rsidR="00B073D3">
        <w:rPr>
          <w:lang w:val="en-US"/>
        </w:rPr>
        <w:t>of</w:t>
      </w:r>
      <w:r w:rsidRPr="00124DA6">
        <w:rPr>
          <w:lang w:val="en-US"/>
        </w:rPr>
        <w:t xml:space="preserve"> this study are therefore based on the quantitative and qualitative information provided by the stakeholders interviewed, </w:t>
      </w:r>
      <w:r w:rsidR="00CE5FE6" w:rsidRPr="00124DA6">
        <w:rPr>
          <w:lang w:val="en-US"/>
        </w:rPr>
        <w:t>that is,</w:t>
      </w:r>
      <w:r w:rsidRPr="00124DA6">
        <w:rPr>
          <w:lang w:val="en-US"/>
        </w:rPr>
        <w:t xml:space="preserve"> a declarative approach.</w:t>
      </w:r>
    </w:p>
    <w:p w14:paraId="62436621" w14:textId="77777777" w:rsidR="00A96892" w:rsidRDefault="00A96892">
      <w:pPr>
        <w:rPr>
          <w:rFonts w:asciiTheme="majorHAnsi" w:eastAsiaTheme="majorEastAsia" w:hAnsiTheme="majorHAnsi" w:cstheme="majorBidi"/>
          <w:color w:val="2E74B5" w:themeColor="accent1" w:themeShade="BF"/>
          <w:sz w:val="26"/>
          <w:szCs w:val="26"/>
          <w:lang w:val="en-US"/>
        </w:rPr>
      </w:pPr>
      <w:r>
        <w:rPr>
          <w:lang w:val="en-US"/>
        </w:rPr>
        <w:br w:type="page"/>
      </w:r>
    </w:p>
    <w:p w14:paraId="183689FB" w14:textId="785B511B" w:rsidR="00102FE0" w:rsidRPr="00A96892" w:rsidRDefault="003B0586" w:rsidP="003B0586">
      <w:pPr>
        <w:pStyle w:val="Heading2"/>
        <w:rPr>
          <w:b/>
          <w:lang w:val="en-US"/>
        </w:rPr>
      </w:pPr>
      <w:bookmarkStart w:id="32" w:name="_Toc3975136"/>
      <w:r w:rsidRPr="00A96892">
        <w:rPr>
          <w:b/>
          <w:lang w:val="en-US"/>
        </w:rPr>
        <w:t xml:space="preserve">3.2 </w:t>
      </w:r>
      <w:r w:rsidR="00A2442A" w:rsidRPr="00A96892">
        <w:rPr>
          <w:b/>
          <w:lang w:val="en-US"/>
        </w:rPr>
        <w:t xml:space="preserve">Retail Payment Flows </w:t>
      </w:r>
      <w:r w:rsidR="00102FE0" w:rsidRPr="00A96892">
        <w:rPr>
          <w:b/>
          <w:lang w:val="en-US"/>
        </w:rPr>
        <w:t>(G2P, P2G, P2P)</w:t>
      </w:r>
      <w:bookmarkEnd w:id="3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6"/>
      </w:tblGrid>
      <w:tr w:rsidR="002D2D7A" w:rsidRPr="008A6E7B" w14:paraId="7257B9A6" w14:textId="77777777" w:rsidTr="002D2D7A">
        <w:tc>
          <w:tcPr>
            <w:tcW w:w="9350" w:type="dxa"/>
          </w:tcPr>
          <w:p w14:paraId="7F581CD9" w14:textId="3729F9A6" w:rsidR="002D2D7A" w:rsidRPr="00A96892" w:rsidRDefault="002D2D7A" w:rsidP="002D2D7A">
            <w:pPr>
              <w:pStyle w:val="Caption"/>
              <w:spacing w:before="0"/>
              <w:rPr>
                <w:b/>
              </w:rPr>
            </w:pPr>
            <w:r w:rsidRPr="00A96892">
              <w:rPr>
                <w:b/>
              </w:rPr>
              <w:t>Table</w:t>
            </w:r>
            <w:r w:rsidR="00C702B4" w:rsidRPr="00A96892">
              <w:rPr>
                <w:b/>
              </w:rPr>
              <w:t> </w:t>
            </w:r>
            <w:r w:rsidRPr="00A96892">
              <w:rPr>
                <w:b/>
              </w:rPr>
              <w:t>3.</w:t>
            </w:r>
            <w:r w:rsidRPr="00A96892">
              <w:rPr>
                <w:b/>
              </w:rPr>
              <w:fldChar w:fldCharType="begin"/>
            </w:r>
            <w:r w:rsidRPr="00A96892">
              <w:rPr>
                <w:b/>
              </w:rPr>
              <w:instrText xml:space="preserve"> SEQ Table_3. \* ARABIC </w:instrText>
            </w:r>
            <w:r w:rsidRPr="00A96892">
              <w:rPr>
                <w:b/>
              </w:rPr>
              <w:fldChar w:fldCharType="separate"/>
            </w:r>
            <w:r w:rsidR="004C6E5F" w:rsidRPr="00A96892">
              <w:rPr>
                <w:b/>
                <w:noProof/>
              </w:rPr>
              <w:t>3</w:t>
            </w:r>
            <w:r w:rsidRPr="00A96892">
              <w:rPr>
                <w:b/>
              </w:rPr>
              <w:fldChar w:fldCharType="end"/>
            </w:r>
            <w:r w:rsidRPr="00A96892">
              <w:rPr>
                <w:b/>
              </w:rPr>
              <w:t xml:space="preserve">: Retail payment flows grid </w:t>
            </w:r>
          </w:p>
        </w:tc>
      </w:tr>
      <w:tr w:rsidR="002D2D7A" w:rsidRPr="00124DA6" w14:paraId="26C0832F" w14:textId="77777777" w:rsidTr="002D2D7A">
        <w:tc>
          <w:tcPr>
            <w:tcW w:w="9350" w:type="dxa"/>
          </w:tcPr>
          <w:p w14:paraId="2A7A0938" w14:textId="77777777" w:rsidR="002D2D7A" w:rsidRPr="00124DA6" w:rsidRDefault="002D2D7A" w:rsidP="00CB53AD">
            <w:pPr>
              <w:keepNext/>
              <w:jc w:val="center"/>
              <w:rPr>
                <w:sz w:val="12"/>
                <w:szCs w:val="12"/>
              </w:rPr>
            </w:pPr>
            <w:r w:rsidRPr="00124DA6">
              <w:rPr>
                <w:rFonts w:eastAsiaTheme="majorEastAsia" w:cstheme="majorBidi"/>
                <w:noProof/>
                <w:lang w:eastAsia="fr-FR"/>
              </w:rPr>
              <w:drawing>
                <wp:inline distT="0" distB="0" distL="0" distR="0" wp14:anchorId="7DF5A927" wp14:editId="6A70FE4D">
                  <wp:extent cx="5804452" cy="1524561"/>
                  <wp:effectExtent l="0" t="0" r="6350" b="0"/>
                  <wp:docPr id="1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53478" cy="1537438"/>
                          </a:xfrm>
                          <a:prstGeom prst="rect">
                            <a:avLst/>
                          </a:prstGeom>
                          <a:noFill/>
                          <a:ln>
                            <a:noFill/>
                          </a:ln>
                        </pic:spPr>
                      </pic:pic>
                    </a:graphicData>
                  </a:graphic>
                </wp:inline>
              </w:drawing>
            </w:r>
          </w:p>
        </w:tc>
      </w:tr>
    </w:tbl>
    <w:p w14:paraId="427573BF" w14:textId="77777777" w:rsidR="00102FE0" w:rsidRPr="00124DA6" w:rsidRDefault="00102FE0" w:rsidP="00A2442A">
      <w:pPr>
        <w:pStyle w:val="NoSpacing"/>
        <w:jc w:val="both"/>
        <w:rPr>
          <w:b/>
          <w:color w:val="5B9BD5" w:themeColor="accent1"/>
          <w:lang w:val="en-US"/>
        </w:rPr>
      </w:pPr>
    </w:p>
    <w:p w14:paraId="2EE63FC7" w14:textId="57AE9D38" w:rsidR="00102FE0" w:rsidRPr="00124DA6" w:rsidRDefault="00305B7E" w:rsidP="00A96892">
      <w:pPr>
        <w:pStyle w:val="ListParagraph"/>
        <w:numPr>
          <w:ilvl w:val="0"/>
          <w:numId w:val="47"/>
        </w:numPr>
        <w:spacing w:after="240" w:line="240" w:lineRule="auto"/>
        <w:ind w:left="0" w:firstLine="0"/>
        <w:contextualSpacing w:val="0"/>
        <w:jc w:val="both"/>
        <w:rPr>
          <w:lang w:val="en-US"/>
        </w:rPr>
      </w:pPr>
      <w:r w:rsidRPr="00124DA6">
        <w:rPr>
          <w:b/>
          <w:color w:val="5B9BD5" w:themeColor="accent1"/>
          <w:lang w:val="en-US"/>
        </w:rPr>
        <w:t>G2P</w:t>
      </w:r>
      <w:r w:rsidR="00A2442A" w:rsidRPr="00124DA6">
        <w:rPr>
          <w:b/>
          <w:color w:val="5B9BD5" w:themeColor="accent1"/>
          <w:lang w:val="en-US"/>
        </w:rPr>
        <w:t xml:space="preserve"> payments</w:t>
      </w:r>
      <w:r w:rsidRPr="00124DA6">
        <w:rPr>
          <w:b/>
          <w:color w:val="5B9BD5" w:themeColor="accent1"/>
          <w:lang w:val="en-US"/>
        </w:rPr>
        <w:t xml:space="preserve">. </w:t>
      </w:r>
      <w:r w:rsidR="00102FE0" w:rsidRPr="00124DA6">
        <w:rPr>
          <w:b/>
          <w:lang w:val="en-US"/>
        </w:rPr>
        <w:t xml:space="preserve">Payments from the </w:t>
      </w:r>
      <w:r w:rsidR="00E475B1" w:rsidRPr="00124DA6">
        <w:rPr>
          <w:b/>
          <w:lang w:val="en-US"/>
        </w:rPr>
        <w:t xml:space="preserve">G2P </w:t>
      </w:r>
      <w:r w:rsidR="00102FE0" w:rsidRPr="00124DA6">
        <w:rPr>
          <w:b/>
          <w:lang w:val="en-US"/>
        </w:rPr>
        <w:t>category include salaries of public service employees, pensions of retired government agents, and scholarship grants and concern about 120,000 people.</w:t>
      </w:r>
      <w:r w:rsidR="00102FE0" w:rsidRPr="00124DA6">
        <w:rPr>
          <w:lang w:val="en-US"/>
        </w:rPr>
        <w:t xml:space="preserve"> The payments recorded amount to CFAF</w:t>
      </w:r>
      <w:r w:rsidR="00C702B4">
        <w:rPr>
          <w:lang w:val="en-US"/>
        </w:rPr>
        <w:t> </w:t>
      </w:r>
      <w:r w:rsidR="00102FE0" w:rsidRPr="00124DA6">
        <w:rPr>
          <w:lang w:val="en-US"/>
        </w:rPr>
        <w:t>309.5</w:t>
      </w:r>
      <w:r w:rsidR="00C702B4">
        <w:rPr>
          <w:lang w:val="en-US"/>
        </w:rPr>
        <w:t> </w:t>
      </w:r>
      <w:r w:rsidR="00102FE0" w:rsidRPr="00124DA6">
        <w:rPr>
          <w:lang w:val="en-US"/>
        </w:rPr>
        <w:t>billion. They are essentially digitized and paid mainly by transfer (97</w:t>
      </w:r>
      <w:r w:rsidR="0054027F" w:rsidRPr="00124DA6">
        <w:rPr>
          <w:lang w:val="en-US"/>
        </w:rPr>
        <w:t xml:space="preserve"> percent</w:t>
      </w:r>
      <w:r w:rsidR="00102FE0" w:rsidRPr="00124DA6">
        <w:rPr>
          <w:lang w:val="en-US"/>
        </w:rPr>
        <w:t xml:space="preserve">). Indeed, Benin has implemented the </w:t>
      </w:r>
      <w:r w:rsidR="003515CB" w:rsidRPr="00124DA6">
        <w:rPr>
          <w:lang w:val="en-US"/>
        </w:rPr>
        <w:t xml:space="preserve">BCEAO </w:t>
      </w:r>
      <w:r w:rsidR="00102FE0" w:rsidRPr="00124DA6">
        <w:rPr>
          <w:lang w:val="en-US"/>
        </w:rPr>
        <w:t>Instruction No.</w:t>
      </w:r>
      <w:r w:rsidR="00C702B4">
        <w:rPr>
          <w:lang w:val="en-US"/>
        </w:rPr>
        <w:t> </w:t>
      </w:r>
      <w:r w:rsidR="00102FE0" w:rsidRPr="00124DA6">
        <w:rPr>
          <w:lang w:val="en-US"/>
        </w:rPr>
        <w:t xml:space="preserve">01/2003/SP of May </w:t>
      </w:r>
      <w:r w:rsidR="00E475B1" w:rsidRPr="00124DA6">
        <w:rPr>
          <w:lang w:val="en-US"/>
        </w:rPr>
        <w:t xml:space="preserve">8, </w:t>
      </w:r>
      <w:r w:rsidR="00102FE0" w:rsidRPr="00124DA6">
        <w:rPr>
          <w:lang w:val="en-US"/>
        </w:rPr>
        <w:t>2003</w:t>
      </w:r>
      <w:r w:rsidR="00E475B1" w:rsidRPr="00124DA6">
        <w:rPr>
          <w:lang w:val="en-US"/>
        </w:rPr>
        <w:t>,</w:t>
      </w:r>
      <w:r w:rsidR="00102FE0" w:rsidRPr="00124DA6">
        <w:rPr>
          <w:lang w:val="en-US"/>
        </w:rPr>
        <w:t xml:space="preserve"> on the promotion of the cashless payment methods. The instruction stipulates in Article</w:t>
      </w:r>
      <w:r w:rsidR="00C702B4">
        <w:rPr>
          <w:lang w:val="en-US"/>
        </w:rPr>
        <w:t> </w:t>
      </w:r>
      <w:r w:rsidR="00102FE0" w:rsidRPr="00124DA6">
        <w:rPr>
          <w:lang w:val="en-US"/>
        </w:rPr>
        <w:t xml:space="preserve">6: </w:t>
      </w:r>
      <w:r w:rsidR="00141BD7">
        <w:rPr>
          <w:lang w:val="en-US"/>
        </w:rPr>
        <w:t>“</w:t>
      </w:r>
      <w:r w:rsidR="00102FE0" w:rsidRPr="00124DA6">
        <w:rPr>
          <w:lang w:val="en-US"/>
        </w:rPr>
        <w:t>The remuneration of civil servants in all Member States of the Union shall be paid by bank or postal transfer or by check, for any remuneration of an amount equal to or greater than one hundred thousand (100.000) CFAF. The same applies to allowances and other benefits in cash owed by the Government agents or by government institutions to officials, agents, other staff in activity or not, or to their families, as well as to service providers</w:t>
      </w:r>
      <w:r w:rsidR="00E475B1" w:rsidRPr="00124DA6">
        <w:rPr>
          <w:lang w:val="en-US"/>
        </w:rPr>
        <w:t>.</w:t>
      </w:r>
    </w:p>
    <w:p w14:paraId="52298384" w14:textId="7DB12B5D" w:rsidR="00102FE0" w:rsidRPr="00124DA6" w:rsidRDefault="00102FE0" w:rsidP="00A96892">
      <w:pPr>
        <w:pStyle w:val="ListParagraph"/>
        <w:numPr>
          <w:ilvl w:val="0"/>
          <w:numId w:val="47"/>
        </w:numPr>
        <w:spacing w:after="240" w:line="240" w:lineRule="auto"/>
        <w:ind w:left="0" w:firstLine="0"/>
        <w:contextualSpacing w:val="0"/>
        <w:jc w:val="both"/>
        <w:rPr>
          <w:lang w:val="en-US"/>
        </w:rPr>
      </w:pPr>
      <w:r w:rsidRPr="00124DA6">
        <w:rPr>
          <w:b/>
          <w:lang w:val="en-US"/>
        </w:rPr>
        <w:t>In addition, Benin</w:t>
      </w:r>
      <w:r w:rsidR="00141BD7">
        <w:rPr>
          <w:b/>
          <w:lang w:val="en-US"/>
        </w:rPr>
        <w:t>’</w:t>
      </w:r>
      <w:r w:rsidRPr="00124DA6">
        <w:rPr>
          <w:b/>
          <w:lang w:val="en-US"/>
        </w:rPr>
        <w:t xml:space="preserve">s Ministry of Finance has made further arrangements to ensure that pensions of more than </w:t>
      </w:r>
      <w:r w:rsidR="00F127F3" w:rsidRPr="00124DA6">
        <w:rPr>
          <w:b/>
          <w:lang w:val="en-US"/>
        </w:rPr>
        <w:t>CFAF</w:t>
      </w:r>
      <w:r w:rsidR="00C702B4">
        <w:rPr>
          <w:b/>
          <w:lang w:val="en-US"/>
        </w:rPr>
        <w:t> </w:t>
      </w:r>
      <w:r w:rsidRPr="00124DA6">
        <w:rPr>
          <w:b/>
          <w:lang w:val="en-US"/>
        </w:rPr>
        <w:t>50,000, paid by the National Pension Fund of Benin (NPFB), are no longer paid in cash at the public treasury counters starting from October 1, 2017</w:t>
      </w:r>
      <w:r w:rsidRPr="00124DA6">
        <w:rPr>
          <w:lang w:val="en-US"/>
        </w:rPr>
        <w:t xml:space="preserve">. These pensions should be paid by transfer to the bank accounts of pensioners. The only </w:t>
      </w:r>
      <w:r w:rsidR="00F127F3" w:rsidRPr="00124DA6">
        <w:rPr>
          <w:lang w:val="en-US"/>
        </w:rPr>
        <w:t>G</w:t>
      </w:r>
      <w:r w:rsidRPr="00124DA6">
        <w:rPr>
          <w:lang w:val="en-US"/>
        </w:rPr>
        <w:t>overnment agents</w:t>
      </w:r>
      <w:r w:rsidR="00F127F3" w:rsidRPr="00124DA6">
        <w:rPr>
          <w:lang w:val="en-US"/>
        </w:rPr>
        <w:t>’</w:t>
      </w:r>
      <w:r w:rsidRPr="00124DA6">
        <w:rPr>
          <w:lang w:val="en-US"/>
        </w:rPr>
        <w:t xml:space="preserve"> cash expenditures identified in this diagnosis correspond to the scholarships allocated to students by the Ministry of Higher Education and Scientific Research. It should be noted that i</w:t>
      </w:r>
      <w:r w:rsidR="00E63C1D">
        <w:rPr>
          <w:lang w:val="en-US"/>
        </w:rPr>
        <w:t>t is expected that from 2018</w:t>
      </w:r>
      <w:r w:rsidRPr="00124DA6">
        <w:rPr>
          <w:lang w:val="en-US"/>
        </w:rPr>
        <w:t>, these scholarships will be paid into an account by transfer.</w:t>
      </w:r>
    </w:p>
    <w:p w14:paraId="1DA75112" w14:textId="76A477C9" w:rsidR="00102FE0" w:rsidRPr="00124DA6" w:rsidRDefault="00305B7E" w:rsidP="00A96892">
      <w:pPr>
        <w:pStyle w:val="ListParagraph"/>
        <w:numPr>
          <w:ilvl w:val="0"/>
          <w:numId w:val="47"/>
        </w:numPr>
        <w:spacing w:after="240" w:line="240" w:lineRule="auto"/>
        <w:ind w:left="0" w:firstLine="0"/>
        <w:contextualSpacing w:val="0"/>
        <w:jc w:val="both"/>
        <w:rPr>
          <w:lang w:val="en-US"/>
        </w:rPr>
      </w:pPr>
      <w:r w:rsidRPr="00124DA6">
        <w:rPr>
          <w:b/>
          <w:color w:val="5B9BD5" w:themeColor="accent1"/>
          <w:lang w:val="en-US"/>
        </w:rPr>
        <w:t>P2G</w:t>
      </w:r>
      <w:r w:rsidR="00A2442A" w:rsidRPr="00124DA6">
        <w:rPr>
          <w:b/>
          <w:color w:val="5B9BD5" w:themeColor="accent1"/>
          <w:lang w:val="en-US"/>
        </w:rPr>
        <w:t xml:space="preserve"> payments</w:t>
      </w:r>
      <w:r w:rsidRPr="00124DA6">
        <w:rPr>
          <w:b/>
          <w:color w:val="5B9BD5" w:themeColor="accent1"/>
          <w:lang w:val="en-US"/>
        </w:rPr>
        <w:t xml:space="preserve">. </w:t>
      </w:r>
      <w:r w:rsidR="00102FE0" w:rsidRPr="00124DA6">
        <w:rPr>
          <w:b/>
          <w:lang w:val="en-US"/>
        </w:rPr>
        <w:t xml:space="preserve">The identified payments made in the P2G category mainly correspond to </w:t>
      </w:r>
      <w:r w:rsidR="00F127F3" w:rsidRPr="00124DA6">
        <w:rPr>
          <w:b/>
          <w:lang w:val="en-US"/>
        </w:rPr>
        <w:t>s</w:t>
      </w:r>
      <w:r w:rsidR="00102FE0" w:rsidRPr="00124DA6">
        <w:rPr>
          <w:b/>
          <w:lang w:val="en-US"/>
        </w:rPr>
        <w:t>tamp duties, revenues of the electricity (SBEE)</w:t>
      </w:r>
      <w:r w:rsidR="00F127F3" w:rsidRPr="00124DA6">
        <w:rPr>
          <w:b/>
          <w:lang w:val="en-US"/>
        </w:rPr>
        <w:t>,</w:t>
      </w:r>
      <w:r w:rsidR="00102FE0" w:rsidRPr="00124DA6">
        <w:rPr>
          <w:b/>
          <w:lang w:val="en-US"/>
        </w:rPr>
        <w:t xml:space="preserve"> and water (SBE) companies</w:t>
      </w:r>
      <w:r w:rsidR="00102FE0" w:rsidRPr="00124DA6">
        <w:rPr>
          <w:lang w:val="en-US"/>
        </w:rPr>
        <w:t xml:space="preserve">. A predominance of cash (cash) in the transactions of </w:t>
      </w:r>
      <w:r w:rsidR="00F127F3" w:rsidRPr="00124DA6">
        <w:rPr>
          <w:lang w:val="en-US"/>
        </w:rPr>
        <w:t>P2G</w:t>
      </w:r>
      <w:r w:rsidR="00102FE0" w:rsidRPr="00124DA6">
        <w:rPr>
          <w:lang w:val="en-US"/>
        </w:rPr>
        <w:t xml:space="preserve"> agents emerges, with all payments, here collected, made in cash (cash) over 2016. These payments amounted to </w:t>
      </w:r>
      <w:r w:rsidR="00F127F3" w:rsidRPr="00124DA6">
        <w:rPr>
          <w:lang w:val="en-US"/>
        </w:rPr>
        <w:t>CFAF</w:t>
      </w:r>
      <w:r w:rsidR="00C702B4">
        <w:rPr>
          <w:lang w:val="en-US"/>
        </w:rPr>
        <w:t> </w:t>
      </w:r>
      <w:r w:rsidR="00102FE0" w:rsidRPr="00124DA6">
        <w:rPr>
          <w:lang w:val="en-US"/>
        </w:rPr>
        <w:t>128.61</w:t>
      </w:r>
      <w:r w:rsidR="00C702B4">
        <w:rPr>
          <w:lang w:val="en-US"/>
        </w:rPr>
        <w:t> </w:t>
      </w:r>
      <w:r w:rsidR="00102FE0" w:rsidRPr="00124DA6">
        <w:rPr>
          <w:lang w:val="en-US"/>
        </w:rPr>
        <w:t>billion</w:t>
      </w:r>
      <w:r w:rsidR="003515CB" w:rsidRPr="00124DA6">
        <w:rPr>
          <w:lang w:val="en-US"/>
        </w:rPr>
        <w:t xml:space="preserve"> in 2016. </w:t>
      </w:r>
      <w:r w:rsidR="00102FE0" w:rsidRPr="00124DA6">
        <w:rPr>
          <w:lang w:val="en-US"/>
        </w:rPr>
        <w:t>Thus</w:t>
      </w:r>
      <w:r w:rsidR="00F127F3" w:rsidRPr="00124DA6">
        <w:rPr>
          <w:lang w:val="en-US"/>
        </w:rPr>
        <w:t>,</w:t>
      </w:r>
      <w:r w:rsidR="00102FE0" w:rsidRPr="00124DA6">
        <w:rPr>
          <w:lang w:val="en-US"/>
        </w:rPr>
        <w:t xml:space="preserve"> P2G payments could be a niche of opportunity to digitize payments at the government </w:t>
      </w:r>
      <w:r w:rsidR="00893354" w:rsidRPr="00124DA6">
        <w:rPr>
          <w:lang w:val="en-US"/>
        </w:rPr>
        <w:t>agents’</w:t>
      </w:r>
      <w:r w:rsidR="00102FE0" w:rsidRPr="00124DA6">
        <w:rPr>
          <w:lang w:val="en-US"/>
        </w:rPr>
        <w:t xml:space="preserve"> level. </w:t>
      </w:r>
      <w:r w:rsidR="001307DD" w:rsidRPr="00124DA6">
        <w:rPr>
          <w:lang w:val="en-US"/>
        </w:rPr>
        <w:t>T</w:t>
      </w:r>
      <w:r w:rsidR="00102FE0" w:rsidRPr="00124DA6">
        <w:rPr>
          <w:lang w:val="en-US"/>
        </w:rPr>
        <w:t xml:space="preserve">he regulatory provisions taken with the </w:t>
      </w:r>
      <w:r w:rsidR="003515CB" w:rsidRPr="00124DA6">
        <w:rPr>
          <w:lang w:val="en-US"/>
        </w:rPr>
        <w:t>BCEAO</w:t>
      </w:r>
      <w:r w:rsidR="00102FE0" w:rsidRPr="00124DA6">
        <w:rPr>
          <w:lang w:val="en-US"/>
        </w:rPr>
        <w:t xml:space="preserve"> Instruction No.</w:t>
      </w:r>
      <w:r w:rsidR="00C702B4">
        <w:rPr>
          <w:lang w:val="en-US"/>
        </w:rPr>
        <w:t> </w:t>
      </w:r>
      <w:r w:rsidR="00102FE0" w:rsidRPr="00124DA6">
        <w:rPr>
          <w:lang w:val="en-US"/>
        </w:rPr>
        <w:t xml:space="preserve">01/2003/SP of May 8, 2003 have allowed a near digitization of wage payments and other compensation paid by the </w:t>
      </w:r>
      <w:r w:rsidR="00440389" w:rsidRPr="00124DA6">
        <w:rPr>
          <w:lang w:val="en-US"/>
        </w:rPr>
        <w:t>g</w:t>
      </w:r>
      <w:r w:rsidR="00102FE0" w:rsidRPr="00124DA6">
        <w:rPr>
          <w:lang w:val="en-US"/>
        </w:rPr>
        <w:t xml:space="preserve">overnment agents, </w:t>
      </w:r>
      <w:r w:rsidR="001307DD" w:rsidRPr="00124DA6">
        <w:rPr>
          <w:lang w:val="en-US"/>
        </w:rPr>
        <w:t xml:space="preserve">and </w:t>
      </w:r>
      <w:r w:rsidR="00102FE0" w:rsidRPr="00124DA6">
        <w:rPr>
          <w:lang w:val="en-US"/>
        </w:rPr>
        <w:t xml:space="preserve">similar measures could be taken by the </w:t>
      </w:r>
      <w:r w:rsidR="00440389" w:rsidRPr="00124DA6">
        <w:rPr>
          <w:lang w:val="en-US"/>
        </w:rPr>
        <w:t>g</w:t>
      </w:r>
      <w:r w:rsidR="00102FE0" w:rsidRPr="00124DA6">
        <w:rPr>
          <w:lang w:val="en-US"/>
        </w:rPr>
        <w:t>overnment agents to encourage the digitization of P2G payments.</w:t>
      </w:r>
    </w:p>
    <w:p w14:paraId="36DDEB84" w14:textId="1A867632" w:rsidR="00102FE0" w:rsidRPr="00E63C1D" w:rsidRDefault="00305B7E" w:rsidP="00A96892">
      <w:pPr>
        <w:pStyle w:val="ListParagraph"/>
        <w:numPr>
          <w:ilvl w:val="0"/>
          <w:numId w:val="47"/>
        </w:numPr>
        <w:spacing w:after="240" w:line="240" w:lineRule="auto"/>
        <w:ind w:left="0" w:firstLine="0"/>
        <w:contextualSpacing w:val="0"/>
        <w:jc w:val="both"/>
        <w:rPr>
          <w:lang w:val="en-US"/>
        </w:rPr>
      </w:pPr>
      <w:r w:rsidRPr="00124DA6">
        <w:rPr>
          <w:b/>
          <w:color w:val="5B9BD5" w:themeColor="accent1"/>
          <w:lang w:val="en-US"/>
        </w:rPr>
        <w:t>P2P</w:t>
      </w:r>
      <w:r w:rsidR="00A2442A" w:rsidRPr="00124DA6">
        <w:rPr>
          <w:b/>
          <w:color w:val="5B9BD5" w:themeColor="accent1"/>
          <w:lang w:val="en-US"/>
        </w:rPr>
        <w:t xml:space="preserve"> payments</w:t>
      </w:r>
      <w:r w:rsidRPr="00124DA6">
        <w:rPr>
          <w:b/>
          <w:color w:val="5B9BD5" w:themeColor="accent1"/>
          <w:lang w:val="en-US"/>
        </w:rPr>
        <w:t xml:space="preserve">. </w:t>
      </w:r>
      <w:r w:rsidR="001307DD" w:rsidRPr="00124DA6">
        <w:rPr>
          <w:b/>
          <w:lang w:val="en-US"/>
        </w:rPr>
        <w:t>These</w:t>
      </w:r>
      <w:r w:rsidR="00102FE0" w:rsidRPr="00124DA6">
        <w:rPr>
          <w:b/>
          <w:lang w:val="en-US"/>
        </w:rPr>
        <w:t xml:space="preserve"> only apply to person-to-person money transfer transactions</w:t>
      </w:r>
      <w:r w:rsidR="003515CB" w:rsidRPr="00124DA6">
        <w:rPr>
          <w:lang w:val="en-US"/>
        </w:rPr>
        <w:t>. D</w:t>
      </w:r>
      <w:r w:rsidR="00102FE0" w:rsidRPr="00124DA6">
        <w:rPr>
          <w:lang w:val="en-US"/>
        </w:rPr>
        <w:t>ata identified</w:t>
      </w:r>
      <w:r w:rsidR="003515CB" w:rsidRPr="00124DA6">
        <w:rPr>
          <w:lang w:val="en-US"/>
        </w:rPr>
        <w:t xml:space="preserve"> consist</w:t>
      </w:r>
      <w:r w:rsidR="00102FE0" w:rsidRPr="00124DA6">
        <w:rPr>
          <w:lang w:val="en-US"/>
        </w:rPr>
        <w:t xml:space="preserve"> mainly of money transfer solutions from banks, postal orders</w:t>
      </w:r>
      <w:r w:rsidR="001307DD" w:rsidRPr="00124DA6">
        <w:rPr>
          <w:lang w:val="en-US"/>
        </w:rPr>
        <w:t>,</w:t>
      </w:r>
      <w:r w:rsidR="00102FE0" w:rsidRPr="00124DA6">
        <w:rPr>
          <w:lang w:val="en-US"/>
        </w:rPr>
        <w:t xml:space="preserve"> and mobile money. The total of P2P payments </w:t>
      </w:r>
      <w:r w:rsidR="00A96892" w:rsidRPr="00124DA6">
        <w:rPr>
          <w:lang w:val="en-US"/>
        </w:rPr>
        <w:t>amounts</w:t>
      </w:r>
      <w:r w:rsidR="00102FE0" w:rsidRPr="00124DA6">
        <w:rPr>
          <w:lang w:val="en-US"/>
        </w:rPr>
        <w:t xml:space="preserve"> to </w:t>
      </w:r>
      <w:r w:rsidR="001307DD" w:rsidRPr="00124DA6">
        <w:rPr>
          <w:lang w:val="en-US"/>
        </w:rPr>
        <w:t>CFAF</w:t>
      </w:r>
      <w:r w:rsidR="00C702B4">
        <w:rPr>
          <w:lang w:val="en-US"/>
        </w:rPr>
        <w:t> </w:t>
      </w:r>
      <w:r w:rsidR="00102FE0" w:rsidRPr="00124DA6">
        <w:rPr>
          <w:lang w:val="en-US"/>
        </w:rPr>
        <w:t>238.04</w:t>
      </w:r>
      <w:r w:rsidR="00C702B4">
        <w:rPr>
          <w:lang w:val="en-US"/>
        </w:rPr>
        <w:t> </w:t>
      </w:r>
      <w:r w:rsidR="00102FE0" w:rsidRPr="00124DA6">
        <w:rPr>
          <w:lang w:val="en-US"/>
        </w:rPr>
        <w:t>billion. Mobile money transfers (account-to-account) represent 93</w:t>
      </w:r>
      <w:r w:rsidR="0054027F" w:rsidRPr="00124DA6">
        <w:rPr>
          <w:lang w:val="en-US"/>
        </w:rPr>
        <w:t xml:space="preserve"> percent</w:t>
      </w:r>
      <w:r w:rsidR="00102FE0" w:rsidRPr="00124DA6">
        <w:rPr>
          <w:lang w:val="en-US"/>
        </w:rPr>
        <w:t xml:space="preserve"> of transactions in value and only 7</w:t>
      </w:r>
      <w:r w:rsidR="0054027F" w:rsidRPr="00124DA6">
        <w:rPr>
          <w:lang w:val="en-US"/>
        </w:rPr>
        <w:t xml:space="preserve"> percent</w:t>
      </w:r>
      <w:r w:rsidR="00102FE0" w:rsidRPr="00124DA6">
        <w:rPr>
          <w:lang w:val="en-US"/>
        </w:rPr>
        <w:t xml:space="preserve"> are made in cash via money transfer solutions in cash-to-cash mode. The P2P retail payment segment is a real opportunity for the digitization of payments. Indeed, according to Global </w:t>
      </w:r>
      <w:proofErr w:type="spellStart"/>
      <w:r w:rsidR="00102FE0" w:rsidRPr="00124DA6">
        <w:rPr>
          <w:lang w:val="en-US"/>
        </w:rPr>
        <w:t>Findex</w:t>
      </w:r>
      <w:proofErr w:type="spellEnd"/>
      <w:r w:rsidR="00102FE0" w:rsidRPr="00124DA6">
        <w:rPr>
          <w:lang w:val="en-US"/>
        </w:rPr>
        <w:t xml:space="preserve"> </w:t>
      </w:r>
      <w:r w:rsidR="008A4187" w:rsidRPr="00124DA6">
        <w:rPr>
          <w:lang w:val="en-US"/>
        </w:rPr>
        <w:t xml:space="preserve">data </w:t>
      </w:r>
      <w:r w:rsidR="00102FE0" w:rsidRPr="00124DA6">
        <w:rPr>
          <w:lang w:val="en-US"/>
        </w:rPr>
        <w:t xml:space="preserve">on financial inclusion </w:t>
      </w:r>
      <w:r w:rsidR="008A4187" w:rsidRPr="00124DA6">
        <w:rPr>
          <w:lang w:val="en-US"/>
        </w:rPr>
        <w:t>(</w:t>
      </w:r>
      <w:r w:rsidR="00102FE0" w:rsidRPr="00124DA6">
        <w:rPr>
          <w:lang w:val="en-US"/>
        </w:rPr>
        <w:t>2014</w:t>
      </w:r>
      <w:r w:rsidR="008A4187" w:rsidRPr="00E63C1D">
        <w:rPr>
          <w:lang w:val="en-US"/>
        </w:rPr>
        <w:t>)</w:t>
      </w:r>
      <w:r w:rsidR="00102FE0" w:rsidRPr="00E63C1D">
        <w:rPr>
          <w:lang w:val="en-US"/>
        </w:rPr>
        <w:t>, 24</w:t>
      </w:r>
      <w:r w:rsidR="0054027F" w:rsidRPr="00E63C1D">
        <w:rPr>
          <w:lang w:val="en-US"/>
        </w:rPr>
        <w:t xml:space="preserve"> percent</w:t>
      </w:r>
      <w:r w:rsidR="00102FE0" w:rsidRPr="00E63C1D">
        <w:rPr>
          <w:lang w:val="en-US"/>
        </w:rPr>
        <w:t xml:space="preserve"> </w:t>
      </w:r>
      <w:r w:rsidR="008A4187" w:rsidRPr="00E63C1D">
        <w:rPr>
          <w:lang w:val="en-US"/>
        </w:rPr>
        <w:t xml:space="preserve">of Beninese population </w:t>
      </w:r>
      <w:r w:rsidR="00102FE0" w:rsidRPr="00E63C1D">
        <w:rPr>
          <w:lang w:val="en-US"/>
        </w:rPr>
        <w:t xml:space="preserve">received domestic money transfers in </w:t>
      </w:r>
      <w:r w:rsidR="00E63C1D" w:rsidRPr="00E63C1D">
        <w:rPr>
          <w:lang w:val="en-US"/>
        </w:rPr>
        <w:t>2016</w:t>
      </w:r>
      <w:r w:rsidR="008A4187" w:rsidRPr="00E63C1D">
        <w:rPr>
          <w:lang w:val="en-US"/>
        </w:rPr>
        <w:t xml:space="preserve"> and </w:t>
      </w:r>
      <w:r w:rsidR="00102FE0" w:rsidRPr="00E63C1D">
        <w:rPr>
          <w:lang w:val="en-US"/>
        </w:rPr>
        <w:t>19</w:t>
      </w:r>
      <w:r w:rsidR="0054027F" w:rsidRPr="00E63C1D">
        <w:rPr>
          <w:lang w:val="en-US"/>
        </w:rPr>
        <w:t xml:space="preserve"> percent</w:t>
      </w:r>
      <w:r w:rsidR="00102FE0" w:rsidRPr="00E63C1D">
        <w:rPr>
          <w:lang w:val="en-US"/>
        </w:rPr>
        <w:t xml:space="preserve"> made domestic money transfers.</w:t>
      </w:r>
    </w:p>
    <w:p w14:paraId="7AA107D5" w14:textId="77777777" w:rsidR="00102FE0" w:rsidRPr="00547B8F" w:rsidRDefault="003B0586" w:rsidP="003B0586">
      <w:pPr>
        <w:pStyle w:val="Heading2"/>
        <w:rPr>
          <w:b/>
          <w:lang w:val="en-US"/>
        </w:rPr>
      </w:pPr>
      <w:bookmarkStart w:id="33" w:name="_Toc3975137"/>
      <w:r w:rsidRPr="00547B8F">
        <w:rPr>
          <w:b/>
          <w:lang w:val="en-US"/>
        </w:rPr>
        <w:t xml:space="preserve">3.3 </w:t>
      </w:r>
      <w:r w:rsidR="00A2442A" w:rsidRPr="00547B8F">
        <w:rPr>
          <w:b/>
          <w:lang w:val="en-US"/>
        </w:rPr>
        <w:t>Use of the Retail Payment Means</w:t>
      </w:r>
      <w:bookmarkEnd w:id="33"/>
    </w:p>
    <w:p w14:paraId="0EB67144" w14:textId="4AB07169" w:rsidR="00102FE0" w:rsidRPr="00124DA6" w:rsidRDefault="00102FE0" w:rsidP="00547B8F">
      <w:pPr>
        <w:pStyle w:val="ListParagraph"/>
        <w:numPr>
          <w:ilvl w:val="0"/>
          <w:numId w:val="47"/>
        </w:numPr>
        <w:spacing w:after="240" w:line="240" w:lineRule="auto"/>
        <w:ind w:left="0" w:firstLine="0"/>
        <w:contextualSpacing w:val="0"/>
        <w:jc w:val="both"/>
        <w:rPr>
          <w:lang w:val="en-US"/>
        </w:rPr>
      </w:pPr>
      <w:r w:rsidRPr="00124DA6">
        <w:rPr>
          <w:b/>
          <w:lang w:val="en-US"/>
        </w:rPr>
        <w:t xml:space="preserve">An analysis of the flow of transactions </w:t>
      </w:r>
      <w:r w:rsidR="0050550A" w:rsidRPr="00124DA6">
        <w:rPr>
          <w:b/>
          <w:lang w:val="en-US"/>
        </w:rPr>
        <w:t xml:space="preserve">in 2016 </w:t>
      </w:r>
      <w:r w:rsidRPr="00124DA6">
        <w:rPr>
          <w:b/>
          <w:lang w:val="en-US"/>
        </w:rPr>
        <w:t>in Benin</w:t>
      </w:r>
      <w:r w:rsidR="00141BD7">
        <w:rPr>
          <w:b/>
          <w:lang w:val="en-US"/>
        </w:rPr>
        <w:t>’</w:t>
      </w:r>
      <w:r w:rsidRPr="00124DA6">
        <w:rPr>
          <w:b/>
          <w:lang w:val="en-US"/>
        </w:rPr>
        <w:t xml:space="preserve">s economy </w:t>
      </w:r>
      <w:r w:rsidR="0050550A" w:rsidRPr="00124DA6">
        <w:rPr>
          <w:b/>
          <w:lang w:val="en-US"/>
        </w:rPr>
        <w:t xml:space="preserve">highlights </w:t>
      </w:r>
      <w:r w:rsidRPr="00124DA6">
        <w:rPr>
          <w:b/>
          <w:lang w:val="en-US"/>
        </w:rPr>
        <w:t>that</w:t>
      </w:r>
      <w:r w:rsidR="00B073D3">
        <w:rPr>
          <w:b/>
          <w:lang w:val="en-US"/>
        </w:rPr>
        <w:t>:</w:t>
      </w:r>
    </w:p>
    <w:p w14:paraId="0823ECFD" w14:textId="6C828E5E" w:rsidR="00102FE0" w:rsidRPr="00124DA6" w:rsidRDefault="00523BA0" w:rsidP="00547B8F">
      <w:pPr>
        <w:pStyle w:val="NoSpacing"/>
        <w:numPr>
          <w:ilvl w:val="0"/>
          <w:numId w:val="28"/>
        </w:numPr>
        <w:spacing w:before="120" w:after="120"/>
        <w:ind w:left="1195" w:hanging="475"/>
        <w:jc w:val="both"/>
        <w:rPr>
          <w:lang w:val="en-US"/>
        </w:rPr>
      </w:pPr>
      <w:r w:rsidRPr="00124DA6">
        <w:rPr>
          <w:lang w:val="en-US"/>
        </w:rPr>
        <w:t>C</w:t>
      </w:r>
      <w:r w:rsidR="00102FE0" w:rsidRPr="00124DA6">
        <w:rPr>
          <w:lang w:val="en-US"/>
        </w:rPr>
        <w:t xml:space="preserve">heck is the first means of payment used, in value, with 323,603 transactions recorded in the national compensation system, for an amount of </w:t>
      </w:r>
      <w:r w:rsidR="00A05A0E" w:rsidRPr="00124DA6">
        <w:rPr>
          <w:lang w:val="en-US"/>
        </w:rPr>
        <w:t>CFAF</w:t>
      </w:r>
      <w:r w:rsidR="00C702B4">
        <w:rPr>
          <w:lang w:val="en-US"/>
        </w:rPr>
        <w:t> </w:t>
      </w:r>
      <w:r w:rsidR="00102FE0" w:rsidRPr="00124DA6">
        <w:rPr>
          <w:lang w:val="en-US"/>
        </w:rPr>
        <w:t>2</w:t>
      </w:r>
      <w:r w:rsidR="00A05A0E" w:rsidRPr="00124DA6">
        <w:rPr>
          <w:lang w:val="en-US"/>
        </w:rPr>
        <w:t>,</w:t>
      </w:r>
      <w:r w:rsidR="00102FE0" w:rsidRPr="00124DA6">
        <w:rPr>
          <w:lang w:val="en-US"/>
        </w:rPr>
        <w:t>062.67</w:t>
      </w:r>
      <w:r w:rsidR="00C702B4">
        <w:rPr>
          <w:lang w:val="en-US"/>
        </w:rPr>
        <w:t> </w:t>
      </w:r>
      <w:r w:rsidR="00102FE0" w:rsidRPr="00124DA6">
        <w:rPr>
          <w:lang w:val="en-US"/>
        </w:rPr>
        <w:t>billion;</w:t>
      </w:r>
    </w:p>
    <w:p w14:paraId="65474AA0" w14:textId="3A705207" w:rsidR="00523BA0" w:rsidRPr="00124DA6" w:rsidRDefault="00523BA0" w:rsidP="00547B8F">
      <w:pPr>
        <w:pStyle w:val="NoSpacing"/>
        <w:numPr>
          <w:ilvl w:val="0"/>
          <w:numId w:val="28"/>
        </w:numPr>
        <w:spacing w:before="120" w:after="120"/>
        <w:ind w:left="1195" w:hanging="475"/>
        <w:jc w:val="both"/>
        <w:rPr>
          <w:lang w:val="en-US"/>
        </w:rPr>
      </w:pPr>
      <w:r w:rsidRPr="00124DA6">
        <w:rPr>
          <w:lang w:val="en-US"/>
        </w:rPr>
        <w:t>E</w:t>
      </w:r>
      <w:r w:rsidR="00102FE0" w:rsidRPr="00124DA6">
        <w:rPr>
          <w:lang w:val="en-US"/>
        </w:rPr>
        <w:t>lectronic money (including mobile money) is the second means of payment used, in value, with 38.99</w:t>
      </w:r>
      <w:r w:rsidR="00C702B4">
        <w:rPr>
          <w:lang w:val="en-US"/>
        </w:rPr>
        <w:t> </w:t>
      </w:r>
      <w:r w:rsidR="00102FE0" w:rsidRPr="00124DA6">
        <w:rPr>
          <w:lang w:val="en-US"/>
        </w:rPr>
        <w:t xml:space="preserve">million transactions, for an amount of </w:t>
      </w:r>
      <w:r w:rsidR="00A05A0E" w:rsidRPr="00124DA6">
        <w:rPr>
          <w:lang w:val="en-US"/>
        </w:rPr>
        <w:t>CFAF</w:t>
      </w:r>
      <w:r w:rsidR="00C702B4">
        <w:rPr>
          <w:lang w:val="en-US"/>
        </w:rPr>
        <w:t> </w:t>
      </w:r>
      <w:r w:rsidR="00102FE0" w:rsidRPr="00124DA6">
        <w:rPr>
          <w:lang w:val="en-US"/>
        </w:rPr>
        <w:t>914.6</w:t>
      </w:r>
      <w:r w:rsidR="00C702B4">
        <w:rPr>
          <w:lang w:val="en-US"/>
        </w:rPr>
        <w:t> </w:t>
      </w:r>
      <w:r w:rsidR="00102FE0" w:rsidRPr="00124DA6">
        <w:rPr>
          <w:lang w:val="en-US"/>
        </w:rPr>
        <w:t>billion;</w:t>
      </w:r>
      <w:r w:rsidR="00A05A0E" w:rsidRPr="00124DA6">
        <w:rPr>
          <w:lang w:val="en-US"/>
        </w:rPr>
        <w:t xml:space="preserve"> and</w:t>
      </w:r>
    </w:p>
    <w:p w14:paraId="7B06B61C" w14:textId="7CA76A07" w:rsidR="00102FE0" w:rsidRPr="00124DA6" w:rsidRDefault="00523BA0" w:rsidP="00547B8F">
      <w:pPr>
        <w:pStyle w:val="NoSpacing"/>
        <w:numPr>
          <w:ilvl w:val="0"/>
          <w:numId w:val="28"/>
        </w:numPr>
        <w:spacing w:before="120" w:after="120"/>
        <w:ind w:left="1195" w:hanging="475"/>
        <w:jc w:val="both"/>
        <w:rPr>
          <w:lang w:val="en-US"/>
        </w:rPr>
      </w:pPr>
      <w:r w:rsidRPr="00124DA6">
        <w:rPr>
          <w:lang w:val="en-US"/>
        </w:rPr>
        <w:t>Bank transfers (101</w:t>
      </w:r>
      <w:r w:rsidR="00A05A0E" w:rsidRPr="00124DA6">
        <w:rPr>
          <w:lang w:val="en-US"/>
        </w:rPr>
        <w:t>,</w:t>
      </w:r>
      <w:r w:rsidRPr="00124DA6">
        <w:rPr>
          <w:lang w:val="en-US"/>
        </w:rPr>
        <w:t xml:space="preserve">047 transactions) </w:t>
      </w:r>
      <w:r w:rsidR="00102FE0" w:rsidRPr="00124DA6">
        <w:rPr>
          <w:lang w:val="en-US"/>
        </w:rPr>
        <w:t xml:space="preserve">recorded in the national pensions </w:t>
      </w:r>
      <w:r w:rsidRPr="00124DA6">
        <w:rPr>
          <w:lang w:val="en-US"/>
        </w:rPr>
        <w:t>system</w:t>
      </w:r>
      <w:r w:rsidR="00102FE0" w:rsidRPr="00124DA6">
        <w:rPr>
          <w:lang w:val="en-US"/>
        </w:rPr>
        <w:t xml:space="preserve"> amount</w:t>
      </w:r>
      <w:r w:rsidRPr="00124DA6">
        <w:rPr>
          <w:lang w:val="en-US"/>
        </w:rPr>
        <w:t>s</w:t>
      </w:r>
      <w:r w:rsidR="00102FE0" w:rsidRPr="00124DA6">
        <w:rPr>
          <w:lang w:val="en-US"/>
        </w:rPr>
        <w:t xml:space="preserve"> to </w:t>
      </w:r>
      <w:r w:rsidR="00C778BC" w:rsidRPr="00124DA6">
        <w:rPr>
          <w:lang w:val="en-US"/>
        </w:rPr>
        <w:t>CFAF</w:t>
      </w:r>
      <w:r w:rsidR="00C702B4">
        <w:rPr>
          <w:lang w:val="en-US"/>
        </w:rPr>
        <w:t> </w:t>
      </w:r>
      <w:r w:rsidR="00102FE0" w:rsidRPr="00124DA6">
        <w:rPr>
          <w:lang w:val="en-US"/>
        </w:rPr>
        <w:t>141.44</w:t>
      </w:r>
      <w:r w:rsidR="00C702B4">
        <w:rPr>
          <w:lang w:val="en-US"/>
        </w:rPr>
        <w:t> </w:t>
      </w:r>
      <w:r w:rsidR="00102FE0" w:rsidRPr="00124DA6">
        <w:rPr>
          <w:lang w:val="en-US"/>
        </w:rPr>
        <w:t>billion.</w:t>
      </w:r>
    </w:p>
    <w:p w14:paraId="4B855625" w14:textId="3D9B8DB3" w:rsidR="00102FE0" w:rsidRPr="00547B8F" w:rsidRDefault="003B0586" w:rsidP="00995A23">
      <w:pPr>
        <w:pStyle w:val="Caption"/>
        <w:keepNext/>
        <w:keepLines/>
        <w:rPr>
          <w:b/>
          <w:lang w:val="en-US"/>
        </w:rPr>
      </w:pPr>
      <w:r w:rsidRPr="00547B8F">
        <w:rPr>
          <w:b/>
          <w:lang w:val="en-US"/>
        </w:rPr>
        <w:t>Table</w:t>
      </w:r>
      <w:r w:rsidR="00C702B4" w:rsidRPr="00547B8F">
        <w:rPr>
          <w:b/>
          <w:lang w:val="en-US"/>
        </w:rPr>
        <w:t> </w:t>
      </w:r>
      <w:r w:rsidRPr="00547B8F">
        <w:rPr>
          <w:b/>
          <w:lang w:val="en-US"/>
        </w:rPr>
        <w:t>3.</w:t>
      </w:r>
      <w:r w:rsidRPr="00547B8F">
        <w:rPr>
          <w:b/>
          <w:lang w:val="en-US"/>
        </w:rPr>
        <w:fldChar w:fldCharType="begin"/>
      </w:r>
      <w:r w:rsidRPr="00547B8F">
        <w:rPr>
          <w:b/>
          <w:lang w:val="en-US"/>
        </w:rPr>
        <w:instrText xml:space="preserve"> SEQ Table_3. \* ARABIC </w:instrText>
      </w:r>
      <w:r w:rsidRPr="00547B8F">
        <w:rPr>
          <w:b/>
          <w:lang w:val="en-US"/>
        </w:rPr>
        <w:fldChar w:fldCharType="separate"/>
      </w:r>
      <w:r w:rsidR="004C6E5F" w:rsidRPr="00547B8F">
        <w:rPr>
          <w:b/>
          <w:noProof/>
          <w:lang w:val="en-US"/>
        </w:rPr>
        <w:t>4</w:t>
      </w:r>
      <w:r w:rsidRPr="00547B8F">
        <w:rPr>
          <w:b/>
          <w:lang w:val="en-US"/>
        </w:rPr>
        <w:fldChar w:fldCharType="end"/>
      </w:r>
      <w:r w:rsidR="00102FE0" w:rsidRPr="00547B8F">
        <w:rPr>
          <w:b/>
          <w:lang w:val="en-US"/>
        </w:rPr>
        <w:t xml:space="preserve">: Transactions flows at the level of the banking system </w:t>
      </w:r>
      <w:r w:rsidRPr="00547B8F">
        <w:rPr>
          <w:b/>
          <w:lang w:val="en-US"/>
        </w:rPr>
        <w:t>(2016)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0"/>
        <w:gridCol w:w="1051"/>
        <w:gridCol w:w="2092"/>
      </w:tblGrid>
      <w:tr w:rsidR="00102FE0" w:rsidRPr="00124DA6" w14:paraId="25E2547D" w14:textId="77777777" w:rsidTr="003B0586">
        <w:trPr>
          <w:trHeight w:val="255"/>
          <w:jc w:val="center"/>
        </w:trPr>
        <w:tc>
          <w:tcPr>
            <w:tcW w:w="0" w:type="auto"/>
            <w:shd w:val="clear" w:color="auto" w:fill="auto"/>
            <w:noWrap/>
            <w:vAlign w:val="center"/>
            <w:hideMark/>
          </w:tcPr>
          <w:p w14:paraId="55469A96" w14:textId="77777777" w:rsidR="00102FE0" w:rsidRPr="00124DA6" w:rsidRDefault="00102FE0" w:rsidP="00995A23">
            <w:pPr>
              <w:keepNext/>
              <w:keepLines/>
              <w:spacing w:after="0" w:line="240" w:lineRule="auto"/>
              <w:jc w:val="center"/>
              <w:rPr>
                <w:rFonts w:ascii="Calibri" w:eastAsia="Times New Roman" w:hAnsi="Calibri" w:cs="Times New Roman"/>
                <w:b/>
                <w:bCs/>
                <w:color w:val="000000"/>
                <w:sz w:val="20"/>
                <w:szCs w:val="20"/>
                <w:lang w:val="en-US" w:eastAsia="fr-FR"/>
              </w:rPr>
            </w:pPr>
            <w:r w:rsidRPr="00124DA6">
              <w:rPr>
                <w:rFonts w:ascii="Calibri" w:eastAsia="Times New Roman" w:hAnsi="Calibri" w:cs="Times New Roman"/>
                <w:b/>
                <w:bCs/>
                <w:color w:val="000000"/>
                <w:sz w:val="20"/>
                <w:szCs w:val="20"/>
                <w:lang w:val="en-US" w:eastAsia="fr-FR"/>
              </w:rPr>
              <w:t xml:space="preserve">Processed </w:t>
            </w:r>
            <w:r w:rsidR="00B12445" w:rsidRPr="00124DA6">
              <w:rPr>
                <w:rFonts w:ascii="Calibri" w:eastAsia="Times New Roman" w:hAnsi="Calibri" w:cs="Times New Roman"/>
                <w:b/>
                <w:bCs/>
                <w:color w:val="000000"/>
                <w:sz w:val="20"/>
                <w:szCs w:val="20"/>
                <w:lang w:val="en-US" w:eastAsia="fr-FR"/>
              </w:rPr>
              <w:t>v</w:t>
            </w:r>
            <w:r w:rsidRPr="00124DA6">
              <w:rPr>
                <w:rFonts w:ascii="Calibri" w:eastAsia="Times New Roman" w:hAnsi="Calibri" w:cs="Times New Roman"/>
                <w:b/>
                <w:bCs/>
                <w:color w:val="000000"/>
                <w:sz w:val="20"/>
                <w:szCs w:val="20"/>
                <w:lang w:val="en-US" w:eastAsia="fr-FR"/>
              </w:rPr>
              <w:t>alues</w:t>
            </w:r>
          </w:p>
        </w:tc>
        <w:tc>
          <w:tcPr>
            <w:tcW w:w="0" w:type="auto"/>
            <w:shd w:val="clear" w:color="auto" w:fill="auto"/>
            <w:vAlign w:val="center"/>
            <w:hideMark/>
          </w:tcPr>
          <w:p w14:paraId="10A561D5" w14:textId="77777777" w:rsidR="00102FE0" w:rsidRPr="00124DA6" w:rsidRDefault="00102FE0" w:rsidP="00995A23">
            <w:pPr>
              <w:keepNext/>
              <w:keepLines/>
              <w:spacing w:after="0" w:line="240" w:lineRule="auto"/>
              <w:jc w:val="center"/>
              <w:rPr>
                <w:rFonts w:ascii="Calibri" w:eastAsia="Times New Roman" w:hAnsi="Calibri" w:cs="Times New Roman"/>
                <w:b/>
                <w:color w:val="000000"/>
                <w:sz w:val="20"/>
                <w:szCs w:val="20"/>
                <w:lang w:val="en-US" w:eastAsia="fr-FR"/>
              </w:rPr>
            </w:pPr>
            <w:r w:rsidRPr="00124DA6">
              <w:rPr>
                <w:rFonts w:ascii="Calibri" w:eastAsia="Times New Roman" w:hAnsi="Calibri" w:cs="Times New Roman"/>
                <w:b/>
                <w:color w:val="000000"/>
                <w:sz w:val="20"/>
                <w:szCs w:val="20"/>
                <w:lang w:val="en-US" w:eastAsia="fr-FR"/>
              </w:rPr>
              <w:t>Number</w:t>
            </w:r>
          </w:p>
        </w:tc>
        <w:tc>
          <w:tcPr>
            <w:tcW w:w="0" w:type="auto"/>
            <w:shd w:val="clear" w:color="auto" w:fill="auto"/>
            <w:vAlign w:val="center"/>
            <w:hideMark/>
          </w:tcPr>
          <w:p w14:paraId="33A6ED17" w14:textId="77777777" w:rsidR="00102FE0" w:rsidRPr="00124DA6" w:rsidRDefault="00102FE0" w:rsidP="00995A23">
            <w:pPr>
              <w:keepNext/>
              <w:keepLines/>
              <w:spacing w:after="0" w:line="240" w:lineRule="auto"/>
              <w:jc w:val="center"/>
              <w:rPr>
                <w:rFonts w:ascii="Calibri" w:eastAsia="Times New Roman" w:hAnsi="Calibri" w:cs="Times New Roman"/>
                <w:b/>
                <w:color w:val="000000"/>
                <w:sz w:val="20"/>
                <w:szCs w:val="20"/>
                <w:lang w:val="en-US" w:eastAsia="fr-FR"/>
              </w:rPr>
            </w:pPr>
            <w:r w:rsidRPr="00124DA6">
              <w:rPr>
                <w:rFonts w:ascii="Calibri" w:eastAsia="Times New Roman" w:hAnsi="Calibri" w:cs="Times New Roman"/>
                <w:b/>
                <w:color w:val="000000"/>
                <w:sz w:val="20"/>
                <w:szCs w:val="20"/>
                <w:lang w:val="en-US" w:eastAsia="fr-FR"/>
              </w:rPr>
              <w:t>Amount (CFAF</w:t>
            </w:r>
            <w:r w:rsidR="00B12445" w:rsidRPr="00124DA6">
              <w:rPr>
                <w:rFonts w:ascii="Calibri" w:eastAsia="Times New Roman" w:hAnsi="Calibri" w:cs="Times New Roman"/>
                <w:b/>
                <w:color w:val="000000"/>
                <w:sz w:val="20"/>
                <w:szCs w:val="20"/>
                <w:lang w:val="en-US" w:eastAsia="fr-FR"/>
              </w:rPr>
              <w:t>, billions</w:t>
            </w:r>
            <w:r w:rsidRPr="00124DA6">
              <w:rPr>
                <w:rFonts w:ascii="Calibri" w:eastAsia="Times New Roman" w:hAnsi="Calibri" w:cs="Times New Roman"/>
                <w:b/>
                <w:color w:val="000000"/>
                <w:sz w:val="20"/>
                <w:szCs w:val="20"/>
                <w:lang w:val="en-US" w:eastAsia="fr-FR"/>
              </w:rPr>
              <w:t>)</w:t>
            </w:r>
          </w:p>
        </w:tc>
      </w:tr>
      <w:tr w:rsidR="00102FE0" w:rsidRPr="00124DA6" w14:paraId="4E0A2EF9" w14:textId="77777777" w:rsidTr="003B0586">
        <w:trPr>
          <w:trHeight w:val="255"/>
          <w:jc w:val="center"/>
        </w:trPr>
        <w:tc>
          <w:tcPr>
            <w:tcW w:w="0" w:type="auto"/>
            <w:shd w:val="clear" w:color="auto" w:fill="auto"/>
            <w:noWrap/>
            <w:vAlign w:val="bottom"/>
            <w:hideMark/>
          </w:tcPr>
          <w:p w14:paraId="76CFFDAC" w14:textId="77777777" w:rsidR="00102FE0" w:rsidRPr="00124DA6" w:rsidRDefault="00102FE0" w:rsidP="00995A23">
            <w:pPr>
              <w:keepNext/>
              <w:keepLines/>
              <w:spacing w:after="0" w:line="240" w:lineRule="auto"/>
              <w:jc w:val="both"/>
              <w:rPr>
                <w:rFonts w:ascii="Calibri" w:eastAsia="Times New Roman" w:hAnsi="Calibri" w:cs="Times New Roman"/>
                <w:bCs/>
                <w:color w:val="000000"/>
                <w:sz w:val="20"/>
                <w:szCs w:val="20"/>
                <w:lang w:val="en-US" w:eastAsia="fr-FR"/>
              </w:rPr>
            </w:pPr>
            <w:r w:rsidRPr="00124DA6">
              <w:rPr>
                <w:rFonts w:ascii="Calibri" w:eastAsia="Times New Roman" w:hAnsi="Calibri" w:cs="Times New Roman"/>
                <w:bCs/>
                <w:color w:val="000000"/>
                <w:sz w:val="20"/>
                <w:szCs w:val="20"/>
                <w:lang w:val="en-US" w:eastAsia="fr-FR"/>
              </w:rPr>
              <w:t>Check</w:t>
            </w:r>
            <w:r w:rsidR="00523BA0" w:rsidRPr="00124DA6">
              <w:rPr>
                <w:rFonts w:ascii="Calibri" w:eastAsia="Times New Roman" w:hAnsi="Calibri" w:cs="Times New Roman"/>
                <w:bCs/>
                <w:color w:val="000000"/>
                <w:sz w:val="20"/>
                <w:szCs w:val="20"/>
                <w:lang w:val="en-US" w:eastAsia="fr-FR"/>
              </w:rPr>
              <w:t>s</w:t>
            </w:r>
            <w:r w:rsidRPr="00124DA6">
              <w:rPr>
                <w:rFonts w:ascii="Calibri" w:eastAsia="Times New Roman" w:hAnsi="Calibri" w:cs="Times New Roman"/>
                <w:bCs/>
                <w:color w:val="000000"/>
                <w:sz w:val="20"/>
                <w:szCs w:val="20"/>
                <w:lang w:val="en-US" w:eastAsia="fr-FR"/>
              </w:rPr>
              <w:t xml:space="preserve"> (</w:t>
            </w:r>
            <w:r w:rsidR="00523BA0" w:rsidRPr="00124DA6">
              <w:rPr>
                <w:rFonts w:ascii="Calibri" w:eastAsia="Times New Roman" w:hAnsi="Calibri" w:cs="Times New Roman"/>
                <w:bCs/>
                <w:color w:val="000000"/>
                <w:sz w:val="20"/>
                <w:szCs w:val="20"/>
                <w:lang w:val="en-US" w:eastAsia="fr-FR"/>
              </w:rPr>
              <w:t>cleared</w:t>
            </w:r>
            <w:r w:rsidRPr="00124DA6">
              <w:rPr>
                <w:rFonts w:ascii="Calibri" w:eastAsia="Times New Roman" w:hAnsi="Calibri" w:cs="Times New Roman"/>
                <w:bCs/>
                <w:color w:val="000000"/>
                <w:sz w:val="20"/>
                <w:szCs w:val="20"/>
                <w:lang w:val="en-US" w:eastAsia="fr-FR"/>
              </w:rPr>
              <w:t>)</w:t>
            </w:r>
          </w:p>
        </w:tc>
        <w:tc>
          <w:tcPr>
            <w:tcW w:w="0" w:type="auto"/>
            <w:shd w:val="clear" w:color="auto" w:fill="auto"/>
            <w:hideMark/>
          </w:tcPr>
          <w:p w14:paraId="2443AD84" w14:textId="77777777" w:rsidR="00102FE0" w:rsidRPr="00124DA6" w:rsidRDefault="00102FE0" w:rsidP="00995A23">
            <w:pPr>
              <w:keepNext/>
              <w:keepLines/>
              <w:spacing w:after="0" w:line="240" w:lineRule="auto"/>
              <w:jc w:val="center"/>
              <w:rPr>
                <w:rFonts w:ascii="Calibri" w:eastAsia="Times New Roman" w:hAnsi="Calibri" w:cs="Times New Roman"/>
                <w:color w:val="000000"/>
                <w:sz w:val="20"/>
                <w:szCs w:val="20"/>
                <w:lang w:val="en-US" w:eastAsia="fr-FR"/>
              </w:rPr>
            </w:pPr>
            <w:r w:rsidRPr="00124DA6">
              <w:rPr>
                <w:rFonts w:ascii="Calibri" w:eastAsia="Times New Roman" w:hAnsi="Calibri" w:cs="Times New Roman"/>
                <w:color w:val="000000"/>
                <w:sz w:val="20"/>
                <w:szCs w:val="20"/>
                <w:lang w:val="en-US" w:eastAsia="fr-FR"/>
              </w:rPr>
              <w:t>323</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603</w:t>
            </w:r>
          </w:p>
        </w:tc>
        <w:tc>
          <w:tcPr>
            <w:tcW w:w="0" w:type="auto"/>
            <w:shd w:val="clear" w:color="auto" w:fill="auto"/>
            <w:hideMark/>
          </w:tcPr>
          <w:p w14:paraId="53646882" w14:textId="77777777" w:rsidR="00102FE0" w:rsidRPr="00124DA6" w:rsidRDefault="00102FE0" w:rsidP="00995A23">
            <w:pPr>
              <w:keepNext/>
              <w:keepLines/>
              <w:spacing w:after="0" w:line="240" w:lineRule="auto"/>
              <w:jc w:val="center"/>
              <w:rPr>
                <w:rFonts w:ascii="Calibri" w:eastAsia="Times New Roman" w:hAnsi="Calibri" w:cs="Times New Roman"/>
                <w:color w:val="000000"/>
                <w:sz w:val="20"/>
                <w:szCs w:val="20"/>
                <w:lang w:val="en-US" w:eastAsia="fr-FR"/>
              </w:rPr>
            </w:pPr>
            <w:r w:rsidRPr="00124DA6">
              <w:rPr>
                <w:rFonts w:ascii="Calibri" w:eastAsia="Times New Roman" w:hAnsi="Calibri" w:cs="Times New Roman"/>
                <w:color w:val="000000"/>
                <w:sz w:val="20"/>
                <w:szCs w:val="20"/>
                <w:lang w:val="en-US" w:eastAsia="fr-FR"/>
              </w:rPr>
              <w:t>2</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062</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67</w:t>
            </w:r>
          </w:p>
        </w:tc>
      </w:tr>
      <w:tr w:rsidR="00102FE0" w:rsidRPr="00124DA6" w14:paraId="5B10F1C4" w14:textId="77777777" w:rsidTr="003B0586">
        <w:trPr>
          <w:trHeight w:val="255"/>
          <w:jc w:val="center"/>
        </w:trPr>
        <w:tc>
          <w:tcPr>
            <w:tcW w:w="0" w:type="auto"/>
            <w:shd w:val="clear" w:color="auto" w:fill="auto"/>
            <w:noWrap/>
            <w:vAlign w:val="bottom"/>
            <w:hideMark/>
          </w:tcPr>
          <w:p w14:paraId="77B8E7F0" w14:textId="77777777" w:rsidR="00102FE0" w:rsidRPr="00124DA6" w:rsidRDefault="00102FE0" w:rsidP="00995A23">
            <w:pPr>
              <w:keepNext/>
              <w:keepLines/>
              <w:spacing w:after="0" w:line="240" w:lineRule="auto"/>
              <w:jc w:val="both"/>
              <w:rPr>
                <w:rFonts w:ascii="Calibri" w:eastAsia="Times New Roman" w:hAnsi="Calibri" w:cs="Times New Roman"/>
                <w:bCs/>
                <w:color w:val="000000"/>
                <w:sz w:val="20"/>
                <w:szCs w:val="20"/>
                <w:lang w:val="en-US" w:eastAsia="fr-FR"/>
              </w:rPr>
            </w:pPr>
            <w:r w:rsidRPr="00124DA6">
              <w:rPr>
                <w:rFonts w:ascii="Calibri" w:eastAsia="Times New Roman" w:hAnsi="Calibri" w:cs="Times New Roman"/>
                <w:bCs/>
                <w:color w:val="000000"/>
                <w:sz w:val="20"/>
                <w:szCs w:val="20"/>
                <w:lang w:val="en-US" w:eastAsia="fr-FR"/>
              </w:rPr>
              <w:t xml:space="preserve">Electronic </w:t>
            </w:r>
            <w:r w:rsidR="00B12445" w:rsidRPr="00124DA6">
              <w:rPr>
                <w:rFonts w:ascii="Calibri" w:eastAsia="Times New Roman" w:hAnsi="Calibri" w:cs="Times New Roman"/>
                <w:bCs/>
                <w:color w:val="000000"/>
                <w:sz w:val="20"/>
                <w:szCs w:val="20"/>
                <w:lang w:val="en-US" w:eastAsia="fr-FR"/>
              </w:rPr>
              <w:t>m</w:t>
            </w:r>
            <w:r w:rsidRPr="00124DA6">
              <w:rPr>
                <w:rFonts w:ascii="Calibri" w:eastAsia="Times New Roman" w:hAnsi="Calibri" w:cs="Times New Roman"/>
                <w:bCs/>
                <w:color w:val="000000"/>
                <w:sz w:val="20"/>
                <w:szCs w:val="20"/>
                <w:lang w:val="en-US" w:eastAsia="fr-FR"/>
              </w:rPr>
              <w:t>oney (</w:t>
            </w:r>
            <w:r w:rsidR="00B12445" w:rsidRPr="00124DA6">
              <w:rPr>
                <w:rFonts w:ascii="Calibri" w:eastAsia="Times New Roman" w:hAnsi="Calibri" w:cs="Times New Roman"/>
                <w:bCs/>
                <w:color w:val="000000"/>
                <w:sz w:val="20"/>
                <w:szCs w:val="20"/>
                <w:lang w:val="en-US" w:eastAsia="fr-FR"/>
              </w:rPr>
              <w:t>m</w:t>
            </w:r>
            <w:r w:rsidRPr="00124DA6">
              <w:rPr>
                <w:rFonts w:ascii="Calibri" w:eastAsia="Times New Roman" w:hAnsi="Calibri" w:cs="Times New Roman"/>
                <w:bCs/>
                <w:color w:val="000000"/>
                <w:sz w:val="20"/>
                <w:szCs w:val="20"/>
                <w:lang w:val="en-US" w:eastAsia="fr-FR"/>
              </w:rPr>
              <w:t xml:space="preserve">obile </w:t>
            </w:r>
            <w:r w:rsidR="00B12445" w:rsidRPr="00124DA6">
              <w:rPr>
                <w:rFonts w:ascii="Calibri" w:eastAsia="Times New Roman" w:hAnsi="Calibri" w:cs="Times New Roman"/>
                <w:bCs/>
                <w:color w:val="000000"/>
                <w:sz w:val="20"/>
                <w:szCs w:val="20"/>
                <w:lang w:val="en-US" w:eastAsia="fr-FR"/>
              </w:rPr>
              <w:t>m</w:t>
            </w:r>
            <w:r w:rsidRPr="00124DA6">
              <w:rPr>
                <w:rFonts w:ascii="Calibri" w:eastAsia="Times New Roman" w:hAnsi="Calibri" w:cs="Times New Roman"/>
                <w:bCs/>
                <w:color w:val="000000"/>
                <w:sz w:val="20"/>
                <w:szCs w:val="20"/>
                <w:lang w:val="en-US" w:eastAsia="fr-FR"/>
              </w:rPr>
              <w:t>oney)</w:t>
            </w:r>
          </w:p>
        </w:tc>
        <w:tc>
          <w:tcPr>
            <w:tcW w:w="0" w:type="auto"/>
            <w:shd w:val="clear" w:color="auto" w:fill="auto"/>
            <w:hideMark/>
          </w:tcPr>
          <w:p w14:paraId="0BA6C818" w14:textId="77777777" w:rsidR="00102FE0" w:rsidRPr="00124DA6" w:rsidRDefault="00102FE0" w:rsidP="00995A23">
            <w:pPr>
              <w:keepNext/>
              <w:keepLines/>
              <w:spacing w:after="0" w:line="240" w:lineRule="auto"/>
              <w:jc w:val="center"/>
              <w:rPr>
                <w:rFonts w:ascii="Calibri" w:eastAsia="Times New Roman" w:hAnsi="Calibri" w:cs="Times New Roman"/>
                <w:color w:val="000000"/>
                <w:sz w:val="20"/>
                <w:szCs w:val="20"/>
                <w:lang w:val="en-US" w:eastAsia="fr-FR"/>
              </w:rPr>
            </w:pPr>
            <w:r w:rsidRPr="00124DA6">
              <w:rPr>
                <w:rFonts w:ascii="Calibri" w:eastAsia="Times New Roman" w:hAnsi="Calibri" w:cs="Times New Roman"/>
                <w:color w:val="000000"/>
                <w:sz w:val="20"/>
                <w:szCs w:val="20"/>
                <w:lang w:val="en-US" w:eastAsia="fr-FR"/>
              </w:rPr>
              <w:t>38</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399</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466</w:t>
            </w:r>
          </w:p>
        </w:tc>
        <w:tc>
          <w:tcPr>
            <w:tcW w:w="0" w:type="auto"/>
            <w:shd w:val="clear" w:color="auto" w:fill="auto"/>
            <w:hideMark/>
          </w:tcPr>
          <w:p w14:paraId="1856F565" w14:textId="77777777" w:rsidR="00102FE0" w:rsidRPr="00124DA6" w:rsidRDefault="00102FE0" w:rsidP="00995A23">
            <w:pPr>
              <w:keepNext/>
              <w:keepLines/>
              <w:spacing w:after="0" w:line="240" w:lineRule="auto"/>
              <w:jc w:val="center"/>
              <w:rPr>
                <w:rFonts w:ascii="Calibri" w:eastAsia="Times New Roman" w:hAnsi="Calibri" w:cs="Times New Roman"/>
                <w:color w:val="000000"/>
                <w:sz w:val="20"/>
                <w:szCs w:val="20"/>
                <w:lang w:val="en-US" w:eastAsia="fr-FR"/>
              </w:rPr>
            </w:pPr>
            <w:r w:rsidRPr="00124DA6">
              <w:rPr>
                <w:rFonts w:ascii="Calibri" w:eastAsia="Times New Roman" w:hAnsi="Calibri" w:cs="Times New Roman"/>
                <w:color w:val="000000"/>
                <w:sz w:val="20"/>
                <w:szCs w:val="20"/>
                <w:lang w:val="en-US" w:eastAsia="fr-FR"/>
              </w:rPr>
              <w:t>914</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60</w:t>
            </w:r>
          </w:p>
        </w:tc>
      </w:tr>
      <w:tr w:rsidR="00102FE0" w:rsidRPr="00124DA6" w14:paraId="7390EDCB" w14:textId="77777777" w:rsidTr="003B0586">
        <w:trPr>
          <w:trHeight w:val="255"/>
          <w:jc w:val="center"/>
        </w:trPr>
        <w:tc>
          <w:tcPr>
            <w:tcW w:w="0" w:type="auto"/>
            <w:shd w:val="clear" w:color="auto" w:fill="auto"/>
            <w:noWrap/>
            <w:vAlign w:val="bottom"/>
            <w:hideMark/>
          </w:tcPr>
          <w:p w14:paraId="3417D062" w14:textId="77777777" w:rsidR="00102FE0" w:rsidRPr="00124DA6" w:rsidRDefault="00102FE0" w:rsidP="00995A23">
            <w:pPr>
              <w:keepNext/>
              <w:keepLines/>
              <w:spacing w:after="0" w:line="240" w:lineRule="auto"/>
              <w:jc w:val="both"/>
              <w:rPr>
                <w:rFonts w:ascii="Calibri" w:eastAsia="Times New Roman" w:hAnsi="Calibri" w:cs="Times New Roman"/>
                <w:bCs/>
                <w:color w:val="000000"/>
                <w:sz w:val="20"/>
                <w:szCs w:val="20"/>
                <w:lang w:val="en-US" w:eastAsia="fr-FR"/>
              </w:rPr>
            </w:pPr>
            <w:r w:rsidRPr="00124DA6">
              <w:rPr>
                <w:rFonts w:ascii="Calibri" w:eastAsia="Times New Roman" w:hAnsi="Calibri" w:cs="Times New Roman"/>
                <w:bCs/>
                <w:color w:val="000000"/>
                <w:sz w:val="20"/>
                <w:szCs w:val="20"/>
                <w:lang w:val="en-US" w:eastAsia="fr-FR"/>
              </w:rPr>
              <w:t>Transfer</w:t>
            </w:r>
            <w:r w:rsidR="00523BA0" w:rsidRPr="00124DA6">
              <w:rPr>
                <w:rFonts w:ascii="Calibri" w:eastAsia="Times New Roman" w:hAnsi="Calibri" w:cs="Times New Roman"/>
                <w:bCs/>
                <w:color w:val="000000"/>
                <w:sz w:val="20"/>
                <w:szCs w:val="20"/>
                <w:lang w:val="en-US" w:eastAsia="fr-FR"/>
              </w:rPr>
              <w:t>s</w:t>
            </w:r>
            <w:r w:rsidRPr="00124DA6">
              <w:rPr>
                <w:rFonts w:ascii="Calibri" w:eastAsia="Times New Roman" w:hAnsi="Calibri" w:cs="Times New Roman"/>
                <w:bCs/>
                <w:color w:val="000000"/>
                <w:sz w:val="20"/>
                <w:szCs w:val="20"/>
                <w:lang w:val="en-US" w:eastAsia="fr-FR"/>
              </w:rPr>
              <w:t xml:space="preserve"> (</w:t>
            </w:r>
            <w:r w:rsidR="00523BA0" w:rsidRPr="00124DA6">
              <w:rPr>
                <w:rFonts w:ascii="Calibri" w:eastAsia="Times New Roman" w:hAnsi="Calibri" w:cs="Times New Roman"/>
                <w:bCs/>
                <w:color w:val="000000"/>
                <w:sz w:val="20"/>
                <w:szCs w:val="20"/>
                <w:lang w:val="en-US" w:eastAsia="fr-FR"/>
              </w:rPr>
              <w:t>cleared</w:t>
            </w:r>
            <w:r w:rsidRPr="00124DA6">
              <w:rPr>
                <w:rFonts w:ascii="Calibri" w:eastAsia="Times New Roman" w:hAnsi="Calibri" w:cs="Times New Roman"/>
                <w:bCs/>
                <w:color w:val="000000"/>
                <w:sz w:val="20"/>
                <w:szCs w:val="20"/>
                <w:lang w:val="en-US" w:eastAsia="fr-FR"/>
              </w:rPr>
              <w:t>)</w:t>
            </w:r>
          </w:p>
        </w:tc>
        <w:tc>
          <w:tcPr>
            <w:tcW w:w="0" w:type="auto"/>
            <w:shd w:val="clear" w:color="auto" w:fill="auto"/>
            <w:hideMark/>
          </w:tcPr>
          <w:p w14:paraId="10A213D3" w14:textId="77777777" w:rsidR="00102FE0" w:rsidRPr="00124DA6" w:rsidRDefault="00102FE0" w:rsidP="00995A23">
            <w:pPr>
              <w:keepNext/>
              <w:keepLines/>
              <w:spacing w:after="0" w:line="240" w:lineRule="auto"/>
              <w:jc w:val="center"/>
              <w:rPr>
                <w:rFonts w:ascii="Calibri" w:eastAsia="Times New Roman" w:hAnsi="Calibri" w:cs="Times New Roman"/>
                <w:color w:val="000000"/>
                <w:sz w:val="20"/>
                <w:szCs w:val="20"/>
                <w:lang w:val="en-US" w:eastAsia="fr-FR"/>
              </w:rPr>
            </w:pPr>
            <w:r w:rsidRPr="00124DA6">
              <w:rPr>
                <w:rFonts w:ascii="Calibri" w:eastAsia="Times New Roman" w:hAnsi="Calibri" w:cs="Times New Roman"/>
                <w:color w:val="000000"/>
                <w:sz w:val="20"/>
                <w:szCs w:val="20"/>
                <w:lang w:val="en-US" w:eastAsia="fr-FR"/>
              </w:rPr>
              <w:t>101</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047</w:t>
            </w:r>
          </w:p>
        </w:tc>
        <w:tc>
          <w:tcPr>
            <w:tcW w:w="0" w:type="auto"/>
            <w:shd w:val="clear" w:color="auto" w:fill="auto"/>
            <w:hideMark/>
          </w:tcPr>
          <w:p w14:paraId="34DF3F6C" w14:textId="77777777" w:rsidR="00102FE0" w:rsidRPr="00124DA6" w:rsidRDefault="00102FE0" w:rsidP="00995A23">
            <w:pPr>
              <w:keepNext/>
              <w:keepLines/>
              <w:spacing w:after="0" w:line="240" w:lineRule="auto"/>
              <w:jc w:val="center"/>
              <w:rPr>
                <w:rFonts w:ascii="Calibri" w:eastAsia="Times New Roman" w:hAnsi="Calibri" w:cs="Times New Roman"/>
                <w:color w:val="000000"/>
                <w:sz w:val="20"/>
                <w:szCs w:val="20"/>
                <w:lang w:val="en-US" w:eastAsia="fr-FR"/>
              </w:rPr>
            </w:pPr>
            <w:r w:rsidRPr="00124DA6">
              <w:rPr>
                <w:rFonts w:ascii="Calibri" w:eastAsia="Times New Roman" w:hAnsi="Calibri" w:cs="Times New Roman"/>
                <w:color w:val="000000"/>
                <w:sz w:val="20"/>
                <w:szCs w:val="20"/>
                <w:lang w:val="en-US" w:eastAsia="fr-FR"/>
              </w:rPr>
              <w:t>141</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44</w:t>
            </w:r>
          </w:p>
        </w:tc>
      </w:tr>
      <w:tr w:rsidR="00102FE0" w:rsidRPr="00124DA6" w14:paraId="233A7297" w14:textId="77777777" w:rsidTr="003B0586">
        <w:trPr>
          <w:trHeight w:val="270"/>
          <w:jc w:val="center"/>
        </w:trPr>
        <w:tc>
          <w:tcPr>
            <w:tcW w:w="0" w:type="auto"/>
            <w:shd w:val="clear" w:color="auto" w:fill="auto"/>
            <w:vAlign w:val="center"/>
            <w:hideMark/>
          </w:tcPr>
          <w:p w14:paraId="19FF839A" w14:textId="77777777" w:rsidR="00102FE0" w:rsidRPr="00124DA6" w:rsidRDefault="00102FE0" w:rsidP="00995A23">
            <w:pPr>
              <w:keepNext/>
              <w:keepLines/>
              <w:spacing w:after="0" w:line="240" w:lineRule="auto"/>
              <w:jc w:val="both"/>
              <w:rPr>
                <w:rFonts w:ascii="Calibri" w:eastAsia="Times New Roman" w:hAnsi="Calibri" w:cs="Times New Roman"/>
                <w:bCs/>
                <w:sz w:val="20"/>
                <w:szCs w:val="20"/>
                <w:lang w:val="en-US" w:eastAsia="fr-FR"/>
              </w:rPr>
            </w:pPr>
            <w:r w:rsidRPr="00124DA6">
              <w:rPr>
                <w:rFonts w:ascii="Calibri" w:eastAsia="Times New Roman" w:hAnsi="Calibri" w:cs="Times New Roman"/>
                <w:bCs/>
                <w:sz w:val="20"/>
                <w:szCs w:val="20"/>
                <w:lang w:val="en-US" w:eastAsia="fr-FR"/>
              </w:rPr>
              <w:t xml:space="preserve">Electronic banking (Interbank withdrawal) </w:t>
            </w:r>
          </w:p>
        </w:tc>
        <w:tc>
          <w:tcPr>
            <w:tcW w:w="0" w:type="auto"/>
            <w:shd w:val="clear" w:color="auto" w:fill="auto"/>
            <w:hideMark/>
          </w:tcPr>
          <w:p w14:paraId="7A687259" w14:textId="77777777" w:rsidR="00102FE0" w:rsidRPr="00124DA6" w:rsidRDefault="00102FE0" w:rsidP="00995A23">
            <w:pPr>
              <w:keepNext/>
              <w:keepLines/>
              <w:spacing w:after="0" w:line="240" w:lineRule="auto"/>
              <w:jc w:val="center"/>
              <w:rPr>
                <w:rFonts w:ascii="Calibri" w:eastAsia="Times New Roman" w:hAnsi="Calibri" w:cs="Times New Roman"/>
                <w:color w:val="000000"/>
                <w:sz w:val="20"/>
                <w:szCs w:val="20"/>
                <w:lang w:val="en-US" w:eastAsia="fr-FR"/>
              </w:rPr>
            </w:pPr>
            <w:r w:rsidRPr="00124DA6">
              <w:rPr>
                <w:rFonts w:ascii="Calibri" w:eastAsia="Times New Roman" w:hAnsi="Calibri" w:cs="Times New Roman"/>
                <w:color w:val="000000"/>
                <w:sz w:val="20"/>
                <w:szCs w:val="20"/>
                <w:lang w:val="en-US" w:eastAsia="fr-FR"/>
              </w:rPr>
              <w:t>897</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000</w:t>
            </w:r>
          </w:p>
        </w:tc>
        <w:tc>
          <w:tcPr>
            <w:tcW w:w="0" w:type="auto"/>
            <w:shd w:val="clear" w:color="auto" w:fill="auto"/>
            <w:hideMark/>
          </w:tcPr>
          <w:p w14:paraId="13F7C482" w14:textId="77777777" w:rsidR="00102FE0" w:rsidRPr="00124DA6" w:rsidRDefault="00102FE0" w:rsidP="00995A23">
            <w:pPr>
              <w:keepNext/>
              <w:keepLines/>
              <w:spacing w:after="0" w:line="240" w:lineRule="auto"/>
              <w:jc w:val="center"/>
              <w:rPr>
                <w:rFonts w:ascii="Calibri" w:eastAsia="Times New Roman" w:hAnsi="Calibri" w:cs="Times New Roman"/>
                <w:color w:val="000000"/>
                <w:sz w:val="20"/>
                <w:szCs w:val="20"/>
                <w:lang w:val="en-US" w:eastAsia="fr-FR"/>
              </w:rPr>
            </w:pPr>
            <w:r w:rsidRPr="00124DA6">
              <w:rPr>
                <w:rFonts w:ascii="Calibri" w:eastAsia="Times New Roman" w:hAnsi="Calibri" w:cs="Times New Roman"/>
                <w:color w:val="000000"/>
                <w:sz w:val="20"/>
                <w:szCs w:val="20"/>
                <w:lang w:val="en-US" w:eastAsia="fr-FR"/>
              </w:rPr>
              <w:t>47</w:t>
            </w:r>
            <w:r w:rsidR="00B12445" w:rsidRPr="00124DA6">
              <w:rPr>
                <w:rFonts w:ascii="Calibri" w:eastAsia="Times New Roman" w:hAnsi="Calibri" w:cs="Times New Roman"/>
                <w:color w:val="000000"/>
                <w:sz w:val="20"/>
                <w:szCs w:val="20"/>
                <w:lang w:val="en-US" w:eastAsia="fr-FR"/>
              </w:rPr>
              <w:t>.</w:t>
            </w:r>
            <w:r w:rsidRPr="00124DA6">
              <w:rPr>
                <w:rFonts w:ascii="Calibri" w:eastAsia="Times New Roman" w:hAnsi="Calibri" w:cs="Times New Roman"/>
                <w:color w:val="000000"/>
                <w:sz w:val="20"/>
                <w:szCs w:val="20"/>
                <w:lang w:val="en-US" w:eastAsia="fr-FR"/>
              </w:rPr>
              <w:t>80</w:t>
            </w:r>
          </w:p>
        </w:tc>
      </w:tr>
    </w:tbl>
    <w:p w14:paraId="144AC9A6" w14:textId="77777777" w:rsidR="00102FE0" w:rsidRPr="00124DA6" w:rsidRDefault="00102FE0" w:rsidP="00102FE0">
      <w:pPr>
        <w:pStyle w:val="NoSpacing"/>
        <w:tabs>
          <w:tab w:val="left" w:pos="1785"/>
          <w:tab w:val="center" w:pos="5233"/>
        </w:tabs>
        <w:jc w:val="both"/>
        <w:rPr>
          <w:lang w:val="en-US"/>
        </w:rPr>
      </w:pPr>
    </w:p>
    <w:p w14:paraId="1426A107" w14:textId="19ABD538" w:rsidR="00102FE0" w:rsidRPr="00124DA6" w:rsidRDefault="0050550A" w:rsidP="00547B8F">
      <w:pPr>
        <w:pStyle w:val="ListParagraph"/>
        <w:numPr>
          <w:ilvl w:val="0"/>
          <w:numId w:val="47"/>
        </w:numPr>
        <w:spacing w:after="240" w:line="240" w:lineRule="auto"/>
        <w:ind w:left="0" w:firstLine="0"/>
        <w:contextualSpacing w:val="0"/>
        <w:jc w:val="both"/>
        <w:rPr>
          <w:rFonts w:cs="ArialMT"/>
          <w:lang w:val="en-US"/>
        </w:rPr>
      </w:pPr>
      <w:r w:rsidRPr="00124DA6">
        <w:rPr>
          <w:rFonts w:cs="ArialMT"/>
          <w:b/>
          <w:lang w:val="en-US"/>
        </w:rPr>
        <w:t>M</w:t>
      </w:r>
      <w:r w:rsidR="00102FE0" w:rsidRPr="00124DA6">
        <w:rPr>
          <w:rFonts w:cs="ArialMT"/>
          <w:b/>
          <w:lang w:val="en-US"/>
        </w:rPr>
        <w:t xml:space="preserve">obile money </w:t>
      </w:r>
      <w:r w:rsidRPr="00124DA6">
        <w:rPr>
          <w:rFonts w:cs="ArialMT"/>
          <w:b/>
          <w:lang w:val="en-US"/>
        </w:rPr>
        <w:t>activities grow rapidly</w:t>
      </w:r>
      <w:r w:rsidR="00102FE0" w:rsidRPr="00124DA6">
        <w:rPr>
          <w:rFonts w:cs="ArialMT"/>
          <w:b/>
          <w:lang w:val="en-US"/>
        </w:rPr>
        <w:t xml:space="preserve"> compared to other means of payment (check, transfer,</w:t>
      </w:r>
      <w:r w:rsidR="002D2D7A" w:rsidRPr="00124DA6">
        <w:rPr>
          <w:rFonts w:cs="ArialMT"/>
          <w:b/>
          <w:lang w:val="en-US"/>
        </w:rPr>
        <w:t xml:space="preserve"> and so on</w:t>
      </w:r>
      <w:r w:rsidR="00102FE0" w:rsidRPr="00124DA6">
        <w:rPr>
          <w:rFonts w:cs="ArialMT"/>
          <w:b/>
          <w:lang w:val="en-US"/>
        </w:rPr>
        <w:t>).</w:t>
      </w:r>
      <w:r w:rsidR="00102FE0" w:rsidRPr="00124DA6">
        <w:rPr>
          <w:rFonts w:cs="ArialMT"/>
          <w:lang w:val="en-US"/>
        </w:rPr>
        <w:t xml:space="preserve"> The number of mobile money transactions rose from 14.7</w:t>
      </w:r>
      <w:r w:rsidR="00C702B4">
        <w:rPr>
          <w:rFonts w:cs="ArialMT"/>
          <w:lang w:val="en-US"/>
        </w:rPr>
        <w:t> </w:t>
      </w:r>
      <w:r w:rsidR="00102FE0" w:rsidRPr="00124DA6">
        <w:rPr>
          <w:rFonts w:cs="ArialMT"/>
          <w:lang w:val="en-US"/>
        </w:rPr>
        <w:t>million in 2015 to 38.4</w:t>
      </w:r>
      <w:r w:rsidR="00C702B4">
        <w:rPr>
          <w:rFonts w:cs="ArialMT"/>
          <w:lang w:val="en-US"/>
        </w:rPr>
        <w:t> </w:t>
      </w:r>
      <w:r w:rsidR="00102FE0" w:rsidRPr="00124DA6">
        <w:rPr>
          <w:rFonts w:cs="ArialMT"/>
          <w:lang w:val="en-US"/>
        </w:rPr>
        <w:t xml:space="preserve">million in 2016 for a </w:t>
      </w:r>
      <w:r w:rsidRPr="00124DA6">
        <w:rPr>
          <w:rFonts w:cs="ArialMT"/>
          <w:lang w:val="en-US"/>
        </w:rPr>
        <w:t xml:space="preserve">face </w:t>
      </w:r>
      <w:r w:rsidR="00102FE0" w:rsidRPr="00124DA6">
        <w:rPr>
          <w:rFonts w:cs="ArialMT"/>
          <w:lang w:val="en-US"/>
        </w:rPr>
        <w:t xml:space="preserve">value of </w:t>
      </w:r>
      <w:r w:rsidR="00C937C8" w:rsidRPr="00124DA6">
        <w:rPr>
          <w:rFonts w:cs="ArialMT"/>
          <w:lang w:val="en-US"/>
        </w:rPr>
        <w:t>CFAF</w:t>
      </w:r>
      <w:r w:rsidR="00C702B4">
        <w:rPr>
          <w:rFonts w:cs="ArialMT"/>
          <w:lang w:val="en-US"/>
        </w:rPr>
        <w:t> </w:t>
      </w:r>
      <w:r w:rsidR="00102FE0" w:rsidRPr="00124DA6">
        <w:rPr>
          <w:rFonts w:cs="ArialMT"/>
          <w:lang w:val="en-US"/>
        </w:rPr>
        <w:t>919.5</w:t>
      </w:r>
      <w:r w:rsidR="00C702B4">
        <w:rPr>
          <w:rFonts w:cs="ArialMT"/>
          <w:lang w:val="en-US"/>
        </w:rPr>
        <w:t> </w:t>
      </w:r>
      <w:r w:rsidR="00102FE0" w:rsidRPr="00124DA6">
        <w:rPr>
          <w:rFonts w:cs="ArialMT"/>
          <w:lang w:val="en-US"/>
        </w:rPr>
        <w:t xml:space="preserve">billion in 2016, compared with </w:t>
      </w:r>
      <w:r w:rsidR="00C937C8" w:rsidRPr="00124DA6">
        <w:rPr>
          <w:rFonts w:cs="ArialMT"/>
          <w:lang w:val="en-US"/>
        </w:rPr>
        <w:t>CFAF</w:t>
      </w:r>
      <w:r w:rsidR="00C702B4">
        <w:rPr>
          <w:rFonts w:cs="ArialMT"/>
          <w:lang w:val="en-US"/>
        </w:rPr>
        <w:t> </w:t>
      </w:r>
      <w:r w:rsidR="00102FE0" w:rsidRPr="00124DA6">
        <w:rPr>
          <w:rFonts w:cs="ArialMT"/>
          <w:lang w:val="en-US"/>
        </w:rPr>
        <w:t>205.4</w:t>
      </w:r>
      <w:r w:rsidR="00C702B4">
        <w:rPr>
          <w:rFonts w:cs="ArialMT"/>
          <w:lang w:val="en-US"/>
        </w:rPr>
        <w:t> </w:t>
      </w:r>
      <w:r w:rsidR="00102FE0" w:rsidRPr="00124DA6">
        <w:rPr>
          <w:rFonts w:cs="ArialMT"/>
          <w:lang w:val="en-US"/>
        </w:rPr>
        <w:t>billion in 2015.</w:t>
      </w:r>
      <w:r w:rsidR="00165C4D" w:rsidRPr="00124DA6">
        <w:rPr>
          <w:rFonts w:cs="ArialMT"/>
          <w:lang w:val="en-US"/>
        </w:rPr>
        <w:t xml:space="preserve"> </w:t>
      </w:r>
      <w:r w:rsidR="00102FE0" w:rsidRPr="00124DA6">
        <w:rPr>
          <w:rFonts w:cs="ArialMT"/>
          <w:lang w:val="en-US"/>
        </w:rPr>
        <w:t xml:space="preserve">At the level of the WAEMU </w:t>
      </w:r>
      <w:r w:rsidR="00102FE0" w:rsidRPr="00124DA6">
        <w:rPr>
          <w:lang w:val="en-US"/>
        </w:rPr>
        <w:t>Interbank</w:t>
      </w:r>
      <w:r w:rsidR="00102FE0" w:rsidRPr="00124DA6">
        <w:rPr>
          <w:rFonts w:cs="ArialMT"/>
          <w:lang w:val="en-US"/>
        </w:rPr>
        <w:t xml:space="preserve"> Automated Compensation System (WAEMU-IACS), the activity increased from 438,417 transactions in 2015 for 2,480</w:t>
      </w:r>
      <w:r w:rsidR="00C702B4">
        <w:rPr>
          <w:rFonts w:cs="ArialMT"/>
          <w:lang w:val="en-US"/>
        </w:rPr>
        <w:t> </w:t>
      </w:r>
      <w:r w:rsidR="00102FE0" w:rsidRPr="00124DA6">
        <w:rPr>
          <w:rFonts w:cs="ArialMT"/>
          <w:lang w:val="en-US"/>
        </w:rPr>
        <w:t xml:space="preserve">billion transactions to 432,882 transactions in 2016, for a total value of </w:t>
      </w:r>
      <w:r w:rsidR="00C937C8" w:rsidRPr="00124DA6">
        <w:rPr>
          <w:rFonts w:cs="ArialMT"/>
          <w:lang w:val="en-US"/>
        </w:rPr>
        <w:t>CFAF</w:t>
      </w:r>
      <w:r w:rsidR="00C702B4">
        <w:rPr>
          <w:rFonts w:cs="ArialMT"/>
          <w:lang w:val="en-US"/>
        </w:rPr>
        <w:t> </w:t>
      </w:r>
      <w:r w:rsidR="00102FE0" w:rsidRPr="00124DA6">
        <w:rPr>
          <w:rFonts w:cs="ArialMT"/>
          <w:lang w:val="en-US"/>
        </w:rPr>
        <w:t>2</w:t>
      </w:r>
      <w:r w:rsidR="00C937C8" w:rsidRPr="00124DA6">
        <w:rPr>
          <w:rFonts w:cs="ArialMT"/>
          <w:lang w:val="en-US"/>
        </w:rPr>
        <w:t>,</w:t>
      </w:r>
      <w:r w:rsidR="00102FE0" w:rsidRPr="00124DA6">
        <w:rPr>
          <w:rFonts w:cs="ArialMT"/>
          <w:lang w:val="en-US"/>
        </w:rPr>
        <w:t>330</w:t>
      </w:r>
      <w:r w:rsidR="00C702B4">
        <w:rPr>
          <w:rFonts w:cs="ArialMT"/>
          <w:lang w:val="en-US"/>
        </w:rPr>
        <w:t> </w:t>
      </w:r>
      <w:r w:rsidR="00102FE0" w:rsidRPr="00124DA6">
        <w:rPr>
          <w:rFonts w:cs="ArialMT"/>
          <w:lang w:val="en-US"/>
        </w:rPr>
        <w:t>billion.</w:t>
      </w:r>
    </w:p>
    <w:p w14:paraId="28FC341B" w14:textId="02E67C67" w:rsidR="002D2EDD" w:rsidRPr="00124DA6" w:rsidRDefault="00102FE0" w:rsidP="00547B8F">
      <w:pPr>
        <w:pStyle w:val="ListParagraph"/>
        <w:numPr>
          <w:ilvl w:val="0"/>
          <w:numId w:val="47"/>
        </w:numPr>
        <w:spacing w:after="240" w:line="240" w:lineRule="auto"/>
        <w:ind w:left="0" w:firstLine="0"/>
        <w:contextualSpacing w:val="0"/>
        <w:jc w:val="both"/>
        <w:rPr>
          <w:lang w:val="en-US"/>
        </w:rPr>
      </w:pPr>
      <w:r w:rsidRPr="00124DA6">
        <w:rPr>
          <w:rFonts w:cs="ArialMT"/>
          <w:b/>
          <w:lang w:val="en-US"/>
        </w:rPr>
        <w:t xml:space="preserve">GIM, the </w:t>
      </w:r>
      <w:r w:rsidR="00141BD7">
        <w:rPr>
          <w:rFonts w:cs="ArialMT"/>
          <w:b/>
          <w:lang w:val="en-US"/>
        </w:rPr>
        <w:t>“</w:t>
      </w:r>
      <w:r w:rsidRPr="00124DA6">
        <w:rPr>
          <w:rFonts w:cs="ArialMT"/>
          <w:b/>
          <w:lang w:val="en-US"/>
        </w:rPr>
        <w:t>interbank electronic payment switch</w:t>
      </w:r>
      <w:r w:rsidR="00141BD7">
        <w:rPr>
          <w:rFonts w:cs="ArialMT"/>
          <w:b/>
          <w:lang w:val="en-US"/>
        </w:rPr>
        <w:t>”</w:t>
      </w:r>
      <w:r w:rsidRPr="00124DA6">
        <w:rPr>
          <w:rFonts w:cs="ArialMT"/>
          <w:b/>
          <w:lang w:val="en-US"/>
        </w:rPr>
        <w:t xml:space="preserve"> of the WAEMU zone, is </w:t>
      </w:r>
      <w:r w:rsidR="0050550A" w:rsidRPr="00124DA6">
        <w:rPr>
          <w:rFonts w:cs="ArialMT"/>
          <w:b/>
          <w:lang w:val="en-US"/>
        </w:rPr>
        <w:t xml:space="preserve">facing many challenges. </w:t>
      </w:r>
      <w:r w:rsidR="0050550A" w:rsidRPr="00124DA6">
        <w:rPr>
          <w:rFonts w:cs="ArialMT"/>
          <w:lang w:val="en-US"/>
        </w:rPr>
        <w:t xml:space="preserve">GIM is </w:t>
      </w:r>
      <w:r w:rsidRPr="00124DA6">
        <w:rPr>
          <w:rFonts w:cs="ArialMT"/>
          <w:lang w:val="en-US"/>
        </w:rPr>
        <w:t>responsible for, among other things</w:t>
      </w:r>
      <w:r w:rsidR="005240F7" w:rsidRPr="00124DA6">
        <w:rPr>
          <w:rFonts w:cs="ArialMT"/>
          <w:lang w:val="en-US"/>
        </w:rPr>
        <w:t>,</w:t>
      </w:r>
      <w:r w:rsidRPr="00124DA6">
        <w:rPr>
          <w:rFonts w:cs="ArialMT"/>
          <w:lang w:val="en-US"/>
        </w:rPr>
        <w:t xml:space="preserve"> </w:t>
      </w:r>
      <w:r w:rsidR="005240F7" w:rsidRPr="00124DA6">
        <w:rPr>
          <w:rFonts w:cs="ArialMT"/>
          <w:lang w:val="en-US"/>
        </w:rPr>
        <w:t>(</w:t>
      </w:r>
      <w:r w:rsidRPr="00124DA6">
        <w:rPr>
          <w:rFonts w:cs="ArialMT"/>
          <w:lang w:val="en-US"/>
        </w:rPr>
        <w:t xml:space="preserve">a) defining interbank regulation, </w:t>
      </w:r>
      <w:r w:rsidR="005240F7" w:rsidRPr="00124DA6">
        <w:rPr>
          <w:rFonts w:cs="ArialMT"/>
          <w:lang w:val="en-US"/>
        </w:rPr>
        <w:t>(</w:t>
      </w:r>
      <w:r w:rsidRPr="00124DA6">
        <w:rPr>
          <w:rFonts w:cs="ArialMT"/>
          <w:lang w:val="en-US"/>
        </w:rPr>
        <w:t xml:space="preserve">b) defining technical standards for </w:t>
      </w:r>
      <w:proofErr w:type="spellStart"/>
      <w:r w:rsidRPr="00124DA6">
        <w:rPr>
          <w:rFonts w:cs="ArialMT"/>
          <w:lang w:val="en-US"/>
        </w:rPr>
        <w:t>interbanking</w:t>
      </w:r>
      <w:proofErr w:type="spellEnd"/>
      <w:r w:rsidRPr="00124DA6">
        <w:rPr>
          <w:rFonts w:cs="ArialMT"/>
          <w:lang w:val="en-US"/>
        </w:rPr>
        <w:t xml:space="preserve">, </w:t>
      </w:r>
      <w:r w:rsidR="005240F7" w:rsidRPr="00124DA6">
        <w:rPr>
          <w:rFonts w:cs="ArialMT"/>
          <w:lang w:val="en-US"/>
        </w:rPr>
        <w:t>(</w:t>
      </w:r>
      <w:r w:rsidRPr="00124DA6">
        <w:rPr>
          <w:rFonts w:cs="ArialMT"/>
          <w:lang w:val="en-US"/>
        </w:rPr>
        <w:t xml:space="preserve">c) </w:t>
      </w:r>
      <w:r w:rsidRPr="00124DA6">
        <w:rPr>
          <w:lang w:val="en-US"/>
        </w:rPr>
        <w:t>setting</w:t>
      </w:r>
      <w:r w:rsidRPr="00124DA6">
        <w:rPr>
          <w:rFonts w:cs="ArialMT"/>
          <w:lang w:val="en-US"/>
        </w:rPr>
        <w:t xml:space="preserve"> interbank pricing, </w:t>
      </w:r>
      <w:r w:rsidR="005240F7" w:rsidRPr="00124DA6">
        <w:rPr>
          <w:rFonts w:cs="ArialMT"/>
          <w:lang w:val="en-US"/>
        </w:rPr>
        <w:t>(</w:t>
      </w:r>
      <w:r w:rsidRPr="00124DA6">
        <w:rPr>
          <w:rFonts w:cs="ArialMT"/>
          <w:lang w:val="en-US"/>
        </w:rPr>
        <w:t xml:space="preserve">d) representing members with international issuers (Visa, MasterCard, Amex), </w:t>
      </w:r>
      <w:r w:rsidR="005240F7" w:rsidRPr="00124DA6">
        <w:rPr>
          <w:rFonts w:cs="ArialMT"/>
          <w:lang w:val="en-US"/>
        </w:rPr>
        <w:t>and (</w:t>
      </w:r>
      <w:r w:rsidRPr="00124DA6">
        <w:rPr>
          <w:rFonts w:cs="ArialMT"/>
          <w:lang w:val="en-US"/>
        </w:rPr>
        <w:t>d) providing secure interbank services (national, regional</w:t>
      </w:r>
      <w:r w:rsidR="005240F7" w:rsidRPr="00124DA6">
        <w:rPr>
          <w:rFonts w:cs="ArialMT"/>
          <w:lang w:val="en-US"/>
        </w:rPr>
        <w:t>,</w:t>
      </w:r>
      <w:r w:rsidRPr="00124DA6">
        <w:rPr>
          <w:rFonts w:cs="ArialMT"/>
          <w:lang w:val="en-US"/>
        </w:rPr>
        <w:t xml:space="preserve"> and international interoperability). The </w:t>
      </w:r>
      <w:r w:rsidR="0050550A" w:rsidRPr="00124DA6">
        <w:rPr>
          <w:rFonts w:cs="ArialMT"/>
          <w:lang w:val="en-US"/>
        </w:rPr>
        <w:t>main challenges include</w:t>
      </w:r>
      <w:r w:rsidR="003A0531" w:rsidRPr="00124DA6">
        <w:rPr>
          <w:rFonts w:cs="ArialMT"/>
          <w:lang w:val="en-US"/>
        </w:rPr>
        <w:t xml:space="preserve"> the following</w:t>
      </w:r>
      <w:r w:rsidRPr="00124DA6">
        <w:rPr>
          <w:rFonts w:cs="ArialMT"/>
          <w:lang w:val="en-US"/>
        </w:rPr>
        <w:t>:</w:t>
      </w:r>
      <w:r w:rsidR="0050550A" w:rsidRPr="00124DA6">
        <w:rPr>
          <w:rFonts w:cs="ArialMT"/>
          <w:lang w:val="en-US"/>
        </w:rPr>
        <w:t xml:space="preserve"> </w:t>
      </w:r>
    </w:p>
    <w:p w14:paraId="6E67A9E0" w14:textId="1819004C" w:rsidR="002D2EDD" w:rsidRPr="00124DA6" w:rsidRDefault="003A0531" w:rsidP="00547B8F">
      <w:pPr>
        <w:pStyle w:val="ListParagraph"/>
        <w:numPr>
          <w:ilvl w:val="0"/>
          <w:numId w:val="35"/>
        </w:numPr>
        <w:spacing w:before="120" w:after="120" w:line="240" w:lineRule="auto"/>
        <w:ind w:left="1195" w:hanging="475"/>
        <w:contextualSpacing w:val="0"/>
        <w:jc w:val="both"/>
        <w:rPr>
          <w:lang w:val="en-US"/>
        </w:rPr>
      </w:pPr>
      <w:r w:rsidRPr="00124DA6">
        <w:rPr>
          <w:rFonts w:cs="ArialMT"/>
          <w:lang w:val="en-US"/>
        </w:rPr>
        <w:t>A</w:t>
      </w:r>
      <w:r w:rsidR="00165C4D" w:rsidRPr="00124DA6">
        <w:rPr>
          <w:rFonts w:cs="ArialMT"/>
          <w:lang w:val="en-US"/>
        </w:rPr>
        <w:t xml:space="preserve"> </w:t>
      </w:r>
      <w:r w:rsidR="00102FE0" w:rsidRPr="00124DA6">
        <w:rPr>
          <w:lang w:val="en-US"/>
        </w:rPr>
        <w:t xml:space="preserve">slow growth of interbank electronic banking activity in the WAEMU zone, given the heavy investment required for the establishment of regional </w:t>
      </w:r>
      <w:proofErr w:type="spellStart"/>
      <w:r w:rsidR="00102FE0" w:rsidRPr="00124DA6">
        <w:rPr>
          <w:lang w:val="en-US"/>
        </w:rPr>
        <w:t>interbanking</w:t>
      </w:r>
      <w:proofErr w:type="spellEnd"/>
      <w:r w:rsidR="00102FE0" w:rsidRPr="00124DA6">
        <w:rPr>
          <w:lang w:val="en-US"/>
        </w:rPr>
        <w:t xml:space="preserve"> activity covering eight countries. In fact, the interbank electronic banking activity handled by the GIM-WAEMU remains weak, especially the number of interbank </w:t>
      </w:r>
      <w:proofErr w:type="gramStart"/>
      <w:r w:rsidR="00102FE0" w:rsidRPr="00124DA6">
        <w:rPr>
          <w:lang w:val="en-US"/>
        </w:rPr>
        <w:t>withdrawal</w:t>
      </w:r>
      <w:proofErr w:type="gramEnd"/>
      <w:r w:rsidR="00102FE0" w:rsidRPr="00124DA6">
        <w:rPr>
          <w:lang w:val="en-US"/>
        </w:rPr>
        <w:t xml:space="preserve"> amounted to 897,000 transactions in 2016 for a value of </w:t>
      </w:r>
      <w:r w:rsidR="00C71088" w:rsidRPr="00124DA6">
        <w:rPr>
          <w:lang w:val="en-US"/>
        </w:rPr>
        <w:t>CFAF</w:t>
      </w:r>
      <w:r w:rsidR="00C702B4">
        <w:rPr>
          <w:lang w:val="en-US"/>
        </w:rPr>
        <w:t> </w:t>
      </w:r>
      <w:r w:rsidR="00102FE0" w:rsidRPr="00124DA6">
        <w:rPr>
          <w:lang w:val="en-US"/>
        </w:rPr>
        <w:t>47.8</w:t>
      </w:r>
      <w:r w:rsidR="00C702B4">
        <w:rPr>
          <w:lang w:val="en-US"/>
        </w:rPr>
        <w:t> </w:t>
      </w:r>
      <w:r w:rsidR="00102FE0" w:rsidRPr="00124DA6">
        <w:rPr>
          <w:lang w:val="en-US"/>
        </w:rPr>
        <w:t>billion</w:t>
      </w:r>
      <w:r w:rsidRPr="00124DA6">
        <w:rPr>
          <w:lang w:val="en-US"/>
        </w:rPr>
        <w:t>.</w:t>
      </w:r>
    </w:p>
    <w:p w14:paraId="19ECEDD0" w14:textId="77777777" w:rsidR="00102FE0" w:rsidRPr="00124DA6" w:rsidRDefault="003A0531" w:rsidP="00547B8F">
      <w:pPr>
        <w:pStyle w:val="ListParagraph"/>
        <w:numPr>
          <w:ilvl w:val="0"/>
          <w:numId w:val="35"/>
        </w:numPr>
        <w:spacing w:before="120" w:after="120" w:line="240" w:lineRule="auto"/>
        <w:ind w:left="1195" w:hanging="475"/>
        <w:contextualSpacing w:val="0"/>
        <w:jc w:val="both"/>
        <w:rPr>
          <w:lang w:val="en-US"/>
        </w:rPr>
      </w:pPr>
      <w:r w:rsidRPr="00124DA6">
        <w:rPr>
          <w:lang w:val="en-US"/>
        </w:rPr>
        <w:t>T</w:t>
      </w:r>
      <w:r w:rsidR="00102FE0" w:rsidRPr="00124DA6">
        <w:rPr>
          <w:lang w:val="en-US"/>
        </w:rPr>
        <w:t xml:space="preserve">he development of electronic interoperability within the WAEMU zone, as mandated by the </w:t>
      </w:r>
      <w:r w:rsidR="00762ACC" w:rsidRPr="00124DA6">
        <w:rPr>
          <w:lang w:val="en-US"/>
        </w:rPr>
        <w:t>BCEAO</w:t>
      </w:r>
      <w:r w:rsidR="00102FE0" w:rsidRPr="00124DA6">
        <w:rPr>
          <w:lang w:val="en-US"/>
        </w:rPr>
        <w:t>.</w:t>
      </w:r>
    </w:p>
    <w:p w14:paraId="3D6E54CF" w14:textId="77777777" w:rsidR="00547B8F" w:rsidRDefault="00547B8F">
      <w:pPr>
        <w:rPr>
          <w:rFonts w:asciiTheme="majorHAnsi" w:hAnsiTheme="majorHAnsi"/>
          <w:iCs/>
          <w:color w:val="2E74B5" w:themeColor="accent1" w:themeShade="BF"/>
          <w:sz w:val="20"/>
          <w:szCs w:val="18"/>
          <w:lang w:val="en-US"/>
        </w:rPr>
      </w:pPr>
      <w:r>
        <w:rPr>
          <w:lang w:val="en-US"/>
        </w:rPr>
        <w:br w:type="page"/>
      </w:r>
    </w:p>
    <w:p w14:paraId="316C0CB8" w14:textId="3E64D5E4" w:rsidR="00102FE0" w:rsidRPr="00547B8F" w:rsidRDefault="003B0586" w:rsidP="003B0586">
      <w:pPr>
        <w:pStyle w:val="Caption"/>
        <w:rPr>
          <w:b/>
          <w:lang w:val="en-US"/>
        </w:rPr>
      </w:pPr>
      <w:r w:rsidRPr="00547B8F">
        <w:rPr>
          <w:b/>
          <w:lang w:val="en-US"/>
        </w:rPr>
        <w:t>Figure</w:t>
      </w:r>
      <w:r w:rsidR="00C702B4" w:rsidRPr="00547B8F">
        <w:rPr>
          <w:b/>
          <w:lang w:val="en-US"/>
        </w:rPr>
        <w:t> </w:t>
      </w:r>
      <w:r w:rsidRPr="00547B8F">
        <w:rPr>
          <w:b/>
          <w:lang w:val="en-US"/>
        </w:rPr>
        <w:t>3.</w:t>
      </w:r>
      <w:r w:rsidRPr="00547B8F">
        <w:rPr>
          <w:b/>
          <w:lang w:val="en-US"/>
        </w:rPr>
        <w:fldChar w:fldCharType="begin"/>
      </w:r>
      <w:r w:rsidRPr="00547B8F">
        <w:rPr>
          <w:b/>
          <w:lang w:val="en-US"/>
        </w:rPr>
        <w:instrText xml:space="preserve"> SEQ Figure_3. \* ARABIC </w:instrText>
      </w:r>
      <w:r w:rsidRPr="00547B8F">
        <w:rPr>
          <w:b/>
          <w:lang w:val="en-US"/>
        </w:rPr>
        <w:fldChar w:fldCharType="separate"/>
      </w:r>
      <w:r w:rsidR="004C6E5F" w:rsidRPr="00547B8F">
        <w:rPr>
          <w:b/>
          <w:noProof/>
          <w:lang w:val="en-US"/>
        </w:rPr>
        <w:t>3</w:t>
      </w:r>
      <w:r w:rsidRPr="00547B8F">
        <w:rPr>
          <w:b/>
          <w:lang w:val="en-US"/>
        </w:rPr>
        <w:fldChar w:fldCharType="end"/>
      </w:r>
      <w:r w:rsidR="00102FE0" w:rsidRPr="00547B8F">
        <w:rPr>
          <w:b/>
          <w:lang w:val="en-US"/>
        </w:rPr>
        <w:t xml:space="preserve">: Overall change in the value of transactions by platform within </w:t>
      </w:r>
      <w:r w:rsidR="00B12445" w:rsidRPr="00547B8F">
        <w:rPr>
          <w:b/>
          <w:lang w:val="en-US"/>
        </w:rPr>
        <w:t xml:space="preserve">the </w:t>
      </w:r>
      <w:r w:rsidR="00102FE0" w:rsidRPr="00547B8F">
        <w:rPr>
          <w:b/>
          <w:lang w:val="en-US"/>
        </w:rPr>
        <w:t xml:space="preserve">WAEMU </w:t>
      </w:r>
    </w:p>
    <w:p w14:paraId="1930C59D" w14:textId="77777777" w:rsidR="00102FE0" w:rsidRPr="00124DA6" w:rsidRDefault="00102FE0" w:rsidP="003B0586">
      <w:pPr>
        <w:pStyle w:val="NoSpacing"/>
        <w:keepNext/>
        <w:jc w:val="both"/>
        <w:rPr>
          <w:lang w:val="en-US"/>
        </w:rPr>
      </w:pPr>
      <w:r w:rsidRPr="00124DA6">
        <w:rPr>
          <w:noProof/>
          <w:lang w:eastAsia="fr-FR"/>
        </w:rPr>
        <w:drawing>
          <wp:inline distT="0" distB="0" distL="0" distR="0" wp14:anchorId="15625594" wp14:editId="0BD8BE32">
            <wp:extent cx="5943600" cy="2016064"/>
            <wp:effectExtent l="0" t="0" r="0" b="3810"/>
            <wp:docPr id="145"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3215"/>
                    <a:stretch/>
                  </pic:blipFill>
                  <pic:spPr bwMode="auto">
                    <a:xfrm>
                      <a:off x="0" y="0"/>
                      <a:ext cx="5943600" cy="2016064"/>
                    </a:xfrm>
                    <a:prstGeom prst="rect">
                      <a:avLst/>
                    </a:prstGeom>
                    <a:noFill/>
                    <a:ln>
                      <a:noFill/>
                    </a:ln>
                    <a:extLst>
                      <a:ext uri="{53640926-AAD7-44D8-BBD7-CCE9431645EC}">
                        <a14:shadowObscured xmlns:a14="http://schemas.microsoft.com/office/drawing/2010/main"/>
                      </a:ext>
                    </a:extLst>
                  </pic:spPr>
                </pic:pic>
              </a:graphicData>
            </a:graphic>
          </wp:inline>
        </w:drawing>
      </w:r>
    </w:p>
    <w:p w14:paraId="7F19D88B" w14:textId="67E10CE5" w:rsidR="00102FE0" w:rsidRPr="00124DA6" w:rsidRDefault="003B0586" w:rsidP="003B0586">
      <w:pPr>
        <w:rPr>
          <w:rFonts w:asciiTheme="majorHAnsi" w:hAnsiTheme="majorHAnsi" w:cstheme="majorHAnsi"/>
          <w:color w:val="2E74B5" w:themeColor="accent1" w:themeShade="BF"/>
          <w:sz w:val="20"/>
          <w:lang w:val="en-US"/>
        </w:rPr>
      </w:pPr>
      <w:r w:rsidRPr="00124DA6">
        <w:rPr>
          <w:rFonts w:asciiTheme="majorHAnsi" w:hAnsiTheme="majorHAnsi" w:cstheme="majorHAnsi"/>
          <w:i/>
          <w:color w:val="2E74B5" w:themeColor="accent1" w:themeShade="BF"/>
          <w:sz w:val="20"/>
          <w:lang w:val="en-US"/>
        </w:rPr>
        <w:t>Source</w:t>
      </w:r>
      <w:r w:rsidRPr="00124DA6">
        <w:rPr>
          <w:rFonts w:asciiTheme="majorHAnsi" w:hAnsiTheme="majorHAnsi" w:cstheme="majorHAnsi"/>
          <w:color w:val="2E74B5" w:themeColor="accent1" w:themeShade="BF"/>
          <w:sz w:val="20"/>
          <w:lang w:val="en-US"/>
        </w:rPr>
        <w:t>: BCEAO</w:t>
      </w:r>
      <w:r w:rsidR="00C702B4">
        <w:rPr>
          <w:rFonts w:asciiTheme="majorHAnsi" w:hAnsiTheme="majorHAnsi" w:cstheme="majorHAnsi"/>
          <w:color w:val="2E74B5" w:themeColor="accent1" w:themeShade="BF"/>
          <w:sz w:val="20"/>
          <w:lang w:val="en-US"/>
        </w:rPr>
        <w:t> </w:t>
      </w:r>
      <w:r w:rsidR="00505B52" w:rsidRPr="00124DA6">
        <w:rPr>
          <w:rFonts w:asciiTheme="majorHAnsi" w:hAnsiTheme="majorHAnsi" w:cstheme="majorHAnsi"/>
          <w:color w:val="2E74B5" w:themeColor="accent1" w:themeShade="BF"/>
          <w:sz w:val="20"/>
          <w:lang w:val="en-US"/>
        </w:rPr>
        <w:t>2016</w:t>
      </w:r>
      <w:r w:rsidRPr="00124DA6">
        <w:rPr>
          <w:rFonts w:asciiTheme="majorHAnsi" w:hAnsiTheme="majorHAnsi" w:cstheme="majorHAnsi"/>
          <w:color w:val="2E74B5" w:themeColor="accent1" w:themeShade="BF"/>
          <w:sz w:val="20"/>
          <w:lang w:val="en-US"/>
        </w:rPr>
        <w:t>.</w:t>
      </w:r>
    </w:p>
    <w:p w14:paraId="1D955BC3" w14:textId="77777777" w:rsidR="00102FE0" w:rsidRPr="00547B8F" w:rsidRDefault="00102FE0" w:rsidP="003B0586">
      <w:pPr>
        <w:pStyle w:val="Heading3"/>
        <w:rPr>
          <w:b/>
          <w:lang w:val="en-US"/>
        </w:rPr>
      </w:pPr>
      <w:bookmarkStart w:id="34" w:name="_Toc3975138"/>
      <w:r w:rsidRPr="00547B8F">
        <w:rPr>
          <w:b/>
          <w:lang w:val="en-US"/>
        </w:rPr>
        <w:t>3.3.1 Checks</w:t>
      </w:r>
      <w:bookmarkEnd w:id="34"/>
      <w:r w:rsidRPr="00547B8F">
        <w:rPr>
          <w:b/>
          <w:lang w:val="en-US"/>
        </w:rPr>
        <w:t xml:space="preserve"> </w:t>
      </w:r>
    </w:p>
    <w:p w14:paraId="05EE06B5" w14:textId="01583416" w:rsidR="00762ACC" w:rsidRPr="00124DA6" w:rsidRDefault="00FD45F7" w:rsidP="00ED0C45">
      <w:pPr>
        <w:pStyle w:val="ListParagraph"/>
        <w:numPr>
          <w:ilvl w:val="0"/>
          <w:numId w:val="47"/>
        </w:numPr>
        <w:spacing w:after="240" w:line="240" w:lineRule="auto"/>
        <w:ind w:left="0" w:firstLine="0"/>
        <w:contextualSpacing w:val="0"/>
        <w:jc w:val="both"/>
        <w:rPr>
          <w:lang w:val="en-US"/>
        </w:rPr>
      </w:pPr>
      <w:r>
        <w:rPr>
          <w:b/>
          <w:lang w:val="en-US"/>
        </w:rPr>
        <w:t>In Benin, the use of checks is the preferred</w:t>
      </w:r>
      <w:r w:rsidRPr="00124DA6">
        <w:rPr>
          <w:b/>
          <w:lang w:val="en-US"/>
        </w:rPr>
        <w:t xml:space="preserve"> </w:t>
      </w:r>
      <w:r w:rsidR="00102FE0" w:rsidRPr="00124DA6">
        <w:rPr>
          <w:b/>
          <w:lang w:val="en-US"/>
        </w:rPr>
        <w:t>means of payment in terms of value</w:t>
      </w:r>
      <w:r>
        <w:rPr>
          <w:b/>
          <w:lang w:val="en-US"/>
        </w:rPr>
        <w:t>. However, limits appear</w:t>
      </w:r>
      <w:r w:rsidR="00102FE0" w:rsidRPr="00124DA6">
        <w:rPr>
          <w:b/>
          <w:lang w:val="en-US"/>
        </w:rPr>
        <w:t xml:space="preserve"> as a means of retail payment.</w:t>
      </w:r>
      <w:r w:rsidR="00102FE0" w:rsidRPr="00124DA6">
        <w:rPr>
          <w:lang w:val="en-US"/>
        </w:rPr>
        <w:t xml:space="preserve"> Indeed, </w:t>
      </w:r>
      <w:proofErr w:type="gramStart"/>
      <w:r w:rsidR="00102FE0" w:rsidRPr="00124DA6">
        <w:rPr>
          <w:lang w:val="en-US"/>
        </w:rPr>
        <w:t>the majority of</w:t>
      </w:r>
      <w:proofErr w:type="gramEnd"/>
      <w:r w:rsidR="00102FE0" w:rsidRPr="00124DA6">
        <w:rPr>
          <w:lang w:val="en-US"/>
        </w:rPr>
        <w:t xml:space="preserve"> </w:t>
      </w:r>
      <w:r w:rsidR="00762ACC" w:rsidRPr="00124DA6">
        <w:rPr>
          <w:lang w:val="en-US"/>
        </w:rPr>
        <w:t>stakeholders</w:t>
      </w:r>
      <w:r w:rsidR="00102FE0" w:rsidRPr="00124DA6">
        <w:rPr>
          <w:lang w:val="en-US"/>
        </w:rPr>
        <w:t xml:space="preserve">, including the government, </w:t>
      </w:r>
      <w:r w:rsidR="00762ACC" w:rsidRPr="00124DA6">
        <w:rPr>
          <w:lang w:val="en-US"/>
        </w:rPr>
        <w:t xml:space="preserve">accept </w:t>
      </w:r>
      <w:r w:rsidR="00102FE0" w:rsidRPr="00124DA6">
        <w:rPr>
          <w:lang w:val="en-US"/>
        </w:rPr>
        <w:t xml:space="preserve">payment by check only if the latter is certified. This reduces the scope of the personal check as a payment instrument as defined by </w:t>
      </w:r>
      <w:r w:rsidR="00762ACC" w:rsidRPr="00124DA6">
        <w:rPr>
          <w:lang w:val="en-US"/>
        </w:rPr>
        <w:t xml:space="preserve">BCEAO </w:t>
      </w:r>
      <w:r w:rsidR="00102FE0" w:rsidRPr="00124DA6">
        <w:rPr>
          <w:lang w:val="en-US"/>
        </w:rPr>
        <w:t xml:space="preserve">Regulation No. 15/2002/CM/WAEMU on payment systems in the member states of the WAEMU. </w:t>
      </w:r>
    </w:p>
    <w:p w14:paraId="17841071" w14:textId="4AB7A9E2" w:rsidR="00A6153D" w:rsidRPr="00124DA6" w:rsidRDefault="00102FE0" w:rsidP="00ED0C45">
      <w:pPr>
        <w:pStyle w:val="ListParagraph"/>
        <w:numPr>
          <w:ilvl w:val="0"/>
          <w:numId w:val="47"/>
        </w:numPr>
        <w:spacing w:after="240" w:line="240" w:lineRule="auto"/>
        <w:ind w:left="0" w:firstLine="0"/>
        <w:contextualSpacing w:val="0"/>
        <w:jc w:val="both"/>
        <w:rPr>
          <w:rFonts w:eastAsia="Times New Roman" w:cs="Arial"/>
          <w:lang w:val="en-US" w:eastAsia="fr-FR"/>
        </w:rPr>
      </w:pPr>
      <w:r w:rsidRPr="00124DA6">
        <w:rPr>
          <w:b/>
          <w:lang w:val="en-US"/>
        </w:rPr>
        <w:t>Electronic money has experienced impressive growth in Benin in recent years.</w:t>
      </w:r>
      <w:r w:rsidRPr="00124DA6">
        <w:rPr>
          <w:lang w:val="en-US"/>
        </w:rPr>
        <w:t xml:space="preserve"> At the end of 2016, the </w:t>
      </w:r>
      <w:r w:rsidR="00762ACC" w:rsidRPr="00124DA6">
        <w:rPr>
          <w:lang w:val="en-US"/>
        </w:rPr>
        <w:t>BCEAO</w:t>
      </w:r>
      <w:r w:rsidRPr="00124DA6">
        <w:rPr>
          <w:lang w:val="en-US"/>
        </w:rPr>
        <w:t xml:space="preserve"> estimated the number of mobile money accounts at 4,357,574 and 22.4</w:t>
      </w:r>
      <w:r w:rsidR="0054027F" w:rsidRPr="00124DA6">
        <w:rPr>
          <w:lang w:val="en-US"/>
        </w:rPr>
        <w:t xml:space="preserve"> percent</w:t>
      </w:r>
      <w:r w:rsidRPr="00124DA6">
        <w:rPr>
          <w:lang w:val="en-US"/>
        </w:rPr>
        <w:t xml:space="preserve"> were a</w:t>
      </w:r>
      <w:r w:rsidR="00762ACC" w:rsidRPr="00124DA6">
        <w:rPr>
          <w:lang w:val="en-US"/>
        </w:rPr>
        <w:t xml:space="preserve">ctive over a period of 90 days. </w:t>
      </w:r>
      <w:r w:rsidRPr="00124DA6">
        <w:rPr>
          <w:rFonts w:eastAsia="Times New Roman" w:cs="Arial"/>
          <w:lang w:val="en-US" w:eastAsia="fr-FR"/>
        </w:rPr>
        <w:t>In the same year, the volume of activity rose to CFAF</w:t>
      </w:r>
      <w:r w:rsidR="00C702B4">
        <w:rPr>
          <w:rFonts w:eastAsia="Times New Roman" w:cs="Arial"/>
          <w:lang w:val="en-US" w:eastAsia="fr-FR"/>
        </w:rPr>
        <w:t> </w:t>
      </w:r>
      <w:r w:rsidRPr="00124DA6">
        <w:rPr>
          <w:rFonts w:eastAsia="Times New Roman" w:cs="Arial"/>
          <w:lang w:val="en-US" w:eastAsia="fr-FR"/>
        </w:rPr>
        <w:t>914.6</w:t>
      </w:r>
      <w:r w:rsidR="00C702B4">
        <w:rPr>
          <w:rFonts w:eastAsia="Times New Roman" w:cs="Arial"/>
          <w:lang w:val="en-US" w:eastAsia="fr-FR"/>
        </w:rPr>
        <w:t> </w:t>
      </w:r>
      <w:r w:rsidRPr="00124DA6">
        <w:rPr>
          <w:rFonts w:eastAsia="Times New Roman" w:cs="Arial"/>
          <w:lang w:val="en-US" w:eastAsia="fr-FR"/>
        </w:rPr>
        <w:t xml:space="preserve">billion. </w:t>
      </w:r>
    </w:p>
    <w:p w14:paraId="40778BDA" w14:textId="5E00B90F" w:rsidR="00102FE0" w:rsidRPr="00124DA6" w:rsidRDefault="00102FE0" w:rsidP="00ED0C45">
      <w:pPr>
        <w:pStyle w:val="ListParagraph"/>
        <w:numPr>
          <w:ilvl w:val="0"/>
          <w:numId w:val="47"/>
        </w:numPr>
        <w:spacing w:after="240" w:line="240" w:lineRule="auto"/>
        <w:ind w:left="0" w:firstLine="0"/>
        <w:contextualSpacing w:val="0"/>
        <w:jc w:val="both"/>
        <w:rPr>
          <w:lang w:val="en-US"/>
        </w:rPr>
      </w:pPr>
      <w:r w:rsidRPr="00124DA6">
        <w:rPr>
          <w:rFonts w:eastAsia="Times New Roman" w:cs="Arial"/>
          <w:b/>
          <w:lang w:val="en-US" w:eastAsia="fr-FR"/>
        </w:rPr>
        <w:t>Mobile money could be an interesting alternative to the limitations of the check as a means of payment</w:t>
      </w:r>
      <w:r w:rsidRPr="00124DA6">
        <w:rPr>
          <w:rFonts w:eastAsia="Times New Roman" w:cs="Arial"/>
          <w:lang w:val="en-US" w:eastAsia="fr-FR"/>
        </w:rPr>
        <w:t xml:space="preserve"> (lack of security, fraud, lack of provision, unpaid checks,) for amounts less than </w:t>
      </w:r>
      <w:r w:rsidR="00696426" w:rsidRPr="00124DA6">
        <w:rPr>
          <w:rFonts w:eastAsia="Times New Roman" w:cs="Arial"/>
          <w:lang w:val="en-US" w:eastAsia="fr-FR"/>
        </w:rPr>
        <w:t>CFAF</w:t>
      </w:r>
      <w:r w:rsidR="00C702B4">
        <w:rPr>
          <w:rFonts w:eastAsia="Times New Roman" w:cs="Arial"/>
          <w:lang w:val="en-US" w:eastAsia="fr-FR"/>
        </w:rPr>
        <w:t> </w:t>
      </w:r>
      <w:r w:rsidRPr="00124DA6">
        <w:rPr>
          <w:rFonts w:eastAsia="Times New Roman" w:cs="Arial"/>
          <w:lang w:val="en-US" w:eastAsia="fr-FR"/>
        </w:rPr>
        <w:t>2</w:t>
      </w:r>
      <w:r w:rsidR="00C702B4">
        <w:rPr>
          <w:rFonts w:eastAsia="Times New Roman" w:cs="Arial"/>
          <w:lang w:val="en-US" w:eastAsia="fr-FR"/>
        </w:rPr>
        <w:t> </w:t>
      </w:r>
      <w:r w:rsidRPr="00124DA6">
        <w:rPr>
          <w:rFonts w:eastAsia="Times New Roman" w:cs="Arial"/>
          <w:lang w:val="en-US" w:eastAsia="fr-FR"/>
        </w:rPr>
        <w:t xml:space="preserve">million. Indeed, the </w:t>
      </w:r>
      <w:r w:rsidR="00762ACC" w:rsidRPr="00124DA6">
        <w:rPr>
          <w:rFonts w:eastAsia="Times New Roman" w:cs="Arial"/>
          <w:lang w:val="en-US" w:eastAsia="fr-FR"/>
        </w:rPr>
        <w:t>BCEAO</w:t>
      </w:r>
      <w:r w:rsidRPr="00124DA6">
        <w:rPr>
          <w:rFonts w:eastAsia="Times New Roman" w:cs="Arial"/>
          <w:lang w:val="en-US" w:eastAsia="fr-FR"/>
        </w:rPr>
        <w:t xml:space="preserve"> Instruction N</w:t>
      </w:r>
      <w:r w:rsidR="00696426" w:rsidRPr="00124DA6">
        <w:rPr>
          <w:rFonts w:eastAsia="Times New Roman" w:cs="Arial"/>
          <w:lang w:val="en-US" w:eastAsia="fr-FR"/>
        </w:rPr>
        <w:t>o.</w:t>
      </w:r>
      <w:r w:rsidRPr="00124DA6">
        <w:rPr>
          <w:rFonts w:eastAsia="Times New Roman" w:cs="Arial"/>
          <w:lang w:val="en-US" w:eastAsia="fr-FR"/>
        </w:rPr>
        <w:t xml:space="preserve"> 008-05-2015 governing the conditions of exercise of the activities of electronic money issuers in the WAEMU </w:t>
      </w:r>
      <w:r w:rsidRPr="00124DA6">
        <w:rPr>
          <w:lang w:val="en-US"/>
        </w:rPr>
        <w:t>stipulates</w:t>
      </w:r>
      <w:r w:rsidRPr="00124DA6">
        <w:rPr>
          <w:rFonts w:eastAsia="Times New Roman" w:cs="Arial"/>
          <w:lang w:val="en-US" w:eastAsia="fr-FR"/>
        </w:rPr>
        <w:t xml:space="preserve"> in its </w:t>
      </w:r>
      <w:r w:rsidR="00696426" w:rsidRPr="00124DA6">
        <w:rPr>
          <w:rFonts w:eastAsia="Times New Roman" w:cs="Arial"/>
          <w:lang w:val="en-US" w:eastAsia="fr-FR"/>
        </w:rPr>
        <w:t>A</w:t>
      </w:r>
      <w:r w:rsidRPr="00124DA6">
        <w:rPr>
          <w:rFonts w:eastAsia="Times New Roman" w:cs="Arial"/>
          <w:lang w:val="en-US" w:eastAsia="fr-FR"/>
        </w:rPr>
        <w:t>rticle</w:t>
      </w:r>
      <w:r w:rsidR="00C702B4">
        <w:rPr>
          <w:rFonts w:eastAsia="Times New Roman" w:cs="Arial"/>
          <w:lang w:val="en-US" w:eastAsia="fr-FR"/>
        </w:rPr>
        <w:t> </w:t>
      </w:r>
      <w:r w:rsidRPr="00124DA6">
        <w:rPr>
          <w:rFonts w:eastAsia="Times New Roman" w:cs="Arial"/>
          <w:lang w:val="en-US" w:eastAsia="fr-FR"/>
        </w:rPr>
        <w:t xml:space="preserve">31 “Capping of electronic money holdings” that </w:t>
      </w:r>
      <w:r w:rsidR="00141BD7">
        <w:rPr>
          <w:rFonts w:eastAsia="Times New Roman" w:cs="Arial"/>
          <w:lang w:val="en-US" w:eastAsia="fr-FR"/>
        </w:rPr>
        <w:t>“</w:t>
      </w:r>
      <w:r w:rsidRPr="00124DA6">
        <w:rPr>
          <w:rFonts w:eastAsia="Times New Roman" w:cs="Arial"/>
          <w:iCs/>
          <w:lang w:val="en-US" w:eastAsia="fr-FR"/>
        </w:rPr>
        <w:t>The holdings of electronic money held by the same client identified with an issuing institution cannot exceed two (2) million CFA.</w:t>
      </w:r>
      <w:r w:rsidR="002425E2">
        <w:rPr>
          <w:rFonts w:eastAsia="Times New Roman" w:cs="Arial"/>
          <w:iCs/>
          <w:lang w:val="en-US" w:eastAsia="fr-FR"/>
        </w:rPr>
        <w:t xml:space="preserve"> </w:t>
      </w:r>
      <w:r w:rsidRPr="00124DA6">
        <w:rPr>
          <w:rFonts w:eastAsia="Times New Roman" w:cs="Arial"/>
          <w:iCs/>
          <w:lang w:val="en-US" w:eastAsia="fr-FR"/>
        </w:rPr>
        <w:t>F, except with the express authorization of the Central Bank</w:t>
      </w:r>
      <w:r w:rsidR="00696426" w:rsidRPr="00124DA6">
        <w:rPr>
          <w:rFonts w:eastAsia="Times New Roman" w:cs="Arial"/>
          <w:iCs/>
          <w:lang w:val="en-US" w:eastAsia="fr-FR"/>
        </w:rPr>
        <w:t>.</w:t>
      </w:r>
      <w:r w:rsidR="00141BD7">
        <w:rPr>
          <w:rFonts w:eastAsia="Times New Roman" w:cs="Arial"/>
          <w:iCs/>
          <w:lang w:val="en-US" w:eastAsia="fr-FR"/>
        </w:rPr>
        <w:t>”</w:t>
      </w:r>
      <w:r w:rsidRPr="00124DA6">
        <w:rPr>
          <w:rFonts w:eastAsia="Times New Roman" w:cs="Arial"/>
          <w:iCs/>
          <w:lang w:val="en-US" w:eastAsia="fr-FR"/>
        </w:rPr>
        <w:t xml:space="preserve"> The same instruction </w:t>
      </w:r>
      <w:r w:rsidR="00696426" w:rsidRPr="00124DA6">
        <w:rPr>
          <w:rFonts w:eastAsia="Times New Roman" w:cs="Arial"/>
          <w:iCs/>
          <w:lang w:val="en-US" w:eastAsia="fr-FR"/>
        </w:rPr>
        <w:t xml:space="preserve">also </w:t>
      </w:r>
      <w:r w:rsidRPr="00124DA6">
        <w:rPr>
          <w:rFonts w:eastAsia="Times New Roman" w:cs="Arial"/>
          <w:iCs/>
          <w:lang w:val="en-US" w:eastAsia="fr-FR"/>
        </w:rPr>
        <w:t xml:space="preserve">stipulates </w:t>
      </w:r>
      <w:r w:rsidRPr="00124DA6">
        <w:rPr>
          <w:rFonts w:eastAsia="Times New Roman" w:cs="Arial"/>
          <w:lang w:val="en-US" w:eastAsia="fr-FR"/>
        </w:rPr>
        <w:t>that</w:t>
      </w:r>
      <w:r w:rsidRPr="00124DA6">
        <w:rPr>
          <w:rFonts w:eastAsia="Times New Roman" w:cs="Arial"/>
          <w:iCs/>
          <w:lang w:val="en-US" w:eastAsia="fr-FR"/>
        </w:rPr>
        <w:t xml:space="preserve"> “</w:t>
      </w:r>
      <w:r w:rsidR="00696426" w:rsidRPr="00124DA6">
        <w:rPr>
          <w:rFonts w:eastAsia="Times New Roman" w:cs="Arial"/>
          <w:iCs/>
          <w:lang w:val="en-US" w:eastAsia="fr-FR"/>
        </w:rPr>
        <w:t>w</w:t>
      </w:r>
      <w:r w:rsidRPr="00124DA6">
        <w:rPr>
          <w:rFonts w:eastAsia="Times New Roman" w:cs="Arial"/>
          <w:iCs/>
          <w:lang w:val="en-US" w:eastAsia="fr-FR"/>
        </w:rPr>
        <w:t>hen a holder has several instruments issued by the same issuing institution, the latter ensures that the accumulated balance does not exceed the amount referred to in the first paragraph above, except with the express authorization of the Central Bank</w:t>
      </w:r>
      <w:r w:rsidR="00706F23">
        <w:rPr>
          <w:rFonts w:eastAsia="Times New Roman" w:cs="Arial"/>
          <w:iCs/>
          <w:lang w:val="en-US" w:eastAsia="fr-FR"/>
        </w:rPr>
        <w:t>”.</w:t>
      </w:r>
    </w:p>
    <w:p w14:paraId="453D0B01" w14:textId="77777777" w:rsidR="00102FE0" w:rsidRPr="00ED0C45" w:rsidRDefault="00102FE0" w:rsidP="003B0586">
      <w:pPr>
        <w:pStyle w:val="Heading3"/>
        <w:rPr>
          <w:rFonts w:eastAsia="Times New Roman"/>
          <w:b/>
          <w:lang w:val="en-US" w:eastAsia="fr-FR"/>
        </w:rPr>
      </w:pPr>
      <w:bookmarkStart w:id="35" w:name="_Toc3975139"/>
      <w:r w:rsidRPr="00ED0C45">
        <w:rPr>
          <w:rFonts w:eastAsia="Times New Roman"/>
          <w:b/>
          <w:lang w:val="en-US" w:eastAsia="fr-FR"/>
        </w:rPr>
        <w:t>3.3.2 Cards</w:t>
      </w:r>
      <w:bookmarkEnd w:id="35"/>
      <w:r w:rsidRPr="00ED0C45">
        <w:rPr>
          <w:rFonts w:eastAsia="Times New Roman"/>
          <w:b/>
          <w:lang w:val="en-US" w:eastAsia="fr-FR"/>
        </w:rPr>
        <w:t xml:space="preserve"> </w:t>
      </w:r>
    </w:p>
    <w:p w14:paraId="51DBF2EA" w14:textId="77A846FD" w:rsidR="00102FE0" w:rsidRPr="00124DA6" w:rsidRDefault="00893354" w:rsidP="00ED0C45">
      <w:pPr>
        <w:pStyle w:val="ListParagraph"/>
        <w:numPr>
          <w:ilvl w:val="0"/>
          <w:numId w:val="47"/>
        </w:numPr>
        <w:spacing w:after="240" w:line="240" w:lineRule="auto"/>
        <w:ind w:left="0" w:firstLine="0"/>
        <w:contextualSpacing w:val="0"/>
        <w:jc w:val="both"/>
        <w:rPr>
          <w:lang w:val="en-US"/>
        </w:rPr>
      </w:pPr>
      <w:r>
        <w:rPr>
          <w:b/>
          <w:lang w:val="en-US"/>
        </w:rPr>
        <w:t xml:space="preserve">Cards are increasingly used </w:t>
      </w:r>
      <w:r w:rsidR="00102FE0" w:rsidRPr="00124DA6">
        <w:rPr>
          <w:b/>
          <w:lang w:val="en-US"/>
        </w:rPr>
        <w:t>in Benin</w:t>
      </w:r>
      <w:r w:rsidR="00102FE0" w:rsidRPr="00124DA6">
        <w:rPr>
          <w:lang w:val="en-US"/>
        </w:rPr>
        <w:t xml:space="preserve">. Indeed, according to the </w:t>
      </w:r>
      <w:r w:rsidR="00762ACC" w:rsidRPr="00124DA6">
        <w:rPr>
          <w:lang w:val="en-US"/>
        </w:rPr>
        <w:t>BCEAO</w:t>
      </w:r>
      <w:r w:rsidR="00102FE0" w:rsidRPr="00124DA6">
        <w:rPr>
          <w:lang w:val="en-US"/>
        </w:rPr>
        <w:t>’s data for 2016, there were 298,185 debit cards and 5</w:t>
      </w:r>
      <w:r w:rsidR="00A94B92" w:rsidRPr="00124DA6">
        <w:rPr>
          <w:lang w:val="en-US"/>
        </w:rPr>
        <w:t>6,687 prepaid cards. P</w:t>
      </w:r>
      <w:r w:rsidR="00102FE0" w:rsidRPr="00124DA6">
        <w:rPr>
          <w:lang w:val="en-US"/>
        </w:rPr>
        <w:t>repaid card</w:t>
      </w:r>
      <w:r w:rsidR="00A94B92" w:rsidRPr="00124DA6">
        <w:rPr>
          <w:lang w:val="en-US"/>
        </w:rPr>
        <w:t>s have</w:t>
      </w:r>
      <w:r w:rsidR="00102FE0" w:rsidRPr="00124DA6">
        <w:rPr>
          <w:lang w:val="en-US"/>
        </w:rPr>
        <w:t xml:space="preserve"> grown by 50</w:t>
      </w:r>
      <w:r w:rsidR="0054027F" w:rsidRPr="00124DA6">
        <w:rPr>
          <w:lang w:val="en-US"/>
        </w:rPr>
        <w:t xml:space="preserve"> percent</w:t>
      </w:r>
      <w:r w:rsidR="00102FE0" w:rsidRPr="00124DA6">
        <w:rPr>
          <w:lang w:val="en-US"/>
        </w:rPr>
        <w:t xml:space="preserve"> between 2015 and 2016. The cards are mainly used to make withdrawals at ATMs. The merchant payment by bankcard via the EPT is very little developed. At the end of 2016, Benin had only 248 EPTs nationwide. According to the banking sector stakeholders met in bank meetings, the use of the prepaid card for Internet payment seems to be more widespread than that of the debit card, presumably for reasons related to the higher risks for payments on the </w:t>
      </w:r>
      <w:r w:rsidR="00141BD7">
        <w:rPr>
          <w:lang w:val="en-US"/>
        </w:rPr>
        <w:t>Internet</w:t>
      </w:r>
      <w:r w:rsidR="00102FE0" w:rsidRPr="00124DA6">
        <w:rPr>
          <w:lang w:val="en-US"/>
        </w:rPr>
        <w:t xml:space="preserve"> with a card linked to a bank account.</w:t>
      </w:r>
    </w:p>
    <w:p w14:paraId="7E02D4C5" w14:textId="77777777" w:rsidR="00B53DDE" w:rsidRPr="00ED0C45" w:rsidRDefault="00102FE0" w:rsidP="003B0586">
      <w:pPr>
        <w:pStyle w:val="Heading3"/>
        <w:rPr>
          <w:b/>
          <w:lang w:val="en-US"/>
        </w:rPr>
      </w:pPr>
      <w:bookmarkStart w:id="36" w:name="_Toc3975140"/>
      <w:r w:rsidRPr="00ED0C45">
        <w:rPr>
          <w:b/>
          <w:lang w:val="en-US"/>
        </w:rPr>
        <w:t>3.3.3 Electronic Money</w:t>
      </w:r>
      <w:bookmarkEnd w:id="36"/>
      <w:r w:rsidRPr="00ED0C45">
        <w:rPr>
          <w:b/>
          <w:lang w:val="en-US"/>
        </w:rPr>
        <w:t xml:space="preserve"> </w:t>
      </w:r>
    </w:p>
    <w:p w14:paraId="4DA97AA2" w14:textId="77777777" w:rsidR="00102FE0" w:rsidRPr="00124DA6" w:rsidRDefault="00102FE0" w:rsidP="00ED0C45">
      <w:pPr>
        <w:pStyle w:val="ListParagraph"/>
        <w:numPr>
          <w:ilvl w:val="0"/>
          <w:numId w:val="47"/>
        </w:numPr>
        <w:spacing w:after="240" w:line="240" w:lineRule="auto"/>
        <w:ind w:left="0" w:firstLine="0"/>
        <w:contextualSpacing w:val="0"/>
        <w:jc w:val="both"/>
        <w:rPr>
          <w:lang w:val="en-US" w:eastAsia="fr-FR"/>
        </w:rPr>
      </w:pPr>
      <w:r w:rsidRPr="00124DA6">
        <w:rPr>
          <w:b/>
          <w:lang w:val="en-US" w:eastAsia="fr-FR"/>
        </w:rPr>
        <w:t xml:space="preserve">Three main </w:t>
      </w:r>
      <w:r w:rsidR="004A10D2" w:rsidRPr="00124DA6">
        <w:rPr>
          <w:b/>
          <w:lang w:val="en-US" w:eastAsia="fr-FR"/>
        </w:rPr>
        <w:t>operator</w:t>
      </w:r>
      <w:r w:rsidRPr="00124DA6">
        <w:rPr>
          <w:b/>
          <w:lang w:val="en-US" w:eastAsia="fr-FR"/>
        </w:rPr>
        <w:t>s operate in the mobile money market</w:t>
      </w:r>
      <w:r w:rsidRPr="00124DA6">
        <w:rPr>
          <w:lang w:val="en-US" w:eastAsia="fr-FR"/>
        </w:rPr>
        <w:t>:</w:t>
      </w:r>
    </w:p>
    <w:p w14:paraId="79D2766F" w14:textId="77777777" w:rsidR="00102FE0" w:rsidRPr="00124DA6" w:rsidRDefault="00102FE0" w:rsidP="00ED0C45">
      <w:pPr>
        <w:pStyle w:val="NoSpacing"/>
        <w:numPr>
          <w:ilvl w:val="0"/>
          <w:numId w:val="29"/>
        </w:numPr>
        <w:spacing w:before="120" w:after="120"/>
        <w:ind w:left="1195" w:hanging="475"/>
        <w:jc w:val="both"/>
        <w:rPr>
          <w:lang w:val="en-US" w:eastAsia="fr-FR"/>
        </w:rPr>
      </w:pPr>
      <w:r w:rsidRPr="00124DA6">
        <w:rPr>
          <w:lang w:val="en-US" w:eastAsia="fr-FR"/>
        </w:rPr>
        <w:t>MTN Mobile Money Benin LC, known under the trademark MTN Mobile Money, which is deployed in partnership with BOA, Ecobank, Diamond Bank</w:t>
      </w:r>
      <w:r w:rsidR="00E63C1D">
        <w:rPr>
          <w:lang w:val="en-US" w:eastAsia="fr-FR"/>
        </w:rPr>
        <w:t>.</w:t>
      </w:r>
    </w:p>
    <w:p w14:paraId="1A167B82" w14:textId="77777777" w:rsidR="00102FE0" w:rsidRPr="00124DA6" w:rsidRDefault="00102FE0" w:rsidP="00ED0C45">
      <w:pPr>
        <w:pStyle w:val="NoSpacing"/>
        <w:numPr>
          <w:ilvl w:val="0"/>
          <w:numId w:val="29"/>
        </w:numPr>
        <w:spacing w:before="120" w:after="120"/>
        <w:ind w:left="1195" w:hanging="475"/>
        <w:jc w:val="both"/>
        <w:rPr>
          <w:lang w:val="en-US" w:eastAsia="fr-FR"/>
        </w:rPr>
      </w:pPr>
      <w:proofErr w:type="spellStart"/>
      <w:r w:rsidRPr="00124DA6">
        <w:rPr>
          <w:lang w:val="en-US" w:eastAsia="fr-FR"/>
        </w:rPr>
        <w:t>Moov</w:t>
      </w:r>
      <w:proofErr w:type="spellEnd"/>
      <w:r w:rsidRPr="00124DA6">
        <w:rPr>
          <w:lang w:val="en-US" w:eastAsia="fr-FR"/>
        </w:rPr>
        <w:t xml:space="preserve">, which distributes electronic money in partnership with Ecobank, Diamond Bank, Banque </w:t>
      </w:r>
      <w:proofErr w:type="spellStart"/>
      <w:r w:rsidRPr="00124DA6">
        <w:rPr>
          <w:lang w:val="en-US" w:eastAsia="fr-FR"/>
        </w:rPr>
        <w:t>Atlantique</w:t>
      </w:r>
      <w:proofErr w:type="spellEnd"/>
      <w:r w:rsidR="00696426" w:rsidRPr="00124DA6">
        <w:rPr>
          <w:lang w:val="en-US" w:eastAsia="fr-FR"/>
        </w:rPr>
        <w:t>,</w:t>
      </w:r>
      <w:r w:rsidRPr="00124DA6">
        <w:rPr>
          <w:lang w:val="en-US" w:eastAsia="fr-FR"/>
        </w:rPr>
        <w:t xml:space="preserve"> and UBA</w:t>
      </w:r>
      <w:r w:rsidR="00E63C1D">
        <w:rPr>
          <w:lang w:val="en-US" w:eastAsia="fr-FR"/>
        </w:rPr>
        <w:t xml:space="preserve"> (Union </w:t>
      </w:r>
      <w:proofErr w:type="spellStart"/>
      <w:r w:rsidR="00E63C1D">
        <w:rPr>
          <w:lang w:val="en-US" w:eastAsia="fr-FR"/>
        </w:rPr>
        <w:t>Bnak</w:t>
      </w:r>
      <w:proofErr w:type="spellEnd"/>
      <w:r w:rsidR="00E63C1D">
        <w:rPr>
          <w:lang w:val="en-US" w:eastAsia="fr-FR"/>
        </w:rPr>
        <w:t xml:space="preserve"> of Africa).</w:t>
      </w:r>
    </w:p>
    <w:p w14:paraId="6B8CF561" w14:textId="77777777" w:rsidR="00102FE0" w:rsidRPr="00124DA6" w:rsidRDefault="00102FE0" w:rsidP="00ED0C45">
      <w:pPr>
        <w:pStyle w:val="NoSpacing"/>
        <w:numPr>
          <w:ilvl w:val="0"/>
          <w:numId w:val="29"/>
        </w:numPr>
        <w:spacing w:before="120" w:after="120"/>
        <w:ind w:left="1195" w:hanging="475"/>
        <w:jc w:val="both"/>
        <w:rPr>
          <w:lang w:val="en-US" w:eastAsia="fr-FR"/>
        </w:rPr>
      </w:pPr>
      <w:r w:rsidRPr="00124DA6">
        <w:rPr>
          <w:lang w:val="en-US" w:eastAsia="fr-FR"/>
        </w:rPr>
        <w:t>ASMAB</w:t>
      </w:r>
      <w:r w:rsidR="00696426" w:rsidRPr="00124DA6">
        <w:rPr>
          <w:lang w:val="en-US" w:eastAsia="fr-FR"/>
        </w:rPr>
        <w:t>,</w:t>
      </w:r>
      <w:r w:rsidRPr="00124DA6">
        <w:rPr>
          <w:lang w:val="en-US" w:eastAsia="fr-FR"/>
        </w:rPr>
        <w:t xml:space="preserve"> which is a</w:t>
      </w:r>
      <w:r w:rsidR="00696426" w:rsidRPr="00124DA6">
        <w:rPr>
          <w:lang w:val="en-US" w:eastAsia="fr-FR"/>
        </w:rPr>
        <w:t>n</w:t>
      </w:r>
      <w:r w:rsidRPr="00124DA6">
        <w:rPr>
          <w:lang w:val="en-US" w:eastAsia="fr-FR"/>
        </w:rPr>
        <w:t xml:space="preserve"> </w:t>
      </w:r>
      <w:r w:rsidR="004A10D2" w:rsidRPr="00124DA6">
        <w:rPr>
          <w:lang w:val="en-US" w:eastAsia="fr-FR"/>
        </w:rPr>
        <w:t>MFI</w:t>
      </w:r>
      <w:r w:rsidRPr="00124DA6">
        <w:rPr>
          <w:lang w:val="en-US" w:eastAsia="fr-FR"/>
        </w:rPr>
        <w:t xml:space="preserve"> and has an authorization to issue electronic money</w:t>
      </w:r>
      <w:r w:rsidR="00E63C1D">
        <w:rPr>
          <w:lang w:val="en-US" w:eastAsia="fr-FR"/>
        </w:rPr>
        <w:t>.</w:t>
      </w:r>
    </w:p>
    <w:p w14:paraId="19AE6B33" w14:textId="7D2C02FE" w:rsidR="00102FE0" w:rsidRPr="00124DA6" w:rsidRDefault="00DA4A2A" w:rsidP="00ED0C45">
      <w:pPr>
        <w:pStyle w:val="ListParagraph"/>
        <w:numPr>
          <w:ilvl w:val="0"/>
          <w:numId w:val="47"/>
        </w:numPr>
        <w:spacing w:after="240" w:line="240" w:lineRule="auto"/>
        <w:ind w:left="0" w:firstLine="0"/>
        <w:contextualSpacing w:val="0"/>
        <w:jc w:val="both"/>
        <w:rPr>
          <w:lang w:val="en-US" w:eastAsia="fr-FR"/>
        </w:rPr>
      </w:pPr>
      <w:r>
        <w:rPr>
          <w:b/>
          <w:lang w:val="en-US" w:eastAsia="fr-FR"/>
        </w:rPr>
        <w:t>Over</w:t>
      </w:r>
      <w:r w:rsidRPr="00124DA6">
        <w:rPr>
          <w:b/>
          <w:lang w:val="en-US" w:eastAsia="fr-FR"/>
        </w:rPr>
        <w:t xml:space="preserve"> </w:t>
      </w:r>
      <w:r w:rsidR="00102FE0" w:rsidRPr="00124DA6">
        <w:rPr>
          <w:b/>
          <w:lang w:val="en-US" w:eastAsia="fr-FR"/>
        </w:rPr>
        <w:t>the last five years, mobile money has grown in Benin</w:t>
      </w:r>
      <w:r w:rsidR="00102FE0" w:rsidRPr="00124DA6">
        <w:rPr>
          <w:lang w:val="en-US" w:eastAsia="fr-FR"/>
        </w:rPr>
        <w:t>. Indeed</w:t>
      </w:r>
      <w:r w:rsidR="007379CD" w:rsidRPr="00124DA6">
        <w:rPr>
          <w:lang w:val="en-US" w:eastAsia="fr-FR"/>
        </w:rPr>
        <w:t>,</w:t>
      </w:r>
      <w:r w:rsidR="00102FE0" w:rsidRPr="00124DA6">
        <w:rPr>
          <w:lang w:val="en-US" w:eastAsia="fr-FR"/>
        </w:rPr>
        <w:t xml:space="preserve"> the number of accounts rose from 159</w:t>
      </w:r>
      <w:r w:rsidR="00F03970" w:rsidRPr="00124DA6">
        <w:rPr>
          <w:lang w:val="en-US" w:eastAsia="fr-FR"/>
        </w:rPr>
        <w:t>,</w:t>
      </w:r>
      <w:r w:rsidR="00102FE0" w:rsidRPr="00124DA6">
        <w:rPr>
          <w:lang w:val="en-US" w:eastAsia="fr-FR"/>
        </w:rPr>
        <w:t>154 in 2013 to 5.52</w:t>
      </w:r>
      <w:r w:rsidR="00C702B4">
        <w:rPr>
          <w:lang w:val="en-US" w:eastAsia="fr-FR"/>
        </w:rPr>
        <w:t> </w:t>
      </w:r>
      <w:r w:rsidR="00102FE0" w:rsidRPr="00124DA6">
        <w:rPr>
          <w:lang w:val="en-US" w:eastAsia="fr-FR"/>
        </w:rPr>
        <w:t>million in June 2017. However, it should be noted that the activity rate remains low (26</w:t>
      </w:r>
      <w:r w:rsidR="0054027F" w:rsidRPr="00124DA6">
        <w:rPr>
          <w:lang w:val="en-US" w:eastAsia="fr-FR"/>
        </w:rPr>
        <w:t xml:space="preserve"> percent</w:t>
      </w:r>
      <w:r w:rsidR="00102FE0" w:rsidRPr="00124DA6">
        <w:rPr>
          <w:lang w:val="en-US" w:eastAsia="fr-FR"/>
        </w:rPr>
        <w:t xml:space="preserve"> of active </w:t>
      </w:r>
      <w:r w:rsidR="00102FE0" w:rsidRPr="00124DA6">
        <w:rPr>
          <w:lang w:val="en-US"/>
        </w:rPr>
        <w:t>accounts</w:t>
      </w:r>
      <w:r w:rsidR="00102FE0" w:rsidRPr="00124DA6">
        <w:rPr>
          <w:lang w:val="en-US" w:eastAsia="fr-FR"/>
        </w:rPr>
        <w:t xml:space="preserve"> over 90 days). The generated activity for its part is growing almost exponentially, from </w:t>
      </w:r>
      <w:r w:rsidR="00F03970" w:rsidRPr="00124DA6">
        <w:rPr>
          <w:lang w:val="en-US" w:eastAsia="fr-FR"/>
        </w:rPr>
        <w:t>CFAF</w:t>
      </w:r>
      <w:r w:rsidR="00C702B4">
        <w:rPr>
          <w:lang w:val="en-US" w:eastAsia="fr-FR"/>
        </w:rPr>
        <w:t> </w:t>
      </w:r>
      <w:r w:rsidR="00102FE0" w:rsidRPr="00124DA6">
        <w:rPr>
          <w:lang w:val="en-US" w:eastAsia="fr-FR"/>
        </w:rPr>
        <w:t>2.18</w:t>
      </w:r>
      <w:r w:rsidR="00C702B4">
        <w:rPr>
          <w:lang w:val="en-US" w:eastAsia="fr-FR"/>
        </w:rPr>
        <w:t> </w:t>
      </w:r>
      <w:r w:rsidR="00102FE0" w:rsidRPr="00124DA6">
        <w:rPr>
          <w:lang w:val="en-US" w:eastAsia="fr-FR"/>
        </w:rPr>
        <w:t xml:space="preserve">billion in 2013 to </w:t>
      </w:r>
      <w:r w:rsidR="00F03970" w:rsidRPr="00124DA6">
        <w:rPr>
          <w:lang w:val="en-US" w:eastAsia="fr-FR"/>
        </w:rPr>
        <w:t>CFAF</w:t>
      </w:r>
      <w:r w:rsidR="00C702B4">
        <w:rPr>
          <w:lang w:val="en-US" w:eastAsia="fr-FR"/>
        </w:rPr>
        <w:t> </w:t>
      </w:r>
      <w:r w:rsidR="00102FE0" w:rsidRPr="00124DA6">
        <w:rPr>
          <w:lang w:val="en-US" w:eastAsia="fr-FR"/>
        </w:rPr>
        <w:t>914.6</w:t>
      </w:r>
      <w:r w:rsidR="00C702B4">
        <w:rPr>
          <w:lang w:val="en-US" w:eastAsia="fr-FR"/>
        </w:rPr>
        <w:t> </w:t>
      </w:r>
      <w:r w:rsidR="00102FE0" w:rsidRPr="00124DA6">
        <w:rPr>
          <w:lang w:val="en-US" w:eastAsia="fr-FR"/>
        </w:rPr>
        <w:t>billion in 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D56AD" w:rsidRPr="008A6E7B" w14:paraId="3AB6EFEF" w14:textId="77777777" w:rsidTr="00A408B8">
        <w:tc>
          <w:tcPr>
            <w:tcW w:w="9350" w:type="dxa"/>
          </w:tcPr>
          <w:p w14:paraId="535338CD" w14:textId="1C7BD8A4" w:rsidR="00ED56AD" w:rsidRPr="00ED0C45" w:rsidRDefault="00ED56AD" w:rsidP="00ED56AD">
            <w:pPr>
              <w:pStyle w:val="Caption"/>
              <w:keepNext/>
              <w:spacing w:before="0" w:after="0"/>
              <w:rPr>
                <w:b/>
              </w:rPr>
            </w:pPr>
            <w:r w:rsidRPr="00ED0C45">
              <w:rPr>
                <w:b/>
              </w:rPr>
              <w:t>Figure</w:t>
            </w:r>
            <w:r w:rsidR="00C702B4" w:rsidRPr="00ED0C45">
              <w:rPr>
                <w:b/>
              </w:rPr>
              <w:t> </w:t>
            </w:r>
            <w:r w:rsidRPr="00ED0C45">
              <w:rPr>
                <w:b/>
              </w:rPr>
              <w:t>3.</w:t>
            </w:r>
            <w:r w:rsidRPr="00ED0C45">
              <w:rPr>
                <w:b/>
              </w:rPr>
              <w:fldChar w:fldCharType="begin"/>
            </w:r>
            <w:r w:rsidRPr="00ED0C45">
              <w:rPr>
                <w:b/>
              </w:rPr>
              <w:instrText xml:space="preserve"> SEQ Figure_3. \* ARABIC </w:instrText>
            </w:r>
            <w:r w:rsidRPr="00ED0C45">
              <w:rPr>
                <w:b/>
              </w:rPr>
              <w:fldChar w:fldCharType="separate"/>
            </w:r>
            <w:r w:rsidR="004C6E5F" w:rsidRPr="00ED0C45">
              <w:rPr>
                <w:b/>
                <w:noProof/>
              </w:rPr>
              <w:t>4</w:t>
            </w:r>
            <w:r w:rsidRPr="00ED0C45">
              <w:rPr>
                <w:b/>
              </w:rPr>
              <w:fldChar w:fldCharType="end"/>
            </w:r>
            <w:r w:rsidRPr="00ED0C45">
              <w:rPr>
                <w:b/>
              </w:rPr>
              <w:t xml:space="preserve">: Development of the number of </w:t>
            </w:r>
            <w:r w:rsidR="00B12445" w:rsidRPr="00ED0C45">
              <w:rPr>
                <w:b/>
              </w:rPr>
              <w:t>m</w:t>
            </w:r>
            <w:r w:rsidRPr="00ED0C45">
              <w:rPr>
                <w:b/>
              </w:rPr>
              <w:t xml:space="preserve">obile </w:t>
            </w:r>
            <w:r w:rsidR="00B12445" w:rsidRPr="00ED0C45">
              <w:rPr>
                <w:b/>
              </w:rPr>
              <w:t>m</w:t>
            </w:r>
            <w:r w:rsidRPr="00ED0C45">
              <w:rPr>
                <w:b/>
              </w:rPr>
              <w:t>oney customers in Benin</w:t>
            </w:r>
          </w:p>
        </w:tc>
      </w:tr>
      <w:tr w:rsidR="00ED56AD" w:rsidRPr="00124DA6" w14:paraId="2AC09B7D" w14:textId="77777777" w:rsidTr="00A408B8">
        <w:tc>
          <w:tcPr>
            <w:tcW w:w="9350" w:type="dxa"/>
          </w:tcPr>
          <w:p w14:paraId="171F670A" w14:textId="77777777" w:rsidR="00ED56AD" w:rsidRPr="00124DA6" w:rsidRDefault="00ED56AD" w:rsidP="00ED56AD">
            <w:pPr>
              <w:keepNext/>
              <w:jc w:val="both"/>
              <w:rPr>
                <w:rFonts w:cstheme="minorHAnsi"/>
                <w:sz w:val="24"/>
                <w:szCs w:val="24"/>
              </w:rPr>
            </w:pPr>
            <w:r w:rsidRPr="00124DA6">
              <w:rPr>
                <w:noProof/>
                <w:lang w:eastAsia="fr-FR"/>
              </w:rPr>
              <w:drawing>
                <wp:inline distT="0" distB="0" distL="0" distR="0" wp14:anchorId="72B5EF57" wp14:editId="15053F10">
                  <wp:extent cx="5744391" cy="1721213"/>
                  <wp:effectExtent l="0" t="0" r="8890" b="0"/>
                  <wp:docPr id="148"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r w:rsidR="00ED56AD" w:rsidRPr="00124DA6" w14:paraId="0B0EE2B0" w14:textId="77777777" w:rsidTr="00A408B8">
        <w:tc>
          <w:tcPr>
            <w:tcW w:w="9350" w:type="dxa"/>
          </w:tcPr>
          <w:p w14:paraId="3A19CE5F" w14:textId="5632C38C" w:rsidR="00ED56AD" w:rsidRPr="00124DA6" w:rsidRDefault="00ED56AD" w:rsidP="00ED56AD">
            <w:pPr>
              <w:pStyle w:val="NoSpacing"/>
              <w:rPr>
                <w:rFonts w:asciiTheme="majorHAnsi" w:hAnsiTheme="majorHAnsi" w:cstheme="majorHAnsi"/>
              </w:rPr>
            </w:pPr>
            <w:r w:rsidRPr="00124DA6">
              <w:rPr>
                <w:rFonts w:asciiTheme="majorHAnsi" w:hAnsiTheme="majorHAnsi" w:cstheme="majorHAnsi"/>
                <w:i/>
                <w:color w:val="2E74B5" w:themeColor="accent1" w:themeShade="BF"/>
              </w:rPr>
              <w:t>Source</w:t>
            </w:r>
            <w:r w:rsidRPr="00124DA6">
              <w:rPr>
                <w:rFonts w:asciiTheme="majorHAnsi" w:hAnsiTheme="majorHAnsi" w:cstheme="majorHAnsi"/>
                <w:color w:val="2E74B5" w:themeColor="accent1" w:themeShade="BF"/>
              </w:rPr>
              <w:t xml:space="preserve"> BCEAO</w:t>
            </w:r>
            <w:r w:rsidR="00C702B4">
              <w:rPr>
                <w:rFonts w:asciiTheme="majorHAnsi" w:hAnsiTheme="majorHAnsi" w:cstheme="majorHAnsi"/>
                <w:color w:val="2E74B5" w:themeColor="accent1" w:themeShade="BF"/>
              </w:rPr>
              <w:t> </w:t>
            </w:r>
            <w:r w:rsidR="00505B52" w:rsidRPr="00124DA6">
              <w:rPr>
                <w:rFonts w:asciiTheme="majorHAnsi" w:hAnsiTheme="majorHAnsi" w:cstheme="majorHAnsi"/>
                <w:color w:val="2E74B5" w:themeColor="accent1" w:themeShade="BF"/>
              </w:rPr>
              <w:t>2016</w:t>
            </w:r>
            <w:r w:rsidR="00B12445" w:rsidRPr="00124DA6">
              <w:rPr>
                <w:rFonts w:asciiTheme="majorHAnsi" w:hAnsiTheme="majorHAnsi" w:cstheme="majorHAnsi"/>
                <w:color w:val="2E74B5" w:themeColor="accent1" w:themeShade="BF"/>
              </w:rPr>
              <w:t>.</w:t>
            </w:r>
            <w:r w:rsidRPr="00124DA6">
              <w:rPr>
                <w:rFonts w:asciiTheme="majorHAnsi" w:hAnsiTheme="majorHAnsi" w:cstheme="majorHAnsi"/>
                <w:color w:val="2E74B5" w:themeColor="accent1" w:themeShade="BF"/>
              </w:rPr>
              <w:t xml:space="preserve"> </w:t>
            </w:r>
          </w:p>
        </w:tc>
      </w:tr>
    </w:tbl>
    <w:p w14:paraId="551B3B0D" w14:textId="77777777" w:rsidR="004A10D2" w:rsidRPr="00124DA6" w:rsidRDefault="004A10D2" w:rsidP="00102FE0">
      <w:pPr>
        <w:pStyle w:val="NoSpacing"/>
        <w:ind w:left="720"/>
        <w:jc w:val="both"/>
        <w:rPr>
          <w:i/>
          <w:sz w:val="16"/>
          <w:szCs w:val="16"/>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ED56AD" w:rsidRPr="008A6E7B" w14:paraId="12D7BF34" w14:textId="77777777" w:rsidTr="00A408B8">
        <w:tc>
          <w:tcPr>
            <w:tcW w:w="9350" w:type="dxa"/>
          </w:tcPr>
          <w:p w14:paraId="10B535A5" w14:textId="7484C5FF" w:rsidR="00ED56AD" w:rsidRPr="00ED0C45" w:rsidRDefault="00540311" w:rsidP="00A408B8">
            <w:pPr>
              <w:pStyle w:val="Caption"/>
              <w:keepNext/>
              <w:spacing w:before="0" w:after="0"/>
              <w:rPr>
                <w:b/>
              </w:rPr>
            </w:pPr>
            <w:r w:rsidRPr="00ED0C45">
              <w:rPr>
                <w:b/>
              </w:rPr>
              <w:t>Figure</w:t>
            </w:r>
            <w:r w:rsidR="00C702B4" w:rsidRPr="00ED0C45">
              <w:rPr>
                <w:b/>
              </w:rPr>
              <w:t> </w:t>
            </w:r>
            <w:r w:rsidRPr="00ED0C45">
              <w:rPr>
                <w:b/>
              </w:rPr>
              <w:t>3.</w:t>
            </w:r>
            <w:r w:rsidRPr="00ED0C45">
              <w:rPr>
                <w:b/>
              </w:rPr>
              <w:fldChar w:fldCharType="begin"/>
            </w:r>
            <w:r w:rsidRPr="00ED0C45">
              <w:rPr>
                <w:b/>
              </w:rPr>
              <w:instrText xml:space="preserve"> SEQ Figure_3. \* ARABIC </w:instrText>
            </w:r>
            <w:r w:rsidRPr="00ED0C45">
              <w:rPr>
                <w:b/>
              </w:rPr>
              <w:fldChar w:fldCharType="separate"/>
            </w:r>
            <w:r w:rsidR="004C6E5F" w:rsidRPr="00ED0C45">
              <w:rPr>
                <w:b/>
                <w:noProof/>
              </w:rPr>
              <w:t>5</w:t>
            </w:r>
            <w:r w:rsidRPr="00ED0C45">
              <w:rPr>
                <w:b/>
              </w:rPr>
              <w:fldChar w:fldCharType="end"/>
            </w:r>
            <w:r w:rsidR="00ED56AD" w:rsidRPr="00ED0C45">
              <w:rPr>
                <w:b/>
              </w:rPr>
              <w:t xml:space="preserve">: Development of the </w:t>
            </w:r>
            <w:r w:rsidR="00B12445" w:rsidRPr="00ED0C45">
              <w:rPr>
                <w:b/>
              </w:rPr>
              <w:t>m</w:t>
            </w:r>
            <w:r w:rsidR="00ED56AD" w:rsidRPr="00ED0C45">
              <w:rPr>
                <w:b/>
              </w:rPr>
              <w:t xml:space="preserve">obile </w:t>
            </w:r>
            <w:r w:rsidR="00B12445" w:rsidRPr="00ED0C45">
              <w:rPr>
                <w:b/>
              </w:rPr>
              <w:t>m</w:t>
            </w:r>
            <w:r w:rsidR="00ED56AD" w:rsidRPr="00ED0C45">
              <w:rPr>
                <w:b/>
              </w:rPr>
              <w:t>oney activity (CFAF</w:t>
            </w:r>
            <w:r w:rsidR="00B12445" w:rsidRPr="00ED0C45">
              <w:rPr>
                <w:b/>
              </w:rPr>
              <w:t>,</w:t>
            </w:r>
            <w:r w:rsidR="00ED56AD" w:rsidRPr="00ED0C45">
              <w:rPr>
                <w:b/>
              </w:rPr>
              <w:t xml:space="preserve"> billions)</w:t>
            </w:r>
          </w:p>
        </w:tc>
      </w:tr>
      <w:tr w:rsidR="00ED56AD" w:rsidRPr="00124DA6" w14:paraId="13632566" w14:textId="77777777" w:rsidTr="00A408B8">
        <w:tc>
          <w:tcPr>
            <w:tcW w:w="9350" w:type="dxa"/>
          </w:tcPr>
          <w:p w14:paraId="79CEF392" w14:textId="77777777" w:rsidR="00ED56AD" w:rsidRPr="00124DA6" w:rsidRDefault="00ED56AD" w:rsidP="00540311">
            <w:pPr>
              <w:pStyle w:val="NoSpacing"/>
              <w:keepNext/>
              <w:jc w:val="both"/>
              <w:rPr>
                <w:i/>
                <w:sz w:val="16"/>
                <w:szCs w:val="16"/>
              </w:rPr>
            </w:pPr>
            <w:r w:rsidRPr="00124DA6">
              <w:rPr>
                <w:noProof/>
                <w:lang w:eastAsia="fr-FR"/>
              </w:rPr>
              <w:drawing>
                <wp:inline distT="0" distB="0" distL="0" distR="0" wp14:anchorId="0037F182" wp14:editId="0550F373">
                  <wp:extent cx="5760720" cy="2041392"/>
                  <wp:effectExtent l="0" t="0" r="0" b="0"/>
                  <wp:docPr id="149"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r w:rsidR="00ED56AD" w:rsidRPr="00124DA6" w14:paraId="21361395" w14:textId="77777777" w:rsidTr="00A408B8">
        <w:tc>
          <w:tcPr>
            <w:tcW w:w="9350" w:type="dxa"/>
          </w:tcPr>
          <w:p w14:paraId="5D9E692F" w14:textId="24ACB64F" w:rsidR="00ED56AD" w:rsidRPr="00124DA6" w:rsidRDefault="00ED56AD" w:rsidP="00A408B8">
            <w:pPr>
              <w:pStyle w:val="NoSpacing"/>
              <w:rPr>
                <w:i/>
                <w:sz w:val="16"/>
                <w:szCs w:val="16"/>
              </w:rPr>
            </w:pPr>
            <w:r w:rsidRPr="00124DA6">
              <w:rPr>
                <w:rFonts w:asciiTheme="majorHAnsi" w:hAnsiTheme="majorHAnsi" w:cstheme="majorHAnsi"/>
                <w:i/>
                <w:color w:val="2E74B5" w:themeColor="accent1" w:themeShade="BF"/>
              </w:rPr>
              <w:t xml:space="preserve">Source </w:t>
            </w:r>
            <w:r w:rsidRPr="00124DA6">
              <w:rPr>
                <w:rFonts w:asciiTheme="majorHAnsi" w:hAnsiTheme="majorHAnsi" w:cstheme="majorHAnsi"/>
                <w:color w:val="2E74B5" w:themeColor="accent1" w:themeShade="BF"/>
              </w:rPr>
              <w:t>BCEAO</w:t>
            </w:r>
            <w:r w:rsidR="00C702B4">
              <w:rPr>
                <w:rFonts w:asciiTheme="majorHAnsi" w:hAnsiTheme="majorHAnsi" w:cstheme="majorHAnsi"/>
                <w:color w:val="2E74B5" w:themeColor="accent1" w:themeShade="BF"/>
              </w:rPr>
              <w:t> </w:t>
            </w:r>
            <w:r w:rsidR="00505B52" w:rsidRPr="00124DA6">
              <w:rPr>
                <w:rFonts w:asciiTheme="majorHAnsi" w:hAnsiTheme="majorHAnsi" w:cstheme="majorHAnsi"/>
                <w:color w:val="2E74B5" w:themeColor="accent1" w:themeShade="BF"/>
              </w:rPr>
              <w:t>2016</w:t>
            </w:r>
            <w:r w:rsidR="00B12445" w:rsidRPr="00124DA6">
              <w:rPr>
                <w:rFonts w:asciiTheme="majorHAnsi" w:hAnsiTheme="majorHAnsi" w:cstheme="majorHAnsi"/>
                <w:color w:val="2E74B5" w:themeColor="accent1" w:themeShade="BF"/>
              </w:rPr>
              <w:t>.</w:t>
            </w:r>
            <w:r w:rsidRPr="00124DA6">
              <w:rPr>
                <w:i/>
                <w:sz w:val="16"/>
                <w:szCs w:val="16"/>
              </w:rPr>
              <w:t xml:space="preserve"> </w:t>
            </w:r>
          </w:p>
        </w:tc>
      </w:tr>
    </w:tbl>
    <w:p w14:paraId="3299F6FF" w14:textId="77777777" w:rsidR="00102FE0" w:rsidRPr="00124DA6" w:rsidRDefault="00102FE0" w:rsidP="00102FE0">
      <w:pPr>
        <w:pStyle w:val="NoSpacing"/>
        <w:jc w:val="both"/>
        <w:rPr>
          <w:lang w:val="en-US"/>
        </w:rPr>
      </w:pPr>
    </w:p>
    <w:p w14:paraId="57A5737F" w14:textId="1132DB02" w:rsidR="00102FE0" w:rsidRPr="00124DA6" w:rsidRDefault="00102FE0" w:rsidP="00ED0C45">
      <w:pPr>
        <w:pStyle w:val="ListParagraph"/>
        <w:numPr>
          <w:ilvl w:val="0"/>
          <w:numId w:val="47"/>
        </w:numPr>
        <w:spacing w:after="240" w:line="240" w:lineRule="auto"/>
        <w:ind w:left="0" w:firstLine="0"/>
        <w:contextualSpacing w:val="0"/>
        <w:jc w:val="both"/>
        <w:rPr>
          <w:lang w:val="en-US"/>
        </w:rPr>
      </w:pPr>
      <w:r w:rsidRPr="00124DA6">
        <w:rPr>
          <w:b/>
          <w:lang w:val="en-US"/>
        </w:rPr>
        <w:t>The mobile money service offering is relatively small and focuses on first-generation products (cash-in, cash-out, money transfer, purchase of telephone call units)</w:t>
      </w:r>
      <w:r w:rsidRPr="00124DA6">
        <w:rPr>
          <w:lang w:val="en-US"/>
        </w:rPr>
        <w:t>. A comparative analysis of the fees on the transactions of different providers of money transfer solutions, namely</w:t>
      </w:r>
      <w:r w:rsidR="0049092D" w:rsidRPr="00124DA6">
        <w:rPr>
          <w:lang w:val="en-US"/>
        </w:rPr>
        <w:t>,</w:t>
      </w:r>
      <w:r w:rsidRPr="00124DA6">
        <w:rPr>
          <w:lang w:val="en-US"/>
        </w:rPr>
        <w:t xml:space="preserve"> those of the mobile money type (MTN Mobile Money and </w:t>
      </w:r>
      <w:proofErr w:type="spellStart"/>
      <w:r w:rsidRPr="00124DA6">
        <w:rPr>
          <w:lang w:val="en-US"/>
        </w:rPr>
        <w:t>Moov</w:t>
      </w:r>
      <w:proofErr w:type="spellEnd"/>
      <w:r w:rsidRPr="00124DA6">
        <w:rPr>
          <w:lang w:val="en-US"/>
        </w:rPr>
        <w:t xml:space="preserve"> Money) and those of the type </w:t>
      </w:r>
      <w:r w:rsidR="00141BD7">
        <w:rPr>
          <w:lang w:val="en-US"/>
        </w:rPr>
        <w:t>“</w:t>
      </w:r>
      <w:r w:rsidRPr="00124DA6">
        <w:rPr>
          <w:lang w:val="en-US"/>
        </w:rPr>
        <w:t>cash</w:t>
      </w:r>
      <w:r w:rsidR="0049092D" w:rsidRPr="00124DA6">
        <w:rPr>
          <w:lang w:val="en-US"/>
        </w:rPr>
        <w:t>-</w:t>
      </w:r>
      <w:r w:rsidRPr="00124DA6">
        <w:rPr>
          <w:lang w:val="en-US"/>
        </w:rPr>
        <w:t>to</w:t>
      </w:r>
      <w:r w:rsidR="0049092D" w:rsidRPr="00124DA6">
        <w:rPr>
          <w:lang w:val="en-US"/>
        </w:rPr>
        <w:t>-</w:t>
      </w:r>
      <w:r w:rsidRPr="00124DA6">
        <w:rPr>
          <w:lang w:val="en-US"/>
        </w:rPr>
        <w:t>cash</w:t>
      </w:r>
      <w:r w:rsidR="00141BD7">
        <w:rPr>
          <w:lang w:val="en-US"/>
        </w:rPr>
        <w:t>”</w:t>
      </w:r>
      <w:r w:rsidR="00165C4D" w:rsidRPr="00124DA6">
        <w:rPr>
          <w:lang w:val="en-US"/>
        </w:rPr>
        <w:t xml:space="preserve"> </w:t>
      </w:r>
      <w:r w:rsidRPr="00124DA6">
        <w:rPr>
          <w:lang w:val="en-US"/>
        </w:rPr>
        <w:t>transfers at the counter (</w:t>
      </w:r>
      <w:proofErr w:type="spellStart"/>
      <w:r w:rsidRPr="00124DA6">
        <w:rPr>
          <w:lang w:val="en-US"/>
        </w:rPr>
        <w:t>Moneygram</w:t>
      </w:r>
      <w:proofErr w:type="spellEnd"/>
      <w:r w:rsidRPr="00124DA6">
        <w:rPr>
          <w:lang w:val="en-US"/>
        </w:rPr>
        <w:t>, Wari, Western Union), shows that mobile money offers the most competitive rates on all concerned levels. To develop mobile money beyond transfer</w:t>
      </w:r>
      <w:r w:rsidR="00C40665">
        <w:rPr>
          <w:lang w:val="en-US"/>
        </w:rPr>
        <w:t xml:space="preserve"> activities</w:t>
      </w:r>
      <w:r w:rsidRPr="00124DA6">
        <w:rPr>
          <w:lang w:val="en-US"/>
        </w:rPr>
        <w:t xml:space="preserve">, it is essential to </w:t>
      </w:r>
      <w:r w:rsidR="00C40665">
        <w:rPr>
          <w:lang w:val="en-US"/>
        </w:rPr>
        <w:t>encourage</w:t>
      </w:r>
      <w:r w:rsidR="00C40665" w:rsidRPr="00124DA6">
        <w:rPr>
          <w:lang w:val="en-US"/>
        </w:rPr>
        <w:t xml:space="preserve"> </w:t>
      </w:r>
      <w:r w:rsidRPr="00124DA6">
        <w:rPr>
          <w:lang w:val="en-US"/>
        </w:rPr>
        <w:t xml:space="preserve">the </w:t>
      </w:r>
      <w:r w:rsidR="00C40665">
        <w:rPr>
          <w:lang w:val="en-US"/>
        </w:rPr>
        <w:t>development</w:t>
      </w:r>
      <w:r w:rsidR="00C40665" w:rsidRPr="00124DA6">
        <w:rPr>
          <w:lang w:val="en-US"/>
        </w:rPr>
        <w:t xml:space="preserve"> </w:t>
      </w:r>
      <w:r w:rsidR="00C40665">
        <w:rPr>
          <w:lang w:val="en-US"/>
        </w:rPr>
        <w:t>of innovative</w:t>
      </w:r>
      <w:r w:rsidR="00C40665" w:rsidRPr="00124DA6">
        <w:rPr>
          <w:lang w:val="en-US"/>
        </w:rPr>
        <w:t xml:space="preserve"> </w:t>
      </w:r>
      <w:r w:rsidRPr="00124DA6">
        <w:rPr>
          <w:lang w:val="en-US"/>
        </w:rPr>
        <w:t xml:space="preserve">products such as the merchant payment, the retail payment (at the level of </w:t>
      </w:r>
      <w:proofErr w:type="spellStart"/>
      <w:r w:rsidRPr="00124DA6">
        <w:rPr>
          <w:lang w:val="en-US"/>
        </w:rPr>
        <w:t>zemidjans</w:t>
      </w:r>
      <w:proofErr w:type="spellEnd"/>
      <w:r w:rsidRPr="00124DA6">
        <w:rPr>
          <w:lang w:val="en-US"/>
        </w:rPr>
        <w:t xml:space="preserve"> transportation)</w:t>
      </w:r>
      <w:r w:rsidR="0049092D" w:rsidRPr="00124DA6">
        <w:rPr>
          <w:lang w:val="en-US"/>
        </w:rPr>
        <w:t>,</w:t>
      </w:r>
      <w:r w:rsidRPr="00124DA6">
        <w:rPr>
          <w:lang w:val="en-US"/>
        </w:rPr>
        <w:t xml:space="preserve"> and the credit scoring (in partnership with the financial institutions approved for this purpose (bank</w:t>
      </w:r>
      <w:r w:rsidR="004A10D2" w:rsidRPr="00124DA6">
        <w:rPr>
          <w:lang w:val="en-US"/>
        </w:rPr>
        <w:t>s</w:t>
      </w:r>
      <w:r w:rsidRPr="00124DA6">
        <w:rPr>
          <w:lang w:val="en-US"/>
        </w:rPr>
        <w:t xml:space="preserve">, </w:t>
      </w:r>
      <w:r w:rsidR="004A10D2" w:rsidRPr="00124DA6">
        <w:rPr>
          <w:lang w:val="en-US"/>
        </w:rPr>
        <w:t>MFIs</w:t>
      </w:r>
      <w:r w:rsidRPr="00124DA6">
        <w:rPr>
          <w:lang w:val="en-US"/>
        </w:rPr>
        <w:t>). Savings and credit are the main services people rely on, based on products available in the informal sector or using the social (family) fabric.</w:t>
      </w:r>
    </w:p>
    <w:p w14:paraId="014CA755" w14:textId="49A10C5E" w:rsidR="00102FE0" w:rsidRDefault="00102FE0" w:rsidP="00ED0C45">
      <w:pPr>
        <w:pStyle w:val="ListParagraph"/>
        <w:numPr>
          <w:ilvl w:val="0"/>
          <w:numId w:val="47"/>
        </w:numPr>
        <w:spacing w:after="240" w:line="240" w:lineRule="auto"/>
        <w:ind w:left="0" w:firstLine="0"/>
        <w:contextualSpacing w:val="0"/>
        <w:jc w:val="both"/>
        <w:rPr>
          <w:rFonts w:eastAsia="Times New Roman" w:cs="Arial"/>
          <w:lang w:val="en-US" w:eastAsia="fr-FR"/>
        </w:rPr>
      </w:pPr>
      <w:r w:rsidRPr="00124DA6">
        <w:rPr>
          <w:rFonts w:eastAsia="Times New Roman" w:cs="Arial"/>
          <w:b/>
          <w:lang w:val="en-US" w:eastAsia="fr-FR"/>
        </w:rPr>
        <w:t xml:space="preserve">Banks and </w:t>
      </w:r>
      <w:r w:rsidR="004A10D2" w:rsidRPr="00124DA6">
        <w:rPr>
          <w:rFonts w:eastAsia="Times New Roman" w:cs="Arial"/>
          <w:b/>
          <w:lang w:val="en-US" w:eastAsia="fr-FR"/>
        </w:rPr>
        <w:t>MFIs</w:t>
      </w:r>
      <w:r w:rsidRPr="00124DA6">
        <w:rPr>
          <w:rFonts w:eastAsia="Times New Roman" w:cs="Arial"/>
          <w:b/>
          <w:lang w:val="en-US" w:eastAsia="fr-FR"/>
        </w:rPr>
        <w:t xml:space="preserve"> </w:t>
      </w:r>
      <w:proofErr w:type="gramStart"/>
      <w:r w:rsidRPr="00124DA6">
        <w:rPr>
          <w:rFonts w:eastAsia="Times New Roman" w:cs="Arial"/>
          <w:b/>
          <w:lang w:val="en-US" w:eastAsia="fr-FR"/>
        </w:rPr>
        <w:t>are allowed to</w:t>
      </w:r>
      <w:proofErr w:type="gramEnd"/>
      <w:r w:rsidRPr="00124DA6">
        <w:rPr>
          <w:rFonts w:eastAsia="Times New Roman" w:cs="Arial"/>
          <w:b/>
          <w:lang w:val="en-US" w:eastAsia="fr-FR"/>
        </w:rPr>
        <w:t xml:space="preserve"> offer savings and credit products</w:t>
      </w:r>
      <w:r w:rsidRPr="00124DA6">
        <w:rPr>
          <w:rFonts w:eastAsia="Times New Roman" w:cs="Arial"/>
          <w:lang w:val="en-US" w:eastAsia="fr-FR"/>
        </w:rPr>
        <w:t xml:space="preserve">. However, the size of their networks is relatively small compared to mobile money solutions providers. </w:t>
      </w:r>
      <w:r w:rsidR="00440389" w:rsidRPr="00124DA6">
        <w:rPr>
          <w:rFonts w:eastAsia="Times New Roman" w:cs="Arial"/>
          <w:lang w:val="en-US" w:eastAsia="fr-FR"/>
        </w:rPr>
        <w:t>I</w:t>
      </w:r>
      <w:r w:rsidRPr="00124DA6">
        <w:rPr>
          <w:rFonts w:eastAsia="Times New Roman" w:cs="Arial"/>
          <w:lang w:val="en-US" w:eastAsia="fr-FR"/>
        </w:rPr>
        <w:t>nstruction N</w:t>
      </w:r>
      <w:r w:rsidR="0049092D" w:rsidRPr="00124DA6">
        <w:rPr>
          <w:rFonts w:eastAsia="Times New Roman" w:cs="Arial"/>
          <w:lang w:val="en-US" w:eastAsia="fr-FR"/>
        </w:rPr>
        <w:t>o.</w:t>
      </w:r>
      <w:r w:rsidRPr="00124DA6">
        <w:rPr>
          <w:rFonts w:eastAsia="Times New Roman" w:cs="Arial"/>
          <w:lang w:val="en-US" w:eastAsia="fr-FR"/>
        </w:rPr>
        <w:t xml:space="preserve"> 008-05-2015, governing the conditions and modalities of exercise of the activities of issuers of electronic money in the member states of the WA</w:t>
      </w:r>
      <w:r w:rsidR="0049092D" w:rsidRPr="00124DA6">
        <w:rPr>
          <w:rFonts w:eastAsia="Times New Roman" w:cs="Arial"/>
          <w:lang w:val="en-US" w:eastAsia="fr-FR"/>
        </w:rPr>
        <w:t>E</w:t>
      </w:r>
      <w:r w:rsidRPr="00124DA6">
        <w:rPr>
          <w:rFonts w:eastAsia="Times New Roman" w:cs="Arial"/>
          <w:lang w:val="en-US" w:eastAsia="fr-FR"/>
        </w:rPr>
        <w:t xml:space="preserve">MU, does not authorize the establishment of electronic money to </w:t>
      </w:r>
      <w:r w:rsidRPr="00124DA6">
        <w:rPr>
          <w:lang w:val="en-US"/>
        </w:rPr>
        <w:t>offer</w:t>
      </w:r>
      <w:r w:rsidRPr="00124DA6">
        <w:rPr>
          <w:rFonts w:eastAsia="Times New Roman" w:cs="Arial"/>
          <w:lang w:val="en-US" w:eastAsia="fr-FR"/>
        </w:rPr>
        <w:t xml:space="preserve"> customers paid savings products, or credit. Also, to match supply with demand </w:t>
      </w:r>
      <w:r w:rsidR="00893354">
        <w:rPr>
          <w:rFonts w:eastAsia="Times New Roman" w:cs="Arial"/>
          <w:lang w:val="en-US" w:eastAsia="fr-FR"/>
        </w:rPr>
        <w:t>while reducing</w:t>
      </w:r>
      <w:r w:rsidR="00893354" w:rsidRPr="00124DA6">
        <w:rPr>
          <w:rFonts w:eastAsia="Times New Roman" w:cs="Arial"/>
          <w:lang w:val="en-US" w:eastAsia="fr-FR"/>
        </w:rPr>
        <w:t xml:space="preserve"> </w:t>
      </w:r>
      <w:r w:rsidRPr="00124DA6">
        <w:rPr>
          <w:rFonts w:eastAsia="Times New Roman" w:cs="Arial"/>
          <w:lang w:val="en-US" w:eastAsia="fr-FR"/>
        </w:rPr>
        <w:t>the importance of the informal sector in the financial mechanisms</w:t>
      </w:r>
      <w:r w:rsidR="00893354">
        <w:rPr>
          <w:rFonts w:eastAsia="Times New Roman" w:cs="Arial"/>
          <w:lang w:val="en-US" w:eastAsia="fr-FR"/>
        </w:rPr>
        <w:t xml:space="preserve"> used by the population</w:t>
      </w:r>
      <w:r w:rsidRPr="00124DA6">
        <w:rPr>
          <w:rFonts w:eastAsia="Times New Roman" w:cs="Arial"/>
          <w:lang w:val="en-US" w:eastAsia="fr-FR"/>
        </w:rPr>
        <w:t xml:space="preserve">, partnerships between banks, </w:t>
      </w:r>
      <w:r w:rsidR="00231583" w:rsidRPr="00124DA6">
        <w:rPr>
          <w:rFonts w:eastAsia="Times New Roman" w:cs="Arial"/>
          <w:lang w:val="en-US" w:eastAsia="fr-FR"/>
        </w:rPr>
        <w:t>MFI</w:t>
      </w:r>
      <w:r w:rsidR="0049092D" w:rsidRPr="00124DA6">
        <w:rPr>
          <w:rFonts w:eastAsia="Times New Roman" w:cs="Arial"/>
          <w:lang w:val="en-US" w:eastAsia="fr-FR"/>
        </w:rPr>
        <w:t>s,</w:t>
      </w:r>
      <w:r w:rsidRPr="00124DA6">
        <w:rPr>
          <w:rFonts w:eastAsia="Times New Roman" w:cs="Arial"/>
          <w:lang w:val="en-US" w:eastAsia="fr-FR"/>
        </w:rPr>
        <w:t xml:space="preserve"> and mobile telephone operators </w:t>
      </w:r>
      <w:r w:rsidR="000E1B61">
        <w:rPr>
          <w:rFonts w:eastAsia="Times New Roman" w:cs="Arial"/>
          <w:lang w:val="en-US" w:eastAsia="fr-FR"/>
        </w:rPr>
        <w:t>should be expanded</w:t>
      </w:r>
      <w:r w:rsidR="00893354">
        <w:rPr>
          <w:rFonts w:eastAsia="Times New Roman" w:cs="Arial"/>
          <w:lang w:val="en-US" w:eastAsia="fr-FR"/>
        </w:rPr>
        <w:t>. Such partnerships would</w:t>
      </w:r>
      <w:r w:rsidRPr="00124DA6">
        <w:rPr>
          <w:rFonts w:eastAsia="Times New Roman" w:cs="Arial"/>
          <w:lang w:val="en-US" w:eastAsia="fr-FR"/>
        </w:rPr>
        <w:t xml:space="preserve"> enable people to open accounts with financial institutions and operate their accounts via mobile through the extended network of mobile money agents.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6"/>
      </w:tblGrid>
      <w:tr w:rsidR="00491E7D" w:rsidRPr="008A6E7B" w14:paraId="3CD60660" w14:textId="77777777" w:rsidTr="00ED0C45">
        <w:tc>
          <w:tcPr>
            <w:tcW w:w="9406" w:type="dxa"/>
          </w:tcPr>
          <w:p w14:paraId="3A99E43F" w14:textId="426453C8" w:rsidR="00491E7D" w:rsidRPr="00ED0C45" w:rsidRDefault="00491E7D" w:rsidP="00491E7D">
            <w:pPr>
              <w:pStyle w:val="Caption"/>
              <w:spacing w:before="0"/>
              <w:rPr>
                <w:b/>
              </w:rPr>
            </w:pPr>
            <w:r w:rsidRPr="00ED0C45">
              <w:rPr>
                <w:b/>
              </w:rPr>
              <w:t>Table</w:t>
            </w:r>
            <w:r w:rsidR="00C702B4" w:rsidRPr="00ED0C45">
              <w:rPr>
                <w:b/>
              </w:rPr>
              <w:t> </w:t>
            </w:r>
            <w:r w:rsidRPr="00ED0C45">
              <w:rPr>
                <w:b/>
              </w:rPr>
              <w:t>3.</w:t>
            </w:r>
            <w:r w:rsidRPr="00ED0C45">
              <w:rPr>
                <w:b/>
              </w:rPr>
              <w:fldChar w:fldCharType="begin"/>
            </w:r>
            <w:r w:rsidRPr="00ED0C45">
              <w:rPr>
                <w:b/>
              </w:rPr>
              <w:instrText xml:space="preserve"> SEQ Table_3. \* ARABIC </w:instrText>
            </w:r>
            <w:r w:rsidRPr="00ED0C45">
              <w:rPr>
                <w:b/>
              </w:rPr>
              <w:fldChar w:fldCharType="separate"/>
            </w:r>
            <w:r w:rsidR="004C6E5F" w:rsidRPr="00ED0C45">
              <w:rPr>
                <w:b/>
                <w:noProof/>
              </w:rPr>
              <w:t>5</w:t>
            </w:r>
            <w:r w:rsidRPr="00ED0C45">
              <w:rPr>
                <w:b/>
              </w:rPr>
              <w:fldChar w:fldCharType="end"/>
            </w:r>
            <w:r w:rsidRPr="00ED0C45">
              <w:rPr>
                <w:b/>
              </w:rPr>
              <w:t xml:space="preserve">: Product/services portfolio of the digital financial service providers </w:t>
            </w:r>
          </w:p>
        </w:tc>
      </w:tr>
      <w:tr w:rsidR="00491E7D" w:rsidRPr="00124DA6" w14:paraId="3E039073" w14:textId="77777777" w:rsidTr="00ED0C45">
        <w:tc>
          <w:tcPr>
            <w:tcW w:w="9406" w:type="dxa"/>
          </w:tcPr>
          <w:p w14:paraId="79BF6145" w14:textId="77777777" w:rsidR="00491E7D" w:rsidRPr="00124DA6" w:rsidRDefault="00491E7D" w:rsidP="00491E7D">
            <w:pPr>
              <w:pStyle w:val="NoSpacing"/>
              <w:keepNext/>
              <w:spacing w:after="120"/>
              <w:jc w:val="both"/>
            </w:pPr>
            <w:r w:rsidRPr="00124DA6">
              <w:rPr>
                <w:noProof/>
                <w:lang w:eastAsia="fr-FR"/>
              </w:rPr>
              <w:drawing>
                <wp:inline distT="0" distB="0" distL="0" distR="0" wp14:anchorId="039CE48B" wp14:editId="0D9843D2">
                  <wp:extent cx="5836257" cy="1691763"/>
                  <wp:effectExtent l="0" t="0" r="0" b="3810"/>
                  <wp:docPr id="15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79070" cy="1704173"/>
                          </a:xfrm>
                          <a:prstGeom prst="rect">
                            <a:avLst/>
                          </a:prstGeom>
                          <a:noFill/>
                          <a:ln>
                            <a:noFill/>
                          </a:ln>
                        </pic:spPr>
                      </pic:pic>
                    </a:graphicData>
                  </a:graphic>
                </wp:inline>
              </w:drawing>
            </w:r>
          </w:p>
        </w:tc>
      </w:tr>
    </w:tbl>
    <w:p w14:paraId="29C95356" w14:textId="1DEEED22" w:rsidR="00102FE0" w:rsidRPr="00ED0C45" w:rsidRDefault="000A4706" w:rsidP="000A4706">
      <w:pPr>
        <w:pStyle w:val="Caption"/>
        <w:rPr>
          <w:b/>
          <w:bCs/>
          <w:lang w:val="en-US"/>
        </w:rPr>
      </w:pPr>
      <w:r w:rsidRPr="00ED0C45">
        <w:rPr>
          <w:b/>
          <w:lang w:val="en-US"/>
        </w:rPr>
        <w:t>Figure</w:t>
      </w:r>
      <w:r w:rsidR="00C702B4" w:rsidRPr="00ED0C45">
        <w:rPr>
          <w:b/>
          <w:lang w:val="en-US"/>
        </w:rPr>
        <w:t> </w:t>
      </w:r>
      <w:r w:rsidRPr="00ED0C45">
        <w:rPr>
          <w:b/>
          <w:lang w:val="en-US"/>
        </w:rPr>
        <w:t>3.</w:t>
      </w:r>
      <w:r w:rsidRPr="00ED0C45">
        <w:rPr>
          <w:b/>
          <w:lang w:val="en-US"/>
        </w:rPr>
        <w:fldChar w:fldCharType="begin"/>
      </w:r>
      <w:r w:rsidRPr="00ED0C45">
        <w:rPr>
          <w:b/>
          <w:lang w:val="en-US"/>
        </w:rPr>
        <w:instrText xml:space="preserve"> SEQ Figure_3. \* ARABIC </w:instrText>
      </w:r>
      <w:r w:rsidRPr="00ED0C45">
        <w:rPr>
          <w:b/>
          <w:lang w:val="en-US"/>
        </w:rPr>
        <w:fldChar w:fldCharType="separate"/>
      </w:r>
      <w:r w:rsidR="004C6E5F" w:rsidRPr="00ED0C45">
        <w:rPr>
          <w:b/>
          <w:noProof/>
          <w:lang w:val="en-US"/>
        </w:rPr>
        <w:t>6</w:t>
      </w:r>
      <w:r w:rsidRPr="00ED0C45">
        <w:rPr>
          <w:b/>
          <w:lang w:val="en-US"/>
        </w:rPr>
        <w:fldChar w:fldCharType="end"/>
      </w:r>
      <w:r w:rsidR="00102FE0" w:rsidRPr="00ED0C45">
        <w:rPr>
          <w:b/>
          <w:lang w:val="en-US"/>
        </w:rPr>
        <w:t>: Rates of different providers of domestic money transfer solutions</w:t>
      </w:r>
    </w:p>
    <w:p w14:paraId="2B8ECFA1" w14:textId="77777777" w:rsidR="00102FE0" w:rsidRPr="00124DA6" w:rsidRDefault="00102FE0" w:rsidP="003379F6">
      <w:pPr>
        <w:pStyle w:val="NoSpacing"/>
        <w:keepNext/>
        <w:jc w:val="center"/>
        <w:rPr>
          <w:lang w:val="en-US"/>
        </w:rPr>
      </w:pPr>
      <w:r w:rsidRPr="00124DA6">
        <w:rPr>
          <w:noProof/>
          <w:lang w:eastAsia="fr-FR"/>
        </w:rPr>
        <w:drawing>
          <wp:inline distT="0" distB="0" distL="0" distR="0" wp14:anchorId="374EECBC" wp14:editId="256E75E1">
            <wp:extent cx="4387215" cy="2970530"/>
            <wp:effectExtent l="0" t="0" r="0" b="1270"/>
            <wp:docPr id="151"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0C00E9C" w14:textId="77777777" w:rsidR="00102FE0" w:rsidRPr="00124DA6" w:rsidRDefault="00102FE0" w:rsidP="00102FE0">
      <w:pPr>
        <w:pStyle w:val="NoSpacing"/>
        <w:jc w:val="both"/>
        <w:rPr>
          <w:lang w:val="en-US"/>
        </w:rPr>
      </w:pPr>
    </w:p>
    <w:p w14:paraId="02FD3637" w14:textId="77777777" w:rsidR="00102FE0" w:rsidRPr="00307A69" w:rsidRDefault="003B0586" w:rsidP="003B0586">
      <w:pPr>
        <w:pStyle w:val="Heading2"/>
        <w:rPr>
          <w:b/>
          <w:lang w:val="en-US"/>
        </w:rPr>
      </w:pPr>
      <w:bookmarkStart w:id="37" w:name="_Toc3975141"/>
      <w:r w:rsidRPr="00307A69">
        <w:rPr>
          <w:b/>
          <w:lang w:val="en-US"/>
        </w:rPr>
        <w:t xml:space="preserve">3.4 </w:t>
      </w:r>
      <w:r w:rsidR="00995A23" w:rsidRPr="00307A69">
        <w:rPr>
          <w:b/>
          <w:lang w:val="en-US"/>
        </w:rPr>
        <w:t>Challenges and Recommendations for the Digit</w:t>
      </w:r>
      <w:r w:rsidR="008A14FC" w:rsidRPr="00307A69">
        <w:rPr>
          <w:b/>
          <w:lang w:val="en-US"/>
        </w:rPr>
        <w:t>a</w:t>
      </w:r>
      <w:r w:rsidR="00995A23" w:rsidRPr="00307A69">
        <w:rPr>
          <w:b/>
          <w:lang w:val="en-US"/>
        </w:rPr>
        <w:t>lization of Retail Payments</w:t>
      </w:r>
      <w:bookmarkEnd w:id="37"/>
      <w:r w:rsidR="00995A23" w:rsidRPr="00307A69">
        <w:rPr>
          <w:b/>
          <w:lang w:val="en-US"/>
        </w:rPr>
        <w:t xml:space="preserve"> </w:t>
      </w:r>
    </w:p>
    <w:p w14:paraId="471590A8" w14:textId="1640A1A1" w:rsidR="00102FE0" w:rsidRPr="00124DA6" w:rsidRDefault="00102FE0" w:rsidP="00307A69">
      <w:pPr>
        <w:pStyle w:val="ListParagraph"/>
        <w:numPr>
          <w:ilvl w:val="0"/>
          <w:numId w:val="47"/>
        </w:numPr>
        <w:spacing w:after="240" w:line="240" w:lineRule="auto"/>
        <w:ind w:left="0" w:firstLine="0"/>
        <w:contextualSpacing w:val="0"/>
        <w:jc w:val="both"/>
        <w:rPr>
          <w:lang w:val="en-US"/>
        </w:rPr>
      </w:pPr>
      <w:r w:rsidRPr="00124DA6">
        <w:rPr>
          <w:b/>
          <w:lang w:val="en-US"/>
        </w:rPr>
        <w:t xml:space="preserve">The objective of this chapter is </w:t>
      </w:r>
      <w:r w:rsidR="00DA4A2A">
        <w:rPr>
          <w:b/>
          <w:lang w:val="en-US"/>
        </w:rPr>
        <w:t>twofold: to</w:t>
      </w:r>
      <w:r w:rsidR="00DA4A2A" w:rsidRPr="00124DA6">
        <w:rPr>
          <w:b/>
          <w:lang w:val="en-US"/>
        </w:rPr>
        <w:t xml:space="preserve"> </w:t>
      </w:r>
      <w:r w:rsidRPr="00124DA6">
        <w:rPr>
          <w:b/>
          <w:lang w:val="en-US"/>
        </w:rPr>
        <w:t>present the main challenges to the development and popularization of the digitalization of retail payments in Benin</w:t>
      </w:r>
      <w:r w:rsidR="00DA4A2A">
        <w:rPr>
          <w:b/>
          <w:lang w:val="en-US"/>
        </w:rPr>
        <w:t>;</w:t>
      </w:r>
      <w:r w:rsidRPr="00124DA6">
        <w:rPr>
          <w:b/>
          <w:lang w:val="en-US"/>
        </w:rPr>
        <w:t xml:space="preserve"> and to </w:t>
      </w:r>
      <w:r w:rsidR="00DA4A2A">
        <w:rPr>
          <w:b/>
          <w:lang w:val="en-US"/>
        </w:rPr>
        <w:t>offer</w:t>
      </w:r>
      <w:r w:rsidR="00DA4A2A" w:rsidRPr="00124DA6">
        <w:rPr>
          <w:b/>
          <w:lang w:val="en-US"/>
        </w:rPr>
        <w:t xml:space="preserve"> </w:t>
      </w:r>
      <w:r w:rsidRPr="00124DA6">
        <w:rPr>
          <w:b/>
          <w:lang w:val="en-US"/>
        </w:rPr>
        <w:t>recommendations</w:t>
      </w:r>
      <w:r w:rsidRPr="00124DA6">
        <w:rPr>
          <w:lang w:val="en-US"/>
        </w:rPr>
        <w:t>. The challenges presented here will be explored under the option of an ecosystem approach including the pillars that are</w:t>
      </w:r>
      <w:r w:rsidR="00E41296" w:rsidRPr="00124DA6">
        <w:rPr>
          <w:lang w:val="en-US"/>
        </w:rPr>
        <w:t xml:space="preserve"> (</w:t>
      </w:r>
      <w:r w:rsidR="00F31C1B" w:rsidRPr="00124DA6">
        <w:rPr>
          <w:lang w:val="en-US"/>
        </w:rPr>
        <w:t>a</w:t>
      </w:r>
      <w:r w:rsidR="00E41296" w:rsidRPr="00124DA6">
        <w:rPr>
          <w:lang w:val="en-US"/>
        </w:rPr>
        <w:t>) customers (populations, (</w:t>
      </w:r>
      <w:r w:rsidR="00F31C1B" w:rsidRPr="00124DA6">
        <w:rPr>
          <w:lang w:val="en-US"/>
        </w:rPr>
        <w:t>b</w:t>
      </w:r>
      <w:r w:rsidR="00E41296" w:rsidRPr="00124DA6">
        <w:rPr>
          <w:lang w:val="en-US"/>
        </w:rPr>
        <w:t>) d</w:t>
      </w:r>
      <w:r w:rsidRPr="00124DA6">
        <w:rPr>
          <w:lang w:val="en-US"/>
        </w:rPr>
        <w:t>istribution net</w:t>
      </w:r>
      <w:r w:rsidR="00E41296" w:rsidRPr="00124DA6">
        <w:rPr>
          <w:lang w:val="en-US"/>
        </w:rPr>
        <w:t>works, (</w:t>
      </w:r>
      <w:r w:rsidR="00F31C1B" w:rsidRPr="00124DA6">
        <w:rPr>
          <w:lang w:val="en-US"/>
        </w:rPr>
        <w:t>c</w:t>
      </w:r>
      <w:r w:rsidR="00E41296" w:rsidRPr="00124DA6">
        <w:rPr>
          <w:lang w:val="en-US"/>
        </w:rPr>
        <w:t>) suppliers, (</w:t>
      </w:r>
      <w:r w:rsidR="00F31C1B" w:rsidRPr="00124DA6">
        <w:rPr>
          <w:lang w:val="en-US"/>
        </w:rPr>
        <w:t>d</w:t>
      </w:r>
      <w:r w:rsidR="00E41296" w:rsidRPr="00124DA6">
        <w:rPr>
          <w:lang w:val="en-US"/>
        </w:rPr>
        <w:t>) l</w:t>
      </w:r>
      <w:r w:rsidRPr="00124DA6">
        <w:rPr>
          <w:lang w:val="en-US"/>
        </w:rPr>
        <w:t>arge billers and the government</w:t>
      </w:r>
      <w:r w:rsidR="00E41296" w:rsidRPr="00124DA6">
        <w:rPr>
          <w:lang w:val="en-US"/>
        </w:rPr>
        <w:t>, and (</w:t>
      </w:r>
      <w:r w:rsidR="00F31C1B" w:rsidRPr="00124DA6">
        <w:rPr>
          <w:lang w:val="en-US"/>
        </w:rPr>
        <w:t>e</w:t>
      </w:r>
      <w:r w:rsidR="00E41296" w:rsidRPr="00124DA6">
        <w:rPr>
          <w:lang w:val="en-US"/>
        </w:rPr>
        <w:t>) t</w:t>
      </w:r>
      <w:r w:rsidRPr="00124DA6">
        <w:rPr>
          <w:lang w:val="en-US"/>
        </w:rPr>
        <w:t>he regulatory framework.</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722B6" w:rsidRPr="00124DA6" w14:paraId="465D45FE" w14:textId="77777777" w:rsidTr="00A722B6">
        <w:trPr>
          <w:jc w:val="center"/>
        </w:trPr>
        <w:tc>
          <w:tcPr>
            <w:tcW w:w="9350" w:type="dxa"/>
          </w:tcPr>
          <w:p w14:paraId="215B4B1C" w14:textId="4885487F" w:rsidR="00A722B6" w:rsidRPr="00124DA6" w:rsidRDefault="00A722B6" w:rsidP="00A722B6">
            <w:pPr>
              <w:pStyle w:val="Caption"/>
              <w:keepNext/>
              <w:spacing w:before="0" w:after="0"/>
            </w:pPr>
            <w:r w:rsidRPr="00124DA6">
              <w:t>Figure</w:t>
            </w:r>
            <w:r w:rsidR="00C702B4">
              <w:t> </w:t>
            </w:r>
            <w:r w:rsidRPr="00124DA6">
              <w:t>3.</w:t>
            </w:r>
            <w:r w:rsidRPr="00124DA6">
              <w:fldChar w:fldCharType="begin"/>
            </w:r>
            <w:r w:rsidRPr="00124DA6">
              <w:instrText xml:space="preserve"> SEQ Figure_3. \* ARABIC </w:instrText>
            </w:r>
            <w:r w:rsidRPr="00124DA6">
              <w:fldChar w:fldCharType="separate"/>
            </w:r>
            <w:r w:rsidR="004C6E5F">
              <w:rPr>
                <w:noProof/>
              </w:rPr>
              <w:t>7</w:t>
            </w:r>
            <w:r w:rsidRPr="00124DA6">
              <w:fldChar w:fldCharType="end"/>
            </w:r>
            <w:r w:rsidRPr="00124DA6">
              <w:t>: Digital finance ecosystem</w:t>
            </w:r>
          </w:p>
        </w:tc>
      </w:tr>
      <w:tr w:rsidR="00A722B6" w:rsidRPr="00124DA6" w14:paraId="331A0D14" w14:textId="77777777" w:rsidTr="00A722B6">
        <w:trPr>
          <w:jc w:val="center"/>
        </w:trPr>
        <w:tc>
          <w:tcPr>
            <w:tcW w:w="9350" w:type="dxa"/>
          </w:tcPr>
          <w:p w14:paraId="0352EC6E" w14:textId="77777777" w:rsidR="00A722B6" w:rsidRPr="00124DA6" w:rsidRDefault="00A722B6" w:rsidP="00A722B6">
            <w:pPr>
              <w:keepNext/>
              <w:keepLines/>
              <w:rPr>
                <w:b/>
              </w:rPr>
            </w:pPr>
          </w:p>
          <w:p w14:paraId="1F44F28F" w14:textId="77777777" w:rsidR="00A722B6" w:rsidRPr="00124DA6" w:rsidRDefault="00A722B6" w:rsidP="00A722B6">
            <w:pPr>
              <w:keepNext/>
              <w:keepLines/>
              <w:rPr>
                <w:b/>
              </w:rPr>
            </w:pPr>
            <w:r w:rsidRPr="00124DA6">
              <w:rPr>
                <w:noProof/>
                <w:lang w:eastAsia="fr-FR"/>
              </w:rPr>
              <mc:AlternateContent>
                <mc:Choice Requires="wpg">
                  <w:drawing>
                    <wp:anchor distT="0" distB="0" distL="114300" distR="114300" simplePos="0" relativeHeight="251649024" behindDoc="0" locked="0" layoutInCell="1" allowOverlap="1" wp14:anchorId="513F365B" wp14:editId="19AD011F">
                      <wp:simplePos x="0" y="0"/>
                      <wp:positionH relativeFrom="column">
                        <wp:posOffset>30276</wp:posOffset>
                      </wp:positionH>
                      <wp:positionV relativeFrom="paragraph">
                        <wp:posOffset>68364</wp:posOffset>
                      </wp:positionV>
                      <wp:extent cx="5381628" cy="2782974"/>
                      <wp:effectExtent l="95250" t="57150" r="47625" b="55880"/>
                      <wp:wrapTopAndBottom/>
                      <wp:docPr id="8" name="Group 8"/>
                      <wp:cNvGraphicFramePr/>
                      <a:graphic xmlns:a="http://schemas.openxmlformats.org/drawingml/2006/main">
                        <a:graphicData uri="http://schemas.microsoft.com/office/word/2010/wordprocessingGroup">
                          <wpg:wgp>
                            <wpg:cNvGrpSpPr/>
                            <wpg:grpSpPr>
                              <a:xfrm>
                                <a:off x="0" y="0"/>
                                <a:ext cx="5381628" cy="2782974"/>
                                <a:chOff x="0" y="0"/>
                                <a:chExt cx="5381628" cy="2782974"/>
                              </a:xfrm>
                            </wpg:grpSpPr>
                            <wps:wsp>
                              <wps:cNvPr id="12" name="Rectangle à coins arrondis 27"/>
                              <wps:cNvSpPr/>
                              <wps:spPr>
                                <a:xfrm>
                                  <a:off x="0" y="818984"/>
                                  <a:ext cx="1533196" cy="604317"/>
                                </a:xfrm>
                                <a:prstGeom prst="roundRect">
                                  <a:avLst/>
                                </a:prstGeom>
                                <a:solidFill>
                                  <a:srgbClr val="5B9BD5"/>
                                </a:solidFill>
                                <a:ln w="12700" cap="flat" cmpd="sng" algn="ctr">
                                  <a:noFill/>
                                  <a:prstDash val="solid"/>
                                  <a:miter lim="800000"/>
                                </a:ln>
                                <a:effectLst>
                                  <a:glow rad="63500">
                                    <a:srgbClr val="5B9BD5">
                                      <a:satMod val="175000"/>
                                      <a:alpha val="40000"/>
                                    </a:srgbClr>
                                  </a:glow>
                                </a:effectLst>
                                <a:scene3d>
                                  <a:camera prst="orthographicFront">
                                    <a:rot lat="0" lon="0" rev="0"/>
                                  </a:camera>
                                  <a:lightRig rig="contrasting" dir="t">
                                    <a:rot lat="0" lon="0" rev="7800000"/>
                                  </a:lightRig>
                                </a:scene3d>
                                <a:sp3d>
                                  <a:bevelT w="139700" h="139700"/>
                                </a:sp3d>
                              </wps:spPr>
                              <wps:txbx>
                                <w:txbxContent>
                                  <w:p w14:paraId="621F15CF" w14:textId="77777777" w:rsidR="003B0984" w:rsidRPr="00B1355D" w:rsidRDefault="003B0984" w:rsidP="00A722B6">
                                    <w:pPr>
                                      <w:pStyle w:val="NormalWeb"/>
                                      <w:spacing w:before="0" w:beforeAutospacing="0" w:after="0" w:afterAutospacing="0"/>
                                      <w:jc w:val="center"/>
                                      <w:rPr>
                                        <w:sz w:val="20"/>
                                        <w:szCs w:val="20"/>
                                      </w:rPr>
                                    </w:pPr>
                                    <w:r w:rsidRPr="00F31C1B">
                                      <w:rPr>
                                        <w:rFonts w:asciiTheme="minorHAnsi" w:hAnsi="Calibri" w:cstheme="minorBidi"/>
                                        <w:b/>
                                        <w:bCs/>
                                        <w:color w:val="FFFFFF" w:themeColor="light1"/>
                                        <w:kern w:val="24"/>
                                        <w:sz w:val="20"/>
                                        <w:szCs w:val="20"/>
                                        <w:lang w:val="en-US"/>
                                      </w:rPr>
                                      <w:t>Customers</w:t>
                                    </w:r>
                                  </w:p>
                                </w:txbxContent>
                              </wps:txbx>
                              <wps:bodyPr rtlCol="0" anchor="ctr"/>
                            </wps:wsp>
                            <wps:wsp>
                              <wps:cNvPr id="13" name="Rectangle à coins arrondis 29"/>
                              <wps:cNvSpPr/>
                              <wps:spPr>
                                <a:xfrm>
                                  <a:off x="3848432" y="818984"/>
                                  <a:ext cx="1533196" cy="604317"/>
                                </a:xfrm>
                                <a:prstGeom prst="roundRect">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14:paraId="273717D4" w14:textId="77777777" w:rsidR="003B0984" w:rsidRPr="00B1355D" w:rsidRDefault="003B0984" w:rsidP="00A722B6">
                                    <w:pPr>
                                      <w:pStyle w:val="NormalWeb"/>
                                      <w:spacing w:before="0" w:beforeAutospacing="0" w:after="0" w:afterAutospacing="0"/>
                                      <w:jc w:val="center"/>
                                      <w:rPr>
                                        <w:sz w:val="20"/>
                                        <w:szCs w:val="20"/>
                                      </w:rPr>
                                    </w:pPr>
                                    <w:r>
                                      <w:rPr>
                                        <w:rFonts w:asciiTheme="minorHAnsi" w:hAnsi="Calibri" w:cstheme="minorBidi"/>
                                        <w:b/>
                                        <w:bCs/>
                                        <w:color w:val="FFFFFF" w:themeColor="light1"/>
                                        <w:kern w:val="24"/>
                                        <w:sz w:val="20"/>
                                        <w:szCs w:val="20"/>
                                      </w:rPr>
                                      <w:t xml:space="preserve">Main </w:t>
                                    </w:r>
                                    <w:r w:rsidRPr="00F31C1B">
                                      <w:rPr>
                                        <w:rFonts w:asciiTheme="minorHAnsi" w:hAnsi="Calibri" w:cstheme="minorBidi"/>
                                        <w:b/>
                                        <w:bCs/>
                                        <w:color w:val="FFFFFF" w:themeColor="light1"/>
                                        <w:kern w:val="24"/>
                                        <w:sz w:val="20"/>
                                        <w:szCs w:val="20"/>
                                        <w:lang w:val="en-US"/>
                                      </w:rPr>
                                      <w:t>Billers</w:t>
                                    </w:r>
                                    <w:r>
                                      <w:rPr>
                                        <w:rFonts w:asciiTheme="minorHAnsi" w:hAnsi="Calibri" w:cstheme="minorBidi"/>
                                        <w:b/>
                                        <w:bCs/>
                                        <w:color w:val="FFFFFF" w:themeColor="light1"/>
                                        <w:kern w:val="24"/>
                                        <w:sz w:val="20"/>
                                        <w:szCs w:val="20"/>
                                      </w:rPr>
                                      <w:t xml:space="preserve"> and </w:t>
                                    </w:r>
                                    <w:r w:rsidRPr="00F31C1B">
                                      <w:rPr>
                                        <w:rFonts w:asciiTheme="minorHAnsi" w:hAnsi="Calibri" w:cstheme="minorBidi"/>
                                        <w:b/>
                                        <w:bCs/>
                                        <w:color w:val="FFFFFF" w:themeColor="light1"/>
                                        <w:kern w:val="24"/>
                                        <w:sz w:val="20"/>
                                        <w:szCs w:val="20"/>
                                        <w:lang w:val="en-US"/>
                                      </w:rPr>
                                      <w:t>Government</w:t>
                                    </w:r>
                                  </w:p>
                                </w:txbxContent>
                              </wps:txbx>
                              <wps:bodyPr rtlCol="0" anchor="ctr"/>
                            </wps:wsp>
                            <wps:wsp>
                              <wps:cNvPr id="14" name="Rectangle à coins arrondis 31"/>
                              <wps:cNvSpPr/>
                              <wps:spPr>
                                <a:xfrm>
                                  <a:off x="1868557" y="0"/>
                                  <a:ext cx="1646385" cy="604317"/>
                                </a:xfrm>
                                <a:prstGeom prst="roundRect">
                                  <a:avLst/>
                                </a:prstGeom>
                                <a:solidFill>
                                  <a:srgbClr val="5B9BD5"/>
                                </a:solidFill>
                                <a:ln w="12700" cap="flat" cmpd="sng" algn="ctr">
                                  <a:noFill/>
                                  <a:prstDash val="solid"/>
                                  <a:miter lim="800000"/>
                                </a:ln>
                                <a:effectLst>
                                  <a:softEdge rad="31750"/>
                                </a:effectLst>
                                <a:scene3d>
                                  <a:camera prst="orthographicFront">
                                    <a:rot lat="0" lon="0" rev="0"/>
                                  </a:camera>
                                  <a:lightRig rig="contrasting" dir="t">
                                    <a:rot lat="0" lon="0" rev="7800000"/>
                                  </a:lightRig>
                                </a:scene3d>
                                <a:sp3d>
                                  <a:bevelT w="139700" h="139700"/>
                                </a:sp3d>
                              </wps:spPr>
                              <wps:txbx>
                                <w:txbxContent>
                                  <w:p w14:paraId="381343BE" w14:textId="77777777" w:rsidR="003B0984" w:rsidRPr="00B1355D" w:rsidRDefault="003B0984" w:rsidP="00A722B6">
                                    <w:pPr>
                                      <w:pStyle w:val="NormalWeb"/>
                                      <w:spacing w:before="0" w:beforeAutospacing="0" w:after="0" w:afterAutospacing="0"/>
                                      <w:jc w:val="center"/>
                                      <w:rPr>
                                        <w:sz w:val="20"/>
                                        <w:szCs w:val="20"/>
                                      </w:rPr>
                                    </w:pPr>
                                    <w:r w:rsidRPr="00B1355D">
                                      <w:rPr>
                                        <w:rFonts w:asciiTheme="minorHAnsi" w:hAnsi="Calibri" w:cstheme="minorBidi"/>
                                        <w:b/>
                                        <w:bCs/>
                                        <w:color w:val="FFFFFF" w:themeColor="light1"/>
                                        <w:kern w:val="24"/>
                                        <w:sz w:val="20"/>
                                        <w:szCs w:val="20"/>
                                      </w:rPr>
                                      <w:t>Poli</w:t>
                                    </w:r>
                                    <w:r>
                                      <w:rPr>
                                        <w:rFonts w:asciiTheme="minorHAnsi" w:hAnsi="Calibri" w:cstheme="minorBidi"/>
                                        <w:b/>
                                        <w:bCs/>
                                        <w:color w:val="FFFFFF" w:themeColor="light1"/>
                                        <w:kern w:val="24"/>
                                        <w:sz w:val="20"/>
                                        <w:szCs w:val="20"/>
                                      </w:rPr>
                                      <w:t xml:space="preserve">cy and </w:t>
                                    </w:r>
                                    <w:r w:rsidRPr="00F31C1B">
                                      <w:rPr>
                                        <w:rFonts w:asciiTheme="minorHAnsi" w:hAnsi="Calibri" w:cstheme="minorBidi"/>
                                        <w:b/>
                                        <w:bCs/>
                                        <w:color w:val="FFFFFF" w:themeColor="light1"/>
                                        <w:kern w:val="24"/>
                                        <w:sz w:val="20"/>
                                        <w:szCs w:val="20"/>
                                        <w:lang w:val="en-US"/>
                                      </w:rPr>
                                      <w:t>Regulation</w:t>
                                    </w:r>
                                    <w:r>
                                      <w:rPr>
                                        <w:rFonts w:asciiTheme="minorHAnsi" w:hAnsi="Calibri" w:cstheme="minorBidi"/>
                                        <w:b/>
                                        <w:bCs/>
                                        <w:color w:val="FFFFFF" w:themeColor="light1"/>
                                        <w:kern w:val="24"/>
                                        <w:sz w:val="20"/>
                                        <w:szCs w:val="20"/>
                                      </w:rPr>
                                      <w:t xml:space="preserve"> </w:t>
                                    </w:r>
                                  </w:p>
                                </w:txbxContent>
                              </wps:txbx>
                              <wps:bodyPr rtlCol="0" anchor="ctr"/>
                            </wps:wsp>
                            <wps:wsp>
                              <wps:cNvPr id="15" name="Rectangle à coins arrondis 28"/>
                              <wps:cNvSpPr/>
                              <wps:spPr>
                                <a:xfrm>
                                  <a:off x="318052" y="2178657"/>
                                  <a:ext cx="1533196" cy="604317"/>
                                </a:xfrm>
                                <a:prstGeom prst="roundRect">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14:paraId="555B52D5" w14:textId="77777777" w:rsidR="003B0984" w:rsidRPr="00B1355D" w:rsidRDefault="003B0984" w:rsidP="00A722B6">
                                    <w:pPr>
                                      <w:pStyle w:val="NormalWeb"/>
                                      <w:keepNext/>
                                      <w:spacing w:before="0" w:beforeAutospacing="0" w:after="0" w:afterAutospacing="0"/>
                                      <w:jc w:val="center"/>
                                      <w:rPr>
                                        <w:sz w:val="20"/>
                                        <w:szCs w:val="20"/>
                                      </w:rPr>
                                    </w:pPr>
                                    <w:r>
                                      <w:rPr>
                                        <w:rFonts w:asciiTheme="minorHAnsi" w:hAnsi="Calibri" w:cstheme="minorBidi"/>
                                        <w:b/>
                                        <w:bCs/>
                                        <w:color w:val="FFFFFF" w:themeColor="light1"/>
                                        <w:kern w:val="24"/>
                                        <w:sz w:val="20"/>
                                        <w:szCs w:val="20"/>
                                      </w:rPr>
                                      <w:t>D</w:t>
                                    </w:r>
                                    <w:r w:rsidRPr="00B1355D">
                                      <w:rPr>
                                        <w:rFonts w:asciiTheme="minorHAnsi" w:hAnsi="Calibri" w:cstheme="minorBidi"/>
                                        <w:b/>
                                        <w:bCs/>
                                        <w:color w:val="FFFFFF" w:themeColor="light1"/>
                                        <w:kern w:val="24"/>
                                        <w:sz w:val="20"/>
                                        <w:szCs w:val="20"/>
                                      </w:rPr>
                                      <w:t>istribution</w:t>
                                    </w:r>
                                    <w:r>
                                      <w:rPr>
                                        <w:rFonts w:asciiTheme="minorHAnsi" w:hAnsi="Calibri" w:cstheme="minorBidi"/>
                                        <w:b/>
                                        <w:bCs/>
                                        <w:color w:val="FFFFFF" w:themeColor="light1"/>
                                        <w:kern w:val="24"/>
                                        <w:sz w:val="20"/>
                                        <w:szCs w:val="20"/>
                                      </w:rPr>
                                      <w:t xml:space="preserve"> Networks</w:t>
                                    </w:r>
                                  </w:p>
                                </w:txbxContent>
                              </wps:txbx>
                              <wps:bodyPr rtlCol="0" anchor="ctr"/>
                            </wps:wsp>
                            <wps:wsp>
                              <wps:cNvPr id="17" name="Rectangle à coins arrondis 30"/>
                              <wps:cNvSpPr/>
                              <wps:spPr>
                                <a:xfrm>
                                  <a:off x="3554233" y="2138901"/>
                                  <a:ext cx="1533196" cy="604317"/>
                                </a:xfrm>
                                <a:prstGeom prst="roundRect">
                                  <a:avLst/>
                                </a:prstGeom>
                                <a:solidFill>
                                  <a:srgbClr val="5B9BD5"/>
                                </a:solidFill>
                                <a:ln w="12700" cap="flat" cmpd="sng" algn="ctr">
                                  <a:noFill/>
                                  <a:prstDash val="solid"/>
                                  <a:miter lim="800000"/>
                                </a:ln>
                                <a:effectLst/>
                                <a:scene3d>
                                  <a:camera prst="orthographicFront">
                                    <a:rot lat="0" lon="0" rev="0"/>
                                  </a:camera>
                                  <a:lightRig rig="contrasting" dir="t">
                                    <a:rot lat="0" lon="0" rev="7800000"/>
                                  </a:lightRig>
                                </a:scene3d>
                                <a:sp3d>
                                  <a:bevelT w="139700" h="139700"/>
                                </a:sp3d>
                              </wps:spPr>
                              <wps:txbx>
                                <w:txbxContent>
                                  <w:p w14:paraId="3CB1D614" w14:textId="77777777" w:rsidR="003B0984" w:rsidRPr="00B1355D" w:rsidRDefault="003B0984" w:rsidP="00A722B6">
                                    <w:pPr>
                                      <w:pStyle w:val="NormalWeb"/>
                                      <w:spacing w:before="0" w:beforeAutospacing="0" w:after="0" w:afterAutospacing="0"/>
                                      <w:jc w:val="center"/>
                                      <w:rPr>
                                        <w:sz w:val="20"/>
                                        <w:szCs w:val="20"/>
                                      </w:rPr>
                                    </w:pPr>
                                    <w:r>
                                      <w:rPr>
                                        <w:rFonts w:asciiTheme="minorHAnsi" w:hAnsi="Calibri" w:cstheme="minorBidi"/>
                                        <w:b/>
                                        <w:bCs/>
                                        <w:color w:val="FFFFFF" w:themeColor="light1"/>
                                        <w:kern w:val="24"/>
                                        <w:sz w:val="20"/>
                                        <w:szCs w:val="20"/>
                                      </w:rPr>
                                      <w:t xml:space="preserve">Service Providers </w:t>
                                    </w:r>
                                  </w:p>
                                </w:txbxContent>
                              </wps:txbx>
                              <wps:bodyPr rtlCol="0" anchor="ctr"/>
                            </wps:wsp>
                            <wps:wsp>
                              <wps:cNvPr id="18" name="Organigramme : Connecteur 32"/>
                              <wps:cNvSpPr/>
                              <wps:spPr>
                                <a:xfrm>
                                  <a:off x="1868557" y="914400"/>
                                  <a:ext cx="1646385" cy="1319283"/>
                                </a:xfrm>
                                <a:prstGeom prst="flowChartConnector">
                                  <a:avLst/>
                                </a:prstGeom>
                                <a:solidFill>
                                  <a:srgbClr val="5B9BD5"/>
                                </a:solidFill>
                                <a:ln w="12700" cap="flat" cmpd="sng" algn="ctr">
                                  <a:solidFill>
                                    <a:srgbClr val="5B9BD5">
                                      <a:shade val="50000"/>
                                    </a:srgbClr>
                                  </a:solidFill>
                                  <a:prstDash val="solid"/>
                                  <a:miter lim="800000"/>
                                </a:ln>
                                <a:effectLst/>
                              </wps:spPr>
                              <wps:txbx>
                                <w:txbxContent>
                                  <w:p w14:paraId="65B92336" w14:textId="77777777" w:rsidR="003B0984" w:rsidRPr="00B1355D" w:rsidRDefault="003B0984" w:rsidP="00A722B6">
                                    <w:pPr>
                                      <w:pStyle w:val="NormalWeb"/>
                                      <w:spacing w:before="0" w:beforeAutospacing="0" w:after="0" w:afterAutospacing="0"/>
                                      <w:jc w:val="center"/>
                                      <w:rPr>
                                        <w:sz w:val="20"/>
                                        <w:szCs w:val="20"/>
                                      </w:rPr>
                                    </w:pPr>
                                    <w:r w:rsidRPr="00F31C1B">
                                      <w:rPr>
                                        <w:rFonts w:asciiTheme="minorHAnsi" w:hAnsi="Calibri" w:cstheme="minorBidi"/>
                                        <w:b/>
                                        <w:bCs/>
                                        <w:color w:val="FFFFFF" w:themeColor="light1"/>
                                        <w:kern w:val="24"/>
                                        <w:sz w:val="20"/>
                                        <w:szCs w:val="20"/>
                                        <w:lang w:val="en-US"/>
                                      </w:rPr>
                                      <w:t>Development</w:t>
                                    </w:r>
                                    <w:r w:rsidRPr="00B1355D">
                                      <w:rPr>
                                        <w:rFonts w:asciiTheme="minorHAnsi" w:hAnsi="Calibri" w:cstheme="minorBidi"/>
                                        <w:b/>
                                        <w:bCs/>
                                        <w:color w:val="FFFFFF" w:themeColor="light1"/>
                                        <w:kern w:val="24"/>
                                        <w:sz w:val="20"/>
                                        <w:szCs w:val="20"/>
                                      </w:rPr>
                                      <w:t xml:space="preserve"> </w:t>
                                    </w:r>
                                    <w:r>
                                      <w:rPr>
                                        <w:rFonts w:asciiTheme="minorHAnsi" w:hAnsi="Calibri" w:cstheme="minorBidi"/>
                                        <w:b/>
                                        <w:bCs/>
                                        <w:color w:val="FFFFFF" w:themeColor="light1"/>
                                        <w:kern w:val="24"/>
                                        <w:sz w:val="20"/>
                                        <w:szCs w:val="20"/>
                                      </w:rPr>
                                      <w:t xml:space="preserve">of the </w:t>
                                    </w:r>
                                    <w:r w:rsidRPr="00F31C1B">
                                      <w:rPr>
                                        <w:rFonts w:asciiTheme="minorHAnsi" w:hAnsi="Calibri" w:cstheme="minorBidi"/>
                                        <w:b/>
                                        <w:bCs/>
                                        <w:color w:val="FFFFFF" w:themeColor="light1"/>
                                        <w:kern w:val="24"/>
                                        <w:sz w:val="20"/>
                                        <w:szCs w:val="20"/>
                                        <w:lang w:val="en-US"/>
                                      </w:rPr>
                                      <w:t>Ecosystem</w:t>
                                    </w:r>
                                    <w:r>
                                      <w:rPr>
                                        <w:rFonts w:asciiTheme="minorHAnsi" w:hAnsi="Calibri" w:cstheme="minorBidi"/>
                                        <w:b/>
                                        <w:bCs/>
                                        <w:color w:val="FFFFFF" w:themeColor="light1"/>
                                        <w:kern w:val="24"/>
                                        <w:sz w:val="20"/>
                                        <w:szCs w:val="20"/>
                                      </w:rPr>
                                      <w:t xml:space="preserve"> </w:t>
                                    </w:r>
                                  </w:p>
                                </w:txbxContent>
                              </wps:txbx>
                              <wps:bodyPr rtlCol="0" anchor="ctr"/>
                            </wps:wsp>
                          </wpg:wgp>
                        </a:graphicData>
                      </a:graphic>
                    </wp:anchor>
                  </w:drawing>
                </mc:Choice>
                <mc:Fallback>
                  <w:pict>
                    <v:group w14:anchorId="513F365B" id="Group 8" o:spid="_x0000_s1033" style="position:absolute;margin-left:2.4pt;margin-top:5.4pt;width:423.75pt;height:219.15pt;z-index:251649024" coordsize="53816,27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">
                      <v:roundrect id="Rectangle à coins arrondis 27" o:spid="_x0000_s1034" style="position:absolute;top:8189;width:15331;height:6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" fillcolor="#5b9bd5" stroked="f" strokeweight="1pt">
                        <v:stroke joinstyle="miter"/>
                        <v:textbox>
                          <w:txbxContent>
                            <w:p w14:paraId="621F15CF" w14:textId="77777777" w:rsidR="003B0984" w:rsidRPr="00B1355D" w:rsidRDefault="003B0984" w:rsidP="00A722B6">
                              <w:pPr>
                                <w:pStyle w:val="NormalWeb"/>
                                <w:spacing w:before="0" w:beforeAutospacing="0" w:after="0" w:afterAutospacing="0"/>
                                <w:jc w:val="center"/>
                                <w:rPr>
                                  <w:sz w:val="20"/>
                                  <w:szCs w:val="20"/>
                                </w:rPr>
                              </w:pPr>
                              <w:r w:rsidRPr="00F31C1B">
                                <w:rPr>
                                  <w:rFonts w:asciiTheme="minorHAnsi" w:hAnsi="Calibri" w:cstheme="minorBidi"/>
                                  <w:b/>
                                  <w:bCs/>
                                  <w:color w:val="FFFFFF" w:themeColor="light1"/>
                                  <w:kern w:val="24"/>
                                  <w:sz w:val="20"/>
                                  <w:szCs w:val="20"/>
                                  <w:lang w:val="en-US"/>
                                </w:rPr>
                                <w:t>Customers</w:t>
                              </w:r>
                            </w:p>
                          </w:txbxContent>
                        </v:textbox>
                      </v:roundrect>
                      <v:roundrect id="Rectangle à coins arrondis 29" o:spid="_x0000_s1035" style="position:absolute;left:38484;top:8189;width:15332;height:60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" fillcolor="#5b9bd5" stroked="f" strokeweight="1pt">
                        <v:stroke joinstyle="miter"/>
                        <v:textbox>
                          <w:txbxContent>
                            <w:p w14:paraId="273717D4" w14:textId="77777777" w:rsidR="003B0984" w:rsidRPr="00B1355D" w:rsidRDefault="003B0984" w:rsidP="00A722B6">
                              <w:pPr>
                                <w:pStyle w:val="NormalWeb"/>
                                <w:spacing w:before="0" w:beforeAutospacing="0" w:after="0" w:afterAutospacing="0"/>
                                <w:jc w:val="center"/>
                                <w:rPr>
                                  <w:sz w:val="20"/>
                                  <w:szCs w:val="20"/>
                                </w:rPr>
                              </w:pPr>
                              <w:r>
                                <w:rPr>
                                  <w:rFonts w:asciiTheme="minorHAnsi" w:hAnsi="Calibri" w:cstheme="minorBidi"/>
                                  <w:b/>
                                  <w:bCs/>
                                  <w:color w:val="FFFFFF" w:themeColor="light1"/>
                                  <w:kern w:val="24"/>
                                  <w:sz w:val="20"/>
                                  <w:szCs w:val="20"/>
                                </w:rPr>
                                <w:t xml:space="preserve">Main </w:t>
                              </w:r>
                              <w:r w:rsidRPr="00F31C1B">
                                <w:rPr>
                                  <w:rFonts w:asciiTheme="minorHAnsi" w:hAnsi="Calibri" w:cstheme="minorBidi"/>
                                  <w:b/>
                                  <w:bCs/>
                                  <w:color w:val="FFFFFF" w:themeColor="light1"/>
                                  <w:kern w:val="24"/>
                                  <w:sz w:val="20"/>
                                  <w:szCs w:val="20"/>
                                  <w:lang w:val="en-US"/>
                                </w:rPr>
                                <w:t>Billers</w:t>
                              </w:r>
                              <w:r>
                                <w:rPr>
                                  <w:rFonts w:asciiTheme="minorHAnsi" w:hAnsi="Calibri" w:cstheme="minorBidi"/>
                                  <w:b/>
                                  <w:bCs/>
                                  <w:color w:val="FFFFFF" w:themeColor="light1"/>
                                  <w:kern w:val="24"/>
                                  <w:sz w:val="20"/>
                                  <w:szCs w:val="20"/>
                                </w:rPr>
                                <w:t xml:space="preserve"> and </w:t>
                              </w:r>
                              <w:r w:rsidRPr="00F31C1B">
                                <w:rPr>
                                  <w:rFonts w:asciiTheme="minorHAnsi" w:hAnsi="Calibri" w:cstheme="minorBidi"/>
                                  <w:b/>
                                  <w:bCs/>
                                  <w:color w:val="FFFFFF" w:themeColor="light1"/>
                                  <w:kern w:val="24"/>
                                  <w:sz w:val="20"/>
                                  <w:szCs w:val="20"/>
                                  <w:lang w:val="en-US"/>
                                </w:rPr>
                                <w:t>Government</w:t>
                              </w:r>
                            </w:p>
                          </w:txbxContent>
                        </v:textbox>
                      </v:roundrect>
                      <v:roundrect id="Rectangle à coins arrondis 31" o:spid="_x0000_s1036" style="position:absolute;left:18685;width:16464;height:6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" fillcolor="#5b9bd5" stroked="f" strokeweight="1pt">
                        <v:stroke joinstyle="miter"/>
                        <v:textbox>
                          <w:txbxContent>
                            <w:p w14:paraId="381343BE" w14:textId="77777777" w:rsidR="003B0984" w:rsidRPr="00B1355D" w:rsidRDefault="003B0984" w:rsidP="00A722B6">
                              <w:pPr>
                                <w:pStyle w:val="NormalWeb"/>
                                <w:spacing w:before="0" w:beforeAutospacing="0" w:after="0" w:afterAutospacing="0"/>
                                <w:jc w:val="center"/>
                                <w:rPr>
                                  <w:sz w:val="20"/>
                                  <w:szCs w:val="20"/>
                                </w:rPr>
                              </w:pPr>
                              <w:r w:rsidRPr="00B1355D">
                                <w:rPr>
                                  <w:rFonts w:asciiTheme="minorHAnsi" w:hAnsi="Calibri" w:cstheme="minorBidi"/>
                                  <w:b/>
                                  <w:bCs/>
                                  <w:color w:val="FFFFFF" w:themeColor="light1"/>
                                  <w:kern w:val="24"/>
                                  <w:sz w:val="20"/>
                                  <w:szCs w:val="20"/>
                                </w:rPr>
                                <w:t>Poli</w:t>
                              </w:r>
                              <w:r>
                                <w:rPr>
                                  <w:rFonts w:asciiTheme="minorHAnsi" w:hAnsi="Calibri" w:cstheme="minorBidi"/>
                                  <w:b/>
                                  <w:bCs/>
                                  <w:color w:val="FFFFFF" w:themeColor="light1"/>
                                  <w:kern w:val="24"/>
                                  <w:sz w:val="20"/>
                                  <w:szCs w:val="20"/>
                                </w:rPr>
                                <w:t xml:space="preserve">cy and </w:t>
                              </w:r>
                              <w:r w:rsidRPr="00F31C1B">
                                <w:rPr>
                                  <w:rFonts w:asciiTheme="minorHAnsi" w:hAnsi="Calibri" w:cstheme="minorBidi"/>
                                  <w:b/>
                                  <w:bCs/>
                                  <w:color w:val="FFFFFF" w:themeColor="light1"/>
                                  <w:kern w:val="24"/>
                                  <w:sz w:val="20"/>
                                  <w:szCs w:val="20"/>
                                  <w:lang w:val="en-US"/>
                                </w:rPr>
                                <w:t>Regulation</w:t>
                              </w:r>
                              <w:r>
                                <w:rPr>
                                  <w:rFonts w:asciiTheme="minorHAnsi" w:hAnsi="Calibri" w:cstheme="minorBidi"/>
                                  <w:b/>
                                  <w:bCs/>
                                  <w:color w:val="FFFFFF" w:themeColor="light1"/>
                                  <w:kern w:val="24"/>
                                  <w:sz w:val="20"/>
                                  <w:szCs w:val="20"/>
                                </w:rPr>
                                <w:t xml:space="preserve"> </w:t>
                              </w:r>
                            </w:p>
                          </w:txbxContent>
                        </v:textbox>
                      </v:roundrect>
                      <v:roundrect id="Rectangle à coins arrondis 28" o:spid="_x0000_s1037" style="position:absolute;left:3180;top:21786;width:15332;height:6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" fillcolor="#5b9bd5" stroked="f" strokeweight="1pt">
                        <v:stroke joinstyle="miter"/>
                        <v:textbox>
                          <w:txbxContent>
                            <w:p w14:paraId="555B52D5" w14:textId="77777777" w:rsidR="003B0984" w:rsidRPr="00B1355D" w:rsidRDefault="003B0984" w:rsidP="00A722B6">
                              <w:pPr>
                                <w:pStyle w:val="NormalWeb"/>
                                <w:keepNext/>
                                <w:spacing w:before="0" w:beforeAutospacing="0" w:after="0" w:afterAutospacing="0"/>
                                <w:jc w:val="center"/>
                                <w:rPr>
                                  <w:sz w:val="20"/>
                                  <w:szCs w:val="20"/>
                                </w:rPr>
                              </w:pPr>
                              <w:r>
                                <w:rPr>
                                  <w:rFonts w:asciiTheme="minorHAnsi" w:hAnsi="Calibri" w:cstheme="minorBidi"/>
                                  <w:b/>
                                  <w:bCs/>
                                  <w:color w:val="FFFFFF" w:themeColor="light1"/>
                                  <w:kern w:val="24"/>
                                  <w:sz w:val="20"/>
                                  <w:szCs w:val="20"/>
                                </w:rPr>
                                <w:t>D</w:t>
                              </w:r>
                              <w:r w:rsidRPr="00B1355D">
                                <w:rPr>
                                  <w:rFonts w:asciiTheme="minorHAnsi" w:hAnsi="Calibri" w:cstheme="minorBidi"/>
                                  <w:b/>
                                  <w:bCs/>
                                  <w:color w:val="FFFFFF" w:themeColor="light1"/>
                                  <w:kern w:val="24"/>
                                  <w:sz w:val="20"/>
                                  <w:szCs w:val="20"/>
                                </w:rPr>
                                <w:t>istribution</w:t>
                              </w:r>
                              <w:r>
                                <w:rPr>
                                  <w:rFonts w:asciiTheme="minorHAnsi" w:hAnsi="Calibri" w:cstheme="minorBidi"/>
                                  <w:b/>
                                  <w:bCs/>
                                  <w:color w:val="FFFFFF" w:themeColor="light1"/>
                                  <w:kern w:val="24"/>
                                  <w:sz w:val="20"/>
                                  <w:szCs w:val="20"/>
                                </w:rPr>
                                <w:t xml:space="preserve"> Networks</w:t>
                              </w:r>
                            </w:p>
                          </w:txbxContent>
                        </v:textbox>
                      </v:roundrect>
                      <v:roundrect id="Rectangle à coins arrondis 30" o:spid="_x0000_s1038" style="position:absolute;left:35542;top:21389;width:15332;height:60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" fillcolor="#5b9bd5" stroked="f" strokeweight="1pt">
                        <v:stroke joinstyle="miter"/>
                        <v:textbox>
                          <w:txbxContent>
                            <w:p w14:paraId="3CB1D614" w14:textId="77777777" w:rsidR="003B0984" w:rsidRPr="00B1355D" w:rsidRDefault="003B0984" w:rsidP="00A722B6">
                              <w:pPr>
                                <w:pStyle w:val="NormalWeb"/>
                                <w:spacing w:before="0" w:beforeAutospacing="0" w:after="0" w:afterAutospacing="0"/>
                                <w:jc w:val="center"/>
                                <w:rPr>
                                  <w:sz w:val="20"/>
                                  <w:szCs w:val="20"/>
                                </w:rPr>
                              </w:pPr>
                              <w:r>
                                <w:rPr>
                                  <w:rFonts w:asciiTheme="minorHAnsi" w:hAnsi="Calibri" w:cstheme="minorBidi"/>
                                  <w:b/>
                                  <w:bCs/>
                                  <w:color w:val="FFFFFF" w:themeColor="light1"/>
                                  <w:kern w:val="24"/>
                                  <w:sz w:val="20"/>
                                  <w:szCs w:val="20"/>
                                </w:rPr>
                                <w:t xml:space="preserve">Service Providers </w:t>
                              </w:r>
                            </w:p>
                          </w:txbxContent>
                        </v:textbox>
                      </v:roundrect>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2" o:spid="_x0000_s1039" type="#_x0000_t120" style="position:absolute;left:18685;top:9144;width:16464;height:13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" fillcolor="#5b9bd5" strokecolor="#41719c" strokeweight="1pt">
                        <v:stroke joinstyle="miter"/>
                        <v:textbox>
                          <w:txbxContent>
                            <w:p w14:paraId="65B92336" w14:textId="77777777" w:rsidR="003B0984" w:rsidRPr="00B1355D" w:rsidRDefault="003B0984" w:rsidP="00A722B6">
                              <w:pPr>
                                <w:pStyle w:val="NormalWeb"/>
                                <w:spacing w:before="0" w:beforeAutospacing="0" w:after="0" w:afterAutospacing="0"/>
                                <w:jc w:val="center"/>
                                <w:rPr>
                                  <w:sz w:val="20"/>
                                  <w:szCs w:val="20"/>
                                </w:rPr>
                              </w:pPr>
                              <w:r w:rsidRPr="00F31C1B">
                                <w:rPr>
                                  <w:rFonts w:asciiTheme="minorHAnsi" w:hAnsi="Calibri" w:cstheme="minorBidi"/>
                                  <w:b/>
                                  <w:bCs/>
                                  <w:color w:val="FFFFFF" w:themeColor="light1"/>
                                  <w:kern w:val="24"/>
                                  <w:sz w:val="20"/>
                                  <w:szCs w:val="20"/>
                                  <w:lang w:val="en-US"/>
                                </w:rPr>
                                <w:t>Development</w:t>
                              </w:r>
                              <w:r w:rsidRPr="00B1355D">
                                <w:rPr>
                                  <w:rFonts w:asciiTheme="minorHAnsi" w:hAnsi="Calibri" w:cstheme="minorBidi"/>
                                  <w:b/>
                                  <w:bCs/>
                                  <w:color w:val="FFFFFF" w:themeColor="light1"/>
                                  <w:kern w:val="24"/>
                                  <w:sz w:val="20"/>
                                  <w:szCs w:val="20"/>
                                </w:rPr>
                                <w:t xml:space="preserve"> </w:t>
                              </w:r>
                              <w:r>
                                <w:rPr>
                                  <w:rFonts w:asciiTheme="minorHAnsi" w:hAnsi="Calibri" w:cstheme="minorBidi"/>
                                  <w:b/>
                                  <w:bCs/>
                                  <w:color w:val="FFFFFF" w:themeColor="light1"/>
                                  <w:kern w:val="24"/>
                                  <w:sz w:val="20"/>
                                  <w:szCs w:val="20"/>
                                </w:rPr>
                                <w:t xml:space="preserve">of the </w:t>
                              </w:r>
                              <w:r w:rsidRPr="00F31C1B">
                                <w:rPr>
                                  <w:rFonts w:asciiTheme="minorHAnsi" w:hAnsi="Calibri" w:cstheme="minorBidi"/>
                                  <w:b/>
                                  <w:bCs/>
                                  <w:color w:val="FFFFFF" w:themeColor="light1"/>
                                  <w:kern w:val="24"/>
                                  <w:sz w:val="20"/>
                                  <w:szCs w:val="20"/>
                                  <w:lang w:val="en-US"/>
                                </w:rPr>
                                <w:t>Ecosystem</w:t>
                              </w:r>
                              <w:r>
                                <w:rPr>
                                  <w:rFonts w:asciiTheme="minorHAnsi" w:hAnsi="Calibri" w:cstheme="minorBidi"/>
                                  <w:b/>
                                  <w:bCs/>
                                  <w:color w:val="FFFFFF" w:themeColor="light1"/>
                                  <w:kern w:val="24"/>
                                  <w:sz w:val="20"/>
                                  <w:szCs w:val="20"/>
                                </w:rPr>
                                <w:t xml:space="preserve"> </w:t>
                              </w:r>
                            </w:p>
                          </w:txbxContent>
                        </v:textbox>
                      </v:shape>
                      <w10:wrap type="topAndBottom"/>
                    </v:group>
                  </w:pict>
                </mc:Fallback>
              </mc:AlternateContent>
            </w:r>
          </w:p>
        </w:tc>
      </w:tr>
    </w:tbl>
    <w:p w14:paraId="09747A6E" w14:textId="77777777" w:rsidR="00E41296" w:rsidRPr="00124DA6" w:rsidRDefault="00E41296" w:rsidP="00F41F94">
      <w:pPr>
        <w:spacing w:after="0" w:line="240" w:lineRule="auto"/>
        <w:rPr>
          <w:lang w:val="en-US"/>
        </w:rPr>
      </w:pPr>
    </w:p>
    <w:p w14:paraId="54899059" w14:textId="3C3B1404" w:rsidR="00102FE0" w:rsidRPr="00307A69" w:rsidRDefault="003B0586" w:rsidP="003B0586">
      <w:pPr>
        <w:pStyle w:val="Heading3"/>
        <w:rPr>
          <w:b/>
          <w:lang w:val="en-US"/>
        </w:rPr>
      </w:pPr>
      <w:bookmarkStart w:id="38" w:name="_Toc3975142"/>
      <w:r w:rsidRPr="00307A69">
        <w:rPr>
          <w:b/>
          <w:lang w:val="en-US"/>
        </w:rPr>
        <w:t xml:space="preserve">3.4.1 </w:t>
      </w:r>
      <w:r w:rsidR="00102FE0" w:rsidRPr="00307A69">
        <w:rPr>
          <w:b/>
          <w:lang w:val="en-US"/>
        </w:rPr>
        <w:t xml:space="preserve">The </w:t>
      </w:r>
      <w:r w:rsidR="0045268A" w:rsidRPr="00307A69">
        <w:rPr>
          <w:b/>
          <w:lang w:val="en-US"/>
        </w:rPr>
        <w:t>C</w:t>
      </w:r>
      <w:r w:rsidR="00102FE0" w:rsidRPr="00307A69">
        <w:rPr>
          <w:b/>
          <w:lang w:val="en-US"/>
        </w:rPr>
        <w:t>ustomers (Population)</w:t>
      </w:r>
      <w:bookmarkEnd w:id="38"/>
    </w:p>
    <w:p w14:paraId="3C737DA0" w14:textId="77777777" w:rsidR="00102FE0" w:rsidRPr="00307A69" w:rsidRDefault="00102FE0" w:rsidP="003B0586">
      <w:pPr>
        <w:pStyle w:val="Heading4"/>
        <w:rPr>
          <w:b/>
          <w:lang w:val="en-US"/>
        </w:rPr>
      </w:pPr>
      <w:r w:rsidRPr="00307A69">
        <w:rPr>
          <w:b/>
          <w:lang w:val="en-US"/>
        </w:rPr>
        <w:t>3.4.1.1 National Identification</w:t>
      </w:r>
    </w:p>
    <w:p w14:paraId="35A72E0E" w14:textId="539AC967" w:rsidR="00102FE0" w:rsidRPr="00124DA6" w:rsidRDefault="00E41296" w:rsidP="00307A69">
      <w:pPr>
        <w:pStyle w:val="ListParagraph"/>
        <w:numPr>
          <w:ilvl w:val="0"/>
          <w:numId w:val="47"/>
        </w:numPr>
        <w:spacing w:after="240" w:line="240" w:lineRule="auto"/>
        <w:ind w:left="0" w:firstLine="0"/>
        <w:contextualSpacing w:val="0"/>
        <w:jc w:val="both"/>
        <w:rPr>
          <w:rStyle w:val="Emphasis"/>
          <w:i w:val="0"/>
          <w:iCs w:val="0"/>
          <w:lang w:val="en-US"/>
        </w:rPr>
      </w:pPr>
      <w:r w:rsidRPr="00124DA6">
        <w:rPr>
          <w:rStyle w:val="Emphasis"/>
          <w:b/>
          <w:i w:val="0"/>
          <w:lang w:val="en-US"/>
        </w:rPr>
        <w:t>A large part of Benin</w:t>
      </w:r>
      <w:r w:rsidR="00141BD7">
        <w:rPr>
          <w:rStyle w:val="Emphasis"/>
          <w:b/>
          <w:i w:val="0"/>
          <w:lang w:val="en-US"/>
        </w:rPr>
        <w:t>’</w:t>
      </w:r>
      <w:r w:rsidRPr="00124DA6">
        <w:rPr>
          <w:rStyle w:val="Emphasis"/>
          <w:b/>
          <w:i w:val="0"/>
          <w:lang w:val="en-US"/>
        </w:rPr>
        <w:t>s population does not have national identification documents.</w:t>
      </w:r>
      <w:r w:rsidR="00165C4D" w:rsidRPr="00124DA6">
        <w:rPr>
          <w:rStyle w:val="Emphasis"/>
          <w:b/>
          <w:i w:val="0"/>
          <w:lang w:val="en-US"/>
        </w:rPr>
        <w:t xml:space="preserve"> </w:t>
      </w:r>
      <w:r w:rsidR="00102FE0" w:rsidRPr="00124DA6">
        <w:rPr>
          <w:rStyle w:val="Emphasis"/>
          <w:i w:val="0"/>
          <w:lang w:val="en-US"/>
        </w:rPr>
        <w:t>In 2013, Benin</w:t>
      </w:r>
      <w:r w:rsidR="00141BD7">
        <w:rPr>
          <w:rStyle w:val="Emphasis"/>
          <w:i w:val="0"/>
          <w:lang w:val="en-US"/>
        </w:rPr>
        <w:t>’</w:t>
      </w:r>
      <w:r w:rsidR="00102FE0" w:rsidRPr="00124DA6">
        <w:rPr>
          <w:rStyle w:val="Emphasis"/>
          <w:i w:val="0"/>
          <w:lang w:val="en-US"/>
        </w:rPr>
        <w:t>s population was estimated by Benin</w:t>
      </w:r>
      <w:r w:rsidR="00141BD7">
        <w:rPr>
          <w:rStyle w:val="Emphasis"/>
          <w:i w:val="0"/>
          <w:lang w:val="en-US"/>
        </w:rPr>
        <w:t>’</w:t>
      </w:r>
      <w:r w:rsidR="00102FE0" w:rsidRPr="00124DA6">
        <w:rPr>
          <w:rStyle w:val="Emphasis"/>
          <w:i w:val="0"/>
          <w:lang w:val="en-US"/>
        </w:rPr>
        <w:t xml:space="preserve">s National </w:t>
      </w:r>
      <w:r w:rsidR="00102FE0" w:rsidRPr="00124DA6">
        <w:rPr>
          <w:iCs/>
          <w:lang w:val="en-US"/>
        </w:rPr>
        <w:t>Institute</w:t>
      </w:r>
      <w:r w:rsidR="00102FE0" w:rsidRPr="00124DA6">
        <w:rPr>
          <w:rStyle w:val="Emphasis"/>
          <w:i w:val="0"/>
          <w:lang w:val="en-US"/>
        </w:rPr>
        <w:t xml:space="preserve"> of Statistics and Economic Analysis (NISEA) at 10,008,749 inhabitants. The lack of </w:t>
      </w:r>
      <w:r w:rsidR="00DA4A2A">
        <w:rPr>
          <w:rStyle w:val="Emphasis"/>
          <w:i w:val="0"/>
          <w:lang w:val="en-US"/>
        </w:rPr>
        <w:t>documentary proof of identity</w:t>
      </w:r>
      <w:r w:rsidR="00DA4A2A" w:rsidRPr="00124DA6">
        <w:rPr>
          <w:rStyle w:val="Emphasis"/>
          <w:i w:val="0"/>
          <w:lang w:val="en-US"/>
        </w:rPr>
        <w:t xml:space="preserve"> </w:t>
      </w:r>
      <w:r w:rsidR="00DA4A2A">
        <w:rPr>
          <w:rStyle w:val="Emphasis"/>
          <w:i w:val="0"/>
          <w:lang w:val="en-US"/>
        </w:rPr>
        <w:t>hampers</w:t>
      </w:r>
      <w:r w:rsidR="00102FE0" w:rsidRPr="00124DA6">
        <w:rPr>
          <w:rStyle w:val="Emphasis"/>
          <w:i w:val="0"/>
          <w:lang w:val="en-US"/>
        </w:rPr>
        <w:t xml:space="preserve"> the development of digital finance </w:t>
      </w:r>
      <w:r w:rsidR="00DA4A2A">
        <w:rPr>
          <w:rStyle w:val="Emphasis"/>
          <w:i w:val="0"/>
          <w:lang w:val="en-US"/>
        </w:rPr>
        <w:t>due to</w:t>
      </w:r>
      <w:r w:rsidR="00DA4A2A" w:rsidRPr="00124DA6">
        <w:rPr>
          <w:rStyle w:val="Emphasis"/>
          <w:i w:val="0"/>
          <w:lang w:val="en-US"/>
        </w:rPr>
        <w:t xml:space="preserve"> </w:t>
      </w:r>
      <w:r w:rsidR="00102FE0" w:rsidRPr="00124DA6">
        <w:rPr>
          <w:rStyle w:val="Emphasis"/>
          <w:i w:val="0"/>
          <w:lang w:val="en-US"/>
        </w:rPr>
        <w:t xml:space="preserve">certain regulations on the KYC for the opening of an electronic money account. However, the </w:t>
      </w:r>
      <w:r w:rsidR="00762ACC" w:rsidRPr="00124DA6">
        <w:rPr>
          <w:rStyle w:val="Emphasis"/>
          <w:i w:val="0"/>
          <w:lang w:val="en-US"/>
        </w:rPr>
        <w:t>BCEAO</w:t>
      </w:r>
      <w:r w:rsidR="00102FE0" w:rsidRPr="00124DA6">
        <w:rPr>
          <w:rStyle w:val="Emphasis"/>
          <w:i w:val="0"/>
          <w:lang w:val="en-US"/>
        </w:rPr>
        <w:t xml:space="preserve"> Instruction No. 008-05-2015 on electronic money stipulates in Article</w:t>
      </w:r>
      <w:r w:rsidR="00C702B4">
        <w:rPr>
          <w:rStyle w:val="Emphasis"/>
          <w:i w:val="0"/>
          <w:lang w:val="en-US"/>
        </w:rPr>
        <w:t> </w:t>
      </w:r>
      <w:r w:rsidR="00102FE0" w:rsidRPr="00124DA6">
        <w:rPr>
          <w:rStyle w:val="Emphasis"/>
          <w:i w:val="0"/>
          <w:lang w:val="en-US"/>
        </w:rPr>
        <w:t xml:space="preserve">31 that: </w:t>
      </w:r>
      <w:r w:rsidR="00141BD7">
        <w:rPr>
          <w:rStyle w:val="Emphasis"/>
          <w:i w:val="0"/>
          <w:lang w:val="en-US"/>
        </w:rPr>
        <w:t>“</w:t>
      </w:r>
      <w:r w:rsidR="00102FE0" w:rsidRPr="00124DA6">
        <w:rPr>
          <w:rStyle w:val="Emphasis"/>
          <w:i w:val="0"/>
          <w:lang w:val="en-US"/>
        </w:rPr>
        <w:t>the issuing institution may make available to an unidentified holder a total monthly amount in electronic money that may not exceed two hundred thousand CFA. F, subject to compliance with the ban on the issue of electronic money on credit.</w:t>
      </w:r>
      <w:r w:rsidR="00141BD7">
        <w:rPr>
          <w:rStyle w:val="Emphasis"/>
          <w:i w:val="0"/>
          <w:lang w:val="en-US"/>
        </w:rPr>
        <w:t>”</w:t>
      </w:r>
      <w:r w:rsidR="00102FE0" w:rsidRPr="00124DA6">
        <w:rPr>
          <w:rStyle w:val="Emphasis"/>
          <w:i w:val="0"/>
          <w:lang w:val="en-US"/>
        </w:rPr>
        <w:t xml:space="preserve"> An Administrative Census for Population Identification (ACFPI) campaign was launched in November 2017 and </w:t>
      </w:r>
      <w:r w:rsidR="007E40A4">
        <w:rPr>
          <w:rStyle w:val="Emphasis"/>
          <w:i w:val="0"/>
          <w:lang w:val="en-US"/>
        </w:rPr>
        <w:t>wa</w:t>
      </w:r>
      <w:r w:rsidR="007E40A4" w:rsidRPr="00124DA6">
        <w:rPr>
          <w:rStyle w:val="Emphasis"/>
          <w:i w:val="0"/>
          <w:lang w:val="en-US"/>
        </w:rPr>
        <w:t xml:space="preserve"> </w:t>
      </w:r>
      <w:r w:rsidR="00102FE0" w:rsidRPr="00124DA6">
        <w:rPr>
          <w:rStyle w:val="Emphasis"/>
          <w:i w:val="0"/>
          <w:lang w:val="en-US"/>
        </w:rPr>
        <w:t>expect</w:t>
      </w:r>
      <w:r w:rsidR="007E40A4">
        <w:rPr>
          <w:rStyle w:val="Emphasis"/>
          <w:i w:val="0"/>
          <w:lang w:val="en-US"/>
        </w:rPr>
        <w:t>ing</w:t>
      </w:r>
      <w:r w:rsidR="00102FE0" w:rsidRPr="00124DA6">
        <w:rPr>
          <w:rStyle w:val="Emphasis"/>
          <w:i w:val="0"/>
          <w:lang w:val="en-US"/>
        </w:rPr>
        <w:t xml:space="preserve"> to continue </w:t>
      </w:r>
      <w:r w:rsidR="007E40A4">
        <w:rPr>
          <w:rStyle w:val="Emphasis"/>
          <w:i w:val="0"/>
          <w:lang w:val="en-US"/>
        </w:rPr>
        <w:t>in</w:t>
      </w:r>
      <w:r w:rsidR="007E40A4" w:rsidRPr="00124DA6">
        <w:rPr>
          <w:rStyle w:val="Emphasis"/>
          <w:i w:val="0"/>
          <w:lang w:val="en-US"/>
        </w:rPr>
        <w:t xml:space="preserve"> </w:t>
      </w:r>
      <w:r w:rsidR="00102FE0" w:rsidRPr="00124DA6">
        <w:rPr>
          <w:rStyle w:val="Emphasis"/>
          <w:i w:val="0"/>
          <w:lang w:val="en-US"/>
        </w:rPr>
        <w:t xml:space="preserve">2018. This census should allow all Beninese to have a personal identification number, which will be used to set up a government file in view of the establishment of the national digital identity card </w:t>
      </w:r>
      <w:proofErr w:type="gramStart"/>
      <w:r w:rsidR="00102FE0" w:rsidRPr="00124DA6">
        <w:rPr>
          <w:rStyle w:val="Emphasis"/>
          <w:i w:val="0"/>
          <w:lang w:val="en-US"/>
        </w:rPr>
        <w:t>in the near future</w:t>
      </w:r>
      <w:proofErr w:type="gramEnd"/>
      <w:r w:rsidR="00102FE0" w:rsidRPr="00124DA6">
        <w:rPr>
          <w:rStyle w:val="Emphasis"/>
          <w:i w:val="0"/>
          <w:lang w:val="en-US"/>
        </w:rPr>
        <w:t>.</w:t>
      </w:r>
    </w:p>
    <w:p w14:paraId="699E9B23" w14:textId="77777777" w:rsidR="00102FE0" w:rsidRPr="00307A69" w:rsidRDefault="00102FE0" w:rsidP="003B0586">
      <w:pPr>
        <w:pStyle w:val="Heading4"/>
        <w:rPr>
          <w:b/>
          <w:lang w:val="en-US"/>
        </w:rPr>
      </w:pPr>
      <w:r w:rsidRPr="00307A69">
        <w:rPr>
          <w:b/>
          <w:lang w:val="en-US"/>
        </w:rPr>
        <w:t xml:space="preserve">3.4.1.2 Incidence of </w:t>
      </w:r>
      <w:r w:rsidR="00B34B0C" w:rsidRPr="00307A69">
        <w:rPr>
          <w:b/>
          <w:lang w:val="en-US"/>
        </w:rPr>
        <w:t>P</w:t>
      </w:r>
      <w:r w:rsidRPr="00307A69">
        <w:rPr>
          <w:b/>
          <w:lang w:val="en-US"/>
        </w:rPr>
        <w:t xml:space="preserve">overty </w:t>
      </w:r>
    </w:p>
    <w:p w14:paraId="04B27592" w14:textId="5D163651" w:rsidR="00102FE0" w:rsidRPr="00124DA6" w:rsidRDefault="00102FE0" w:rsidP="00307A69">
      <w:pPr>
        <w:pStyle w:val="ListParagraph"/>
        <w:numPr>
          <w:ilvl w:val="0"/>
          <w:numId w:val="47"/>
        </w:numPr>
        <w:spacing w:after="240" w:line="240" w:lineRule="auto"/>
        <w:ind w:left="0" w:firstLine="0"/>
        <w:contextualSpacing w:val="0"/>
        <w:jc w:val="both"/>
        <w:rPr>
          <w:lang w:val="en-US"/>
        </w:rPr>
      </w:pPr>
      <w:r w:rsidRPr="00124DA6">
        <w:rPr>
          <w:b/>
          <w:lang w:val="en-US"/>
        </w:rPr>
        <w:t>The incidence of poverty has increased in Benin over the past eight years.</w:t>
      </w:r>
      <w:r w:rsidRPr="00124DA6">
        <w:rPr>
          <w:lang w:val="en-US"/>
        </w:rPr>
        <w:t xml:space="preserve"> According to the report of the study </w:t>
      </w:r>
      <w:r w:rsidR="00141BD7">
        <w:rPr>
          <w:lang w:val="en-US"/>
        </w:rPr>
        <w:t>“</w:t>
      </w:r>
      <w:r w:rsidRPr="00124DA6">
        <w:rPr>
          <w:lang w:val="en-US"/>
        </w:rPr>
        <w:t>Trend of poverty in Benin over the period 2007</w:t>
      </w:r>
      <w:r w:rsidR="00B34B0C" w:rsidRPr="00124DA6">
        <w:rPr>
          <w:lang w:val="en-US"/>
        </w:rPr>
        <w:t>–</w:t>
      </w:r>
      <w:r w:rsidRPr="00124DA6">
        <w:rPr>
          <w:lang w:val="en-US"/>
        </w:rPr>
        <w:t>2015</w:t>
      </w:r>
      <w:r w:rsidR="00B34B0C" w:rsidRPr="00124DA6">
        <w:rPr>
          <w:lang w:val="en-US"/>
        </w:rPr>
        <w:t>,</w:t>
      </w:r>
      <w:r w:rsidR="00141BD7">
        <w:rPr>
          <w:lang w:val="en-US"/>
        </w:rPr>
        <w:t>”</w:t>
      </w:r>
      <w:r w:rsidRPr="00124DA6">
        <w:rPr>
          <w:lang w:val="en-US"/>
        </w:rPr>
        <w:t xml:space="preserve"> conducted by the </w:t>
      </w:r>
      <w:r w:rsidR="006E6FAD" w:rsidRPr="00124DA6">
        <w:rPr>
          <w:lang w:val="en-US"/>
        </w:rPr>
        <w:t xml:space="preserve">United Nations Development </w:t>
      </w:r>
      <w:proofErr w:type="spellStart"/>
      <w:r w:rsidR="006E6FAD" w:rsidRPr="00124DA6">
        <w:rPr>
          <w:lang w:val="en-US"/>
        </w:rPr>
        <w:t>Programme</w:t>
      </w:r>
      <w:proofErr w:type="spellEnd"/>
      <w:r w:rsidR="006E6FAD" w:rsidRPr="00124DA6">
        <w:rPr>
          <w:lang w:val="en-US"/>
        </w:rPr>
        <w:t xml:space="preserve"> (</w:t>
      </w:r>
      <w:r w:rsidRPr="00124DA6">
        <w:rPr>
          <w:lang w:val="en-US"/>
        </w:rPr>
        <w:t>UNDP</w:t>
      </w:r>
      <w:r w:rsidR="006E6FAD" w:rsidRPr="00124DA6">
        <w:rPr>
          <w:lang w:val="en-US"/>
        </w:rPr>
        <w:t>)</w:t>
      </w:r>
      <w:r w:rsidRPr="00124DA6">
        <w:rPr>
          <w:lang w:val="en-US"/>
        </w:rPr>
        <w:t xml:space="preserve"> in Benin, the proportion of the population with a </w:t>
      </w:r>
      <w:r w:rsidR="00141BD7">
        <w:rPr>
          <w:lang w:val="en-US"/>
        </w:rPr>
        <w:t>U.S.</w:t>
      </w:r>
      <w:r w:rsidRPr="00124DA6">
        <w:rPr>
          <w:lang w:val="en-US"/>
        </w:rPr>
        <w:t>$1.90</w:t>
      </w:r>
      <w:r w:rsidRPr="00124DA6">
        <w:rPr>
          <w:rStyle w:val="FootnoteReference"/>
          <w:rFonts w:cs="MyriadPro-Regular"/>
          <w:lang w:val="en-US"/>
        </w:rPr>
        <w:footnoteReference w:id="14"/>
      </w:r>
      <w:r w:rsidRPr="00124DA6">
        <w:rPr>
          <w:lang w:val="en-US"/>
        </w:rPr>
        <w:t xml:space="preserve"> per day in purchasing power parity (PPP) is estimated at 59.9</w:t>
      </w:r>
      <w:r w:rsidR="00B34B0C" w:rsidRPr="00124DA6">
        <w:rPr>
          <w:lang w:val="en-US"/>
        </w:rPr>
        <w:t xml:space="preserve"> percent</w:t>
      </w:r>
      <w:r w:rsidRPr="00124DA6">
        <w:rPr>
          <w:lang w:val="en-US"/>
        </w:rPr>
        <w:t xml:space="preserve"> in 2015. This proportion with a threshold </w:t>
      </w:r>
      <w:r w:rsidR="00141BD7">
        <w:rPr>
          <w:lang w:val="en-US"/>
        </w:rPr>
        <w:t>U.S.</w:t>
      </w:r>
      <w:r w:rsidRPr="00124DA6">
        <w:rPr>
          <w:lang w:val="en-US"/>
        </w:rPr>
        <w:t>$1 per day in PPP was 53.9</w:t>
      </w:r>
      <w:r w:rsidR="00B34B0C" w:rsidRPr="00124DA6">
        <w:rPr>
          <w:lang w:val="en-US"/>
        </w:rPr>
        <w:t xml:space="preserve"> percent</w:t>
      </w:r>
      <w:r w:rsidRPr="00124DA6">
        <w:rPr>
          <w:lang w:val="en-US"/>
        </w:rPr>
        <w:t xml:space="preserve"> in 2011, against 40.8</w:t>
      </w:r>
      <w:r w:rsidR="00B34B0C" w:rsidRPr="00124DA6">
        <w:rPr>
          <w:lang w:val="en-US"/>
        </w:rPr>
        <w:t xml:space="preserve"> percent</w:t>
      </w:r>
      <w:r w:rsidRPr="00124DA6">
        <w:rPr>
          <w:lang w:val="en-US"/>
        </w:rPr>
        <w:t xml:space="preserve"> in 2009 and 51.6</w:t>
      </w:r>
      <w:r w:rsidR="00B34B0C" w:rsidRPr="00124DA6">
        <w:rPr>
          <w:lang w:val="en-US"/>
        </w:rPr>
        <w:t xml:space="preserve"> percent</w:t>
      </w:r>
      <w:r w:rsidRPr="00124DA6">
        <w:rPr>
          <w:lang w:val="en-US"/>
        </w:rPr>
        <w:t xml:space="preserve"> in 2007.</w:t>
      </w:r>
    </w:p>
    <w:p w14:paraId="4D550C13" w14:textId="382EA575" w:rsidR="00102FE0" w:rsidRPr="00307A69" w:rsidRDefault="00461AC2" w:rsidP="000A4706">
      <w:pPr>
        <w:pStyle w:val="Caption"/>
        <w:rPr>
          <w:b/>
          <w:lang w:val="en-US"/>
        </w:rPr>
      </w:pPr>
      <w:r w:rsidRPr="00307A69">
        <w:rPr>
          <w:b/>
          <w:lang w:val="en-US"/>
        </w:rPr>
        <w:t>Figure</w:t>
      </w:r>
      <w:r w:rsidR="00C702B4" w:rsidRPr="00307A69">
        <w:rPr>
          <w:b/>
          <w:lang w:val="en-US"/>
        </w:rPr>
        <w:t> </w:t>
      </w:r>
      <w:r w:rsidRPr="00307A69">
        <w:rPr>
          <w:b/>
          <w:lang w:val="en-US"/>
        </w:rPr>
        <w:t>3.</w:t>
      </w:r>
      <w:r w:rsidRPr="00307A69">
        <w:rPr>
          <w:b/>
          <w:lang w:val="en-US"/>
        </w:rPr>
        <w:fldChar w:fldCharType="begin"/>
      </w:r>
      <w:r w:rsidRPr="00307A69">
        <w:rPr>
          <w:b/>
          <w:lang w:val="en-US"/>
        </w:rPr>
        <w:instrText xml:space="preserve"> SEQ Figure_3. \* ARABIC </w:instrText>
      </w:r>
      <w:r w:rsidRPr="00307A69">
        <w:rPr>
          <w:b/>
          <w:lang w:val="en-US"/>
        </w:rPr>
        <w:fldChar w:fldCharType="separate"/>
      </w:r>
      <w:r w:rsidR="004C6E5F" w:rsidRPr="00307A69">
        <w:rPr>
          <w:b/>
          <w:noProof/>
          <w:lang w:val="en-US"/>
        </w:rPr>
        <w:t>8</w:t>
      </w:r>
      <w:r w:rsidRPr="00307A69">
        <w:rPr>
          <w:b/>
          <w:lang w:val="en-US"/>
        </w:rPr>
        <w:fldChar w:fldCharType="end"/>
      </w:r>
      <w:r w:rsidR="00102FE0" w:rsidRPr="00307A69">
        <w:rPr>
          <w:b/>
          <w:lang w:val="en-US"/>
        </w:rPr>
        <w:t xml:space="preserve">: Evolution of poverty incidence in Benin by province </w:t>
      </w:r>
      <w:r w:rsidR="0054027F" w:rsidRPr="00307A69">
        <w:rPr>
          <w:b/>
          <w:lang w:val="en-US"/>
        </w:rPr>
        <w:t>(percentage)</w:t>
      </w:r>
    </w:p>
    <w:p w14:paraId="52BD0AEB" w14:textId="77777777" w:rsidR="00102FE0" w:rsidRPr="00124DA6" w:rsidRDefault="00102FE0" w:rsidP="00461AC2">
      <w:pPr>
        <w:pStyle w:val="NoSpacing"/>
        <w:keepNext/>
        <w:jc w:val="center"/>
        <w:rPr>
          <w:color w:val="FF0000"/>
          <w:lang w:val="en-US"/>
        </w:rPr>
      </w:pPr>
      <w:r w:rsidRPr="00124DA6">
        <w:rPr>
          <w:noProof/>
          <w:color w:val="FF0000"/>
          <w:lang w:eastAsia="fr-FR"/>
        </w:rPr>
        <w:drawing>
          <wp:inline distT="0" distB="0" distL="0" distR="0" wp14:anchorId="24A6D958" wp14:editId="1D10C793">
            <wp:extent cx="5943600" cy="3035756"/>
            <wp:effectExtent l="0" t="0" r="0" b="0"/>
            <wp:docPr id="152"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035756"/>
                    </a:xfrm>
                    <a:prstGeom prst="rect">
                      <a:avLst/>
                    </a:prstGeom>
                    <a:noFill/>
                    <a:ln>
                      <a:noFill/>
                    </a:ln>
                  </pic:spPr>
                </pic:pic>
              </a:graphicData>
            </a:graphic>
          </wp:inline>
        </w:drawing>
      </w:r>
    </w:p>
    <w:p w14:paraId="3958C74B" w14:textId="708E3FC9" w:rsidR="00102FE0" w:rsidRPr="00124DA6" w:rsidRDefault="00102FE0" w:rsidP="0051741C">
      <w:pPr>
        <w:pStyle w:val="NoSpacing"/>
        <w:rPr>
          <w:rFonts w:asciiTheme="majorHAnsi" w:hAnsiTheme="majorHAnsi" w:cstheme="majorHAnsi"/>
          <w:color w:val="2E74B5" w:themeColor="accent1" w:themeShade="BF"/>
          <w:sz w:val="20"/>
          <w:szCs w:val="16"/>
          <w:lang w:val="en-US"/>
        </w:rPr>
      </w:pPr>
      <w:r w:rsidRPr="00124DA6">
        <w:rPr>
          <w:rFonts w:asciiTheme="majorHAnsi" w:hAnsiTheme="majorHAnsi" w:cstheme="majorHAnsi"/>
          <w:i/>
          <w:color w:val="2E74B5" w:themeColor="accent1" w:themeShade="BF"/>
          <w:sz w:val="20"/>
          <w:szCs w:val="16"/>
          <w:lang w:val="en-US"/>
        </w:rPr>
        <w:t>Source</w:t>
      </w:r>
      <w:r w:rsidR="00B34B0C" w:rsidRPr="00124DA6">
        <w:rPr>
          <w:rFonts w:asciiTheme="majorHAnsi" w:hAnsiTheme="majorHAnsi" w:cstheme="majorHAnsi"/>
          <w:i/>
          <w:color w:val="2E74B5" w:themeColor="accent1" w:themeShade="BF"/>
          <w:sz w:val="20"/>
          <w:szCs w:val="16"/>
          <w:lang w:val="en-US"/>
        </w:rPr>
        <w:t>:</w:t>
      </w:r>
      <w:r w:rsidRPr="00124DA6">
        <w:rPr>
          <w:rFonts w:asciiTheme="majorHAnsi" w:hAnsiTheme="majorHAnsi" w:cstheme="majorHAnsi"/>
          <w:color w:val="2E74B5" w:themeColor="accent1" w:themeShade="BF"/>
          <w:sz w:val="20"/>
          <w:szCs w:val="16"/>
          <w:lang w:val="en-US"/>
        </w:rPr>
        <w:t xml:space="preserve"> UNDP</w:t>
      </w:r>
      <w:r w:rsidR="00C702B4">
        <w:rPr>
          <w:rFonts w:asciiTheme="majorHAnsi" w:hAnsiTheme="majorHAnsi" w:cstheme="majorHAnsi"/>
          <w:color w:val="2E74B5" w:themeColor="accent1" w:themeShade="BF"/>
          <w:sz w:val="20"/>
          <w:szCs w:val="16"/>
          <w:lang w:val="en-US"/>
        </w:rPr>
        <w:t> </w:t>
      </w:r>
      <w:r w:rsidR="00AD1A0A" w:rsidRPr="00124DA6">
        <w:rPr>
          <w:rFonts w:asciiTheme="majorHAnsi" w:hAnsiTheme="majorHAnsi" w:cstheme="majorHAnsi"/>
          <w:color w:val="2E74B5" w:themeColor="accent1" w:themeShade="BF"/>
          <w:sz w:val="20"/>
          <w:szCs w:val="16"/>
          <w:lang w:val="en-US"/>
        </w:rPr>
        <w:t>2016.</w:t>
      </w:r>
    </w:p>
    <w:p w14:paraId="1DE24DA2" w14:textId="77777777" w:rsidR="00102FE0" w:rsidRPr="00124DA6" w:rsidRDefault="00102FE0" w:rsidP="0051741C">
      <w:pPr>
        <w:autoSpaceDE w:val="0"/>
        <w:autoSpaceDN w:val="0"/>
        <w:adjustRightInd w:val="0"/>
        <w:spacing w:after="0" w:line="240" w:lineRule="auto"/>
        <w:jc w:val="both"/>
        <w:rPr>
          <w:rFonts w:cs="MyriadPro-Regular"/>
          <w:lang w:val="en-US"/>
        </w:rPr>
      </w:pPr>
    </w:p>
    <w:p w14:paraId="0DC8FAF9" w14:textId="41F9FF94" w:rsidR="00102FE0" w:rsidRPr="00124DA6" w:rsidRDefault="00102FE0" w:rsidP="00307A69">
      <w:pPr>
        <w:pStyle w:val="ListParagraph"/>
        <w:numPr>
          <w:ilvl w:val="0"/>
          <w:numId w:val="47"/>
        </w:numPr>
        <w:spacing w:after="240" w:line="240" w:lineRule="auto"/>
        <w:ind w:left="0" w:firstLine="0"/>
        <w:contextualSpacing w:val="0"/>
        <w:jc w:val="both"/>
        <w:rPr>
          <w:lang w:val="en-US"/>
        </w:rPr>
      </w:pPr>
      <w:r w:rsidRPr="00124DA6">
        <w:rPr>
          <w:b/>
          <w:lang w:val="en-US"/>
        </w:rPr>
        <w:t>According to the same study, the level of poverty decreases as the level of education increases</w:t>
      </w:r>
      <w:r w:rsidRPr="00124DA6">
        <w:rPr>
          <w:lang w:val="en-US"/>
        </w:rPr>
        <w:t xml:space="preserve">. Indeed, households </w:t>
      </w:r>
      <w:r w:rsidR="00A15143">
        <w:rPr>
          <w:lang w:val="en-US"/>
        </w:rPr>
        <w:t>headed by someone with</w:t>
      </w:r>
      <w:r w:rsidR="00A15143" w:rsidRPr="00124DA6">
        <w:rPr>
          <w:lang w:val="en-US"/>
        </w:rPr>
        <w:t xml:space="preserve"> </w:t>
      </w:r>
      <w:r w:rsidRPr="00124DA6">
        <w:rPr>
          <w:lang w:val="en-US"/>
        </w:rPr>
        <w:t>secondary or higher education are less poor than those households with a head who ha</w:t>
      </w:r>
      <w:r w:rsidR="00B34B0C" w:rsidRPr="00124DA6">
        <w:rPr>
          <w:lang w:val="en-US"/>
        </w:rPr>
        <w:t>s</w:t>
      </w:r>
      <w:r w:rsidRPr="00124DA6">
        <w:rPr>
          <w:lang w:val="en-US"/>
        </w:rPr>
        <w:t xml:space="preserve"> never attended school or who </w:t>
      </w:r>
      <w:r w:rsidR="00B34B0C" w:rsidRPr="00124DA6">
        <w:rPr>
          <w:lang w:val="en-US"/>
        </w:rPr>
        <w:t xml:space="preserve">only </w:t>
      </w:r>
      <w:r w:rsidRPr="00124DA6">
        <w:rPr>
          <w:lang w:val="en-US"/>
        </w:rPr>
        <w:t>has primary education. This reflects the crucial role of education (including financial education) in the national poverty reduction strategy.</w:t>
      </w:r>
    </w:p>
    <w:p w14:paraId="7250E1FE" w14:textId="2ECEB745" w:rsidR="00102FE0" w:rsidRPr="00403EAA" w:rsidRDefault="00461AC2" w:rsidP="00461AC2">
      <w:pPr>
        <w:pStyle w:val="Caption"/>
        <w:keepNext/>
        <w:spacing w:before="0"/>
        <w:rPr>
          <w:b/>
          <w:lang w:val="en-US"/>
        </w:rPr>
      </w:pPr>
      <w:r w:rsidRPr="00403EAA">
        <w:rPr>
          <w:b/>
          <w:lang w:val="en-US"/>
        </w:rPr>
        <w:t>Figure</w:t>
      </w:r>
      <w:r w:rsidR="00C702B4" w:rsidRPr="00403EAA">
        <w:rPr>
          <w:b/>
          <w:lang w:val="en-US"/>
        </w:rPr>
        <w:t> </w:t>
      </w:r>
      <w:r w:rsidRPr="00403EAA">
        <w:rPr>
          <w:b/>
          <w:lang w:val="en-US"/>
        </w:rPr>
        <w:t>3.</w:t>
      </w:r>
      <w:r w:rsidRPr="00403EAA">
        <w:rPr>
          <w:b/>
          <w:lang w:val="en-US"/>
        </w:rPr>
        <w:fldChar w:fldCharType="begin"/>
      </w:r>
      <w:r w:rsidRPr="00403EAA">
        <w:rPr>
          <w:b/>
          <w:lang w:val="en-US"/>
        </w:rPr>
        <w:instrText xml:space="preserve"> SEQ Figure_3. \* ARABIC </w:instrText>
      </w:r>
      <w:r w:rsidRPr="00403EAA">
        <w:rPr>
          <w:b/>
          <w:lang w:val="en-US"/>
        </w:rPr>
        <w:fldChar w:fldCharType="separate"/>
      </w:r>
      <w:r w:rsidR="004C6E5F" w:rsidRPr="00403EAA">
        <w:rPr>
          <w:b/>
          <w:noProof/>
          <w:lang w:val="en-US"/>
        </w:rPr>
        <w:t>9</w:t>
      </w:r>
      <w:r w:rsidRPr="00403EAA">
        <w:rPr>
          <w:b/>
          <w:lang w:val="en-US"/>
        </w:rPr>
        <w:fldChar w:fldCharType="end"/>
      </w:r>
      <w:r w:rsidR="00102FE0" w:rsidRPr="00403EAA">
        <w:rPr>
          <w:b/>
          <w:lang w:val="en-US"/>
        </w:rPr>
        <w:t xml:space="preserve">: Incidence of poverty by education level of the head of the household </w:t>
      </w:r>
    </w:p>
    <w:p w14:paraId="23FACEAD" w14:textId="77777777" w:rsidR="00102FE0" w:rsidRPr="00124DA6" w:rsidRDefault="00102FE0" w:rsidP="00461AC2">
      <w:pPr>
        <w:pStyle w:val="NoSpacing"/>
        <w:keepNext/>
        <w:jc w:val="center"/>
        <w:rPr>
          <w:lang w:val="en-US"/>
        </w:rPr>
      </w:pPr>
      <w:r w:rsidRPr="00124DA6">
        <w:rPr>
          <w:noProof/>
          <w:lang w:eastAsia="fr-FR"/>
        </w:rPr>
        <w:drawing>
          <wp:inline distT="0" distB="0" distL="0" distR="0" wp14:anchorId="2C4692B8" wp14:editId="27C5068E">
            <wp:extent cx="5140324" cy="2190307"/>
            <wp:effectExtent l="0" t="0" r="3810" b="635"/>
            <wp:docPr id="15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41536" cy="2190823"/>
                    </a:xfrm>
                    <a:prstGeom prst="rect">
                      <a:avLst/>
                    </a:prstGeom>
                    <a:noFill/>
                    <a:ln>
                      <a:noFill/>
                    </a:ln>
                  </pic:spPr>
                </pic:pic>
              </a:graphicData>
            </a:graphic>
          </wp:inline>
        </w:drawing>
      </w:r>
    </w:p>
    <w:p w14:paraId="67D790FF" w14:textId="4B599820" w:rsidR="00102FE0" w:rsidRPr="00124DA6" w:rsidRDefault="00102FE0" w:rsidP="00461AC2">
      <w:pPr>
        <w:pStyle w:val="NoSpacing"/>
        <w:rPr>
          <w:rFonts w:asciiTheme="majorHAnsi" w:hAnsiTheme="majorHAnsi" w:cstheme="majorHAnsi"/>
          <w:color w:val="2E74B5" w:themeColor="accent1" w:themeShade="BF"/>
          <w:sz w:val="20"/>
          <w:szCs w:val="16"/>
          <w:lang w:val="en-US"/>
        </w:rPr>
      </w:pPr>
      <w:r w:rsidRPr="00124DA6">
        <w:rPr>
          <w:rFonts w:asciiTheme="majorHAnsi" w:hAnsiTheme="majorHAnsi" w:cstheme="majorHAnsi"/>
          <w:i/>
          <w:color w:val="2E74B5" w:themeColor="accent1" w:themeShade="BF"/>
          <w:sz w:val="20"/>
          <w:szCs w:val="16"/>
          <w:lang w:val="en-US"/>
        </w:rPr>
        <w:t>Source</w:t>
      </w:r>
      <w:r w:rsidR="00461AC2" w:rsidRPr="00124DA6">
        <w:rPr>
          <w:rFonts w:asciiTheme="majorHAnsi" w:hAnsiTheme="majorHAnsi" w:cstheme="majorHAnsi"/>
          <w:i/>
          <w:color w:val="2E74B5" w:themeColor="accent1" w:themeShade="BF"/>
          <w:sz w:val="20"/>
          <w:szCs w:val="16"/>
          <w:lang w:val="en-US"/>
        </w:rPr>
        <w:t>:</w:t>
      </w:r>
      <w:r w:rsidRPr="00124DA6">
        <w:rPr>
          <w:rFonts w:asciiTheme="majorHAnsi" w:hAnsiTheme="majorHAnsi" w:cstheme="majorHAnsi"/>
          <w:i/>
          <w:color w:val="2E74B5" w:themeColor="accent1" w:themeShade="BF"/>
          <w:sz w:val="20"/>
          <w:szCs w:val="16"/>
          <w:lang w:val="en-US"/>
        </w:rPr>
        <w:t xml:space="preserve"> </w:t>
      </w:r>
      <w:r w:rsidRPr="00124DA6">
        <w:rPr>
          <w:rFonts w:asciiTheme="majorHAnsi" w:hAnsiTheme="majorHAnsi" w:cstheme="majorHAnsi"/>
          <w:color w:val="2E74B5" w:themeColor="accent1" w:themeShade="BF"/>
          <w:sz w:val="20"/>
          <w:szCs w:val="16"/>
          <w:lang w:val="en-US"/>
        </w:rPr>
        <w:t>UNDP</w:t>
      </w:r>
      <w:r w:rsidR="00C702B4">
        <w:rPr>
          <w:rFonts w:asciiTheme="majorHAnsi" w:hAnsiTheme="majorHAnsi" w:cstheme="majorHAnsi"/>
          <w:color w:val="2E74B5" w:themeColor="accent1" w:themeShade="BF"/>
          <w:sz w:val="20"/>
          <w:szCs w:val="16"/>
          <w:lang w:val="en-US"/>
        </w:rPr>
        <w:t> </w:t>
      </w:r>
      <w:r w:rsidR="00AD1A0A" w:rsidRPr="00124DA6">
        <w:rPr>
          <w:rFonts w:asciiTheme="majorHAnsi" w:hAnsiTheme="majorHAnsi" w:cstheme="majorHAnsi"/>
          <w:color w:val="2E74B5" w:themeColor="accent1" w:themeShade="BF"/>
          <w:sz w:val="20"/>
          <w:szCs w:val="16"/>
          <w:lang w:val="en-US"/>
        </w:rPr>
        <w:t>2016</w:t>
      </w:r>
      <w:r w:rsidR="00461AC2" w:rsidRPr="00124DA6">
        <w:rPr>
          <w:rFonts w:asciiTheme="majorHAnsi" w:hAnsiTheme="majorHAnsi" w:cstheme="majorHAnsi"/>
          <w:color w:val="2E74B5" w:themeColor="accent1" w:themeShade="BF"/>
          <w:sz w:val="20"/>
          <w:szCs w:val="16"/>
          <w:lang w:val="en-US"/>
        </w:rPr>
        <w:t>.</w:t>
      </w:r>
    </w:p>
    <w:p w14:paraId="53E271C9" w14:textId="472DD718" w:rsidR="00102FE0" w:rsidRPr="00403EAA" w:rsidRDefault="00CB13CF" w:rsidP="00461AC2">
      <w:pPr>
        <w:pStyle w:val="Caption"/>
        <w:keepNext/>
        <w:rPr>
          <w:b/>
          <w:lang w:val="en-US"/>
        </w:rPr>
      </w:pPr>
      <w:r w:rsidRPr="00403EAA">
        <w:rPr>
          <w:b/>
          <w:lang w:val="en-US"/>
        </w:rPr>
        <w:t>Figure</w:t>
      </w:r>
      <w:r w:rsidR="00C702B4" w:rsidRPr="00403EAA">
        <w:rPr>
          <w:b/>
          <w:lang w:val="en-US"/>
        </w:rPr>
        <w:t> </w:t>
      </w:r>
      <w:r w:rsidRPr="00403EAA">
        <w:rPr>
          <w:b/>
          <w:lang w:val="en-US"/>
        </w:rPr>
        <w:t>3.</w:t>
      </w:r>
      <w:r w:rsidRPr="00403EAA">
        <w:rPr>
          <w:b/>
          <w:lang w:val="en-US"/>
        </w:rPr>
        <w:fldChar w:fldCharType="begin"/>
      </w:r>
      <w:r w:rsidRPr="00403EAA">
        <w:rPr>
          <w:b/>
          <w:lang w:val="en-US"/>
        </w:rPr>
        <w:instrText xml:space="preserve"> SEQ Figure_3. \* ARABIC </w:instrText>
      </w:r>
      <w:r w:rsidRPr="00403EAA">
        <w:rPr>
          <w:b/>
          <w:lang w:val="en-US"/>
        </w:rPr>
        <w:fldChar w:fldCharType="separate"/>
      </w:r>
      <w:r w:rsidR="004C6E5F" w:rsidRPr="00403EAA">
        <w:rPr>
          <w:b/>
          <w:noProof/>
          <w:lang w:val="en-US"/>
        </w:rPr>
        <w:t>10</w:t>
      </w:r>
      <w:r w:rsidRPr="00403EAA">
        <w:rPr>
          <w:b/>
          <w:lang w:val="en-US"/>
        </w:rPr>
        <w:fldChar w:fldCharType="end"/>
      </w:r>
      <w:r w:rsidR="00102FE0" w:rsidRPr="00403EAA">
        <w:rPr>
          <w:b/>
          <w:lang w:val="en-US"/>
        </w:rPr>
        <w:t xml:space="preserve">: Annual </w:t>
      </w:r>
      <w:r w:rsidR="00B34B0C" w:rsidRPr="00403EAA">
        <w:rPr>
          <w:b/>
          <w:lang w:val="en-US"/>
        </w:rPr>
        <w:t>a</w:t>
      </w:r>
      <w:r w:rsidR="00102FE0" w:rsidRPr="00403EAA">
        <w:rPr>
          <w:b/>
          <w:lang w:val="en-US"/>
        </w:rPr>
        <w:t xml:space="preserve">verage </w:t>
      </w:r>
      <w:r w:rsidR="00B34B0C" w:rsidRPr="00403EAA">
        <w:rPr>
          <w:b/>
          <w:lang w:val="en-US"/>
        </w:rPr>
        <w:t>e</w:t>
      </w:r>
      <w:r w:rsidR="00102FE0" w:rsidRPr="00403EAA">
        <w:rPr>
          <w:b/>
          <w:lang w:val="en-US"/>
        </w:rPr>
        <w:t xml:space="preserve">xpenditure by </w:t>
      </w:r>
      <w:r w:rsidR="00B34B0C" w:rsidRPr="00403EAA">
        <w:rPr>
          <w:b/>
          <w:lang w:val="en-US"/>
        </w:rPr>
        <w:t>i</w:t>
      </w:r>
      <w:r w:rsidR="00102FE0" w:rsidRPr="00403EAA">
        <w:rPr>
          <w:b/>
          <w:lang w:val="en-US"/>
        </w:rPr>
        <w:t xml:space="preserve">ndividual of </w:t>
      </w:r>
      <w:r w:rsidR="00B34B0C" w:rsidRPr="00403EAA">
        <w:rPr>
          <w:b/>
          <w:lang w:val="en-US"/>
        </w:rPr>
        <w:t>h</w:t>
      </w:r>
      <w:r w:rsidR="00102FE0" w:rsidRPr="00403EAA">
        <w:rPr>
          <w:b/>
          <w:lang w:val="en-US"/>
        </w:rPr>
        <w:t xml:space="preserve">ouseholds and </w:t>
      </w:r>
      <w:r w:rsidR="00B34B0C" w:rsidRPr="00403EAA">
        <w:rPr>
          <w:b/>
          <w:lang w:val="en-US"/>
        </w:rPr>
        <w:t>d</w:t>
      </w:r>
      <w:r w:rsidR="00102FE0" w:rsidRPr="00403EAA">
        <w:rPr>
          <w:b/>
          <w:lang w:val="en-US"/>
        </w:rPr>
        <w:t>epartment</w:t>
      </w:r>
    </w:p>
    <w:p w14:paraId="3133FC1E" w14:textId="77777777" w:rsidR="00102FE0" w:rsidRPr="00124DA6" w:rsidRDefault="00102FE0" w:rsidP="00CB13CF">
      <w:pPr>
        <w:pStyle w:val="NoSpacing"/>
        <w:keepNext/>
        <w:jc w:val="both"/>
        <w:rPr>
          <w:lang w:val="en-US"/>
        </w:rPr>
      </w:pPr>
      <w:r w:rsidRPr="00124DA6">
        <w:rPr>
          <w:noProof/>
          <w:lang w:eastAsia="fr-FR"/>
        </w:rPr>
        <w:drawing>
          <wp:inline distT="0" distB="0" distL="0" distR="0" wp14:anchorId="43DBBBA4" wp14:editId="4C99393F">
            <wp:extent cx="6382121" cy="3049414"/>
            <wp:effectExtent l="0" t="0" r="0" b="0"/>
            <wp:docPr id="154"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25BEB68" w14:textId="77777777" w:rsidR="00102FE0" w:rsidRPr="00124DA6" w:rsidRDefault="00102FE0" w:rsidP="00461AC2">
      <w:pPr>
        <w:pStyle w:val="NoSpacing"/>
        <w:rPr>
          <w:rFonts w:asciiTheme="majorHAnsi" w:hAnsiTheme="majorHAnsi" w:cstheme="majorHAnsi"/>
          <w:color w:val="2E74B5" w:themeColor="accent1" w:themeShade="BF"/>
          <w:sz w:val="20"/>
          <w:szCs w:val="16"/>
          <w:lang w:val="en-US"/>
        </w:rPr>
      </w:pPr>
      <w:r w:rsidRPr="00124DA6">
        <w:rPr>
          <w:rFonts w:asciiTheme="majorHAnsi" w:hAnsiTheme="majorHAnsi" w:cstheme="majorHAnsi"/>
          <w:i/>
          <w:color w:val="2E74B5" w:themeColor="accent1" w:themeShade="BF"/>
          <w:sz w:val="20"/>
          <w:szCs w:val="16"/>
          <w:lang w:val="en-US"/>
        </w:rPr>
        <w:t xml:space="preserve">Source: </w:t>
      </w:r>
      <w:hyperlink r:id="rId46" w:history="1">
        <w:r w:rsidRPr="00124DA6">
          <w:rPr>
            <w:rFonts w:asciiTheme="majorHAnsi" w:hAnsiTheme="majorHAnsi" w:cstheme="majorHAnsi"/>
            <w:color w:val="2E74B5" w:themeColor="accent1" w:themeShade="BF"/>
            <w:sz w:val="20"/>
            <w:lang w:val="en-US"/>
          </w:rPr>
          <w:t>http://benin.opendataforafrica.org/</w:t>
        </w:r>
      </w:hyperlink>
      <w:r w:rsidRPr="00124DA6">
        <w:rPr>
          <w:rFonts w:asciiTheme="majorHAnsi" w:hAnsiTheme="majorHAnsi" w:cstheme="majorHAnsi"/>
          <w:color w:val="2E74B5" w:themeColor="accent1" w:themeShade="BF"/>
          <w:sz w:val="20"/>
          <w:szCs w:val="16"/>
          <w:lang w:val="en-US"/>
        </w:rPr>
        <w:t xml:space="preserve"> (</w:t>
      </w:r>
      <w:r w:rsidR="00D9318C" w:rsidRPr="00124DA6">
        <w:rPr>
          <w:rFonts w:asciiTheme="majorHAnsi" w:hAnsiTheme="majorHAnsi" w:cstheme="majorHAnsi"/>
          <w:color w:val="2E74B5" w:themeColor="accent1" w:themeShade="BF"/>
          <w:sz w:val="20"/>
          <w:szCs w:val="16"/>
          <w:lang w:val="en-US"/>
        </w:rPr>
        <w:t>s</w:t>
      </w:r>
      <w:r w:rsidRPr="00124DA6">
        <w:rPr>
          <w:rFonts w:asciiTheme="majorHAnsi" w:hAnsiTheme="majorHAnsi" w:cstheme="majorHAnsi"/>
          <w:color w:val="2E74B5" w:themeColor="accent1" w:themeShade="BF"/>
          <w:sz w:val="20"/>
          <w:szCs w:val="16"/>
          <w:lang w:val="en-US"/>
        </w:rPr>
        <w:t>ponsored by the African Development Bank)</w:t>
      </w:r>
      <w:r w:rsidR="00B34B0C" w:rsidRPr="00124DA6">
        <w:rPr>
          <w:rFonts w:asciiTheme="majorHAnsi" w:hAnsiTheme="majorHAnsi" w:cstheme="majorHAnsi"/>
          <w:color w:val="2E74B5" w:themeColor="accent1" w:themeShade="BF"/>
          <w:sz w:val="20"/>
          <w:szCs w:val="16"/>
          <w:lang w:val="en-US"/>
        </w:rPr>
        <w:t>.</w:t>
      </w:r>
    </w:p>
    <w:p w14:paraId="0B62CCD3" w14:textId="77777777" w:rsidR="00102FE0" w:rsidRPr="00124DA6" w:rsidRDefault="00102FE0" w:rsidP="00102FE0">
      <w:pPr>
        <w:pStyle w:val="NoSpacing"/>
        <w:jc w:val="both"/>
        <w:rPr>
          <w:lang w:val="en-US"/>
        </w:rPr>
      </w:pPr>
    </w:p>
    <w:p w14:paraId="68587E89" w14:textId="77777777" w:rsidR="00102FE0" w:rsidRPr="00403EAA" w:rsidRDefault="00102FE0" w:rsidP="003B0586">
      <w:pPr>
        <w:pStyle w:val="Heading4"/>
        <w:rPr>
          <w:b/>
          <w:lang w:val="en-US"/>
        </w:rPr>
      </w:pPr>
      <w:r w:rsidRPr="00403EAA">
        <w:rPr>
          <w:b/>
          <w:lang w:val="en-US"/>
        </w:rPr>
        <w:t xml:space="preserve">3.4.1.3 Structure of </w:t>
      </w:r>
      <w:r w:rsidR="00D9318C" w:rsidRPr="00403EAA">
        <w:rPr>
          <w:b/>
          <w:lang w:val="en-US"/>
        </w:rPr>
        <w:t>P</w:t>
      </w:r>
      <w:r w:rsidRPr="00403EAA">
        <w:rPr>
          <w:b/>
          <w:lang w:val="en-US"/>
        </w:rPr>
        <w:t>opulations/</w:t>
      </w:r>
      <w:r w:rsidR="00D9318C" w:rsidRPr="00403EAA">
        <w:rPr>
          <w:b/>
          <w:lang w:val="en-US"/>
        </w:rPr>
        <w:t>H</w:t>
      </w:r>
      <w:r w:rsidRPr="00403EAA">
        <w:rPr>
          <w:b/>
          <w:lang w:val="en-US"/>
        </w:rPr>
        <w:t xml:space="preserve">ouseholds </w:t>
      </w:r>
      <w:r w:rsidR="00D9318C" w:rsidRPr="00403EAA">
        <w:rPr>
          <w:b/>
          <w:lang w:val="en-US"/>
        </w:rPr>
        <w:t>E</w:t>
      </w:r>
      <w:r w:rsidRPr="00403EAA">
        <w:rPr>
          <w:b/>
          <w:lang w:val="en-US"/>
        </w:rPr>
        <w:t xml:space="preserve">xpenditures </w:t>
      </w:r>
    </w:p>
    <w:p w14:paraId="25FB3D57" w14:textId="77777777" w:rsidR="00102FE0" w:rsidRPr="00124DA6" w:rsidRDefault="00102FE0" w:rsidP="00403EAA">
      <w:pPr>
        <w:pStyle w:val="ListParagraph"/>
        <w:numPr>
          <w:ilvl w:val="0"/>
          <w:numId w:val="47"/>
        </w:numPr>
        <w:spacing w:after="240" w:line="240" w:lineRule="auto"/>
        <w:ind w:left="0" w:firstLine="0"/>
        <w:contextualSpacing w:val="0"/>
        <w:jc w:val="both"/>
        <w:rPr>
          <w:b/>
          <w:lang w:val="en-US"/>
        </w:rPr>
      </w:pPr>
      <w:r w:rsidRPr="00124DA6">
        <w:rPr>
          <w:b/>
          <w:lang w:val="en-US"/>
        </w:rPr>
        <w:t xml:space="preserve">The analysis of household expenditures shows on average the </w:t>
      </w:r>
      <w:r w:rsidR="00D9318C" w:rsidRPr="00124DA6">
        <w:rPr>
          <w:b/>
          <w:lang w:val="en-US"/>
        </w:rPr>
        <w:t xml:space="preserve">following </w:t>
      </w:r>
      <w:r w:rsidRPr="00124DA6">
        <w:rPr>
          <w:b/>
          <w:lang w:val="en-US"/>
        </w:rPr>
        <w:t>distribution:</w:t>
      </w:r>
    </w:p>
    <w:p w14:paraId="326CF7D7" w14:textId="504B07EB" w:rsidR="00102FE0" w:rsidRPr="00124DA6" w:rsidRDefault="00102FE0" w:rsidP="00403EAA">
      <w:pPr>
        <w:pStyle w:val="NoSpacing"/>
        <w:numPr>
          <w:ilvl w:val="0"/>
          <w:numId w:val="32"/>
        </w:numPr>
        <w:spacing w:before="120" w:after="120"/>
        <w:ind w:left="1195" w:hanging="475"/>
        <w:jc w:val="both"/>
        <w:rPr>
          <w:lang w:val="en-US"/>
        </w:rPr>
      </w:pPr>
      <w:r w:rsidRPr="00124DA6">
        <w:rPr>
          <w:lang w:val="en-US"/>
        </w:rPr>
        <w:t>46</w:t>
      </w:r>
      <w:r w:rsidR="00D9318C" w:rsidRPr="00124DA6">
        <w:rPr>
          <w:lang w:val="en-US"/>
        </w:rPr>
        <w:t xml:space="preserve"> percent</w:t>
      </w:r>
      <w:r w:rsidRPr="00124DA6">
        <w:rPr>
          <w:lang w:val="en-US"/>
        </w:rPr>
        <w:t>, for food expenses</w:t>
      </w:r>
      <w:r w:rsidR="00990870">
        <w:rPr>
          <w:lang w:val="en-US"/>
        </w:rPr>
        <w:t>;</w:t>
      </w:r>
    </w:p>
    <w:p w14:paraId="196CC6A7" w14:textId="697BAC8B" w:rsidR="00102FE0" w:rsidRPr="00124DA6" w:rsidRDefault="00102FE0" w:rsidP="00403EAA">
      <w:pPr>
        <w:pStyle w:val="NoSpacing"/>
        <w:numPr>
          <w:ilvl w:val="0"/>
          <w:numId w:val="32"/>
        </w:numPr>
        <w:spacing w:before="120" w:after="120"/>
        <w:ind w:left="1195" w:hanging="475"/>
        <w:jc w:val="both"/>
        <w:rPr>
          <w:lang w:val="en-US"/>
        </w:rPr>
      </w:pPr>
      <w:r w:rsidRPr="00124DA6">
        <w:rPr>
          <w:lang w:val="en-US"/>
        </w:rPr>
        <w:t>12</w:t>
      </w:r>
      <w:r w:rsidR="00D9318C" w:rsidRPr="00124DA6">
        <w:rPr>
          <w:lang w:val="en-US"/>
        </w:rPr>
        <w:t xml:space="preserve"> percent</w:t>
      </w:r>
      <w:r w:rsidRPr="00124DA6">
        <w:rPr>
          <w:lang w:val="en-US"/>
        </w:rPr>
        <w:t>, for rent expenses</w:t>
      </w:r>
      <w:r w:rsidR="00990870">
        <w:rPr>
          <w:lang w:val="en-US"/>
        </w:rPr>
        <w:t>;</w:t>
      </w:r>
    </w:p>
    <w:p w14:paraId="7D0DBC72" w14:textId="48973919" w:rsidR="00102FE0" w:rsidRPr="00124DA6" w:rsidRDefault="00102FE0" w:rsidP="00403EAA">
      <w:pPr>
        <w:pStyle w:val="NoSpacing"/>
        <w:numPr>
          <w:ilvl w:val="0"/>
          <w:numId w:val="32"/>
        </w:numPr>
        <w:spacing w:before="120" w:after="120"/>
        <w:ind w:left="1195" w:hanging="475"/>
        <w:jc w:val="both"/>
        <w:rPr>
          <w:lang w:val="en-US"/>
        </w:rPr>
      </w:pPr>
      <w:r w:rsidRPr="00124DA6">
        <w:rPr>
          <w:lang w:val="en-US"/>
        </w:rPr>
        <w:t>10</w:t>
      </w:r>
      <w:r w:rsidR="00D9318C" w:rsidRPr="00124DA6">
        <w:rPr>
          <w:lang w:val="en-US"/>
        </w:rPr>
        <w:t xml:space="preserve"> percent</w:t>
      </w:r>
      <w:r w:rsidRPr="00124DA6">
        <w:rPr>
          <w:lang w:val="en-US"/>
        </w:rPr>
        <w:t>, for transport expenses</w:t>
      </w:r>
      <w:r w:rsidR="00990870">
        <w:rPr>
          <w:lang w:val="en-US"/>
        </w:rPr>
        <w:t>;</w:t>
      </w:r>
    </w:p>
    <w:p w14:paraId="13036212" w14:textId="6C763D6F" w:rsidR="00102FE0" w:rsidRPr="00124DA6" w:rsidRDefault="00102FE0" w:rsidP="00403EAA">
      <w:pPr>
        <w:pStyle w:val="NoSpacing"/>
        <w:numPr>
          <w:ilvl w:val="0"/>
          <w:numId w:val="32"/>
        </w:numPr>
        <w:spacing w:before="120" w:after="120"/>
        <w:ind w:left="1195" w:hanging="475"/>
        <w:jc w:val="both"/>
        <w:rPr>
          <w:lang w:val="en-US"/>
        </w:rPr>
      </w:pPr>
      <w:r w:rsidRPr="00124DA6">
        <w:rPr>
          <w:lang w:val="en-US"/>
        </w:rPr>
        <w:t>8</w:t>
      </w:r>
      <w:r w:rsidR="00D9318C" w:rsidRPr="00124DA6">
        <w:rPr>
          <w:lang w:val="en-US"/>
        </w:rPr>
        <w:t xml:space="preserve"> percent</w:t>
      </w:r>
      <w:r w:rsidRPr="00124DA6">
        <w:rPr>
          <w:lang w:val="en-US"/>
        </w:rPr>
        <w:t>, for energy costs (fuel, electricity, gas)</w:t>
      </w:r>
      <w:r w:rsidR="00990870">
        <w:rPr>
          <w:lang w:val="en-US"/>
        </w:rPr>
        <w:t>;</w:t>
      </w:r>
    </w:p>
    <w:p w14:paraId="03D5FB60" w14:textId="0F1FC4DC" w:rsidR="00102FE0" w:rsidRPr="00124DA6" w:rsidRDefault="00D9318C" w:rsidP="007414AC">
      <w:pPr>
        <w:pStyle w:val="NoSpacing"/>
        <w:numPr>
          <w:ilvl w:val="0"/>
          <w:numId w:val="32"/>
        </w:numPr>
        <w:spacing w:after="240"/>
        <w:ind w:left="1195" w:hanging="475"/>
        <w:jc w:val="both"/>
        <w:rPr>
          <w:lang w:val="en-US"/>
        </w:rPr>
      </w:pPr>
      <w:r w:rsidRPr="00124DA6">
        <w:rPr>
          <w:lang w:val="en-US"/>
        </w:rPr>
        <w:t>E</w:t>
      </w:r>
      <w:r w:rsidR="00102FE0" w:rsidRPr="00124DA6">
        <w:rPr>
          <w:lang w:val="en-US"/>
        </w:rPr>
        <w:t>ach of health, education</w:t>
      </w:r>
      <w:r w:rsidRPr="00124DA6">
        <w:rPr>
          <w:lang w:val="en-US"/>
        </w:rPr>
        <w:t>,</w:t>
      </w:r>
      <w:r w:rsidR="00102FE0" w:rsidRPr="00124DA6">
        <w:rPr>
          <w:lang w:val="en-US"/>
        </w:rPr>
        <w:t xml:space="preserve"> and clothing expenditure amounts to </w:t>
      </w:r>
      <w:r w:rsidRPr="00124DA6">
        <w:rPr>
          <w:lang w:val="en-US"/>
        </w:rPr>
        <w:t xml:space="preserve">be of </w:t>
      </w:r>
      <w:r w:rsidR="00102FE0" w:rsidRPr="00124DA6">
        <w:rPr>
          <w:lang w:val="en-US"/>
        </w:rPr>
        <w:t>about 5</w:t>
      </w:r>
      <w:r w:rsidRPr="00124DA6">
        <w:rPr>
          <w:lang w:val="en-US"/>
        </w:rPr>
        <w:t xml:space="preserve"> percent</w:t>
      </w:r>
      <w:r w:rsidR="00990870">
        <w:rPr>
          <w:lang w:val="en-US"/>
        </w:rPr>
        <w:t>.</w:t>
      </w:r>
    </w:p>
    <w:p w14:paraId="38CBDECB" w14:textId="06C0219B" w:rsidR="00102FE0" w:rsidRPr="00403EAA" w:rsidRDefault="00CB13CF" w:rsidP="00CB13CF">
      <w:pPr>
        <w:pStyle w:val="Caption"/>
        <w:keepNext/>
        <w:rPr>
          <w:b/>
          <w:lang w:val="en-US"/>
        </w:rPr>
      </w:pPr>
      <w:r w:rsidRPr="00403EAA">
        <w:rPr>
          <w:b/>
          <w:lang w:val="en-US"/>
        </w:rPr>
        <w:t>Figure</w:t>
      </w:r>
      <w:r w:rsidR="00C702B4" w:rsidRPr="00403EAA">
        <w:rPr>
          <w:b/>
          <w:lang w:val="en-US"/>
        </w:rPr>
        <w:t> </w:t>
      </w:r>
      <w:r w:rsidRPr="00403EAA">
        <w:rPr>
          <w:b/>
          <w:lang w:val="en-US"/>
        </w:rPr>
        <w:t>3.</w:t>
      </w:r>
      <w:r w:rsidRPr="00403EAA">
        <w:rPr>
          <w:b/>
          <w:lang w:val="en-US"/>
        </w:rPr>
        <w:fldChar w:fldCharType="begin"/>
      </w:r>
      <w:r w:rsidRPr="00403EAA">
        <w:rPr>
          <w:b/>
          <w:lang w:val="en-US"/>
        </w:rPr>
        <w:instrText xml:space="preserve"> SEQ Figure_3. \* ARABIC </w:instrText>
      </w:r>
      <w:r w:rsidRPr="00403EAA">
        <w:rPr>
          <w:b/>
          <w:lang w:val="en-US"/>
        </w:rPr>
        <w:fldChar w:fldCharType="separate"/>
      </w:r>
      <w:r w:rsidR="004C6E5F" w:rsidRPr="00403EAA">
        <w:rPr>
          <w:b/>
          <w:noProof/>
          <w:lang w:val="en-US"/>
        </w:rPr>
        <w:t>11</w:t>
      </w:r>
      <w:r w:rsidRPr="00403EAA">
        <w:rPr>
          <w:b/>
          <w:lang w:val="en-US"/>
        </w:rPr>
        <w:fldChar w:fldCharType="end"/>
      </w:r>
      <w:r w:rsidR="00102FE0" w:rsidRPr="00403EAA">
        <w:rPr>
          <w:b/>
          <w:lang w:val="en-US"/>
        </w:rPr>
        <w:t xml:space="preserve">: Structure of household expenditures </w:t>
      </w:r>
    </w:p>
    <w:p w14:paraId="002EEF1C" w14:textId="77777777" w:rsidR="00102FE0" w:rsidRPr="00124DA6" w:rsidRDefault="00102FE0" w:rsidP="00CB13CF">
      <w:pPr>
        <w:pStyle w:val="NoSpacing"/>
        <w:keepNext/>
        <w:jc w:val="both"/>
        <w:rPr>
          <w:lang w:val="en-US"/>
        </w:rPr>
      </w:pPr>
      <w:r w:rsidRPr="00124DA6">
        <w:rPr>
          <w:noProof/>
          <w:lang w:eastAsia="fr-FR"/>
        </w:rPr>
        <w:drawing>
          <wp:inline distT="0" distB="0" distL="0" distR="0" wp14:anchorId="0874794F" wp14:editId="2D36008D">
            <wp:extent cx="5940425" cy="2019300"/>
            <wp:effectExtent l="0" t="0" r="3175" b="0"/>
            <wp:docPr id="15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2020379"/>
                    </a:xfrm>
                    <a:prstGeom prst="rect">
                      <a:avLst/>
                    </a:prstGeom>
                    <a:noFill/>
                    <a:ln>
                      <a:noFill/>
                    </a:ln>
                  </pic:spPr>
                </pic:pic>
              </a:graphicData>
            </a:graphic>
          </wp:inline>
        </w:drawing>
      </w:r>
    </w:p>
    <w:p w14:paraId="2397C516" w14:textId="13D5E5B1" w:rsidR="00102FE0" w:rsidRPr="00124DA6" w:rsidRDefault="00102FE0" w:rsidP="00D9318C">
      <w:pPr>
        <w:pStyle w:val="NoSpacing"/>
        <w:spacing w:after="120"/>
        <w:rPr>
          <w:rFonts w:asciiTheme="majorHAnsi" w:hAnsiTheme="majorHAnsi" w:cstheme="majorHAnsi"/>
          <w:color w:val="2E74B5" w:themeColor="accent1" w:themeShade="BF"/>
          <w:sz w:val="20"/>
          <w:szCs w:val="16"/>
          <w:lang w:val="en-US"/>
        </w:rPr>
      </w:pPr>
      <w:r w:rsidRPr="00124DA6">
        <w:rPr>
          <w:rFonts w:asciiTheme="majorHAnsi" w:hAnsiTheme="majorHAnsi" w:cstheme="majorHAnsi"/>
          <w:i/>
          <w:color w:val="2E74B5" w:themeColor="accent1" w:themeShade="BF"/>
          <w:sz w:val="20"/>
          <w:szCs w:val="16"/>
          <w:lang w:val="en-US"/>
        </w:rPr>
        <w:t xml:space="preserve">Source: </w:t>
      </w:r>
      <w:r w:rsidRPr="00124DA6">
        <w:rPr>
          <w:rFonts w:asciiTheme="majorHAnsi" w:hAnsiTheme="majorHAnsi" w:cstheme="majorHAnsi"/>
          <w:color w:val="2E74B5" w:themeColor="accent1" w:themeShade="BF"/>
          <w:sz w:val="20"/>
          <w:szCs w:val="16"/>
          <w:lang w:val="en-US"/>
        </w:rPr>
        <w:t>WFP</w:t>
      </w:r>
      <w:r w:rsidR="00C702B4">
        <w:rPr>
          <w:rFonts w:asciiTheme="majorHAnsi" w:hAnsiTheme="majorHAnsi" w:cstheme="majorHAnsi"/>
          <w:color w:val="2E74B5" w:themeColor="accent1" w:themeShade="BF"/>
          <w:sz w:val="20"/>
          <w:szCs w:val="16"/>
          <w:lang w:val="en-US"/>
        </w:rPr>
        <w:t> </w:t>
      </w:r>
      <w:r w:rsidRPr="00124DA6">
        <w:rPr>
          <w:rFonts w:asciiTheme="majorHAnsi" w:hAnsiTheme="majorHAnsi" w:cstheme="majorHAnsi"/>
          <w:color w:val="2E74B5" w:themeColor="accent1" w:themeShade="BF"/>
          <w:sz w:val="20"/>
          <w:szCs w:val="16"/>
          <w:lang w:val="en-US"/>
        </w:rPr>
        <w:t xml:space="preserve">2013: Household </w:t>
      </w:r>
      <w:r w:rsidR="0045268A" w:rsidRPr="00124DA6">
        <w:rPr>
          <w:rFonts w:asciiTheme="majorHAnsi" w:hAnsiTheme="majorHAnsi" w:cstheme="majorHAnsi"/>
          <w:color w:val="2E74B5" w:themeColor="accent1" w:themeShade="BF"/>
          <w:sz w:val="20"/>
          <w:szCs w:val="16"/>
          <w:lang w:val="en-US"/>
        </w:rPr>
        <w:t>d</w:t>
      </w:r>
      <w:r w:rsidRPr="00124DA6">
        <w:rPr>
          <w:rFonts w:asciiTheme="majorHAnsi" w:hAnsiTheme="majorHAnsi" w:cstheme="majorHAnsi"/>
          <w:color w:val="2E74B5" w:themeColor="accent1" w:themeShade="BF"/>
          <w:sz w:val="20"/>
          <w:szCs w:val="16"/>
          <w:lang w:val="en-US"/>
        </w:rPr>
        <w:t>ata from the Global Vulnerability and Food Security Analysis (GVFSA</w:t>
      </w:r>
      <w:r w:rsidRPr="00124DA6">
        <w:rPr>
          <w:rFonts w:asciiTheme="majorHAnsi" w:hAnsiTheme="majorHAnsi" w:cstheme="majorHAnsi"/>
          <w:color w:val="2E74B5" w:themeColor="accent1" w:themeShade="BF"/>
          <w:sz w:val="20"/>
          <w:vertAlign w:val="superscript"/>
          <w:lang w:val="en-US"/>
        </w:rPr>
        <w:footnoteReference w:id="15"/>
      </w:r>
      <w:r w:rsidRPr="00124DA6">
        <w:rPr>
          <w:rFonts w:asciiTheme="majorHAnsi" w:hAnsiTheme="majorHAnsi" w:cstheme="majorHAnsi"/>
          <w:color w:val="2E74B5" w:themeColor="accent1" w:themeShade="BF"/>
          <w:sz w:val="20"/>
          <w:szCs w:val="16"/>
          <w:lang w:val="en-US"/>
        </w:rPr>
        <w:t>)</w:t>
      </w:r>
      <w:r w:rsidR="00D9318C" w:rsidRPr="00124DA6">
        <w:rPr>
          <w:rFonts w:asciiTheme="majorHAnsi" w:hAnsiTheme="majorHAnsi" w:cstheme="majorHAnsi"/>
          <w:color w:val="2E74B5" w:themeColor="accent1" w:themeShade="BF"/>
          <w:sz w:val="20"/>
          <w:szCs w:val="16"/>
          <w:lang w:val="en-US"/>
        </w:rPr>
        <w:t>.</w:t>
      </w:r>
    </w:p>
    <w:p w14:paraId="1070B483" w14:textId="25632921" w:rsidR="00102FE0" w:rsidRPr="00124DA6" w:rsidRDefault="00102FE0" w:rsidP="005671FB">
      <w:pPr>
        <w:pStyle w:val="ListParagraph"/>
        <w:numPr>
          <w:ilvl w:val="0"/>
          <w:numId w:val="47"/>
        </w:numPr>
        <w:spacing w:after="240" w:line="240" w:lineRule="auto"/>
        <w:ind w:left="0" w:firstLine="0"/>
        <w:contextualSpacing w:val="0"/>
        <w:jc w:val="both"/>
        <w:rPr>
          <w:lang w:val="en-US"/>
        </w:rPr>
      </w:pPr>
      <w:r w:rsidRPr="00124DA6">
        <w:rPr>
          <w:b/>
          <w:lang w:val="en-US"/>
        </w:rPr>
        <w:t>The distribution of household expenditures highlights niches of opportunities to digitize retail payments in segments such as, on the one hand, the payment for the purchase of primary foodstuff and, on the other hand, electricity and transport</w:t>
      </w:r>
      <w:r w:rsidRPr="00124DA6">
        <w:rPr>
          <w:lang w:val="en-US"/>
        </w:rPr>
        <w:t>. Both drain important payments (both in volume and in value) and could serve as driver</w:t>
      </w:r>
      <w:r w:rsidR="00C40665">
        <w:rPr>
          <w:lang w:val="en-US"/>
        </w:rPr>
        <w:t>s</w:t>
      </w:r>
      <w:r w:rsidRPr="00124DA6">
        <w:rPr>
          <w:lang w:val="en-US"/>
        </w:rPr>
        <w:t xml:space="preserve"> for developing the adoption and use of financial services within populations.</w:t>
      </w:r>
    </w:p>
    <w:p w14:paraId="4EC9CD72" w14:textId="77777777" w:rsidR="00102FE0" w:rsidRPr="005671FB" w:rsidRDefault="00102FE0" w:rsidP="00D9318C">
      <w:pPr>
        <w:pStyle w:val="Heading4"/>
        <w:rPr>
          <w:b/>
          <w:lang w:val="en-US"/>
        </w:rPr>
      </w:pPr>
      <w:r w:rsidRPr="005671FB">
        <w:rPr>
          <w:b/>
          <w:lang w:val="en-US"/>
        </w:rPr>
        <w:t xml:space="preserve">3.4.1.4 Behavior and </w:t>
      </w:r>
      <w:r w:rsidR="00D9318C" w:rsidRPr="005671FB">
        <w:rPr>
          <w:b/>
          <w:lang w:val="en-US"/>
        </w:rPr>
        <w:t>N</w:t>
      </w:r>
      <w:r w:rsidRPr="005671FB">
        <w:rPr>
          <w:b/>
          <w:lang w:val="en-US"/>
        </w:rPr>
        <w:t xml:space="preserve">eeds of </w:t>
      </w:r>
      <w:r w:rsidR="00D9318C" w:rsidRPr="005671FB">
        <w:rPr>
          <w:b/>
          <w:lang w:val="en-US"/>
        </w:rPr>
        <w:t>P</w:t>
      </w:r>
      <w:r w:rsidRPr="005671FB">
        <w:rPr>
          <w:b/>
          <w:lang w:val="en-US"/>
        </w:rPr>
        <w:t xml:space="preserve">opulations in </w:t>
      </w:r>
      <w:r w:rsidR="00D9318C" w:rsidRPr="005671FB">
        <w:rPr>
          <w:b/>
          <w:lang w:val="en-US"/>
        </w:rPr>
        <w:t>T</w:t>
      </w:r>
      <w:r w:rsidRPr="005671FB">
        <w:rPr>
          <w:b/>
          <w:lang w:val="en-US"/>
        </w:rPr>
        <w:t xml:space="preserve">erms of </w:t>
      </w:r>
      <w:r w:rsidR="00D9318C" w:rsidRPr="005671FB">
        <w:rPr>
          <w:b/>
          <w:lang w:val="en-US"/>
        </w:rPr>
        <w:t>F</w:t>
      </w:r>
      <w:r w:rsidRPr="005671FB">
        <w:rPr>
          <w:b/>
          <w:lang w:val="en-US"/>
        </w:rPr>
        <w:t xml:space="preserve">inancial </w:t>
      </w:r>
      <w:r w:rsidR="00D9318C" w:rsidRPr="005671FB">
        <w:rPr>
          <w:b/>
          <w:lang w:val="en-US"/>
        </w:rPr>
        <w:t>S</w:t>
      </w:r>
      <w:r w:rsidRPr="005671FB">
        <w:rPr>
          <w:b/>
          <w:lang w:val="en-US"/>
        </w:rPr>
        <w:t>ervices</w:t>
      </w:r>
    </w:p>
    <w:p w14:paraId="2EDB6FAC" w14:textId="77777777" w:rsidR="00102FE0" w:rsidRPr="005671FB" w:rsidRDefault="00102FE0" w:rsidP="00553449">
      <w:pPr>
        <w:spacing w:after="240" w:line="240" w:lineRule="auto"/>
        <w:rPr>
          <w:rFonts w:asciiTheme="majorHAnsi" w:hAnsiTheme="majorHAnsi" w:cstheme="majorHAnsi"/>
          <w:b/>
          <w:color w:val="2E74B5" w:themeColor="accent1" w:themeShade="BF"/>
          <w:lang w:val="en-US"/>
        </w:rPr>
      </w:pPr>
      <w:r w:rsidRPr="005671FB">
        <w:rPr>
          <w:rFonts w:asciiTheme="majorHAnsi" w:hAnsiTheme="majorHAnsi" w:cstheme="majorHAnsi"/>
          <w:b/>
          <w:color w:val="2E74B5" w:themeColor="accent1" w:themeShade="BF"/>
          <w:lang w:val="en-US"/>
        </w:rPr>
        <w:t xml:space="preserve">Financial </w:t>
      </w:r>
      <w:r w:rsidR="00553449" w:rsidRPr="005671FB">
        <w:rPr>
          <w:rFonts w:asciiTheme="majorHAnsi" w:hAnsiTheme="majorHAnsi" w:cstheme="majorHAnsi"/>
          <w:b/>
          <w:color w:val="2E74B5" w:themeColor="accent1" w:themeShade="BF"/>
          <w:lang w:val="en-US"/>
        </w:rPr>
        <w:t>B</w:t>
      </w:r>
      <w:r w:rsidRPr="005671FB">
        <w:rPr>
          <w:rFonts w:asciiTheme="majorHAnsi" w:hAnsiTheme="majorHAnsi" w:cstheme="majorHAnsi"/>
          <w:b/>
          <w:color w:val="2E74B5" w:themeColor="accent1" w:themeShade="BF"/>
          <w:lang w:val="en-US"/>
        </w:rPr>
        <w:t xml:space="preserve">ehavior of Beninese </w:t>
      </w:r>
    </w:p>
    <w:p w14:paraId="3357EA7C" w14:textId="77777777" w:rsidR="00102FE0" w:rsidRPr="00124DA6" w:rsidRDefault="00102FE0" w:rsidP="005671FB">
      <w:pPr>
        <w:pStyle w:val="ListParagraph"/>
        <w:numPr>
          <w:ilvl w:val="0"/>
          <w:numId w:val="47"/>
        </w:numPr>
        <w:spacing w:after="240" w:line="240" w:lineRule="auto"/>
        <w:ind w:left="0" w:firstLine="0"/>
        <w:contextualSpacing w:val="0"/>
        <w:jc w:val="both"/>
        <w:rPr>
          <w:lang w:val="en-US"/>
        </w:rPr>
      </w:pPr>
      <w:r w:rsidRPr="00124DA6">
        <w:rPr>
          <w:b/>
          <w:lang w:val="en-US"/>
        </w:rPr>
        <w:t>It is important to note that, although poor, the people of Benin carry out transactions and save money</w:t>
      </w:r>
      <w:r w:rsidRPr="00124DA6">
        <w:rPr>
          <w:lang w:val="en-US"/>
        </w:rPr>
        <w:t xml:space="preserve">. Indeed, the results of the Global Financial Inclusion </w:t>
      </w:r>
      <w:r w:rsidR="00B879DF" w:rsidRPr="00124DA6">
        <w:rPr>
          <w:lang w:val="en-US"/>
        </w:rPr>
        <w:t>S</w:t>
      </w:r>
      <w:r w:rsidRPr="00124DA6">
        <w:rPr>
          <w:lang w:val="en-US"/>
        </w:rPr>
        <w:t xml:space="preserve">urvey (Global </w:t>
      </w:r>
      <w:proofErr w:type="spellStart"/>
      <w:r w:rsidRPr="00124DA6">
        <w:rPr>
          <w:lang w:val="en-US"/>
        </w:rPr>
        <w:t>Findex</w:t>
      </w:r>
      <w:proofErr w:type="spellEnd"/>
      <w:r w:rsidRPr="00124DA6">
        <w:rPr>
          <w:lang w:val="en-US"/>
        </w:rPr>
        <w:t>) on financial inclusion for Benin in 2014 show that among the 40</w:t>
      </w:r>
      <w:r w:rsidR="00B879DF" w:rsidRPr="00124DA6">
        <w:rPr>
          <w:lang w:val="en-US"/>
        </w:rPr>
        <w:t xml:space="preserve"> percent</w:t>
      </w:r>
      <w:r w:rsidRPr="00124DA6">
        <w:rPr>
          <w:lang w:val="en-US"/>
        </w:rPr>
        <w:t xml:space="preserve"> of adults (age</w:t>
      </w:r>
      <w:r w:rsidR="0045268A" w:rsidRPr="00124DA6">
        <w:rPr>
          <w:lang w:val="en-US"/>
        </w:rPr>
        <w:t>s</w:t>
      </w:r>
      <w:r w:rsidRPr="00124DA6">
        <w:rPr>
          <w:lang w:val="en-US"/>
        </w:rPr>
        <w:t xml:space="preserve"> over 15):</w:t>
      </w:r>
    </w:p>
    <w:p w14:paraId="4ECB5816" w14:textId="71B4C539" w:rsidR="00102FE0" w:rsidRPr="00124DA6" w:rsidRDefault="00102FE0" w:rsidP="005671FB">
      <w:pPr>
        <w:pStyle w:val="NoSpacing"/>
        <w:numPr>
          <w:ilvl w:val="0"/>
          <w:numId w:val="32"/>
        </w:numPr>
        <w:spacing w:before="120" w:after="120"/>
        <w:ind w:left="1195" w:hanging="475"/>
        <w:jc w:val="both"/>
        <w:rPr>
          <w:lang w:val="en-US"/>
        </w:rPr>
      </w:pPr>
      <w:r w:rsidRPr="00124DA6">
        <w:rPr>
          <w:lang w:val="en-US"/>
        </w:rPr>
        <w:t>24</w:t>
      </w:r>
      <w:r w:rsidR="00B879DF" w:rsidRPr="00124DA6">
        <w:rPr>
          <w:lang w:val="en-US"/>
        </w:rPr>
        <w:t xml:space="preserve"> percent</w:t>
      </w:r>
      <w:r w:rsidRPr="00124DA6">
        <w:rPr>
          <w:lang w:val="en-US"/>
        </w:rPr>
        <w:t xml:space="preserve"> received domestic money transfers in the past year</w:t>
      </w:r>
      <w:r w:rsidR="00C40665">
        <w:rPr>
          <w:lang w:val="en-US"/>
        </w:rPr>
        <w:t>;</w:t>
      </w:r>
    </w:p>
    <w:p w14:paraId="69FF10F1" w14:textId="3EFF12C5" w:rsidR="00102FE0" w:rsidRPr="00124DA6" w:rsidRDefault="00102FE0" w:rsidP="005671FB">
      <w:pPr>
        <w:pStyle w:val="NoSpacing"/>
        <w:numPr>
          <w:ilvl w:val="0"/>
          <w:numId w:val="32"/>
        </w:numPr>
        <w:spacing w:before="120" w:after="120"/>
        <w:ind w:left="1195" w:hanging="475"/>
        <w:jc w:val="both"/>
        <w:rPr>
          <w:lang w:val="en-US"/>
        </w:rPr>
      </w:pPr>
      <w:r w:rsidRPr="00124DA6">
        <w:rPr>
          <w:lang w:val="en-US"/>
        </w:rPr>
        <w:t>19</w:t>
      </w:r>
      <w:r w:rsidR="00B879DF" w:rsidRPr="00124DA6">
        <w:rPr>
          <w:lang w:val="en-US"/>
        </w:rPr>
        <w:t xml:space="preserve"> percent</w:t>
      </w:r>
      <w:r w:rsidRPr="00124DA6">
        <w:rPr>
          <w:lang w:val="en-US"/>
        </w:rPr>
        <w:t xml:space="preserve"> sent domestic money transfers in the past year</w:t>
      </w:r>
      <w:r w:rsidR="00C40665">
        <w:rPr>
          <w:lang w:val="en-US"/>
        </w:rPr>
        <w:t>;</w:t>
      </w:r>
    </w:p>
    <w:p w14:paraId="7939DC4B" w14:textId="5A7FDB2B" w:rsidR="00102FE0" w:rsidRPr="00124DA6" w:rsidRDefault="00102FE0" w:rsidP="005671FB">
      <w:pPr>
        <w:pStyle w:val="NoSpacing"/>
        <w:numPr>
          <w:ilvl w:val="0"/>
          <w:numId w:val="32"/>
        </w:numPr>
        <w:spacing w:before="120" w:after="120"/>
        <w:ind w:left="1195" w:hanging="475"/>
        <w:jc w:val="both"/>
        <w:rPr>
          <w:lang w:val="en-US"/>
        </w:rPr>
      </w:pPr>
      <w:r w:rsidRPr="00124DA6">
        <w:rPr>
          <w:lang w:val="en-US"/>
        </w:rPr>
        <w:t>40</w:t>
      </w:r>
      <w:r w:rsidR="00B879DF" w:rsidRPr="00124DA6">
        <w:rPr>
          <w:lang w:val="en-US"/>
        </w:rPr>
        <w:t xml:space="preserve"> percent</w:t>
      </w:r>
      <w:r w:rsidRPr="00124DA6">
        <w:rPr>
          <w:lang w:val="en-US"/>
        </w:rPr>
        <w:t xml:space="preserve"> borrowed money in the past year</w:t>
      </w:r>
      <w:r w:rsidR="00C40665">
        <w:rPr>
          <w:lang w:val="en-US"/>
        </w:rPr>
        <w:t>;</w:t>
      </w:r>
    </w:p>
    <w:p w14:paraId="3BC514EB" w14:textId="7607E506" w:rsidR="00102FE0" w:rsidRPr="00124DA6" w:rsidRDefault="00102FE0" w:rsidP="005671FB">
      <w:pPr>
        <w:pStyle w:val="NoSpacing"/>
        <w:numPr>
          <w:ilvl w:val="0"/>
          <w:numId w:val="32"/>
        </w:numPr>
        <w:spacing w:before="120" w:after="120"/>
        <w:ind w:left="1195" w:hanging="475"/>
        <w:jc w:val="both"/>
        <w:rPr>
          <w:lang w:val="en-US"/>
        </w:rPr>
      </w:pPr>
      <w:r w:rsidRPr="00124DA6">
        <w:rPr>
          <w:lang w:val="en-US"/>
        </w:rPr>
        <w:t>24</w:t>
      </w:r>
      <w:r w:rsidR="00B879DF" w:rsidRPr="00124DA6">
        <w:rPr>
          <w:lang w:val="en-US"/>
        </w:rPr>
        <w:t xml:space="preserve"> percent</w:t>
      </w:r>
      <w:r w:rsidRPr="00124DA6">
        <w:rPr>
          <w:lang w:val="en-US"/>
        </w:rPr>
        <w:t xml:space="preserve"> borrowed money in the past year from family or friends</w:t>
      </w:r>
      <w:r w:rsidR="00C40665">
        <w:rPr>
          <w:lang w:val="en-US"/>
        </w:rPr>
        <w:t>;</w:t>
      </w:r>
    </w:p>
    <w:p w14:paraId="12C055F6" w14:textId="27EA004E" w:rsidR="00102FE0" w:rsidRPr="00124DA6" w:rsidRDefault="00102FE0" w:rsidP="005671FB">
      <w:pPr>
        <w:pStyle w:val="NoSpacing"/>
        <w:numPr>
          <w:ilvl w:val="0"/>
          <w:numId w:val="32"/>
        </w:numPr>
        <w:spacing w:before="120" w:after="120"/>
        <w:ind w:left="1195" w:hanging="475"/>
        <w:jc w:val="both"/>
        <w:rPr>
          <w:lang w:val="en-US"/>
        </w:rPr>
      </w:pPr>
      <w:r w:rsidRPr="00124DA6">
        <w:rPr>
          <w:lang w:val="en-US"/>
        </w:rPr>
        <w:t>61</w:t>
      </w:r>
      <w:r w:rsidR="00B879DF" w:rsidRPr="00124DA6">
        <w:rPr>
          <w:lang w:val="en-US"/>
        </w:rPr>
        <w:t xml:space="preserve"> percent</w:t>
      </w:r>
      <w:r w:rsidRPr="00124DA6">
        <w:rPr>
          <w:lang w:val="en-US"/>
        </w:rPr>
        <w:t xml:space="preserve"> have saved money in the past year</w:t>
      </w:r>
      <w:r w:rsidR="00C40665">
        <w:rPr>
          <w:lang w:val="en-US"/>
        </w:rPr>
        <w:t>;</w:t>
      </w:r>
    </w:p>
    <w:p w14:paraId="77AE88FE" w14:textId="571A842E" w:rsidR="00102FE0" w:rsidRPr="00124DA6" w:rsidRDefault="00102FE0" w:rsidP="005671FB">
      <w:pPr>
        <w:pStyle w:val="NoSpacing"/>
        <w:numPr>
          <w:ilvl w:val="0"/>
          <w:numId w:val="32"/>
        </w:numPr>
        <w:spacing w:before="120" w:after="120"/>
        <w:ind w:left="1195" w:hanging="475"/>
        <w:jc w:val="both"/>
        <w:rPr>
          <w:lang w:val="en-US"/>
        </w:rPr>
      </w:pPr>
      <w:r w:rsidRPr="00124DA6">
        <w:rPr>
          <w:lang w:val="en-US"/>
        </w:rPr>
        <w:t>37</w:t>
      </w:r>
      <w:r w:rsidR="00B879DF" w:rsidRPr="00124DA6">
        <w:rPr>
          <w:lang w:val="en-US"/>
        </w:rPr>
        <w:t xml:space="preserve"> percent</w:t>
      </w:r>
      <w:r w:rsidRPr="00124DA6">
        <w:rPr>
          <w:lang w:val="en-US"/>
        </w:rPr>
        <w:t xml:space="preserve"> saved through tontines</w:t>
      </w:r>
      <w:r w:rsidR="00C40665">
        <w:rPr>
          <w:lang w:val="en-US"/>
        </w:rPr>
        <w:t>;</w:t>
      </w:r>
    </w:p>
    <w:p w14:paraId="7DCA752D" w14:textId="77777777" w:rsidR="00102FE0" w:rsidRPr="00124DA6" w:rsidRDefault="00102FE0" w:rsidP="005671FB">
      <w:pPr>
        <w:pStyle w:val="NoSpacing"/>
        <w:numPr>
          <w:ilvl w:val="0"/>
          <w:numId w:val="32"/>
        </w:numPr>
        <w:spacing w:before="120" w:after="120"/>
        <w:ind w:left="1195" w:hanging="475"/>
        <w:jc w:val="both"/>
        <w:rPr>
          <w:lang w:val="en-US"/>
        </w:rPr>
      </w:pPr>
      <w:r w:rsidRPr="00124DA6">
        <w:rPr>
          <w:lang w:val="en-US"/>
        </w:rPr>
        <w:t>17</w:t>
      </w:r>
      <w:r w:rsidR="00B879DF" w:rsidRPr="00124DA6">
        <w:rPr>
          <w:lang w:val="en-US"/>
        </w:rPr>
        <w:t xml:space="preserve"> percent</w:t>
      </w:r>
      <w:r w:rsidRPr="00124DA6">
        <w:rPr>
          <w:lang w:val="en-US"/>
        </w:rPr>
        <w:t xml:space="preserve"> have saved to start</w:t>
      </w:r>
      <w:r w:rsidR="0045268A" w:rsidRPr="00124DA6">
        <w:rPr>
          <w:lang w:val="en-US"/>
        </w:rPr>
        <w:t xml:space="preserve"> and</w:t>
      </w:r>
      <w:r w:rsidRPr="00124DA6">
        <w:rPr>
          <w:lang w:val="en-US"/>
        </w:rPr>
        <w:t xml:space="preserve"> develop an income-generating activity.</w:t>
      </w:r>
    </w:p>
    <w:p w14:paraId="5AFE37C2" w14:textId="77777777" w:rsidR="00102FE0" w:rsidRPr="00124DA6" w:rsidRDefault="00102FE0" w:rsidP="00102FE0">
      <w:pPr>
        <w:pStyle w:val="NoSpacing"/>
        <w:jc w:val="both"/>
        <w:rPr>
          <w:lang w:val="en-US"/>
        </w:rPr>
      </w:pPr>
    </w:p>
    <w:p w14:paraId="65ADE36B" w14:textId="3656A6B4" w:rsidR="00102FE0" w:rsidRPr="00124DA6" w:rsidRDefault="00102FE0" w:rsidP="005671FB">
      <w:pPr>
        <w:pStyle w:val="ListParagraph"/>
        <w:numPr>
          <w:ilvl w:val="0"/>
          <w:numId w:val="47"/>
        </w:numPr>
        <w:spacing w:after="240" w:line="240" w:lineRule="auto"/>
        <w:ind w:left="0" w:firstLine="0"/>
        <w:contextualSpacing w:val="0"/>
        <w:jc w:val="both"/>
        <w:rPr>
          <w:lang w:val="en-US"/>
        </w:rPr>
      </w:pPr>
      <w:r w:rsidRPr="00124DA6">
        <w:rPr>
          <w:b/>
          <w:lang w:val="en-US"/>
        </w:rPr>
        <w:t>The results of the survey show that tontines seem to play a central role in mobilizing people</w:t>
      </w:r>
      <w:r w:rsidR="00141BD7">
        <w:rPr>
          <w:b/>
          <w:lang w:val="en-US"/>
        </w:rPr>
        <w:t>’</w:t>
      </w:r>
      <w:r w:rsidRPr="00124DA6">
        <w:rPr>
          <w:b/>
          <w:lang w:val="en-US"/>
        </w:rPr>
        <w:t>s savings.</w:t>
      </w:r>
      <w:r w:rsidRPr="00124DA6">
        <w:rPr>
          <w:lang w:val="en-US"/>
        </w:rPr>
        <w:t xml:space="preserve"> </w:t>
      </w:r>
      <w:r w:rsidR="00B879DF" w:rsidRPr="00124DA6">
        <w:rPr>
          <w:lang w:val="en-US"/>
        </w:rPr>
        <w:t>T</w:t>
      </w:r>
      <w:r w:rsidRPr="00124DA6">
        <w:rPr>
          <w:lang w:val="en-US"/>
        </w:rPr>
        <w:t>o meet their financial needs, Beninese are just as active in the formal sector services as in the informal sector. In 2015, a study commissioned by the UNCDF</w:t>
      </w:r>
      <w:r w:rsidR="00C702B4">
        <w:rPr>
          <w:lang w:val="en-US"/>
        </w:rPr>
        <w:t> </w:t>
      </w:r>
      <w:r w:rsidRPr="00124DA6">
        <w:rPr>
          <w:lang w:val="en-US"/>
        </w:rPr>
        <w:t>MM4P program was conducted in Benin by Intermedia. This study conducted between December 2015 and February 2016, covering a sample of 3,042 Beninese age</w:t>
      </w:r>
      <w:r w:rsidR="0045268A" w:rsidRPr="00124DA6">
        <w:rPr>
          <w:lang w:val="en-US"/>
        </w:rPr>
        <w:t>s</w:t>
      </w:r>
      <w:r w:rsidRPr="00124DA6">
        <w:rPr>
          <w:lang w:val="en-US"/>
        </w:rPr>
        <w:t xml:space="preserve"> over 15, shows th</w:t>
      </w:r>
      <w:r w:rsidR="00FE0EB1" w:rsidRPr="00124DA6">
        <w:rPr>
          <w:lang w:val="en-US"/>
        </w:rPr>
        <w:t>e following</w:t>
      </w:r>
      <w:r w:rsidRPr="00124DA6">
        <w:rPr>
          <w:lang w:val="en-US"/>
        </w:rPr>
        <w:t>:</w:t>
      </w:r>
    </w:p>
    <w:p w14:paraId="5AFA66D2" w14:textId="77777777" w:rsidR="00102FE0" w:rsidRPr="00124DA6" w:rsidRDefault="00FE0EB1" w:rsidP="005671FB">
      <w:pPr>
        <w:pStyle w:val="NoSpacing"/>
        <w:numPr>
          <w:ilvl w:val="0"/>
          <w:numId w:val="32"/>
        </w:numPr>
        <w:spacing w:before="120" w:after="120"/>
        <w:ind w:left="1195" w:hanging="475"/>
        <w:jc w:val="both"/>
        <w:rPr>
          <w:lang w:val="en-US"/>
        </w:rPr>
      </w:pPr>
      <w:r w:rsidRPr="00124DA6">
        <w:rPr>
          <w:lang w:val="en-US"/>
        </w:rPr>
        <w:t>M</w:t>
      </w:r>
      <w:r w:rsidR="00102FE0" w:rsidRPr="00124DA6">
        <w:rPr>
          <w:lang w:val="en-US"/>
        </w:rPr>
        <w:t>ost of the savings and credit practices of the population go through informal financial mechanisms</w:t>
      </w:r>
      <w:r w:rsidRPr="00124DA6">
        <w:rPr>
          <w:lang w:val="en-US"/>
        </w:rPr>
        <w:t>.</w:t>
      </w:r>
    </w:p>
    <w:p w14:paraId="53477628" w14:textId="5F643B5F" w:rsidR="00102FE0" w:rsidRPr="00124DA6" w:rsidRDefault="00FE0EB1" w:rsidP="005671FB">
      <w:pPr>
        <w:pStyle w:val="NoSpacing"/>
        <w:numPr>
          <w:ilvl w:val="0"/>
          <w:numId w:val="32"/>
        </w:numPr>
        <w:spacing w:before="120" w:after="120"/>
        <w:ind w:left="1195" w:hanging="475"/>
        <w:jc w:val="both"/>
        <w:rPr>
          <w:lang w:val="en-US"/>
        </w:rPr>
      </w:pPr>
      <w:r w:rsidRPr="00124DA6">
        <w:rPr>
          <w:lang w:val="en-US"/>
        </w:rPr>
        <w:t>T</w:t>
      </w:r>
      <w:r w:rsidR="00102FE0" w:rsidRPr="00124DA6">
        <w:rPr>
          <w:lang w:val="en-US"/>
        </w:rPr>
        <w:t xml:space="preserve">he financial mechanisms available in the informal sector are used more than those in the formal sector, more </w:t>
      </w:r>
      <w:r w:rsidR="00990870">
        <w:rPr>
          <w:lang w:val="en-US"/>
        </w:rPr>
        <w:t>because of practice</w:t>
      </w:r>
      <w:r w:rsidR="00990870" w:rsidRPr="00124DA6">
        <w:rPr>
          <w:lang w:val="en-US"/>
        </w:rPr>
        <w:t xml:space="preserve"> </w:t>
      </w:r>
      <w:r w:rsidR="00102FE0" w:rsidRPr="00124DA6">
        <w:rPr>
          <w:lang w:val="en-US"/>
        </w:rPr>
        <w:t>and proximity than by preference;</w:t>
      </w:r>
    </w:p>
    <w:p w14:paraId="778CBDA3" w14:textId="48FA007E" w:rsidR="00102FE0" w:rsidRPr="00124DA6" w:rsidRDefault="00FE0EB1" w:rsidP="005671FB">
      <w:pPr>
        <w:pStyle w:val="NoSpacing"/>
        <w:numPr>
          <w:ilvl w:val="0"/>
          <w:numId w:val="32"/>
        </w:numPr>
        <w:spacing w:before="120" w:after="120"/>
        <w:ind w:left="1195" w:hanging="475"/>
        <w:jc w:val="both"/>
        <w:rPr>
          <w:lang w:val="en-US"/>
        </w:rPr>
      </w:pPr>
      <w:r w:rsidRPr="00124DA6">
        <w:rPr>
          <w:lang w:val="en-US"/>
        </w:rPr>
        <w:t>A</w:t>
      </w:r>
      <w:r w:rsidR="00102FE0" w:rsidRPr="00124DA6">
        <w:rPr>
          <w:lang w:val="en-US"/>
        </w:rPr>
        <w:t xml:space="preserve"> large </w:t>
      </w:r>
      <w:r w:rsidR="00A31562">
        <w:rPr>
          <w:lang w:val="en-US"/>
        </w:rPr>
        <w:t>part of the</w:t>
      </w:r>
      <w:r w:rsidR="00A31562" w:rsidRPr="00124DA6">
        <w:rPr>
          <w:lang w:val="en-US"/>
        </w:rPr>
        <w:t xml:space="preserve"> </w:t>
      </w:r>
      <w:r w:rsidR="00102FE0" w:rsidRPr="00124DA6">
        <w:rPr>
          <w:lang w:val="en-US"/>
        </w:rPr>
        <w:t xml:space="preserve">Beninese </w:t>
      </w:r>
      <w:r w:rsidR="00A31562">
        <w:rPr>
          <w:lang w:val="en-US"/>
        </w:rPr>
        <w:t xml:space="preserve">population is </w:t>
      </w:r>
      <w:r w:rsidR="00102FE0" w:rsidRPr="00124DA6">
        <w:rPr>
          <w:lang w:val="en-US"/>
        </w:rPr>
        <w:t>financially active while not having accounts in a financial institution, which illustrates a certain interest for the financial mechanisms, while highlighting a gap between the supply of services of the formal financial sector and the demand;</w:t>
      </w:r>
    </w:p>
    <w:p w14:paraId="6D53FFA3" w14:textId="77777777" w:rsidR="00102FE0" w:rsidRPr="00124DA6" w:rsidRDefault="00102FE0" w:rsidP="005671FB">
      <w:pPr>
        <w:pStyle w:val="NoSpacing"/>
        <w:numPr>
          <w:ilvl w:val="0"/>
          <w:numId w:val="32"/>
        </w:numPr>
        <w:spacing w:before="120" w:after="120"/>
        <w:ind w:left="1195" w:hanging="475"/>
        <w:jc w:val="both"/>
        <w:rPr>
          <w:lang w:val="en-US"/>
        </w:rPr>
      </w:pPr>
      <w:r w:rsidRPr="00124DA6">
        <w:rPr>
          <w:lang w:val="en-US"/>
        </w:rPr>
        <w:t xml:space="preserve">There is an evolving process in the use of financial services (formal and informal), based on need, that leads to financial inclusion. Through this process, and based on their needs, populations begin by using the services of informal tontines, and then, as their capital increases, they find themselves resorting to the services of </w:t>
      </w:r>
      <w:r w:rsidR="00231583" w:rsidRPr="00124DA6">
        <w:rPr>
          <w:lang w:val="en-US"/>
        </w:rPr>
        <w:t>MFI</w:t>
      </w:r>
      <w:r w:rsidR="00FE0EB1" w:rsidRPr="00124DA6">
        <w:rPr>
          <w:lang w:val="en-US"/>
        </w:rPr>
        <w:t>s</w:t>
      </w:r>
      <w:r w:rsidRPr="00124DA6">
        <w:rPr>
          <w:lang w:val="en-US"/>
        </w:rPr>
        <w:t xml:space="preserve"> and </w:t>
      </w:r>
      <w:r w:rsidR="00FE0EB1" w:rsidRPr="00124DA6">
        <w:rPr>
          <w:lang w:val="en-US"/>
        </w:rPr>
        <w:t xml:space="preserve">finally </w:t>
      </w:r>
      <w:r w:rsidRPr="00124DA6">
        <w:rPr>
          <w:lang w:val="en-US"/>
        </w:rPr>
        <w:t>end up in the banking sector;</w:t>
      </w:r>
    </w:p>
    <w:p w14:paraId="4A82FFEF" w14:textId="43872CDD" w:rsidR="00102FE0" w:rsidRPr="00124DA6" w:rsidRDefault="00FE0EB1" w:rsidP="005671FB">
      <w:pPr>
        <w:pStyle w:val="NoSpacing"/>
        <w:numPr>
          <w:ilvl w:val="0"/>
          <w:numId w:val="32"/>
        </w:numPr>
        <w:spacing w:before="120" w:after="120"/>
        <w:ind w:left="1195" w:hanging="475"/>
        <w:jc w:val="both"/>
        <w:rPr>
          <w:lang w:val="en-US"/>
        </w:rPr>
      </w:pPr>
      <w:r w:rsidRPr="00124DA6">
        <w:rPr>
          <w:lang w:val="en-US"/>
        </w:rPr>
        <w:t>P</w:t>
      </w:r>
      <w:r w:rsidR="00102FE0" w:rsidRPr="00124DA6">
        <w:rPr>
          <w:lang w:val="en-US"/>
        </w:rPr>
        <w:t xml:space="preserve">eople who are financially included </w:t>
      </w:r>
      <w:r w:rsidR="00990870">
        <w:rPr>
          <w:lang w:val="en-US"/>
        </w:rPr>
        <w:t>have a higher level of education</w:t>
      </w:r>
      <w:r w:rsidR="00102FE0" w:rsidRPr="00124DA6">
        <w:rPr>
          <w:lang w:val="en-US"/>
        </w:rPr>
        <w:t xml:space="preserve">, </w:t>
      </w:r>
      <w:r w:rsidR="00990870">
        <w:rPr>
          <w:lang w:val="en-US"/>
        </w:rPr>
        <w:t>dwell</w:t>
      </w:r>
      <w:r w:rsidR="00990870" w:rsidRPr="00124DA6">
        <w:rPr>
          <w:lang w:val="en-US"/>
        </w:rPr>
        <w:t xml:space="preserve"> </w:t>
      </w:r>
      <w:r w:rsidR="00102FE0" w:rsidRPr="00124DA6">
        <w:rPr>
          <w:lang w:val="en-US"/>
        </w:rPr>
        <w:t>in urban areas</w:t>
      </w:r>
      <w:r w:rsidRPr="00124DA6">
        <w:rPr>
          <w:lang w:val="en-US"/>
        </w:rPr>
        <w:t>,</w:t>
      </w:r>
      <w:r w:rsidR="00102FE0" w:rsidRPr="00124DA6">
        <w:rPr>
          <w:lang w:val="en-US"/>
        </w:rPr>
        <w:t xml:space="preserve"> and are mostly formal sector employees.</w:t>
      </w:r>
    </w:p>
    <w:p w14:paraId="1EA14712" w14:textId="77777777" w:rsidR="00102FE0" w:rsidRPr="0063662C" w:rsidRDefault="00102FE0" w:rsidP="00B879DF">
      <w:pPr>
        <w:spacing w:after="240" w:line="240" w:lineRule="auto"/>
        <w:rPr>
          <w:rFonts w:asciiTheme="majorHAnsi" w:hAnsiTheme="majorHAnsi" w:cstheme="majorHAnsi"/>
          <w:b/>
          <w:color w:val="2E74B5" w:themeColor="accent1" w:themeShade="BF"/>
          <w:lang w:val="en-US"/>
        </w:rPr>
      </w:pPr>
      <w:r w:rsidRPr="0063662C">
        <w:rPr>
          <w:rFonts w:asciiTheme="majorHAnsi" w:hAnsiTheme="majorHAnsi" w:cstheme="majorHAnsi"/>
          <w:b/>
          <w:color w:val="2E74B5" w:themeColor="accent1" w:themeShade="BF"/>
          <w:lang w:val="en-US"/>
        </w:rPr>
        <w:t xml:space="preserve">The </w:t>
      </w:r>
      <w:r w:rsidR="00B879DF" w:rsidRPr="0063662C">
        <w:rPr>
          <w:rFonts w:asciiTheme="majorHAnsi" w:hAnsiTheme="majorHAnsi" w:cstheme="majorHAnsi"/>
          <w:b/>
          <w:color w:val="2E74B5" w:themeColor="accent1" w:themeShade="BF"/>
          <w:lang w:val="en-US"/>
        </w:rPr>
        <w:t>N</w:t>
      </w:r>
      <w:r w:rsidRPr="0063662C">
        <w:rPr>
          <w:rFonts w:asciiTheme="majorHAnsi" w:hAnsiTheme="majorHAnsi" w:cstheme="majorHAnsi"/>
          <w:b/>
          <w:color w:val="2E74B5" w:themeColor="accent1" w:themeShade="BF"/>
          <w:lang w:val="en-US"/>
        </w:rPr>
        <w:t xml:space="preserve">eeds of the Beninese in </w:t>
      </w:r>
      <w:r w:rsidR="00B879DF" w:rsidRPr="0063662C">
        <w:rPr>
          <w:rFonts w:asciiTheme="majorHAnsi" w:hAnsiTheme="majorHAnsi" w:cstheme="majorHAnsi"/>
          <w:b/>
          <w:color w:val="2E74B5" w:themeColor="accent1" w:themeShade="BF"/>
          <w:lang w:val="en-US"/>
        </w:rPr>
        <w:t>T</w:t>
      </w:r>
      <w:r w:rsidRPr="0063662C">
        <w:rPr>
          <w:rFonts w:asciiTheme="majorHAnsi" w:hAnsiTheme="majorHAnsi" w:cstheme="majorHAnsi"/>
          <w:b/>
          <w:color w:val="2E74B5" w:themeColor="accent1" w:themeShade="BF"/>
          <w:lang w:val="en-US"/>
        </w:rPr>
        <w:t xml:space="preserve">erms of </w:t>
      </w:r>
      <w:r w:rsidR="00B879DF" w:rsidRPr="0063662C">
        <w:rPr>
          <w:rFonts w:asciiTheme="majorHAnsi" w:hAnsiTheme="majorHAnsi" w:cstheme="majorHAnsi"/>
          <w:b/>
          <w:color w:val="2E74B5" w:themeColor="accent1" w:themeShade="BF"/>
          <w:lang w:val="en-US"/>
        </w:rPr>
        <w:t>D</w:t>
      </w:r>
      <w:r w:rsidRPr="0063662C">
        <w:rPr>
          <w:rFonts w:asciiTheme="majorHAnsi" w:hAnsiTheme="majorHAnsi" w:cstheme="majorHAnsi"/>
          <w:b/>
          <w:color w:val="2E74B5" w:themeColor="accent1" w:themeShade="BF"/>
          <w:lang w:val="en-US"/>
        </w:rPr>
        <w:t xml:space="preserve">igital </w:t>
      </w:r>
      <w:r w:rsidR="00B879DF" w:rsidRPr="0063662C">
        <w:rPr>
          <w:rFonts w:asciiTheme="majorHAnsi" w:hAnsiTheme="majorHAnsi" w:cstheme="majorHAnsi"/>
          <w:b/>
          <w:color w:val="2E74B5" w:themeColor="accent1" w:themeShade="BF"/>
          <w:lang w:val="en-US"/>
        </w:rPr>
        <w:t>F</w:t>
      </w:r>
      <w:r w:rsidRPr="0063662C">
        <w:rPr>
          <w:rFonts w:asciiTheme="majorHAnsi" w:hAnsiTheme="majorHAnsi" w:cstheme="majorHAnsi"/>
          <w:b/>
          <w:color w:val="2E74B5" w:themeColor="accent1" w:themeShade="BF"/>
          <w:lang w:val="en-US"/>
        </w:rPr>
        <w:t xml:space="preserve">inancial </w:t>
      </w:r>
      <w:r w:rsidR="00B879DF" w:rsidRPr="0063662C">
        <w:rPr>
          <w:rFonts w:asciiTheme="majorHAnsi" w:hAnsiTheme="majorHAnsi" w:cstheme="majorHAnsi"/>
          <w:b/>
          <w:color w:val="2E74B5" w:themeColor="accent1" w:themeShade="BF"/>
          <w:lang w:val="en-US"/>
        </w:rPr>
        <w:t>S</w:t>
      </w:r>
      <w:r w:rsidRPr="0063662C">
        <w:rPr>
          <w:rFonts w:asciiTheme="majorHAnsi" w:hAnsiTheme="majorHAnsi" w:cstheme="majorHAnsi"/>
          <w:b/>
          <w:color w:val="2E74B5" w:themeColor="accent1" w:themeShade="BF"/>
          <w:lang w:val="en-US"/>
        </w:rPr>
        <w:t>ervices</w:t>
      </w:r>
    </w:p>
    <w:p w14:paraId="2C304FD0" w14:textId="77777777" w:rsidR="00102FE0" w:rsidRPr="00124DA6" w:rsidRDefault="008F6E0A" w:rsidP="0063662C">
      <w:pPr>
        <w:pStyle w:val="ListParagraph"/>
        <w:numPr>
          <w:ilvl w:val="0"/>
          <w:numId w:val="47"/>
        </w:numPr>
        <w:spacing w:after="240" w:line="240" w:lineRule="auto"/>
        <w:ind w:left="0" w:firstLine="0"/>
        <w:contextualSpacing w:val="0"/>
        <w:jc w:val="both"/>
        <w:rPr>
          <w:lang w:val="en-US"/>
        </w:rPr>
      </w:pPr>
      <w:r w:rsidRPr="00124DA6">
        <w:rPr>
          <w:b/>
          <w:lang w:val="en-US"/>
        </w:rPr>
        <w:t>N</w:t>
      </w:r>
      <w:r w:rsidR="00102FE0" w:rsidRPr="00124DA6">
        <w:rPr>
          <w:b/>
          <w:lang w:val="en-US"/>
        </w:rPr>
        <w:t>eeds of the Beninese for digi</w:t>
      </w:r>
      <w:r w:rsidRPr="00124DA6">
        <w:rPr>
          <w:b/>
          <w:lang w:val="en-US"/>
        </w:rPr>
        <w:t xml:space="preserve">tal financial services are highlighted by </w:t>
      </w:r>
      <w:proofErr w:type="spellStart"/>
      <w:r w:rsidR="00102FE0" w:rsidRPr="00124DA6">
        <w:rPr>
          <w:b/>
          <w:lang w:val="en-US"/>
        </w:rPr>
        <w:t>Intermédia’s</w:t>
      </w:r>
      <w:proofErr w:type="spellEnd"/>
      <w:r w:rsidR="00102FE0" w:rsidRPr="00124DA6">
        <w:rPr>
          <w:b/>
          <w:lang w:val="en-US"/>
        </w:rPr>
        <w:t xml:space="preserve"> study</w:t>
      </w:r>
      <w:r w:rsidR="00831374">
        <w:rPr>
          <w:b/>
          <w:lang w:val="en-US"/>
        </w:rPr>
        <w:t>:</w:t>
      </w:r>
      <w:r w:rsidR="00831374">
        <w:rPr>
          <w:rStyle w:val="FootnoteReference"/>
          <w:b/>
          <w:lang w:val="en-US"/>
        </w:rPr>
        <w:footnoteReference w:id="16"/>
      </w:r>
    </w:p>
    <w:p w14:paraId="5472A2F9" w14:textId="77777777" w:rsidR="00102FE0" w:rsidRPr="00124DA6" w:rsidRDefault="00FE0EB1" w:rsidP="0063662C">
      <w:pPr>
        <w:pStyle w:val="NoSpacing"/>
        <w:numPr>
          <w:ilvl w:val="0"/>
          <w:numId w:val="32"/>
        </w:numPr>
        <w:spacing w:before="120" w:after="120"/>
        <w:ind w:left="1195" w:hanging="475"/>
        <w:jc w:val="both"/>
        <w:rPr>
          <w:lang w:val="en-US"/>
        </w:rPr>
      </w:pPr>
      <w:r w:rsidRPr="00124DA6">
        <w:rPr>
          <w:lang w:val="en-US"/>
        </w:rPr>
        <w:t>P</w:t>
      </w:r>
      <w:r w:rsidR="00102FE0" w:rsidRPr="00124DA6">
        <w:rPr>
          <w:lang w:val="en-US"/>
        </w:rPr>
        <w:t>eople who are more knowledgeable about financial products combine the value proposition of mobile money and digital financial services with the consumers’ needs: (speed, ease of transferring money, low fees</w:t>
      </w:r>
      <w:r w:rsidRPr="00124DA6">
        <w:rPr>
          <w:lang w:val="en-US"/>
        </w:rPr>
        <w:t>,</w:t>
      </w:r>
      <w:r w:rsidR="00102FE0" w:rsidRPr="00124DA6">
        <w:rPr>
          <w:lang w:val="en-US"/>
        </w:rPr>
        <w:t xml:space="preserve"> and low deposit requirements)</w:t>
      </w:r>
      <w:r w:rsidRPr="00124DA6">
        <w:rPr>
          <w:lang w:val="en-US"/>
        </w:rPr>
        <w:t>.</w:t>
      </w:r>
    </w:p>
    <w:p w14:paraId="4CE2FE14" w14:textId="77777777" w:rsidR="00102FE0" w:rsidRPr="00124DA6" w:rsidRDefault="00FE0EB1" w:rsidP="0063662C">
      <w:pPr>
        <w:pStyle w:val="NoSpacing"/>
        <w:numPr>
          <w:ilvl w:val="0"/>
          <w:numId w:val="32"/>
        </w:numPr>
        <w:spacing w:before="120" w:after="120"/>
        <w:ind w:left="1195" w:hanging="475"/>
        <w:jc w:val="both"/>
        <w:rPr>
          <w:lang w:val="en-US"/>
        </w:rPr>
      </w:pPr>
      <w:r w:rsidRPr="00124DA6">
        <w:rPr>
          <w:lang w:val="en-US"/>
        </w:rPr>
        <w:t>T</w:t>
      </w:r>
      <w:r w:rsidR="00102FE0" w:rsidRPr="00124DA6">
        <w:rPr>
          <w:lang w:val="en-US"/>
        </w:rPr>
        <w:t>he lack of information channels (especially in peri-urban and rural areas) represents a challenge to increasing awareness and knowledge of digital financial services</w:t>
      </w:r>
      <w:r w:rsidRPr="00124DA6">
        <w:rPr>
          <w:lang w:val="en-US"/>
        </w:rPr>
        <w:t>.</w:t>
      </w:r>
    </w:p>
    <w:p w14:paraId="3B3A1404" w14:textId="33D0F3C0" w:rsidR="00102FE0" w:rsidRPr="00124DA6" w:rsidRDefault="00102FE0" w:rsidP="0063662C">
      <w:pPr>
        <w:pStyle w:val="NoSpacing"/>
        <w:numPr>
          <w:ilvl w:val="0"/>
          <w:numId w:val="32"/>
        </w:numPr>
        <w:spacing w:before="120" w:after="120"/>
        <w:ind w:left="1195" w:hanging="475"/>
        <w:jc w:val="both"/>
        <w:rPr>
          <w:lang w:val="en-US"/>
        </w:rPr>
      </w:pPr>
      <w:r w:rsidRPr="00124DA6">
        <w:rPr>
          <w:lang w:val="en-US"/>
        </w:rPr>
        <w:t xml:space="preserve">Consumers have three types of needs </w:t>
      </w:r>
      <w:r w:rsidR="00A00995">
        <w:rPr>
          <w:lang w:val="en-US"/>
        </w:rPr>
        <w:t>in terms of</w:t>
      </w:r>
      <w:r w:rsidR="00A00995" w:rsidRPr="00124DA6">
        <w:rPr>
          <w:lang w:val="en-US"/>
        </w:rPr>
        <w:t xml:space="preserve"> </w:t>
      </w:r>
      <w:r w:rsidRPr="00124DA6">
        <w:rPr>
          <w:lang w:val="en-US"/>
        </w:rPr>
        <w:t>digital financial services:</w:t>
      </w:r>
    </w:p>
    <w:p w14:paraId="3E1EB39F" w14:textId="3DDD6F36" w:rsidR="00102FE0" w:rsidRPr="00124DA6" w:rsidRDefault="00A00995" w:rsidP="0063662C">
      <w:pPr>
        <w:pStyle w:val="ListParagraph"/>
        <w:numPr>
          <w:ilvl w:val="1"/>
          <w:numId w:val="34"/>
        </w:numPr>
        <w:spacing w:before="120" w:after="120" w:line="240" w:lineRule="auto"/>
        <w:ind w:left="1670" w:hanging="475"/>
        <w:contextualSpacing w:val="0"/>
        <w:jc w:val="both"/>
        <w:rPr>
          <w:lang w:val="en-US"/>
        </w:rPr>
      </w:pPr>
      <w:r>
        <w:rPr>
          <w:lang w:val="en-US"/>
        </w:rPr>
        <w:t>A</w:t>
      </w:r>
      <w:r w:rsidR="00102FE0" w:rsidRPr="00124DA6">
        <w:rPr>
          <w:lang w:val="en-US"/>
        </w:rPr>
        <w:t>ccess to financial services that are easy to use and correspond to their cognitive abilities and that they feel comfortable with</w:t>
      </w:r>
    </w:p>
    <w:p w14:paraId="3ADDB041" w14:textId="730047FA" w:rsidR="00102FE0" w:rsidRPr="00BB482A" w:rsidRDefault="00A00995" w:rsidP="0063662C">
      <w:pPr>
        <w:pStyle w:val="ListParagraph"/>
        <w:numPr>
          <w:ilvl w:val="1"/>
          <w:numId w:val="34"/>
        </w:numPr>
        <w:spacing w:before="120" w:after="120" w:line="240" w:lineRule="auto"/>
        <w:ind w:left="1670" w:hanging="475"/>
        <w:contextualSpacing w:val="0"/>
        <w:jc w:val="both"/>
        <w:rPr>
          <w:lang w:val="en-US"/>
        </w:rPr>
      </w:pPr>
      <w:r>
        <w:rPr>
          <w:lang w:val="en-US"/>
        </w:rPr>
        <w:t>Access to s</w:t>
      </w:r>
      <w:r w:rsidR="00102FE0" w:rsidRPr="00124DA6">
        <w:rPr>
          <w:lang w:val="en-US"/>
        </w:rPr>
        <w:t>avings, loans, money transfer, deposit/</w:t>
      </w:r>
      <w:r w:rsidR="00102FE0" w:rsidRPr="00BB482A">
        <w:rPr>
          <w:lang w:val="en-US"/>
        </w:rPr>
        <w:t>withdrawal at will and in a way that contributes to the growth of their income-generating activities</w:t>
      </w:r>
      <w:r w:rsidR="00D03809" w:rsidRPr="00BB482A">
        <w:rPr>
          <w:lang w:val="en-US"/>
        </w:rPr>
        <w:t>,</w:t>
      </w:r>
      <w:r w:rsidR="00102FE0" w:rsidRPr="00BB482A">
        <w:rPr>
          <w:lang w:val="en-US"/>
        </w:rPr>
        <w:t xml:space="preserve"> as well as payments</w:t>
      </w:r>
    </w:p>
    <w:p w14:paraId="65BF911E" w14:textId="4E1E935C" w:rsidR="00102FE0" w:rsidRPr="00124DA6" w:rsidRDefault="00A00995" w:rsidP="0063662C">
      <w:pPr>
        <w:pStyle w:val="ListParagraph"/>
        <w:numPr>
          <w:ilvl w:val="1"/>
          <w:numId w:val="34"/>
        </w:numPr>
        <w:spacing w:before="120" w:after="120" w:line="240" w:lineRule="auto"/>
        <w:ind w:left="1670" w:hanging="475"/>
        <w:contextualSpacing w:val="0"/>
        <w:jc w:val="both"/>
        <w:rPr>
          <w:lang w:val="en-US"/>
        </w:rPr>
      </w:pPr>
      <w:r>
        <w:rPr>
          <w:lang w:val="en-US"/>
        </w:rPr>
        <w:t>Access to f</w:t>
      </w:r>
      <w:r w:rsidR="00102FE0" w:rsidRPr="00124DA6">
        <w:rPr>
          <w:lang w:val="en-US"/>
        </w:rPr>
        <w:t>inancial products that are adapted to their income and financial capabilities and that offer customer service for assistance during the first customer experiences with the product</w:t>
      </w:r>
    </w:p>
    <w:p w14:paraId="053DE6DA" w14:textId="77777777" w:rsidR="00102FE0" w:rsidRPr="00124DA6" w:rsidRDefault="00102FE0" w:rsidP="00AD34F4">
      <w:pPr>
        <w:pStyle w:val="NoSpacing"/>
        <w:keepNext/>
        <w:spacing w:after="240"/>
        <w:rPr>
          <w:b/>
          <w:lang w:val="en-US"/>
        </w:rPr>
      </w:pPr>
      <w:r w:rsidRPr="00124DA6">
        <w:rPr>
          <w:b/>
          <w:lang w:val="en-US"/>
        </w:rPr>
        <w:t xml:space="preserve">Recommendations: </w:t>
      </w:r>
    </w:p>
    <w:p w14:paraId="32CDEB06" w14:textId="09CF51DB" w:rsidR="00102FE0" w:rsidRPr="00124DA6" w:rsidRDefault="00102FE0" w:rsidP="007414AC">
      <w:pPr>
        <w:pStyle w:val="NoSpacing"/>
        <w:numPr>
          <w:ilvl w:val="0"/>
          <w:numId w:val="32"/>
        </w:numPr>
        <w:spacing w:after="240"/>
        <w:ind w:left="1195" w:hanging="475"/>
        <w:jc w:val="both"/>
        <w:rPr>
          <w:lang w:val="en-US"/>
        </w:rPr>
      </w:pPr>
      <w:r w:rsidRPr="00124DA6">
        <w:rPr>
          <w:lang w:val="en-US"/>
        </w:rPr>
        <w:t xml:space="preserve">Develop financial literacy campaigns using local languages with </w:t>
      </w:r>
      <w:proofErr w:type="gramStart"/>
      <w:r w:rsidRPr="00124DA6">
        <w:rPr>
          <w:lang w:val="en-US"/>
        </w:rPr>
        <w:t>particular emphasis</w:t>
      </w:r>
      <w:proofErr w:type="gramEnd"/>
      <w:r w:rsidRPr="00124DA6">
        <w:rPr>
          <w:lang w:val="en-US"/>
        </w:rPr>
        <w:t xml:space="preserve"> on digital finance and its value proposition. Financial education campaigns should target</w:t>
      </w:r>
      <w:proofErr w:type="gramStart"/>
      <w:r w:rsidRPr="00124DA6">
        <w:rPr>
          <w:lang w:val="en-US"/>
        </w:rPr>
        <w:t>, in particular, the</w:t>
      </w:r>
      <w:proofErr w:type="gramEnd"/>
      <w:r w:rsidRPr="00124DA6">
        <w:rPr>
          <w:lang w:val="en-US"/>
        </w:rPr>
        <w:t xml:space="preserve"> users of informal tontines. </w:t>
      </w:r>
      <w:r w:rsidR="00A00995">
        <w:rPr>
          <w:lang w:val="en-US"/>
        </w:rPr>
        <w:t>A</w:t>
      </w:r>
      <w:r w:rsidRPr="00124DA6">
        <w:rPr>
          <w:lang w:val="en-US"/>
        </w:rPr>
        <w:t>ctors</w:t>
      </w:r>
      <w:r w:rsidR="00A00995">
        <w:rPr>
          <w:lang w:val="en-US"/>
        </w:rPr>
        <w:t xml:space="preserve"> that could contribute</w:t>
      </w:r>
      <w:r w:rsidRPr="00124DA6">
        <w:rPr>
          <w:lang w:val="en-US"/>
        </w:rPr>
        <w:t xml:space="preserve"> to the development of the financial education campaign </w:t>
      </w:r>
      <w:r w:rsidR="00A00995">
        <w:rPr>
          <w:lang w:val="en-US"/>
        </w:rPr>
        <w:t>include</w:t>
      </w:r>
      <w:r w:rsidR="00A00995" w:rsidRPr="00124DA6">
        <w:rPr>
          <w:lang w:val="en-US"/>
        </w:rPr>
        <w:t xml:space="preserve"> </w:t>
      </w:r>
      <w:r w:rsidRPr="00124DA6">
        <w:rPr>
          <w:lang w:val="en-US"/>
        </w:rPr>
        <w:t xml:space="preserve">the </w:t>
      </w:r>
      <w:r w:rsidR="007706A4" w:rsidRPr="00124DA6">
        <w:rPr>
          <w:lang w:val="en-US"/>
        </w:rPr>
        <w:t>g</w:t>
      </w:r>
      <w:r w:rsidRPr="00124DA6">
        <w:rPr>
          <w:lang w:val="en-US"/>
        </w:rPr>
        <w:t xml:space="preserve">overnment, the </w:t>
      </w:r>
      <w:r w:rsidR="00762ACC" w:rsidRPr="00124DA6">
        <w:rPr>
          <w:lang w:val="en-US"/>
        </w:rPr>
        <w:t>BCEAO</w:t>
      </w:r>
      <w:r w:rsidRPr="00124DA6">
        <w:rPr>
          <w:lang w:val="en-US"/>
        </w:rPr>
        <w:t xml:space="preserve">, financial institutions (banks, </w:t>
      </w:r>
      <w:r w:rsidR="00231583" w:rsidRPr="00124DA6">
        <w:rPr>
          <w:lang w:val="en-US"/>
        </w:rPr>
        <w:t>MFI</w:t>
      </w:r>
      <w:r w:rsidR="007706A4" w:rsidRPr="00124DA6">
        <w:rPr>
          <w:lang w:val="en-US"/>
        </w:rPr>
        <w:t>s</w:t>
      </w:r>
      <w:r w:rsidRPr="00124DA6">
        <w:rPr>
          <w:lang w:val="en-US"/>
        </w:rPr>
        <w:t>, MNO</w:t>
      </w:r>
      <w:r w:rsidR="007706A4" w:rsidRPr="00124DA6">
        <w:rPr>
          <w:lang w:val="en-US"/>
        </w:rPr>
        <w:t>s</w:t>
      </w:r>
      <w:r w:rsidRPr="00124DA6">
        <w:rPr>
          <w:lang w:val="en-US"/>
        </w:rPr>
        <w:t>)</w:t>
      </w:r>
      <w:r w:rsidR="007706A4" w:rsidRPr="00124DA6">
        <w:rPr>
          <w:lang w:val="en-US"/>
        </w:rPr>
        <w:t>,</w:t>
      </w:r>
      <w:r w:rsidRPr="00124DA6">
        <w:rPr>
          <w:lang w:val="en-US"/>
        </w:rPr>
        <w:t xml:space="preserve"> and donors. The government</w:t>
      </w:r>
      <w:r w:rsidR="007706A4" w:rsidRPr="00124DA6">
        <w:rPr>
          <w:lang w:val="en-US"/>
        </w:rPr>
        <w:t>-</w:t>
      </w:r>
      <w:r w:rsidRPr="00124DA6">
        <w:rPr>
          <w:lang w:val="en-US"/>
        </w:rPr>
        <w:t xml:space="preserve">approved </w:t>
      </w:r>
      <w:proofErr w:type="spellStart"/>
      <w:r w:rsidRPr="00124DA6">
        <w:rPr>
          <w:lang w:val="en-US"/>
        </w:rPr>
        <w:t>finscope</w:t>
      </w:r>
      <w:proofErr w:type="spellEnd"/>
      <w:r w:rsidRPr="00124DA6">
        <w:rPr>
          <w:lang w:val="en-US"/>
        </w:rPr>
        <w:t xml:space="preserve"> survey, scheduled for 2018, could </w:t>
      </w:r>
      <w:r w:rsidR="00A00995">
        <w:rPr>
          <w:lang w:val="en-US"/>
        </w:rPr>
        <w:t>serve to</w:t>
      </w:r>
      <w:r w:rsidR="00A00995" w:rsidRPr="00124DA6">
        <w:rPr>
          <w:lang w:val="en-US"/>
        </w:rPr>
        <w:t xml:space="preserve"> </w:t>
      </w:r>
      <w:r w:rsidRPr="00124DA6">
        <w:rPr>
          <w:lang w:val="en-US"/>
        </w:rPr>
        <w:t>develop the financial education strategy.</w:t>
      </w:r>
    </w:p>
    <w:p w14:paraId="20BE2280" w14:textId="70AF14FF" w:rsidR="00102FE0" w:rsidRPr="00124DA6" w:rsidRDefault="00102FE0" w:rsidP="007414AC">
      <w:pPr>
        <w:pStyle w:val="NoSpacing"/>
        <w:numPr>
          <w:ilvl w:val="0"/>
          <w:numId w:val="32"/>
        </w:numPr>
        <w:spacing w:after="240"/>
        <w:ind w:left="1195" w:hanging="475"/>
        <w:jc w:val="both"/>
        <w:rPr>
          <w:lang w:val="en-US"/>
        </w:rPr>
      </w:pPr>
      <w:r w:rsidRPr="00124DA6">
        <w:rPr>
          <w:lang w:val="en-US"/>
        </w:rPr>
        <w:t xml:space="preserve">Strengthen supervision and oversight of the digital finance activity for </w:t>
      </w:r>
      <w:r w:rsidR="00A00995">
        <w:rPr>
          <w:lang w:val="en-US"/>
        </w:rPr>
        <w:t xml:space="preserve">enhanced </w:t>
      </w:r>
      <w:r w:rsidRPr="00124DA6">
        <w:rPr>
          <w:lang w:val="en-US"/>
        </w:rPr>
        <w:t>consumer protection, better management of systemic risk</w:t>
      </w:r>
      <w:r w:rsidR="007706A4" w:rsidRPr="00124DA6">
        <w:rPr>
          <w:lang w:val="en-US"/>
        </w:rPr>
        <w:t>,</w:t>
      </w:r>
      <w:r w:rsidRPr="00124DA6">
        <w:rPr>
          <w:lang w:val="en-US"/>
        </w:rPr>
        <w:t xml:space="preserve"> and</w:t>
      </w:r>
      <w:r w:rsidR="00A00995">
        <w:rPr>
          <w:lang w:val="en-US"/>
        </w:rPr>
        <w:t xml:space="preserve"> increased</w:t>
      </w:r>
      <w:r w:rsidRPr="00124DA6">
        <w:rPr>
          <w:lang w:val="en-US"/>
        </w:rPr>
        <w:t xml:space="preserve"> customer confidence in the digital financial system.</w:t>
      </w:r>
    </w:p>
    <w:p w14:paraId="393E5078" w14:textId="77777777" w:rsidR="00102FE0" w:rsidRPr="0063662C" w:rsidRDefault="00102FE0" w:rsidP="003B0586">
      <w:pPr>
        <w:pStyle w:val="Heading3"/>
        <w:rPr>
          <w:b/>
          <w:lang w:val="en-US"/>
        </w:rPr>
      </w:pPr>
      <w:bookmarkStart w:id="39" w:name="_Toc3975143"/>
      <w:r w:rsidRPr="0063662C">
        <w:rPr>
          <w:b/>
          <w:lang w:val="en-US"/>
        </w:rPr>
        <w:t xml:space="preserve">3.4.2 Financial </w:t>
      </w:r>
      <w:r w:rsidR="007706A4" w:rsidRPr="0063662C">
        <w:rPr>
          <w:b/>
          <w:lang w:val="en-US"/>
        </w:rPr>
        <w:t>S</w:t>
      </w:r>
      <w:r w:rsidRPr="0063662C">
        <w:rPr>
          <w:b/>
          <w:lang w:val="en-US"/>
        </w:rPr>
        <w:t xml:space="preserve">ervices </w:t>
      </w:r>
      <w:r w:rsidR="007706A4" w:rsidRPr="0063662C">
        <w:rPr>
          <w:b/>
          <w:lang w:val="en-US"/>
        </w:rPr>
        <w:t>A</w:t>
      </w:r>
      <w:r w:rsidRPr="0063662C">
        <w:rPr>
          <w:b/>
          <w:lang w:val="en-US"/>
        </w:rPr>
        <w:t xml:space="preserve">ccess </w:t>
      </w:r>
      <w:r w:rsidR="007706A4" w:rsidRPr="0063662C">
        <w:rPr>
          <w:b/>
          <w:lang w:val="en-US"/>
        </w:rPr>
        <w:t>N</w:t>
      </w:r>
      <w:r w:rsidRPr="0063662C">
        <w:rPr>
          <w:b/>
          <w:lang w:val="en-US"/>
        </w:rPr>
        <w:t>etworks</w:t>
      </w:r>
      <w:bookmarkEnd w:id="39"/>
    </w:p>
    <w:p w14:paraId="26A1E420" w14:textId="77777777" w:rsidR="00102FE0" w:rsidRPr="0063662C" w:rsidRDefault="00305B7E" w:rsidP="00305B7E">
      <w:pPr>
        <w:pStyle w:val="Heading4"/>
        <w:rPr>
          <w:b/>
          <w:lang w:val="en-US"/>
        </w:rPr>
      </w:pPr>
      <w:r w:rsidRPr="0063662C">
        <w:rPr>
          <w:b/>
          <w:lang w:val="en-US"/>
        </w:rPr>
        <w:t xml:space="preserve">3.4.2.1 </w:t>
      </w:r>
      <w:r w:rsidR="00102FE0" w:rsidRPr="0063662C">
        <w:rPr>
          <w:b/>
          <w:lang w:val="en-US"/>
        </w:rPr>
        <w:t xml:space="preserve">Agencies and </w:t>
      </w:r>
      <w:r w:rsidR="007706A4" w:rsidRPr="0063662C">
        <w:rPr>
          <w:b/>
          <w:lang w:val="en-US"/>
        </w:rPr>
        <w:t>P</w:t>
      </w:r>
      <w:r w:rsidR="00102FE0" w:rsidRPr="0063662C">
        <w:rPr>
          <w:b/>
          <w:lang w:val="en-US"/>
        </w:rPr>
        <w:t xml:space="preserve">oints of </w:t>
      </w:r>
      <w:r w:rsidR="007706A4" w:rsidRPr="0063662C">
        <w:rPr>
          <w:b/>
          <w:lang w:val="en-US"/>
        </w:rPr>
        <w:t>S</w:t>
      </w:r>
      <w:r w:rsidR="00102FE0" w:rsidRPr="0063662C">
        <w:rPr>
          <w:b/>
          <w:lang w:val="en-US"/>
        </w:rPr>
        <w:t>ervices</w:t>
      </w:r>
    </w:p>
    <w:p w14:paraId="2BB95739" w14:textId="27810EF4" w:rsidR="00102FE0" w:rsidRPr="00124DA6" w:rsidRDefault="00102FE0" w:rsidP="0063662C">
      <w:pPr>
        <w:pStyle w:val="ListParagraph"/>
        <w:numPr>
          <w:ilvl w:val="0"/>
          <w:numId w:val="47"/>
        </w:numPr>
        <w:spacing w:after="240" w:line="240" w:lineRule="auto"/>
        <w:ind w:left="0" w:firstLine="0"/>
        <w:contextualSpacing w:val="0"/>
        <w:jc w:val="both"/>
        <w:rPr>
          <w:lang w:val="en-US"/>
        </w:rPr>
      </w:pPr>
      <w:r w:rsidRPr="00124DA6">
        <w:rPr>
          <w:b/>
          <w:lang w:val="en-US"/>
        </w:rPr>
        <w:t xml:space="preserve">In Benin, banks </w:t>
      </w:r>
      <w:r w:rsidR="0008491C" w:rsidRPr="00124DA6">
        <w:rPr>
          <w:b/>
          <w:lang w:val="en-US"/>
        </w:rPr>
        <w:t>predominantly</w:t>
      </w:r>
      <w:r w:rsidRPr="00124DA6">
        <w:rPr>
          <w:b/>
          <w:lang w:val="en-US"/>
        </w:rPr>
        <w:t xml:space="preserve"> serve clients in urban areas, while </w:t>
      </w:r>
      <w:r w:rsidR="008F6E0A" w:rsidRPr="00124DA6">
        <w:rPr>
          <w:b/>
          <w:lang w:val="en-US"/>
        </w:rPr>
        <w:t>MFIs</w:t>
      </w:r>
      <w:r w:rsidRPr="00124DA6">
        <w:rPr>
          <w:b/>
          <w:lang w:val="en-US"/>
        </w:rPr>
        <w:t xml:space="preserve"> are mainly present in rural areas.</w:t>
      </w:r>
      <w:r w:rsidRPr="00124DA6">
        <w:rPr>
          <w:lang w:val="en-US"/>
        </w:rPr>
        <w:t xml:space="preserve"> </w:t>
      </w:r>
      <w:r w:rsidR="0008491C">
        <w:rPr>
          <w:lang w:val="en-US"/>
        </w:rPr>
        <w:t>M</w:t>
      </w:r>
      <w:r w:rsidRPr="00124DA6">
        <w:rPr>
          <w:lang w:val="en-US"/>
        </w:rPr>
        <w:t xml:space="preserve">obile operators, </w:t>
      </w:r>
      <w:r w:rsidR="0008491C">
        <w:rPr>
          <w:lang w:val="en-US"/>
        </w:rPr>
        <w:t xml:space="preserve">which are new players in the field of digital finance, </w:t>
      </w:r>
      <w:r w:rsidRPr="00124DA6">
        <w:rPr>
          <w:lang w:val="en-US"/>
        </w:rPr>
        <w:t>have developed vast networks of agents that are present in both urban and rural areas.</w:t>
      </w:r>
      <w:r w:rsidR="008F6E0A" w:rsidRPr="00124DA6">
        <w:rPr>
          <w:lang w:val="en-US"/>
        </w:rPr>
        <w:t xml:space="preserve"> </w:t>
      </w:r>
      <w:r w:rsidR="005B4A71" w:rsidRPr="00124DA6">
        <w:rPr>
          <w:lang w:val="en-US"/>
        </w:rPr>
        <w:t xml:space="preserve">In 2016, </w:t>
      </w:r>
      <w:r w:rsidRPr="00124DA6">
        <w:rPr>
          <w:lang w:val="en-US"/>
        </w:rPr>
        <w:t xml:space="preserve">Benin </w:t>
      </w:r>
      <w:r w:rsidR="0008491C">
        <w:rPr>
          <w:lang w:val="en-US"/>
        </w:rPr>
        <w:t>had:</w:t>
      </w:r>
    </w:p>
    <w:p w14:paraId="0053F702" w14:textId="77777777" w:rsidR="00102FE0" w:rsidRPr="00124DA6" w:rsidRDefault="00102FE0" w:rsidP="0063662C">
      <w:pPr>
        <w:pStyle w:val="NoSpacing"/>
        <w:numPr>
          <w:ilvl w:val="0"/>
          <w:numId w:val="32"/>
        </w:numPr>
        <w:spacing w:before="120" w:after="120"/>
        <w:ind w:left="1195" w:hanging="475"/>
        <w:jc w:val="both"/>
        <w:rPr>
          <w:lang w:val="en-US"/>
        </w:rPr>
      </w:pPr>
      <w:r w:rsidRPr="00124DA6">
        <w:rPr>
          <w:lang w:val="en-US"/>
        </w:rPr>
        <w:t>16 banks and bank branches for a total of 209 branches and 301 ATMs;</w:t>
      </w:r>
    </w:p>
    <w:p w14:paraId="3037BE47" w14:textId="77777777" w:rsidR="00102FE0" w:rsidRPr="00124DA6" w:rsidRDefault="00102FE0" w:rsidP="0063662C">
      <w:pPr>
        <w:pStyle w:val="NoSpacing"/>
        <w:numPr>
          <w:ilvl w:val="0"/>
          <w:numId w:val="32"/>
        </w:numPr>
        <w:spacing w:before="120" w:after="120"/>
        <w:ind w:left="1195" w:hanging="475"/>
        <w:jc w:val="both"/>
        <w:rPr>
          <w:lang w:val="en-US"/>
        </w:rPr>
      </w:pPr>
      <w:r w:rsidRPr="00124DA6">
        <w:rPr>
          <w:lang w:val="en-US"/>
        </w:rPr>
        <w:t xml:space="preserve">50 </w:t>
      </w:r>
      <w:r w:rsidR="00231583" w:rsidRPr="00124DA6">
        <w:rPr>
          <w:lang w:val="en-US"/>
        </w:rPr>
        <w:t>MFI</w:t>
      </w:r>
      <w:r w:rsidR="007706A4" w:rsidRPr="00124DA6">
        <w:rPr>
          <w:lang w:val="en-US"/>
        </w:rPr>
        <w:t>s</w:t>
      </w:r>
      <w:r w:rsidRPr="00124DA6">
        <w:rPr>
          <w:lang w:val="en-US"/>
        </w:rPr>
        <w:t xml:space="preserve"> registered with the PA</w:t>
      </w:r>
      <w:r w:rsidR="00231583" w:rsidRPr="00124DA6">
        <w:rPr>
          <w:lang w:val="en-US"/>
        </w:rPr>
        <w:t>MFI</w:t>
      </w:r>
      <w:r w:rsidRPr="00124DA6">
        <w:rPr>
          <w:lang w:val="en-US"/>
        </w:rPr>
        <w:t xml:space="preserve"> (out of a total of 100 </w:t>
      </w:r>
      <w:r w:rsidR="00231583" w:rsidRPr="00124DA6">
        <w:rPr>
          <w:lang w:val="en-US"/>
        </w:rPr>
        <w:t>MFI</w:t>
      </w:r>
      <w:r w:rsidR="007706A4" w:rsidRPr="00124DA6">
        <w:rPr>
          <w:lang w:val="en-US"/>
        </w:rPr>
        <w:t>s</w:t>
      </w:r>
      <w:r w:rsidRPr="00124DA6">
        <w:rPr>
          <w:lang w:val="en-US"/>
        </w:rPr>
        <w:t xml:space="preserve"> approved by the Ministry of Finance). The 50 </w:t>
      </w:r>
      <w:r w:rsidR="00231583" w:rsidRPr="00124DA6">
        <w:rPr>
          <w:lang w:val="en-US"/>
        </w:rPr>
        <w:t>MFI</w:t>
      </w:r>
      <w:r w:rsidRPr="00124DA6">
        <w:rPr>
          <w:lang w:val="en-US"/>
        </w:rPr>
        <w:t xml:space="preserve"> members of the PA</w:t>
      </w:r>
      <w:r w:rsidR="00231583" w:rsidRPr="00124DA6">
        <w:rPr>
          <w:lang w:val="en-US"/>
        </w:rPr>
        <w:t>MFI</w:t>
      </w:r>
      <w:r w:rsidRPr="00124DA6">
        <w:rPr>
          <w:lang w:val="en-US"/>
        </w:rPr>
        <w:t xml:space="preserve"> covered a network of 668 counters/points of service;</w:t>
      </w:r>
      <w:r w:rsidR="007706A4" w:rsidRPr="00124DA6">
        <w:rPr>
          <w:lang w:val="en-US"/>
        </w:rPr>
        <w:t xml:space="preserve"> and</w:t>
      </w:r>
    </w:p>
    <w:p w14:paraId="658B6642" w14:textId="77777777" w:rsidR="00102FE0" w:rsidRPr="00124DA6" w:rsidRDefault="00102FE0" w:rsidP="0063662C">
      <w:pPr>
        <w:pStyle w:val="NoSpacing"/>
        <w:numPr>
          <w:ilvl w:val="0"/>
          <w:numId w:val="32"/>
        </w:numPr>
        <w:spacing w:before="120" w:after="120"/>
        <w:ind w:left="1195" w:hanging="475"/>
        <w:jc w:val="both"/>
        <w:rPr>
          <w:lang w:val="en-US"/>
        </w:rPr>
      </w:pPr>
      <w:r w:rsidRPr="00124DA6">
        <w:rPr>
          <w:lang w:val="en-US"/>
        </w:rPr>
        <w:t>3 providers of mobile money solutions for a network of more than 20,000 agents.</w:t>
      </w:r>
    </w:p>
    <w:p w14:paraId="2FDEF09B" w14:textId="47B5248A" w:rsidR="00102FE0" w:rsidRPr="00124DA6" w:rsidRDefault="00102FE0" w:rsidP="0063662C">
      <w:pPr>
        <w:pStyle w:val="ListParagraph"/>
        <w:numPr>
          <w:ilvl w:val="0"/>
          <w:numId w:val="47"/>
        </w:numPr>
        <w:spacing w:after="240" w:line="240" w:lineRule="auto"/>
        <w:ind w:left="0" w:firstLine="0"/>
        <w:contextualSpacing w:val="0"/>
        <w:jc w:val="both"/>
        <w:rPr>
          <w:lang w:val="en-US"/>
        </w:rPr>
      </w:pPr>
      <w:r w:rsidRPr="00124DA6">
        <w:rPr>
          <w:lang w:val="en-US"/>
        </w:rPr>
        <w:t xml:space="preserve">In </w:t>
      </w:r>
      <w:r w:rsidR="0008491C">
        <w:rPr>
          <w:lang w:val="en-US"/>
        </w:rPr>
        <w:t>2016</w:t>
      </w:r>
      <w:r w:rsidRPr="00124DA6">
        <w:rPr>
          <w:lang w:val="en-US"/>
        </w:rPr>
        <w:t xml:space="preserve">, at the national level, the average </w:t>
      </w:r>
      <w:r w:rsidR="0008491C" w:rsidRPr="00124DA6">
        <w:rPr>
          <w:lang w:val="en-US"/>
        </w:rPr>
        <w:t>density</w:t>
      </w:r>
      <w:r w:rsidRPr="00124DA6">
        <w:rPr>
          <w:lang w:val="en-US"/>
        </w:rPr>
        <w:t xml:space="preserve"> of access</w:t>
      </w:r>
      <w:r w:rsidR="0008491C">
        <w:rPr>
          <w:lang w:val="en-US"/>
        </w:rPr>
        <w:t xml:space="preserve"> points</w:t>
      </w:r>
      <w:r w:rsidRPr="00124DA6">
        <w:rPr>
          <w:lang w:val="en-US"/>
        </w:rPr>
        <w:t xml:space="preserve"> to financial </w:t>
      </w:r>
      <w:r w:rsidR="0008491C">
        <w:rPr>
          <w:lang w:val="en-US"/>
        </w:rPr>
        <w:t>services</w:t>
      </w:r>
      <w:r w:rsidR="0008491C" w:rsidRPr="00124DA6">
        <w:rPr>
          <w:lang w:val="en-US"/>
        </w:rPr>
        <w:t xml:space="preserve"> </w:t>
      </w:r>
      <w:r w:rsidRPr="00124DA6">
        <w:rPr>
          <w:lang w:val="en-US"/>
        </w:rPr>
        <w:t>were as follows:</w:t>
      </w:r>
    </w:p>
    <w:p w14:paraId="16C1431A" w14:textId="77777777" w:rsidR="00102FE0" w:rsidRPr="00124DA6" w:rsidRDefault="005B2140" w:rsidP="0063662C">
      <w:pPr>
        <w:pStyle w:val="NoSpacing"/>
        <w:numPr>
          <w:ilvl w:val="0"/>
          <w:numId w:val="32"/>
        </w:numPr>
        <w:spacing w:before="120" w:after="120"/>
        <w:ind w:left="1195" w:hanging="475"/>
        <w:jc w:val="both"/>
        <w:rPr>
          <w:lang w:val="en-US"/>
        </w:rPr>
      </w:pPr>
      <w:r w:rsidRPr="00124DA6">
        <w:rPr>
          <w:lang w:val="en-US"/>
        </w:rPr>
        <w:t>D</w:t>
      </w:r>
      <w:r w:rsidR="00102FE0" w:rsidRPr="00124DA6">
        <w:rPr>
          <w:lang w:val="en-US"/>
        </w:rPr>
        <w:t xml:space="preserve">ensity of bank branches: 2.08 agencies </w:t>
      </w:r>
      <w:r w:rsidRPr="00124DA6">
        <w:rPr>
          <w:lang w:val="en-US"/>
        </w:rPr>
        <w:t>per</w:t>
      </w:r>
      <w:r w:rsidR="00102FE0" w:rsidRPr="00124DA6">
        <w:rPr>
          <w:lang w:val="en-US"/>
        </w:rPr>
        <w:t xml:space="preserve"> 100,000 inhabitants, </w:t>
      </w:r>
      <w:r w:rsidRPr="00124DA6">
        <w:rPr>
          <w:lang w:val="en-US"/>
        </w:rPr>
        <w:t>that is,</w:t>
      </w:r>
      <w:r w:rsidR="00102FE0" w:rsidRPr="00124DA6">
        <w:rPr>
          <w:lang w:val="en-US"/>
        </w:rPr>
        <w:t xml:space="preserve"> 3.91 agencies </w:t>
      </w:r>
      <w:r w:rsidRPr="00124DA6">
        <w:rPr>
          <w:lang w:val="en-US"/>
        </w:rPr>
        <w:t>per</w:t>
      </w:r>
      <w:r w:rsidR="00102FE0" w:rsidRPr="00124DA6">
        <w:rPr>
          <w:lang w:val="en-US"/>
        </w:rPr>
        <w:t>100,000 adults;</w:t>
      </w:r>
    </w:p>
    <w:p w14:paraId="0F37F94A" w14:textId="77777777" w:rsidR="00102FE0" w:rsidRPr="00124DA6" w:rsidRDefault="00102FE0" w:rsidP="0063662C">
      <w:pPr>
        <w:pStyle w:val="NoSpacing"/>
        <w:numPr>
          <w:ilvl w:val="0"/>
          <w:numId w:val="32"/>
        </w:numPr>
        <w:spacing w:before="120" w:after="120"/>
        <w:ind w:left="1195" w:hanging="475"/>
        <w:jc w:val="both"/>
        <w:rPr>
          <w:lang w:val="en-US"/>
        </w:rPr>
      </w:pPr>
      <w:r w:rsidRPr="00124DA6">
        <w:rPr>
          <w:lang w:val="en-US"/>
        </w:rPr>
        <w:t>Density of ATMs: 3 ATM</w:t>
      </w:r>
      <w:r w:rsidR="005B2140" w:rsidRPr="00124DA6">
        <w:rPr>
          <w:lang w:val="en-US"/>
        </w:rPr>
        <w:t>s</w:t>
      </w:r>
      <w:r w:rsidRPr="00124DA6">
        <w:rPr>
          <w:lang w:val="en-US"/>
        </w:rPr>
        <w:t xml:space="preserve"> </w:t>
      </w:r>
      <w:r w:rsidR="005B2140" w:rsidRPr="00124DA6">
        <w:rPr>
          <w:lang w:val="en-US"/>
        </w:rPr>
        <w:t>per</w:t>
      </w:r>
      <w:r w:rsidRPr="00124DA6">
        <w:rPr>
          <w:lang w:val="en-US"/>
        </w:rPr>
        <w:t xml:space="preserve"> 100,000 inhabitants or 5.64 </w:t>
      </w:r>
      <w:r w:rsidR="00E63C1D">
        <w:rPr>
          <w:lang w:val="en-US"/>
        </w:rPr>
        <w:t>ATM</w:t>
      </w:r>
      <w:r w:rsidRPr="00124DA6">
        <w:rPr>
          <w:lang w:val="en-US"/>
        </w:rPr>
        <w:t xml:space="preserve"> </w:t>
      </w:r>
      <w:r w:rsidR="005B2140" w:rsidRPr="00124DA6">
        <w:rPr>
          <w:lang w:val="en-US"/>
        </w:rPr>
        <w:t>per</w:t>
      </w:r>
      <w:r w:rsidRPr="00124DA6">
        <w:rPr>
          <w:lang w:val="en-US"/>
        </w:rPr>
        <w:t xml:space="preserve"> 100,000 adults</w:t>
      </w:r>
    </w:p>
    <w:p w14:paraId="7163523D" w14:textId="77777777" w:rsidR="00102FE0" w:rsidRPr="00124DA6" w:rsidRDefault="00102FE0" w:rsidP="0063662C">
      <w:pPr>
        <w:pStyle w:val="NoSpacing"/>
        <w:numPr>
          <w:ilvl w:val="0"/>
          <w:numId w:val="32"/>
        </w:numPr>
        <w:spacing w:before="120" w:after="120"/>
        <w:ind w:left="1195" w:hanging="475"/>
        <w:jc w:val="both"/>
        <w:rPr>
          <w:lang w:val="en-US"/>
        </w:rPr>
      </w:pPr>
      <w:r w:rsidRPr="00124DA6">
        <w:rPr>
          <w:lang w:val="en-US"/>
        </w:rPr>
        <w:t xml:space="preserve">Density of </w:t>
      </w:r>
      <w:r w:rsidR="00231583" w:rsidRPr="00124DA6">
        <w:rPr>
          <w:lang w:val="en-US"/>
        </w:rPr>
        <w:t>MFI</w:t>
      </w:r>
      <w:r w:rsidRPr="00124DA6">
        <w:rPr>
          <w:lang w:val="en-US"/>
        </w:rPr>
        <w:t xml:space="preserve"> agencies: 6.67 agencies </w:t>
      </w:r>
      <w:r w:rsidR="00F91E6B" w:rsidRPr="00124DA6">
        <w:rPr>
          <w:lang w:val="en-US"/>
        </w:rPr>
        <w:t>per</w:t>
      </w:r>
      <w:r w:rsidRPr="00124DA6">
        <w:rPr>
          <w:lang w:val="en-US"/>
        </w:rPr>
        <w:t xml:space="preserve"> 100,000 inhabitants, </w:t>
      </w:r>
      <w:r w:rsidR="00F91E6B" w:rsidRPr="00124DA6">
        <w:rPr>
          <w:lang w:val="en-US"/>
        </w:rPr>
        <w:t>that is,</w:t>
      </w:r>
      <w:r w:rsidRPr="00124DA6">
        <w:rPr>
          <w:lang w:val="en-US"/>
        </w:rPr>
        <w:t xml:space="preserve"> 12.52 agencies </w:t>
      </w:r>
      <w:r w:rsidR="00F91E6B" w:rsidRPr="00124DA6">
        <w:rPr>
          <w:lang w:val="en-US"/>
        </w:rPr>
        <w:t>per</w:t>
      </w:r>
      <w:r w:rsidRPr="00124DA6">
        <w:rPr>
          <w:lang w:val="en-US"/>
        </w:rPr>
        <w:t xml:space="preserve"> 100,000 adults;</w:t>
      </w:r>
    </w:p>
    <w:p w14:paraId="0A56DD82" w14:textId="77777777" w:rsidR="00102FE0" w:rsidRPr="00124DA6" w:rsidRDefault="00102FE0" w:rsidP="0063662C">
      <w:pPr>
        <w:pStyle w:val="NoSpacing"/>
        <w:numPr>
          <w:ilvl w:val="0"/>
          <w:numId w:val="32"/>
        </w:numPr>
        <w:spacing w:before="120" w:after="120"/>
        <w:ind w:left="1195" w:hanging="475"/>
        <w:jc w:val="both"/>
        <w:rPr>
          <w:lang w:val="en-US"/>
        </w:rPr>
      </w:pPr>
      <w:r w:rsidRPr="00124DA6">
        <w:rPr>
          <w:lang w:val="en-US"/>
        </w:rPr>
        <w:t xml:space="preserve">Density of </w:t>
      </w:r>
      <w:r w:rsidR="00F91E6B" w:rsidRPr="00124DA6">
        <w:rPr>
          <w:lang w:val="en-US"/>
        </w:rPr>
        <w:t>m</w:t>
      </w:r>
      <w:r w:rsidRPr="00124DA6">
        <w:rPr>
          <w:lang w:val="en-US"/>
        </w:rPr>
        <w:t xml:space="preserve">obile money agents: 202.8 agents </w:t>
      </w:r>
      <w:r w:rsidR="00F91E6B" w:rsidRPr="00124DA6">
        <w:rPr>
          <w:lang w:val="en-US"/>
        </w:rPr>
        <w:t>per</w:t>
      </w:r>
      <w:r w:rsidRPr="00124DA6">
        <w:rPr>
          <w:lang w:val="en-US"/>
        </w:rPr>
        <w:t xml:space="preserve"> 100,000 inhabitants, </w:t>
      </w:r>
      <w:r w:rsidR="00F91E6B" w:rsidRPr="00124DA6">
        <w:rPr>
          <w:lang w:val="en-US"/>
        </w:rPr>
        <w:t>that is,</w:t>
      </w:r>
      <w:r w:rsidRPr="00124DA6">
        <w:rPr>
          <w:lang w:val="en-US"/>
        </w:rPr>
        <w:t xml:space="preserve"> 380.49 agents </w:t>
      </w:r>
      <w:r w:rsidR="00F91E6B" w:rsidRPr="00124DA6">
        <w:rPr>
          <w:lang w:val="en-US"/>
        </w:rPr>
        <w:t>per</w:t>
      </w:r>
      <w:r w:rsidRPr="00124DA6">
        <w:rPr>
          <w:lang w:val="en-US"/>
        </w:rPr>
        <w:t xml:space="preserve"> 100,000 adults.</w:t>
      </w:r>
    </w:p>
    <w:p w14:paraId="417C74B5" w14:textId="55A1CC58" w:rsidR="00102FE0" w:rsidRPr="00124DA6" w:rsidRDefault="00102FE0" w:rsidP="00885EBD">
      <w:pPr>
        <w:pStyle w:val="ListParagraph"/>
        <w:numPr>
          <w:ilvl w:val="0"/>
          <w:numId w:val="47"/>
        </w:numPr>
        <w:spacing w:after="240" w:line="240" w:lineRule="auto"/>
        <w:ind w:left="0" w:firstLine="0"/>
        <w:contextualSpacing w:val="0"/>
        <w:jc w:val="both"/>
        <w:rPr>
          <w:lang w:val="en-US"/>
        </w:rPr>
      </w:pPr>
      <w:r w:rsidRPr="00124DA6">
        <w:rPr>
          <w:lang w:val="en-US"/>
        </w:rPr>
        <w:t>These figures are below the average</w:t>
      </w:r>
      <w:r w:rsidR="00590DDF">
        <w:rPr>
          <w:lang w:val="en-US"/>
        </w:rPr>
        <w:t xml:space="preserve"> levels of density recorded</w:t>
      </w:r>
      <w:r w:rsidRPr="00124DA6">
        <w:rPr>
          <w:lang w:val="en-US"/>
        </w:rPr>
        <w:t xml:space="preserve"> in </w:t>
      </w:r>
      <w:r w:rsidR="009B22F3" w:rsidRPr="00124DA6">
        <w:rPr>
          <w:lang w:val="en-US"/>
        </w:rPr>
        <w:t>S</w:t>
      </w:r>
      <w:r w:rsidRPr="00124DA6">
        <w:rPr>
          <w:lang w:val="en-US"/>
        </w:rPr>
        <w:t>ub-Saharan Africa and worldwide, which are for 2016 of the order of</w:t>
      </w:r>
    </w:p>
    <w:p w14:paraId="5E960B3C" w14:textId="77777777" w:rsidR="00102FE0" w:rsidRPr="00124DA6" w:rsidRDefault="009B22F3" w:rsidP="00885EBD">
      <w:pPr>
        <w:pStyle w:val="NoSpacing"/>
        <w:numPr>
          <w:ilvl w:val="0"/>
          <w:numId w:val="32"/>
        </w:numPr>
        <w:spacing w:before="120" w:after="120"/>
        <w:ind w:left="1195" w:hanging="475"/>
        <w:jc w:val="both"/>
        <w:rPr>
          <w:lang w:val="en-US"/>
        </w:rPr>
      </w:pPr>
      <w:r w:rsidRPr="00124DA6">
        <w:rPr>
          <w:lang w:val="en-US"/>
        </w:rPr>
        <w:t>D</w:t>
      </w:r>
      <w:r w:rsidR="00102FE0" w:rsidRPr="00124DA6">
        <w:rPr>
          <w:lang w:val="en-US"/>
        </w:rPr>
        <w:t xml:space="preserve">ensity of bank branches: 5.3 </w:t>
      </w:r>
      <w:r w:rsidR="00E85E32" w:rsidRPr="00124DA6">
        <w:rPr>
          <w:lang w:val="en-US"/>
        </w:rPr>
        <w:t>agencies</w:t>
      </w:r>
      <w:r w:rsidR="00713E90" w:rsidRPr="00124DA6">
        <w:rPr>
          <w:lang w:val="en-US"/>
        </w:rPr>
        <w:t xml:space="preserve"> </w:t>
      </w:r>
      <w:r w:rsidRPr="00124DA6">
        <w:rPr>
          <w:lang w:val="en-US"/>
        </w:rPr>
        <w:t>per</w:t>
      </w:r>
      <w:r w:rsidR="00102FE0" w:rsidRPr="00124DA6">
        <w:rPr>
          <w:lang w:val="en-US"/>
        </w:rPr>
        <w:t xml:space="preserve"> 100,000 adults (</w:t>
      </w:r>
      <w:r w:rsidRPr="00124DA6">
        <w:rPr>
          <w:lang w:val="en-US"/>
        </w:rPr>
        <w:t>S</w:t>
      </w:r>
      <w:r w:rsidR="00102FE0" w:rsidRPr="00124DA6">
        <w:rPr>
          <w:lang w:val="en-US"/>
        </w:rPr>
        <w:t>ub-Saharan Africa);</w:t>
      </w:r>
    </w:p>
    <w:p w14:paraId="3D39E193" w14:textId="77777777" w:rsidR="00102FE0" w:rsidRPr="00124DA6" w:rsidRDefault="00713E90" w:rsidP="00885EBD">
      <w:pPr>
        <w:pStyle w:val="NoSpacing"/>
        <w:numPr>
          <w:ilvl w:val="0"/>
          <w:numId w:val="32"/>
        </w:numPr>
        <w:spacing w:before="120" w:after="120"/>
        <w:ind w:left="1195" w:hanging="475"/>
        <w:jc w:val="both"/>
        <w:rPr>
          <w:lang w:val="en-US"/>
        </w:rPr>
      </w:pPr>
      <w:r w:rsidRPr="00124DA6">
        <w:rPr>
          <w:lang w:val="en-US"/>
        </w:rPr>
        <w:t>D</w:t>
      </w:r>
      <w:r w:rsidR="00102FE0" w:rsidRPr="00124DA6">
        <w:rPr>
          <w:lang w:val="en-US"/>
        </w:rPr>
        <w:t xml:space="preserve">ensity of bank branches: 12.5 </w:t>
      </w:r>
      <w:r w:rsidR="00E85E32" w:rsidRPr="00124DA6">
        <w:rPr>
          <w:lang w:val="en-US"/>
        </w:rPr>
        <w:t>agencies</w:t>
      </w:r>
      <w:r w:rsidRPr="00124DA6">
        <w:rPr>
          <w:lang w:val="en-US"/>
        </w:rPr>
        <w:t xml:space="preserve"> </w:t>
      </w:r>
      <w:r w:rsidR="009B22F3" w:rsidRPr="00124DA6">
        <w:rPr>
          <w:lang w:val="en-US"/>
        </w:rPr>
        <w:t>per</w:t>
      </w:r>
      <w:r w:rsidR="00102FE0" w:rsidRPr="00124DA6">
        <w:rPr>
          <w:lang w:val="en-US"/>
        </w:rPr>
        <w:t xml:space="preserve"> 100,000 adults (worldwide);</w:t>
      </w:r>
    </w:p>
    <w:p w14:paraId="708FAA01" w14:textId="77777777" w:rsidR="00102FE0" w:rsidRPr="00124DA6" w:rsidRDefault="00102FE0" w:rsidP="00885EBD">
      <w:pPr>
        <w:pStyle w:val="NoSpacing"/>
        <w:numPr>
          <w:ilvl w:val="0"/>
          <w:numId w:val="32"/>
        </w:numPr>
        <w:spacing w:before="120" w:after="120"/>
        <w:ind w:left="1195" w:hanging="475"/>
        <w:jc w:val="both"/>
        <w:rPr>
          <w:lang w:val="en-US"/>
        </w:rPr>
      </w:pPr>
      <w:r w:rsidRPr="00124DA6">
        <w:rPr>
          <w:lang w:val="en-US"/>
        </w:rPr>
        <w:t>A</w:t>
      </w:r>
      <w:r w:rsidR="00440389" w:rsidRPr="00124DA6">
        <w:rPr>
          <w:lang w:val="en-US"/>
        </w:rPr>
        <w:t>T</w:t>
      </w:r>
      <w:r w:rsidRPr="00124DA6">
        <w:rPr>
          <w:lang w:val="en-US"/>
        </w:rPr>
        <w:t xml:space="preserve">M density: 5.8 </w:t>
      </w:r>
      <w:r w:rsidR="00713E90" w:rsidRPr="00124DA6">
        <w:rPr>
          <w:lang w:val="en-US"/>
        </w:rPr>
        <w:t xml:space="preserve">ATMs </w:t>
      </w:r>
      <w:r w:rsidR="009B22F3" w:rsidRPr="00124DA6">
        <w:rPr>
          <w:lang w:val="en-US"/>
        </w:rPr>
        <w:t>per</w:t>
      </w:r>
      <w:r w:rsidRPr="00124DA6">
        <w:rPr>
          <w:lang w:val="en-US"/>
        </w:rPr>
        <w:t xml:space="preserve"> 100,000 adults (</w:t>
      </w:r>
      <w:r w:rsidR="009B22F3" w:rsidRPr="00124DA6">
        <w:rPr>
          <w:lang w:val="en-US"/>
        </w:rPr>
        <w:t>S</w:t>
      </w:r>
      <w:r w:rsidRPr="00124DA6">
        <w:rPr>
          <w:lang w:val="en-US"/>
        </w:rPr>
        <w:t>ub-Saharan Africa);</w:t>
      </w:r>
      <w:r w:rsidR="009B22F3" w:rsidRPr="00124DA6">
        <w:rPr>
          <w:lang w:val="en-US"/>
        </w:rPr>
        <w:t xml:space="preserve"> and</w:t>
      </w:r>
    </w:p>
    <w:p w14:paraId="5279CDE4" w14:textId="77777777" w:rsidR="00102FE0" w:rsidRPr="00124DA6" w:rsidRDefault="00102FE0" w:rsidP="00885EBD">
      <w:pPr>
        <w:pStyle w:val="NoSpacing"/>
        <w:numPr>
          <w:ilvl w:val="0"/>
          <w:numId w:val="32"/>
        </w:numPr>
        <w:spacing w:before="120" w:after="120"/>
        <w:ind w:left="1195" w:hanging="475"/>
        <w:jc w:val="both"/>
        <w:rPr>
          <w:lang w:val="en-US"/>
        </w:rPr>
      </w:pPr>
      <w:r w:rsidRPr="00124DA6">
        <w:rPr>
          <w:lang w:val="en-US"/>
        </w:rPr>
        <w:t>A</w:t>
      </w:r>
      <w:r w:rsidR="00440389" w:rsidRPr="00124DA6">
        <w:rPr>
          <w:lang w:val="en-US"/>
        </w:rPr>
        <w:t>T</w:t>
      </w:r>
      <w:r w:rsidRPr="00124DA6">
        <w:rPr>
          <w:lang w:val="en-US"/>
        </w:rPr>
        <w:t xml:space="preserve">M density: 47.5 </w:t>
      </w:r>
      <w:r w:rsidR="00713E90" w:rsidRPr="00124DA6">
        <w:rPr>
          <w:lang w:val="en-US"/>
        </w:rPr>
        <w:t xml:space="preserve">ATMs </w:t>
      </w:r>
      <w:r w:rsidR="009B22F3" w:rsidRPr="00124DA6">
        <w:rPr>
          <w:lang w:val="en-US"/>
        </w:rPr>
        <w:t>per</w:t>
      </w:r>
      <w:r w:rsidRPr="00124DA6">
        <w:rPr>
          <w:lang w:val="en-US"/>
        </w:rPr>
        <w:t xml:space="preserve"> 100,000 adults (worldwide).</w:t>
      </w:r>
    </w:p>
    <w:p w14:paraId="3613DBAD" w14:textId="77777777" w:rsidR="00885EBD" w:rsidRDefault="00885EBD">
      <w:pPr>
        <w:rPr>
          <w:rFonts w:asciiTheme="majorHAnsi" w:hAnsiTheme="majorHAnsi"/>
          <w:iCs/>
          <w:color w:val="2E74B5" w:themeColor="accent1" w:themeShade="BF"/>
          <w:sz w:val="20"/>
          <w:szCs w:val="18"/>
          <w:lang w:val="en-US"/>
        </w:rPr>
      </w:pPr>
      <w:r>
        <w:rPr>
          <w:lang w:val="en-US"/>
        </w:rPr>
        <w:br w:type="page"/>
      </w:r>
    </w:p>
    <w:p w14:paraId="25DC8277" w14:textId="2F85AB92" w:rsidR="00102FE0" w:rsidRPr="00885EBD" w:rsidRDefault="00EA7E38" w:rsidP="000A4706">
      <w:pPr>
        <w:pStyle w:val="Caption"/>
        <w:rPr>
          <w:b/>
          <w:lang w:val="en-US"/>
        </w:rPr>
      </w:pPr>
      <w:r w:rsidRPr="00885EBD">
        <w:rPr>
          <w:b/>
          <w:lang w:val="en-US"/>
        </w:rPr>
        <w:t>Figure</w:t>
      </w:r>
      <w:r w:rsidR="00C702B4" w:rsidRPr="00885EBD">
        <w:rPr>
          <w:b/>
          <w:lang w:val="en-US"/>
        </w:rPr>
        <w:t> </w:t>
      </w:r>
      <w:r w:rsidRPr="00885EBD">
        <w:rPr>
          <w:b/>
          <w:lang w:val="en-US"/>
        </w:rPr>
        <w:t>3.</w:t>
      </w:r>
      <w:r w:rsidRPr="00885EBD">
        <w:rPr>
          <w:b/>
          <w:lang w:val="en-US"/>
        </w:rPr>
        <w:fldChar w:fldCharType="begin"/>
      </w:r>
      <w:r w:rsidRPr="00885EBD">
        <w:rPr>
          <w:b/>
          <w:lang w:val="en-US"/>
        </w:rPr>
        <w:instrText xml:space="preserve"> SEQ Figure_3. \* ARABIC </w:instrText>
      </w:r>
      <w:r w:rsidRPr="00885EBD">
        <w:rPr>
          <w:b/>
          <w:lang w:val="en-US"/>
        </w:rPr>
        <w:fldChar w:fldCharType="separate"/>
      </w:r>
      <w:r w:rsidR="004C6E5F" w:rsidRPr="00885EBD">
        <w:rPr>
          <w:b/>
          <w:noProof/>
          <w:lang w:val="en-US"/>
        </w:rPr>
        <w:t>12</w:t>
      </w:r>
      <w:r w:rsidRPr="00885EBD">
        <w:rPr>
          <w:b/>
          <w:lang w:val="en-US"/>
        </w:rPr>
        <w:fldChar w:fldCharType="end"/>
      </w:r>
      <w:r w:rsidR="00102FE0" w:rsidRPr="00885EBD">
        <w:rPr>
          <w:b/>
          <w:lang w:val="en-US"/>
        </w:rPr>
        <w:t xml:space="preserve">: Global density of bank branches </w:t>
      </w:r>
      <w:r w:rsidR="00713E90" w:rsidRPr="00885EBD">
        <w:rPr>
          <w:b/>
          <w:lang w:val="en-US"/>
        </w:rPr>
        <w:t>per</w:t>
      </w:r>
      <w:r w:rsidR="00102FE0" w:rsidRPr="00885EBD">
        <w:rPr>
          <w:b/>
          <w:lang w:val="en-US"/>
        </w:rPr>
        <w:t xml:space="preserve"> 100</w:t>
      </w:r>
      <w:r w:rsidR="00713E90" w:rsidRPr="00885EBD">
        <w:rPr>
          <w:b/>
          <w:lang w:val="en-US"/>
        </w:rPr>
        <w:t>,</w:t>
      </w:r>
      <w:r w:rsidR="00102FE0" w:rsidRPr="00885EBD">
        <w:rPr>
          <w:b/>
          <w:lang w:val="en-US"/>
        </w:rPr>
        <w:t>000 adults</w:t>
      </w:r>
    </w:p>
    <w:p w14:paraId="1785D285" w14:textId="77777777" w:rsidR="00102FE0" w:rsidRPr="00124DA6" w:rsidRDefault="00102FE0" w:rsidP="00EA7E38">
      <w:pPr>
        <w:pStyle w:val="NoSpacing"/>
        <w:keepNext/>
        <w:ind w:left="720"/>
        <w:jc w:val="both"/>
        <w:rPr>
          <w:lang w:val="en-US"/>
        </w:rPr>
      </w:pPr>
      <w:r w:rsidRPr="00124DA6">
        <w:rPr>
          <w:noProof/>
          <w:lang w:eastAsia="fr-FR"/>
        </w:rPr>
        <w:drawing>
          <wp:inline distT="0" distB="0" distL="0" distR="0" wp14:anchorId="7ECEB830" wp14:editId="0BBFF2D3">
            <wp:extent cx="5048250" cy="1676400"/>
            <wp:effectExtent l="0" t="0" r="0" b="0"/>
            <wp:docPr id="15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48250" cy="1676400"/>
                    </a:xfrm>
                    <a:prstGeom prst="rect">
                      <a:avLst/>
                    </a:prstGeom>
                    <a:noFill/>
                    <a:ln>
                      <a:noFill/>
                    </a:ln>
                  </pic:spPr>
                </pic:pic>
              </a:graphicData>
            </a:graphic>
          </wp:inline>
        </w:drawing>
      </w:r>
    </w:p>
    <w:p w14:paraId="03E9F024" w14:textId="77777777" w:rsidR="00102FE0" w:rsidRPr="00124DA6" w:rsidRDefault="00E97941" w:rsidP="00E97941">
      <w:pPr>
        <w:keepNext/>
        <w:ind w:left="810"/>
        <w:rPr>
          <w:rFonts w:asciiTheme="majorHAnsi" w:hAnsiTheme="majorHAnsi" w:cstheme="majorHAnsi"/>
          <w:color w:val="2E74B5" w:themeColor="accent1" w:themeShade="BF"/>
          <w:sz w:val="20"/>
          <w:lang w:val="en-US"/>
        </w:rPr>
      </w:pPr>
      <w:r w:rsidRPr="00124DA6">
        <w:rPr>
          <w:rFonts w:asciiTheme="majorHAnsi" w:hAnsiTheme="majorHAnsi" w:cstheme="majorHAnsi"/>
          <w:i/>
          <w:color w:val="2E74B5" w:themeColor="accent1" w:themeShade="BF"/>
          <w:sz w:val="20"/>
          <w:lang w:val="en-US"/>
        </w:rPr>
        <w:t xml:space="preserve">Source: </w:t>
      </w:r>
      <w:r w:rsidRPr="00124DA6">
        <w:rPr>
          <w:rFonts w:asciiTheme="majorHAnsi" w:hAnsiTheme="majorHAnsi" w:cstheme="majorHAnsi"/>
          <w:color w:val="2E74B5" w:themeColor="accent1" w:themeShade="BF"/>
          <w:sz w:val="20"/>
          <w:lang w:val="en-US"/>
        </w:rPr>
        <w:t>World Bank.</w:t>
      </w:r>
    </w:p>
    <w:p w14:paraId="40AE54EB" w14:textId="34B066F7" w:rsidR="00102FE0" w:rsidRPr="00885EBD" w:rsidRDefault="00E97941" w:rsidP="000A4706">
      <w:pPr>
        <w:pStyle w:val="Caption"/>
        <w:rPr>
          <w:b/>
          <w:lang w:val="en-US"/>
        </w:rPr>
      </w:pPr>
      <w:r w:rsidRPr="00885EBD">
        <w:rPr>
          <w:b/>
          <w:lang w:val="en-US"/>
        </w:rPr>
        <w:t>Figure</w:t>
      </w:r>
      <w:r w:rsidR="00C702B4" w:rsidRPr="00885EBD">
        <w:rPr>
          <w:b/>
          <w:lang w:val="en-US"/>
        </w:rPr>
        <w:t> </w:t>
      </w:r>
      <w:r w:rsidRPr="00885EBD">
        <w:rPr>
          <w:b/>
          <w:lang w:val="en-US"/>
        </w:rPr>
        <w:t>3.</w:t>
      </w:r>
      <w:r w:rsidRPr="00885EBD">
        <w:rPr>
          <w:b/>
          <w:lang w:val="en-US"/>
        </w:rPr>
        <w:fldChar w:fldCharType="begin"/>
      </w:r>
      <w:r w:rsidRPr="00885EBD">
        <w:rPr>
          <w:b/>
          <w:lang w:val="en-US"/>
        </w:rPr>
        <w:instrText xml:space="preserve"> SEQ Figure_3. \* ARABIC </w:instrText>
      </w:r>
      <w:r w:rsidRPr="00885EBD">
        <w:rPr>
          <w:b/>
          <w:lang w:val="en-US"/>
        </w:rPr>
        <w:fldChar w:fldCharType="separate"/>
      </w:r>
      <w:r w:rsidR="004C6E5F" w:rsidRPr="00885EBD">
        <w:rPr>
          <w:b/>
          <w:noProof/>
          <w:lang w:val="en-US"/>
        </w:rPr>
        <w:t>13</w:t>
      </w:r>
      <w:r w:rsidRPr="00885EBD">
        <w:rPr>
          <w:b/>
          <w:lang w:val="en-US"/>
        </w:rPr>
        <w:fldChar w:fldCharType="end"/>
      </w:r>
      <w:r w:rsidR="00102FE0" w:rsidRPr="00885EBD">
        <w:rPr>
          <w:b/>
          <w:lang w:val="en-US"/>
        </w:rPr>
        <w:t xml:space="preserve">: Global density of ATMs </w:t>
      </w:r>
      <w:r w:rsidR="0019069A" w:rsidRPr="00885EBD">
        <w:rPr>
          <w:b/>
          <w:lang w:val="en-US"/>
        </w:rPr>
        <w:t>per</w:t>
      </w:r>
      <w:r w:rsidR="00102FE0" w:rsidRPr="00885EBD">
        <w:rPr>
          <w:b/>
          <w:lang w:val="en-US"/>
        </w:rPr>
        <w:t xml:space="preserve"> 100 000 adults</w:t>
      </w:r>
    </w:p>
    <w:p w14:paraId="7AFC8BEA" w14:textId="77777777" w:rsidR="00102FE0" w:rsidRPr="00124DA6" w:rsidRDefault="00102FE0" w:rsidP="00E97941">
      <w:pPr>
        <w:keepNext/>
        <w:jc w:val="center"/>
        <w:rPr>
          <w:b/>
          <w:color w:val="5B9BD5" w:themeColor="accent1"/>
          <w:lang w:val="en-US"/>
        </w:rPr>
      </w:pPr>
      <w:r w:rsidRPr="00124DA6">
        <w:rPr>
          <w:b/>
          <w:noProof/>
          <w:color w:val="5B9BD5" w:themeColor="accent1"/>
          <w:lang w:eastAsia="fr-FR"/>
        </w:rPr>
        <w:drawing>
          <wp:inline distT="0" distB="0" distL="0" distR="0" wp14:anchorId="6891172F" wp14:editId="5DD334B5">
            <wp:extent cx="4711700" cy="1609513"/>
            <wp:effectExtent l="0" t="0" r="0" b="0"/>
            <wp:docPr id="157"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28976" cy="1615415"/>
                    </a:xfrm>
                    <a:prstGeom prst="rect">
                      <a:avLst/>
                    </a:prstGeom>
                    <a:noFill/>
                    <a:ln>
                      <a:noFill/>
                    </a:ln>
                  </pic:spPr>
                </pic:pic>
              </a:graphicData>
            </a:graphic>
          </wp:inline>
        </w:drawing>
      </w:r>
    </w:p>
    <w:p w14:paraId="45909A53" w14:textId="77777777" w:rsidR="00E97941" w:rsidRPr="00124DA6" w:rsidRDefault="00E97941" w:rsidP="00D321D5">
      <w:pPr>
        <w:keepNext/>
        <w:spacing w:before="120" w:after="120" w:line="240" w:lineRule="auto"/>
        <w:ind w:left="720"/>
        <w:rPr>
          <w:rFonts w:asciiTheme="majorHAnsi" w:hAnsiTheme="majorHAnsi" w:cstheme="majorHAnsi"/>
          <w:b/>
          <w:color w:val="2E74B5" w:themeColor="accent1" w:themeShade="BF"/>
          <w:sz w:val="20"/>
          <w:lang w:val="en-US"/>
        </w:rPr>
      </w:pPr>
      <w:r w:rsidRPr="00124DA6">
        <w:rPr>
          <w:rFonts w:asciiTheme="majorHAnsi" w:hAnsiTheme="majorHAnsi" w:cstheme="majorHAnsi"/>
          <w:i/>
          <w:color w:val="2E74B5" w:themeColor="accent1" w:themeShade="BF"/>
          <w:sz w:val="20"/>
          <w:lang w:val="en-US"/>
        </w:rPr>
        <w:t>Source</w:t>
      </w:r>
      <w:r w:rsidRPr="00124DA6">
        <w:rPr>
          <w:rFonts w:asciiTheme="majorHAnsi" w:hAnsiTheme="majorHAnsi" w:cstheme="majorHAnsi"/>
          <w:color w:val="2E74B5" w:themeColor="accent1" w:themeShade="BF"/>
          <w:sz w:val="20"/>
          <w:lang w:val="en-US"/>
        </w:rPr>
        <w:t>: World Bank.</w:t>
      </w:r>
    </w:p>
    <w:p w14:paraId="577D47FB" w14:textId="77777777" w:rsidR="00102FE0" w:rsidRPr="00885EBD" w:rsidRDefault="00305B7E" w:rsidP="00EA169D">
      <w:pPr>
        <w:pStyle w:val="Heading4"/>
        <w:spacing w:after="120"/>
        <w:rPr>
          <w:b/>
          <w:lang w:val="en-US"/>
        </w:rPr>
      </w:pPr>
      <w:r w:rsidRPr="00885EBD">
        <w:rPr>
          <w:b/>
          <w:lang w:val="en-US"/>
        </w:rPr>
        <w:t xml:space="preserve">3.4.2.2 </w:t>
      </w:r>
      <w:r w:rsidR="00102FE0" w:rsidRPr="00885EBD">
        <w:rPr>
          <w:b/>
          <w:lang w:val="en-US"/>
        </w:rPr>
        <w:t xml:space="preserve">Geographic </w:t>
      </w:r>
      <w:r w:rsidR="0019069A" w:rsidRPr="00885EBD">
        <w:rPr>
          <w:b/>
          <w:lang w:val="en-US"/>
        </w:rPr>
        <w:t>C</w:t>
      </w:r>
      <w:r w:rsidR="00102FE0" w:rsidRPr="00885EBD">
        <w:rPr>
          <w:b/>
          <w:lang w:val="en-US"/>
        </w:rPr>
        <w:t xml:space="preserve">overage </w:t>
      </w:r>
    </w:p>
    <w:p w14:paraId="7C3F3C40" w14:textId="07B627D8" w:rsidR="00102FE0" w:rsidRPr="00124DA6" w:rsidRDefault="00102FE0" w:rsidP="00E51EAF">
      <w:pPr>
        <w:pStyle w:val="ListParagraph"/>
        <w:numPr>
          <w:ilvl w:val="0"/>
          <w:numId w:val="47"/>
        </w:numPr>
        <w:spacing w:before="120" w:after="120" w:line="240" w:lineRule="auto"/>
        <w:ind w:left="0" w:firstLine="0"/>
        <w:contextualSpacing w:val="0"/>
        <w:jc w:val="both"/>
        <w:rPr>
          <w:bCs/>
          <w:lang w:val="en-US"/>
        </w:rPr>
      </w:pPr>
      <w:r w:rsidRPr="00124DA6">
        <w:rPr>
          <w:b/>
          <w:bCs/>
          <w:lang w:val="en-US"/>
        </w:rPr>
        <w:t xml:space="preserve">The providers of mobile money solutions (MTN and </w:t>
      </w:r>
      <w:proofErr w:type="spellStart"/>
      <w:r w:rsidRPr="00124DA6">
        <w:rPr>
          <w:b/>
          <w:bCs/>
          <w:lang w:val="en-US"/>
        </w:rPr>
        <w:t>Moov</w:t>
      </w:r>
      <w:proofErr w:type="spellEnd"/>
      <w:r w:rsidRPr="00124DA6">
        <w:rPr>
          <w:b/>
          <w:bCs/>
          <w:lang w:val="en-US"/>
        </w:rPr>
        <w:t xml:space="preserve">) have the largest distribution network, </w:t>
      </w:r>
      <w:r w:rsidR="001C623B">
        <w:rPr>
          <w:b/>
          <w:bCs/>
          <w:lang w:val="en-US"/>
        </w:rPr>
        <w:t xml:space="preserve">respectively </w:t>
      </w:r>
      <w:r w:rsidRPr="00124DA6">
        <w:rPr>
          <w:b/>
          <w:bCs/>
          <w:lang w:val="en-US"/>
        </w:rPr>
        <w:t xml:space="preserve">followed by </w:t>
      </w:r>
      <w:r w:rsidR="00231583" w:rsidRPr="00124DA6">
        <w:rPr>
          <w:b/>
          <w:bCs/>
          <w:lang w:val="en-US"/>
        </w:rPr>
        <w:t>MFIs</w:t>
      </w:r>
      <w:r w:rsidRPr="00124DA6">
        <w:rPr>
          <w:b/>
          <w:bCs/>
          <w:lang w:val="en-US"/>
        </w:rPr>
        <w:t>, commercial banks</w:t>
      </w:r>
      <w:r w:rsidR="00E85E32" w:rsidRPr="00124DA6">
        <w:rPr>
          <w:b/>
          <w:bCs/>
          <w:lang w:val="en-US"/>
        </w:rPr>
        <w:t>,</w:t>
      </w:r>
      <w:r w:rsidRPr="00124DA6">
        <w:rPr>
          <w:b/>
          <w:bCs/>
          <w:lang w:val="en-US"/>
        </w:rPr>
        <w:t xml:space="preserve"> and the Post</w:t>
      </w:r>
      <w:r w:rsidR="00231583" w:rsidRPr="00124DA6">
        <w:rPr>
          <w:b/>
          <w:bCs/>
          <w:lang w:val="en-US"/>
        </w:rPr>
        <w:t xml:space="preserve"> Office</w:t>
      </w:r>
      <w:r w:rsidRPr="00124DA6">
        <w:rPr>
          <w:b/>
          <w:bCs/>
          <w:lang w:val="en-US"/>
        </w:rPr>
        <w:t>.</w:t>
      </w:r>
      <w:r w:rsidRPr="00124DA6">
        <w:rPr>
          <w:bCs/>
          <w:lang w:val="en-US"/>
        </w:rPr>
        <w:t xml:space="preserve"> In terms of distribution, the density of service points of financial actors by type (MNO</w:t>
      </w:r>
      <w:r w:rsidR="00E85E32" w:rsidRPr="00124DA6">
        <w:rPr>
          <w:bCs/>
          <w:lang w:val="en-US"/>
        </w:rPr>
        <w:t>s</w:t>
      </w:r>
      <w:r w:rsidRPr="00124DA6">
        <w:rPr>
          <w:bCs/>
          <w:lang w:val="en-US"/>
        </w:rPr>
        <w:t xml:space="preserve">, banks, </w:t>
      </w:r>
      <w:r w:rsidR="00231583" w:rsidRPr="00124DA6">
        <w:rPr>
          <w:bCs/>
          <w:lang w:val="en-US"/>
        </w:rPr>
        <w:t>MFIs</w:t>
      </w:r>
      <w:r w:rsidRPr="00124DA6">
        <w:rPr>
          <w:bCs/>
          <w:lang w:val="en-US"/>
        </w:rPr>
        <w:t xml:space="preserve">, </w:t>
      </w:r>
      <w:r w:rsidR="00E85E32" w:rsidRPr="00124DA6">
        <w:rPr>
          <w:bCs/>
          <w:lang w:val="en-US"/>
        </w:rPr>
        <w:t xml:space="preserve">the </w:t>
      </w:r>
      <w:r w:rsidRPr="00124DA6">
        <w:rPr>
          <w:bCs/>
          <w:lang w:val="en-US"/>
        </w:rPr>
        <w:t>Post</w:t>
      </w:r>
      <w:r w:rsidR="00231583" w:rsidRPr="00124DA6">
        <w:rPr>
          <w:bCs/>
          <w:lang w:val="en-US"/>
        </w:rPr>
        <w:t xml:space="preserve"> </w:t>
      </w:r>
      <w:r w:rsidR="00505B52" w:rsidRPr="00124DA6">
        <w:rPr>
          <w:bCs/>
          <w:lang w:val="en-US"/>
        </w:rPr>
        <w:t>O</w:t>
      </w:r>
      <w:r w:rsidR="00231583" w:rsidRPr="00124DA6">
        <w:rPr>
          <w:bCs/>
          <w:lang w:val="en-US"/>
        </w:rPr>
        <w:t>ffice</w:t>
      </w:r>
      <w:r w:rsidRPr="00124DA6">
        <w:rPr>
          <w:bCs/>
          <w:lang w:val="en-US"/>
        </w:rPr>
        <w:t xml:space="preserve">) seems to be relatively homogeneous across </w:t>
      </w:r>
      <w:proofErr w:type="gramStart"/>
      <w:r w:rsidRPr="00124DA6">
        <w:rPr>
          <w:bCs/>
          <w:lang w:val="en-US"/>
        </w:rPr>
        <w:t>all of</w:t>
      </w:r>
      <w:proofErr w:type="gramEnd"/>
      <w:r w:rsidRPr="00124DA6">
        <w:rPr>
          <w:bCs/>
          <w:lang w:val="en-US"/>
        </w:rPr>
        <w:t xml:space="preserve"> the </w:t>
      </w:r>
      <w:r w:rsidR="00E85E32" w:rsidRPr="00124DA6">
        <w:rPr>
          <w:bCs/>
          <w:lang w:val="en-US"/>
        </w:rPr>
        <w:t xml:space="preserve">12 </w:t>
      </w:r>
      <w:r w:rsidRPr="00124DA6">
        <w:rPr>
          <w:bCs/>
          <w:lang w:val="en-US"/>
        </w:rPr>
        <w:t>counties in Benin.</w:t>
      </w:r>
    </w:p>
    <w:p w14:paraId="20F75BD0" w14:textId="0DB055EA" w:rsidR="00102FE0" w:rsidRPr="00885EBD" w:rsidRDefault="00E97941" w:rsidP="00E97941">
      <w:pPr>
        <w:pStyle w:val="Caption"/>
        <w:keepNext/>
        <w:rPr>
          <w:b/>
          <w:lang w:val="en-US"/>
        </w:rPr>
      </w:pPr>
      <w:r w:rsidRPr="00885EBD">
        <w:rPr>
          <w:b/>
          <w:lang w:val="en-US"/>
        </w:rPr>
        <w:t>Figure</w:t>
      </w:r>
      <w:r w:rsidR="00C702B4" w:rsidRPr="00885EBD">
        <w:rPr>
          <w:b/>
          <w:lang w:val="en-US"/>
        </w:rPr>
        <w:t> </w:t>
      </w:r>
      <w:r w:rsidRPr="00885EBD">
        <w:rPr>
          <w:b/>
          <w:lang w:val="en-US"/>
        </w:rPr>
        <w:t>3.</w:t>
      </w:r>
      <w:r w:rsidRPr="00885EBD">
        <w:rPr>
          <w:b/>
          <w:lang w:val="en-US"/>
        </w:rPr>
        <w:fldChar w:fldCharType="begin"/>
      </w:r>
      <w:r w:rsidRPr="00885EBD">
        <w:rPr>
          <w:b/>
          <w:lang w:val="en-US"/>
        </w:rPr>
        <w:instrText xml:space="preserve"> SEQ Figure_3. \* ARABIC </w:instrText>
      </w:r>
      <w:r w:rsidRPr="00885EBD">
        <w:rPr>
          <w:b/>
          <w:lang w:val="en-US"/>
        </w:rPr>
        <w:fldChar w:fldCharType="separate"/>
      </w:r>
      <w:r w:rsidR="004C6E5F" w:rsidRPr="00885EBD">
        <w:rPr>
          <w:b/>
          <w:noProof/>
          <w:lang w:val="en-US"/>
        </w:rPr>
        <w:t>14</w:t>
      </w:r>
      <w:r w:rsidRPr="00885EBD">
        <w:rPr>
          <w:b/>
          <w:lang w:val="en-US"/>
        </w:rPr>
        <w:fldChar w:fldCharType="end"/>
      </w:r>
      <w:r w:rsidR="00102FE0" w:rsidRPr="00885EBD">
        <w:rPr>
          <w:b/>
          <w:lang w:val="en-US"/>
        </w:rPr>
        <w:t>: Distribution of access to financial services (</w:t>
      </w:r>
      <w:r w:rsidR="00E85E32" w:rsidRPr="00885EBD">
        <w:rPr>
          <w:b/>
          <w:lang w:val="en-US"/>
        </w:rPr>
        <w:t>b</w:t>
      </w:r>
      <w:r w:rsidR="00102FE0" w:rsidRPr="00885EBD">
        <w:rPr>
          <w:b/>
          <w:lang w:val="en-US"/>
        </w:rPr>
        <w:t>anks, MFIs, MNO</w:t>
      </w:r>
      <w:r w:rsidR="00E85E32" w:rsidRPr="00885EBD">
        <w:rPr>
          <w:b/>
          <w:lang w:val="en-US"/>
        </w:rPr>
        <w:t>s</w:t>
      </w:r>
      <w:r w:rsidR="00102FE0" w:rsidRPr="00885EBD">
        <w:rPr>
          <w:b/>
          <w:lang w:val="en-US"/>
        </w:rPr>
        <w:t xml:space="preserve">, </w:t>
      </w:r>
      <w:r w:rsidR="00E85E32" w:rsidRPr="00885EBD">
        <w:rPr>
          <w:b/>
          <w:lang w:val="en-US"/>
        </w:rPr>
        <w:t>p</w:t>
      </w:r>
      <w:r w:rsidR="00102FE0" w:rsidRPr="00885EBD">
        <w:rPr>
          <w:b/>
          <w:lang w:val="en-US"/>
        </w:rPr>
        <w:t>ost</w:t>
      </w:r>
      <w:r w:rsidR="00E85E32" w:rsidRPr="00885EBD">
        <w:rPr>
          <w:b/>
          <w:lang w:val="en-US"/>
        </w:rPr>
        <w:t xml:space="preserve"> office</w:t>
      </w:r>
      <w:r w:rsidR="00102FE0" w:rsidRPr="00885EBD">
        <w:rPr>
          <w:b/>
          <w:lang w:val="en-US"/>
        </w:rPr>
        <w:t>) 2017</w:t>
      </w:r>
    </w:p>
    <w:p w14:paraId="4C89F814" w14:textId="26E46325" w:rsidR="00EC2E5B" w:rsidRDefault="00D321D5" w:rsidP="00EC2E5B">
      <w:pPr>
        <w:pStyle w:val="NoSpacing"/>
        <w:keepNext/>
        <w:rPr>
          <w:lang w:val="en-US"/>
        </w:rPr>
      </w:pPr>
      <w:r w:rsidRPr="00124DA6">
        <w:rPr>
          <w:noProof/>
          <w:lang w:eastAsia="fr-FR"/>
        </w:rPr>
        <w:drawing>
          <wp:anchor distT="0" distB="0" distL="114300" distR="114300" simplePos="0" relativeHeight="251651072" behindDoc="0" locked="0" layoutInCell="1" allowOverlap="1" wp14:anchorId="47B753B4" wp14:editId="0A99FC78">
            <wp:simplePos x="0" y="0"/>
            <wp:positionH relativeFrom="column">
              <wp:posOffset>1416050</wp:posOffset>
            </wp:positionH>
            <wp:positionV relativeFrom="paragraph">
              <wp:posOffset>137795</wp:posOffset>
            </wp:positionV>
            <wp:extent cx="2660650" cy="2217420"/>
            <wp:effectExtent l="0" t="0" r="6350" b="0"/>
            <wp:wrapSquare wrapText="bothSides"/>
            <wp:docPr id="15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60650" cy="221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FEF5F9" w14:textId="0B8FCE27" w:rsidR="00EC2E5B" w:rsidRPr="00EC2E5B" w:rsidRDefault="00EC2E5B" w:rsidP="00EC2E5B">
      <w:pPr>
        <w:rPr>
          <w:lang w:val="en-US"/>
        </w:rPr>
      </w:pPr>
    </w:p>
    <w:p w14:paraId="04DAB260" w14:textId="3919CBF7" w:rsidR="00EA169D" w:rsidRDefault="00EA169D" w:rsidP="00EC2E5B">
      <w:pPr>
        <w:pStyle w:val="NoSpacing"/>
        <w:keepNext/>
        <w:rPr>
          <w:lang w:val="en-US"/>
        </w:rPr>
      </w:pPr>
    </w:p>
    <w:p w14:paraId="2DB28D23" w14:textId="35DD395A" w:rsidR="00D321D5" w:rsidRDefault="00D321D5" w:rsidP="00EC2E5B">
      <w:pPr>
        <w:pStyle w:val="NoSpacing"/>
        <w:keepNext/>
        <w:rPr>
          <w:lang w:val="en-US"/>
        </w:rPr>
      </w:pPr>
    </w:p>
    <w:p w14:paraId="02EE1009" w14:textId="01E9D0B0" w:rsidR="00D321D5" w:rsidRDefault="00D321D5" w:rsidP="00EC2E5B">
      <w:pPr>
        <w:pStyle w:val="NoSpacing"/>
        <w:keepNext/>
        <w:rPr>
          <w:lang w:val="en-US"/>
        </w:rPr>
      </w:pPr>
    </w:p>
    <w:p w14:paraId="01F791E3" w14:textId="77777777" w:rsidR="00D321D5" w:rsidRDefault="00D321D5" w:rsidP="00EC2E5B">
      <w:pPr>
        <w:pStyle w:val="NoSpacing"/>
        <w:keepNext/>
        <w:rPr>
          <w:lang w:val="en-US"/>
        </w:rPr>
      </w:pPr>
    </w:p>
    <w:p w14:paraId="0AFC1DE4" w14:textId="051362AA" w:rsidR="00EA169D" w:rsidRDefault="00EA169D" w:rsidP="00EC2E5B">
      <w:pPr>
        <w:pStyle w:val="NoSpacing"/>
        <w:keepNext/>
        <w:rPr>
          <w:lang w:val="en-US"/>
        </w:rPr>
      </w:pPr>
    </w:p>
    <w:p w14:paraId="53BCB506" w14:textId="097999E6" w:rsidR="00EA169D" w:rsidRDefault="00EA169D" w:rsidP="00EC2E5B">
      <w:pPr>
        <w:pStyle w:val="NoSpacing"/>
        <w:keepNext/>
        <w:rPr>
          <w:lang w:val="en-US"/>
        </w:rPr>
      </w:pPr>
    </w:p>
    <w:p w14:paraId="1911C38E" w14:textId="5987DE80" w:rsidR="00EA169D" w:rsidRDefault="00EA169D" w:rsidP="00EC2E5B">
      <w:pPr>
        <w:pStyle w:val="NoSpacing"/>
        <w:keepNext/>
        <w:rPr>
          <w:lang w:val="en-US"/>
        </w:rPr>
      </w:pPr>
    </w:p>
    <w:p w14:paraId="4C6FAC04" w14:textId="7326F549" w:rsidR="00EA169D" w:rsidRDefault="00EA169D" w:rsidP="00EC2E5B">
      <w:pPr>
        <w:pStyle w:val="NoSpacing"/>
        <w:keepNext/>
        <w:rPr>
          <w:lang w:val="en-US"/>
        </w:rPr>
      </w:pPr>
    </w:p>
    <w:p w14:paraId="389CD793" w14:textId="19F48978" w:rsidR="00EA169D" w:rsidRDefault="00EA169D" w:rsidP="00EC2E5B">
      <w:pPr>
        <w:pStyle w:val="NoSpacing"/>
        <w:keepNext/>
        <w:rPr>
          <w:lang w:val="en-US"/>
        </w:rPr>
      </w:pPr>
    </w:p>
    <w:p w14:paraId="554A90FB" w14:textId="28A8DA52" w:rsidR="00EA169D" w:rsidRDefault="00EA169D" w:rsidP="00EC2E5B">
      <w:pPr>
        <w:pStyle w:val="NoSpacing"/>
        <w:keepNext/>
        <w:rPr>
          <w:lang w:val="en-US"/>
        </w:rPr>
      </w:pPr>
    </w:p>
    <w:p w14:paraId="70CC3196" w14:textId="6497315D" w:rsidR="00EA169D" w:rsidRDefault="00EA169D" w:rsidP="00EC2E5B">
      <w:pPr>
        <w:pStyle w:val="NoSpacing"/>
        <w:keepNext/>
        <w:rPr>
          <w:lang w:val="en-US"/>
        </w:rPr>
      </w:pPr>
    </w:p>
    <w:p w14:paraId="46C4DBCA" w14:textId="47CE2768" w:rsidR="00102FE0" w:rsidRPr="00124DA6" w:rsidRDefault="00EA169D" w:rsidP="00885EBD">
      <w:pPr>
        <w:pStyle w:val="NoSpacing"/>
        <w:keepNext/>
        <w:rPr>
          <w:rFonts w:asciiTheme="majorHAnsi" w:hAnsiTheme="majorHAnsi" w:cstheme="majorHAnsi"/>
          <w:i/>
          <w:color w:val="2E74B5" w:themeColor="accent1" w:themeShade="BF"/>
          <w:sz w:val="20"/>
          <w:lang w:val="en-US"/>
        </w:rPr>
      </w:pPr>
      <w:r w:rsidRPr="00124DA6">
        <w:rPr>
          <w:rFonts w:asciiTheme="majorHAnsi" w:hAnsiTheme="majorHAnsi" w:cstheme="majorHAnsi"/>
          <w:i/>
          <w:color w:val="2E74B5" w:themeColor="accent1" w:themeShade="BF"/>
          <w:sz w:val="20"/>
          <w:lang w:val="en-US"/>
        </w:rPr>
        <w:t xml:space="preserve">Source: </w:t>
      </w:r>
      <w:hyperlink r:id="rId51" w:history="1">
        <w:r w:rsidRPr="00124DA6">
          <w:rPr>
            <w:rFonts w:asciiTheme="majorHAnsi" w:hAnsiTheme="majorHAnsi" w:cstheme="majorHAnsi"/>
            <w:color w:val="2E74B5" w:themeColor="accent1" w:themeShade="BF"/>
            <w:sz w:val="20"/>
            <w:lang w:val="en-US"/>
          </w:rPr>
          <w:t>finclusionlab.org (2017)</w:t>
        </w:r>
      </w:hyperlink>
      <w:r w:rsidRPr="00124DA6">
        <w:rPr>
          <w:rFonts w:asciiTheme="majorHAnsi" w:hAnsiTheme="majorHAnsi" w:cstheme="majorHAnsi"/>
          <w:color w:val="2E74B5" w:themeColor="accent1" w:themeShade="BF"/>
          <w:sz w:val="20"/>
          <w:lang w:val="en-US"/>
        </w:rPr>
        <w:t>.</w:t>
      </w:r>
      <w:r w:rsidR="00EC2E5B">
        <w:rPr>
          <w:lang w:val="en-US"/>
        </w:rPr>
        <w:br w:type="textWrapping" w:clear="all"/>
      </w:r>
    </w:p>
    <w:p w14:paraId="0930B7D1" w14:textId="77777777" w:rsidR="00102FE0" w:rsidRPr="00124DA6" w:rsidRDefault="00102FE0" w:rsidP="00390499">
      <w:pPr>
        <w:pStyle w:val="NoSpacing"/>
        <w:spacing w:after="240"/>
        <w:rPr>
          <w:b/>
          <w:lang w:val="en-US"/>
        </w:rPr>
      </w:pPr>
      <w:r w:rsidRPr="00124DA6">
        <w:rPr>
          <w:b/>
          <w:lang w:val="en-US"/>
        </w:rPr>
        <w:t xml:space="preserve">Recommendations: </w:t>
      </w:r>
    </w:p>
    <w:p w14:paraId="2D0881D4" w14:textId="41F45390"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Develop an ecosystem of merchant acceptance networks. There is a strong density of mobile money agent networks in Benin and the main mobile money services used are cash-in, cash-out</w:t>
      </w:r>
      <w:r w:rsidR="00E85E32" w:rsidRPr="00124DA6">
        <w:rPr>
          <w:lang w:val="en-US"/>
        </w:rPr>
        <w:t>,</w:t>
      </w:r>
      <w:r w:rsidRPr="00124DA6">
        <w:rPr>
          <w:lang w:val="en-US"/>
        </w:rPr>
        <w:t xml:space="preserve"> and money transfer. These uses represent a first step toward the digitization of transactions, </w:t>
      </w:r>
      <w:r w:rsidR="00E85E32" w:rsidRPr="00124DA6">
        <w:rPr>
          <w:lang w:val="en-US"/>
        </w:rPr>
        <w:t>but</w:t>
      </w:r>
      <w:r w:rsidRPr="00124DA6">
        <w:rPr>
          <w:lang w:val="en-US"/>
        </w:rPr>
        <w:t xml:space="preserve"> they do not reduce the circulation of cash in the economy. </w:t>
      </w:r>
      <w:r w:rsidR="001C623B">
        <w:rPr>
          <w:lang w:val="en-US"/>
        </w:rPr>
        <w:t>Electronic</w:t>
      </w:r>
      <w:r w:rsidRPr="00124DA6">
        <w:rPr>
          <w:lang w:val="en-US"/>
        </w:rPr>
        <w:t xml:space="preserve"> money </w:t>
      </w:r>
      <w:r w:rsidR="001C623B">
        <w:rPr>
          <w:lang w:val="en-US"/>
        </w:rPr>
        <w:t xml:space="preserve">should </w:t>
      </w:r>
      <w:r w:rsidRPr="00124DA6">
        <w:rPr>
          <w:lang w:val="en-US"/>
        </w:rPr>
        <w:t>circulate in economic exchanges without friction (</w:t>
      </w:r>
      <w:r w:rsidR="001C623B">
        <w:rPr>
          <w:lang w:val="en-US"/>
        </w:rPr>
        <w:t xml:space="preserve">that is, </w:t>
      </w:r>
      <w:r w:rsidRPr="00124DA6">
        <w:rPr>
          <w:lang w:val="en-US"/>
        </w:rPr>
        <w:t xml:space="preserve">without leaving the system in the form of cash). To </w:t>
      </w:r>
      <w:r w:rsidR="001C623B">
        <w:rPr>
          <w:lang w:val="en-US"/>
        </w:rPr>
        <w:t>achieve this goal</w:t>
      </w:r>
      <w:r w:rsidRPr="00124DA6">
        <w:rPr>
          <w:lang w:val="en-US"/>
        </w:rPr>
        <w:t>, it is essential to create a merchant payment ecosystem through which purchases of goods and services will take place through electronic money, thus minimizing the conversion rate from electronic money to cash.</w:t>
      </w:r>
    </w:p>
    <w:p w14:paraId="3A695EA2" w14:textId="77777777"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Promote the development of a card merchant acceptance network with EPTs.</w:t>
      </w:r>
    </w:p>
    <w:p w14:paraId="776044AA" w14:textId="77777777" w:rsidR="007167F7" w:rsidRPr="00124DA6" w:rsidRDefault="00102FE0" w:rsidP="00C80F20">
      <w:pPr>
        <w:pStyle w:val="NoSpacing"/>
        <w:numPr>
          <w:ilvl w:val="0"/>
          <w:numId w:val="32"/>
        </w:numPr>
        <w:spacing w:before="120" w:after="120"/>
        <w:ind w:left="1195" w:hanging="475"/>
        <w:jc w:val="both"/>
        <w:rPr>
          <w:lang w:val="en-US"/>
        </w:rPr>
      </w:pPr>
      <w:r w:rsidRPr="00124DA6">
        <w:rPr>
          <w:lang w:val="en-US"/>
        </w:rPr>
        <w:t>Promote the development of banking agency solutions at the banks level.</w:t>
      </w:r>
    </w:p>
    <w:p w14:paraId="43372977" w14:textId="77777777" w:rsidR="00102FE0" w:rsidRPr="00C80F20" w:rsidRDefault="00102FE0" w:rsidP="003B0586">
      <w:pPr>
        <w:pStyle w:val="Heading3"/>
        <w:rPr>
          <w:b/>
          <w:lang w:val="en-US"/>
        </w:rPr>
      </w:pPr>
      <w:bookmarkStart w:id="40" w:name="_Toc3975144"/>
      <w:r w:rsidRPr="00C80F20">
        <w:rPr>
          <w:b/>
          <w:lang w:val="en-US"/>
        </w:rPr>
        <w:t xml:space="preserve">3.4.3 The </w:t>
      </w:r>
      <w:r w:rsidR="00E5638F" w:rsidRPr="00C80F20">
        <w:rPr>
          <w:b/>
          <w:lang w:val="en-US"/>
        </w:rPr>
        <w:t>S</w:t>
      </w:r>
      <w:r w:rsidRPr="00C80F20">
        <w:rPr>
          <w:b/>
          <w:lang w:val="en-US"/>
        </w:rPr>
        <w:t xml:space="preserve">ervice </w:t>
      </w:r>
      <w:r w:rsidR="00E5638F" w:rsidRPr="00C80F20">
        <w:rPr>
          <w:b/>
          <w:lang w:val="en-US"/>
        </w:rPr>
        <w:t>P</w:t>
      </w:r>
      <w:r w:rsidRPr="00C80F20">
        <w:rPr>
          <w:b/>
          <w:lang w:val="en-US"/>
        </w:rPr>
        <w:t>roviders</w:t>
      </w:r>
      <w:bookmarkEnd w:id="40"/>
      <w:r w:rsidRPr="00C80F20">
        <w:rPr>
          <w:b/>
          <w:lang w:val="en-US"/>
        </w:rPr>
        <w:t xml:space="preserve"> </w:t>
      </w:r>
    </w:p>
    <w:p w14:paraId="363E8FE0" w14:textId="77777777" w:rsidR="00102FE0" w:rsidRPr="00C80F20" w:rsidRDefault="00390499" w:rsidP="00390499">
      <w:pPr>
        <w:pStyle w:val="Heading4"/>
        <w:rPr>
          <w:b/>
          <w:lang w:val="en-US"/>
        </w:rPr>
      </w:pPr>
      <w:r w:rsidRPr="00C80F20">
        <w:rPr>
          <w:b/>
          <w:lang w:val="en-US"/>
        </w:rPr>
        <w:t xml:space="preserve">3.4.3.1 </w:t>
      </w:r>
      <w:r w:rsidR="00102FE0" w:rsidRPr="00C80F20">
        <w:rPr>
          <w:b/>
          <w:lang w:val="en-US"/>
        </w:rPr>
        <w:t xml:space="preserve">Banks and </w:t>
      </w:r>
      <w:r w:rsidR="00231583" w:rsidRPr="00C80F20">
        <w:rPr>
          <w:b/>
          <w:lang w:val="en-US"/>
        </w:rPr>
        <w:t>MFIs</w:t>
      </w:r>
      <w:r w:rsidR="00102FE0" w:rsidRPr="00C80F20">
        <w:rPr>
          <w:b/>
          <w:lang w:val="en-US"/>
        </w:rPr>
        <w:t xml:space="preserve"> </w:t>
      </w:r>
    </w:p>
    <w:p w14:paraId="19224F75" w14:textId="55368CFC" w:rsidR="00102FE0" w:rsidRPr="00124DA6" w:rsidRDefault="00231583" w:rsidP="00C80F20">
      <w:pPr>
        <w:pStyle w:val="ListParagraph"/>
        <w:numPr>
          <w:ilvl w:val="0"/>
          <w:numId w:val="47"/>
        </w:numPr>
        <w:spacing w:after="240" w:line="240" w:lineRule="auto"/>
        <w:ind w:left="0" w:firstLine="0"/>
        <w:contextualSpacing w:val="0"/>
        <w:jc w:val="both"/>
        <w:rPr>
          <w:lang w:val="en-US"/>
        </w:rPr>
      </w:pPr>
      <w:r w:rsidRPr="00124DA6">
        <w:rPr>
          <w:b/>
          <w:lang w:val="en-US"/>
        </w:rPr>
        <w:t>Along with the banking system, m</w:t>
      </w:r>
      <w:r w:rsidR="00102FE0" w:rsidRPr="00124DA6">
        <w:rPr>
          <w:b/>
          <w:lang w:val="en-US"/>
        </w:rPr>
        <w:t>icrofinance is also an important vector of financial inclusion in Benin.</w:t>
      </w:r>
      <w:r w:rsidR="00102FE0" w:rsidRPr="00124DA6">
        <w:rPr>
          <w:lang w:val="en-US"/>
        </w:rPr>
        <w:t xml:space="preserve"> Indeed, </w:t>
      </w:r>
      <w:r w:rsidRPr="00124DA6">
        <w:rPr>
          <w:lang w:val="en-US"/>
        </w:rPr>
        <w:t>MFI</w:t>
      </w:r>
      <w:r w:rsidR="005C005D" w:rsidRPr="00124DA6">
        <w:rPr>
          <w:lang w:val="en-US"/>
        </w:rPr>
        <w:t>s</w:t>
      </w:r>
      <w:r w:rsidR="00102FE0" w:rsidRPr="00124DA6">
        <w:rPr>
          <w:lang w:val="en-US"/>
        </w:rPr>
        <w:t xml:space="preserve"> offer financial services to nearly 18</w:t>
      </w:r>
      <w:r w:rsidR="00E5638F" w:rsidRPr="00124DA6">
        <w:rPr>
          <w:lang w:val="en-US"/>
        </w:rPr>
        <w:t xml:space="preserve"> percent</w:t>
      </w:r>
      <w:r w:rsidR="00102FE0" w:rsidRPr="00124DA6">
        <w:rPr>
          <w:lang w:val="en-US"/>
        </w:rPr>
        <w:t xml:space="preserve"> of the population (</w:t>
      </w:r>
      <w:r w:rsidRPr="00124DA6">
        <w:rPr>
          <w:lang w:val="en-US"/>
        </w:rPr>
        <w:t>APSFD</w:t>
      </w:r>
      <w:r w:rsidR="00102FE0" w:rsidRPr="00124DA6">
        <w:rPr>
          <w:lang w:val="en-US"/>
        </w:rPr>
        <w:t xml:space="preserve"> Benin</w:t>
      </w:r>
      <w:r w:rsidR="00C702B4">
        <w:rPr>
          <w:lang w:val="en-US"/>
        </w:rPr>
        <w:t> </w:t>
      </w:r>
      <w:r w:rsidR="00102FE0" w:rsidRPr="00124DA6">
        <w:rPr>
          <w:lang w:val="en-US"/>
        </w:rPr>
        <w:t xml:space="preserve">2016). </w:t>
      </w:r>
      <w:r w:rsidR="005C005D" w:rsidRPr="00124DA6">
        <w:rPr>
          <w:lang w:val="en-US"/>
        </w:rPr>
        <w:t>However, d</w:t>
      </w:r>
      <w:r w:rsidR="00102FE0" w:rsidRPr="00124DA6">
        <w:rPr>
          <w:lang w:val="en-US"/>
        </w:rPr>
        <w:t xml:space="preserve">igital finance offer </w:t>
      </w:r>
      <w:r w:rsidR="005C005D" w:rsidRPr="00124DA6">
        <w:rPr>
          <w:lang w:val="en-US"/>
        </w:rPr>
        <w:t>by</w:t>
      </w:r>
      <w:r w:rsidR="00102FE0" w:rsidRPr="00124DA6">
        <w:rPr>
          <w:lang w:val="en-US"/>
        </w:rPr>
        <w:t xml:space="preserve"> banks and </w:t>
      </w:r>
      <w:r w:rsidRPr="00124DA6">
        <w:rPr>
          <w:lang w:val="en-US"/>
        </w:rPr>
        <w:t>MFI</w:t>
      </w:r>
      <w:r w:rsidR="005C005D" w:rsidRPr="00124DA6">
        <w:rPr>
          <w:lang w:val="en-US"/>
        </w:rPr>
        <w:t>s</w:t>
      </w:r>
      <w:r w:rsidR="00102FE0" w:rsidRPr="00124DA6">
        <w:rPr>
          <w:lang w:val="en-US"/>
        </w:rPr>
        <w:t xml:space="preserve"> is little diversified.</w:t>
      </w:r>
      <w:r w:rsidR="005C005D" w:rsidRPr="00124DA6">
        <w:rPr>
          <w:lang w:val="en-US"/>
        </w:rPr>
        <w:t xml:space="preserve"> B</w:t>
      </w:r>
      <w:r w:rsidR="00102FE0" w:rsidRPr="00124DA6">
        <w:rPr>
          <w:lang w:val="en-US"/>
        </w:rPr>
        <w:t>anks mainly offer solutions for</w:t>
      </w:r>
    </w:p>
    <w:p w14:paraId="544EEF21" w14:textId="77777777" w:rsidR="00102FE0" w:rsidRPr="00124DA6" w:rsidRDefault="00E5638F" w:rsidP="00C80F20">
      <w:pPr>
        <w:pStyle w:val="NoSpacing"/>
        <w:numPr>
          <w:ilvl w:val="0"/>
          <w:numId w:val="32"/>
        </w:numPr>
        <w:spacing w:before="120" w:after="120"/>
        <w:ind w:left="1195" w:hanging="475"/>
        <w:jc w:val="both"/>
        <w:rPr>
          <w:lang w:val="en-US"/>
        </w:rPr>
      </w:pPr>
      <w:r w:rsidRPr="00124DA6">
        <w:rPr>
          <w:lang w:val="en-US"/>
        </w:rPr>
        <w:t>R</w:t>
      </w:r>
      <w:r w:rsidR="00102FE0" w:rsidRPr="00124DA6">
        <w:rPr>
          <w:lang w:val="en-US"/>
        </w:rPr>
        <w:t>emote access to the bank account;</w:t>
      </w:r>
    </w:p>
    <w:p w14:paraId="7338A498" w14:textId="77777777" w:rsidR="00102FE0" w:rsidRPr="00124DA6" w:rsidRDefault="00E5638F" w:rsidP="00C80F20">
      <w:pPr>
        <w:pStyle w:val="NoSpacing"/>
        <w:numPr>
          <w:ilvl w:val="0"/>
          <w:numId w:val="32"/>
        </w:numPr>
        <w:spacing w:before="120" w:after="120"/>
        <w:ind w:left="1195" w:hanging="475"/>
        <w:jc w:val="both"/>
        <w:rPr>
          <w:lang w:val="en-US"/>
        </w:rPr>
      </w:pPr>
      <w:r w:rsidRPr="00124DA6">
        <w:rPr>
          <w:lang w:val="en-US"/>
        </w:rPr>
        <w:t>C</w:t>
      </w:r>
      <w:r w:rsidR="00102FE0" w:rsidRPr="00124DA6">
        <w:rPr>
          <w:lang w:val="en-US"/>
        </w:rPr>
        <w:t>ards (debit and prepaid);</w:t>
      </w:r>
    </w:p>
    <w:p w14:paraId="5F0F52BA" w14:textId="77777777" w:rsidR="00102FE0" w:rsidRPr="00124DA6" w:rsidRDefault="00E5638F" w:rsidP="00C80F20">
      <w:pPr>
        <w:pStyle w:val="NoSpacing"/>
        <w:numPr>
          <w:ilvl w:val="0"/>
          <w:numId w:val="32"/>
        </w:numPr>
        <w:spacing w:before="120" w:after="120"/>
        <w:ind w:left="1195" w:hanging="475"/>
        <w:jc w:val="both"/>
        <w:rPr>
          <w:lang w:val="en-US"/>
        </w:rPr>
      </w:pPr>
      <w:r w:rsidRPr="00124DA6">
        <w:rPr>
          <w:lang w:val="en-US"/>
        </w:rPr>
        <w:t>B</w:t>
      </w:r>
      <w:r w:rsidR="00102FE0" w:rsidRPr="00124DA6">
        <w:rPr>
          <w:lang w:val="en-US"/>
        </w:rPr>
        <w:t>eing agents for the services offered by the mobile money solution providers;</w:t>
      </w:r>
      <w:r w:rsidRPr="00124DA6">
        <w:rPr>
          <w:lang w:val="en-US"/>
        </w:rPr>
        <w:t xml:space="preserve"> and</w:t>
      </w:r>
    </w:p>
    <w:p w14:paraId="69E59EFB" w14:textId="77777777" w:rsidR="00102FE0" w:rsidRPr="00124DA6" w:rsidRDefault="00E5638F" w:rsidP="00C80F20">
      <w:pPr>
        <w:pStyle w:val="NoSpacing"/>
        <w:numPr>
          <w:ilvl w:val="0"/>
          <w:numId w:val="32"/>
        </w:numPr>
        <w:spacing w:before="120" w:after="120"/>
        <w:ind w:left="1195" w:hanging="475"/>
        <w:jc w:val="both"/>
        <w:rPr>
          <w:lang w:val="en-US"/>
        </w:rPr>
      </w:pPr>
      <w:r w:rsidRPr="00124DA6">
        <w:rPr>
          <w:lang w:val="en-US"/>
        </w:rPr>
        <w:t>B</w:t>
      </w:r>
      <w:r w:rsidR="00102FE0" w:rsidRPr="00124DA6">
        <w:rPr>
          <w:lang w:val="en-US"/>
        </w:rPr>
        <w:t>ank to wallet (to a lesser extent).</w:t>
      </w:r>
    </w:p>
    <w:p w14:paraId="2910F53A" w14:textId="28CB78F0" w:rsidR="00102FE0" w:rsidRPr="00124DA6" w:rsidRDefault="00102FE0" w:rsidP="00C80F20">
      <w:pPr>
        <w:pStyle w:val="ListParagraph"/>
        <w:numPr>
          <w:ilvl w:val="0"/>
          <w:numId w:val="47"/>
        </w:numPr>
        <w:spacing w:after="240" w:line="240" w:lineRule="auto"/>
        <w:ind w:left="0" w:firstLine="0"/>
        <w:contextualSpacing w:val="0"/>
        <w:jc w:val="both"/>
        <w:rPr>
          <w:lang w:val="en-US"/>
        </w:rPr>
      </w:pPr>
      <w:r w:rsidRPr="00124DA6">
        <w:rPr>
          <w:b/>
          <w:lang w:val="en-US"/>
        </w:rPr>
        <w:t>The penetration of banking services is still low due to many factors including</w:t>
      </w:r>
      <w:r w:rsidR="00E5638F" w:rsidRPr="00124DA6">
        <w:rPr>
          <w:b/>
          <w:lang w:val="en-US"/>
        </w:rPr>
        <w:t xml:space="preserve"> the following</w:t>
      </w:r>
      <w:r w:rsidRPr="00124DA6">
        <w:rPr>
          <w:lang w:val="en-US"/>
        </w:rPr>
        <w:t xml:space="preserve">: </w:t>
      </w:r>
      <w:r w:rsidR="00E5638F" w:rsidRPr="00124DA6">
        <w:rPr>
          <w:lang w:val="en-US"/>
        </w:rPr>
        <w:t>(</w:t>
      </w:r>
      <w:r w:rsidRPr="00124DA6">
        <w:rPr>
          <w:lang w:val="en-US"/>
        </w:rPr>
        <w:t xml:space="preserve">a) low-income </w:t>
      </w:r>
      <w:r w:rsidR="00EA0ADC">
        <w:rPr>
          <w:lang w:val="en-US"/>
        </w:rPr>
        <w:t xml:space="preserve">segments of the </w:t>
      </w:r>
      <w:r w:rsidRPr="00124DA6">
        <w:rPr>
          <w:lang w:val="en-US"/>
        </w:rPr>
        <w:t>population continue to believe that banking is not</w:t>
      </w:r>
      <w:r w:rsidR="00EA0ADC">
        <w:rPr>
          <w:lang w:val="en-US"/>
        </w:rPr>
        <w:t xml:space="preserve"> meant</w:t>
      </w:r>
      <w:r w:rsidRPr="00124DA6">
        <w:rPr>
          <w:lang w:val="en-US"/>
        </w:rPr>
        <w:t xml:space="preserve"> for them </w:t>
      </w:r>
      <w:r w:rsidR="00E5638F" w:rsidRPr="00124DA6">
        <w:rPr>
          <w:lang w:val="en-US"/>
        </w:rPr>
        <w:t>and (</w:t>
      </w:r>
      <w:r w:rsidRPr="00124DA6">
        <w:rPr>
          <w:lang w:val="en-US"/>
        </w:rPr>
        <w:t>b) access to bank infrastructure is still geographically limited. In fact, bank counters and ATMs are mostly located in urban areas, so any customer wishing to open a bank account or to carry out a banking transaction must go to the urban centers where the counters are located.</w:t>
      </w:r>
    </w:p>
    <w:p w14:paraId="0A9C7715" w14:textId="77777777" w:rsidR="00102FE0" w:rsidRPr="00124DA6" w:rsidRDefault="00231583" w:rsidP="00C80F20">
      <w:pPr>
        <w:pStyle w:val="ListParagraph"/>
        <w:numPr>
          <w:ilvl w:val="0"/>
          <w:numId w:val="47"/>
        </w:numPr>
        <w:spacing w:after="240" w:line="240" w:lineRule="auto"/>
        <w:ind w:left="0" w:firstLine="0"/>
        <w:contextualSpacing w:val="0"/>
        <w:jc w:val="both"/>
        <w:rPr>
          <w:lang w:val="en-US"/>
        </w:rPr>
      </w:pPr>
      <w:r w:rsidRPr="00124DA6">
        <w:rPr>
          <w:lang w:val="en-US"/>
        </w:rPr>
        <w:t>MFI</w:t>
      </w:r>
      <w:r w:rsidR="00E5638F" w:rsidRPr="00124DA6">
        <w:rPr>
          <w:lang w:val="en-US"/>
        </w:rPr>
        <w:t>s</w:t>
      </w:r>
      <w:r w:rsidR="00102FE0" w:rsidRPr="00124DA6">
        <w:rPr>
          <w:lang w:val="en-US"/>
        </w:rPr>
        <w:t xml:space="preserve"> act primarily as agents for mobile money solution providers.</w:t>
      </w:r>
    </w:p>
    <w:p w14:paraId="2F911F45" w14:textId="77777777" w:rsidR="00102FE0" w:rsidRPr="00124DA6" w:rsidRDefault="00102FE0" w:rsidP="00C80F20">
      <w:pPr>
        <w:pStyle w:val="ListParagraph"/>
        <w:numPr>
          <w:ilvl w:val="0"/>
          <w:numId w:val="47"/>
        </w:numPr>
        <w:spacing w:after="240" w:line="240" w:lineRule="auto"/>
        <w:ind w:left="0" w:firstLine="0"/>
        <w:contextualSpacing w:val="0"/>
        <w:jc w:val="both"/>
        <w:rPr>
          <w:lang w:val="en-US"/>
        </w:rPr>
      </w:pPr>
      <w:r w:rsidRPr="00124DA6">
        <w:rPr>
          <w:b/>
          <w:lang w:val="en-US"/>
        </w:rPr>
        <w:t xml:space="preserve">Banks and </w:t>
      </w:r>
      <w:r w:rsidR="00231583" w:rsidRPr="00124DA6">
        <w:rPr>
          <w:b/>
          <w:lang w:val="en-US"/>
        </w:rPr>
        <w:t>MFI</w:t>
      </w:r>
      <w:r w:rsidRPr="00124DA6">
        <w:rPr>
          <w:b/>
          <w:lang w:val="en-US"/>
        </w:rPr>
        <w:t xml:space="preserve"> face many challenges for deploying sustainable digital finance solutions</w:t>
      </w:r>
      <w:r w:rsidRPr="00124DA6">
        <w:rPr>
          <w:lang w:val="en-US"/>
        </w:rPr>
        <w:t>:</w:t>
      </w:r>
    </w:p>
    <w:p w14:paraId="6D696E35" w14:textId="77777777"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 xml:space="preserve">Banks wishing to expand their access networks face the very high structural costs associated with </w:t>
      </w:r>
      <w:proofErr w:type="gramStart"/>
      <w:r w:rsidRPr="00124DA6">
        <w:rPr>
          <w:lang w:val="en-US"/>
        </w:rPr>
        <w:t>opening up</w:t>
      </w:r>
      <w:proofErr w:type="gramEnd"/>
      <w:r w:rsidRPr="00124DA6">
        <w:rPr>
          <w:lang w:val="en-US"/>
        </w:rPr>
        <w:t xml:space="preserve"> physical agencies, which prove to be of little or no profit in rural areas. In fact, according to the implementing texts of the law regulating banking, the option open to banks for deploying agency banking networks is based on the concept of intermediary in bank operation (</w:t>
      </w:r>
      <w:r w:rsidR="00762ACC" w:rsidRPr="00124DA6">
        <w:rPr>
          <w:lang w:val="en-US"/>
        </w:rPr>
        <w:t>BCEAO</w:t>
      </w:r>
      <w:r w:rsidRPr="00124DA6">
        <w:rPr>
          <w:lang w:val="en-US"/>
        </w:rPr>
        <w:t xml:space="preserve"> Instruction No. 015-12/2012/RB). The provisions of the </w:t>
      </w:r>
      <w:r w:rsidR="00762ACC" w:rsidRPr="00124DA6">
        <w:rPr>
          <w:lang w:val="en-US"/>
        </w:rPr>
        <w:t>BCEAO</w:t>
      </w:r>
      <w:r w:rsidRPr="00124DA6">
        <w:rPr>
          <w:lang w:val="en-US"/>
        </w:rPr>
        <w:t xml:space="preserve"> Instruction No. 015-12/2012/RB offer little flexibility compared to those on the agent networks in Instruction No. 008-05-2015, governing the conditions and procedures for the exercise of the activities of issuers of electronic money. This leads to a market distortion, thus offering a competitive advantage to electronic money institutions as well as electronic money distributors on payment solutions</w:t>
      </w:r>
      <w:r w:rsidR="00E5638F" w:rsidRPr="00124DA6">
        <w:rPr>
          <w:lang w:val="en-US"/>
        </w:rPr>
        <w:t>.</w:t>
      </w:r>
    </w:p>
    <w:p w14:paraId="00B5E6C9" w14:textId="77777777" w:rsidR="00102FE0" w:rsidRPr="00124DA6" w:rsidRDefault="00E5638F" w:rsidP="00C80F20">
      <w:pPr>
        <w:pStyle w:val="NoSpacing"/>
        <w:numPr>
          <w:ilvl w:val="0"/>
          <w:numId w:val="32"/>
        </w:numPr>
        <w:spacing w:before="120" w:after="120"/>
        <w:ind w:left="1195" w:hanging="475"/>
        <w:jc w:val="both"/>
        <w:rPr>
          <w:lang w:val="en-US"/>
        </w:rPr>
      </w:pPr>
      <w:r w:rsidRPr="00124DA6">
        <w:rPr>
          <w:lang w:val="en-US"/>
        </w:rPr>
        <w:t>C</w:t>
      </w:r>
      <w:r w:rsidR="00102FE0" w:rsidRPr="00124DA6">
        <w:rPr>
          <w:lang w:val="en-US"/>
        </w:rPr>
        <w:t>ommercial banks lack know-how in retail banking</w:t>
      </w:r>
      <w:r w:rsidRPr="00124DA6">
        <w:rPr>
          <w:lang w:val="en-US"/>
        </w:rPr>
        <w:t>.</w:t>
      </w:r>
    </w:p>
    <w:p w14:paraId="5D63667D" w14:textId="77777777" w:rsidR="00102FE0" w:rsidRPr="00124DA6" w:rsidRDefault="00231583" w:rsidP="00C80F20">
      <w:pPr>
        <w:pStyle w:val="NoSpacing"/>
        <w:numPr>
          <w:ilvl w:val="0"/>
          <w:numId w:val="32"/>
        </w:numPr>
        <w:spacing w:before="120" w:after="120"/>
        <w:ind w:left="1195" w:hanging="475"/>
        <w:jc w:val="both"/>
        <w:rPr>
          <w:lang w:val="en-US"/>
        </w:rPr>
      </w:pPr>
      <w:r w:rsidRPr="00124DA6">
        <w:rPr>
          <w:lang w:val="en-US"/>
        </w:rPr>
        <w:t>MFI</w:t>
      </w:r>
      <w:r w:rsidR="00E5638F" w:rsidRPr="00124DA6">
        <w:rPr>
          <w:lang w:val="en-US"/>
        </w:rPr>
        <w:t>s</w:t>
      </w:r>
      <w:r w:rsidR="00102FE0" w:rsidRPr="00124DA6">
        <w:rPr>
          <w:lang w:val="en-US"/>
        </w:rPr>
        <w:t>, which have more regulatory flexibility to deploy counters (service points), face the challenges of upgrading their GIS and their technical infrastructure</w:t>
      </w:r>
      <w:r w:rsidR="00E5638F" w:rsidRPr="00124DA6">
        <w:rPr>
          <w:lang w:val="en-US"/>
        </w:rPr>
        <w:t>.</w:t>
      </w:r>
    </w:p>
    <w:p w14:paraId="495FAF77" w14:textId="4A64314F" w:rsidR="00102FE0" w:rsidRPr="00124DA6" w:rsidRDefault="00110B3B" w:rsidP="00C80F20">
      <w:pPr>
        <w:pStyle w:val="NoSpacing"/>
        <w:numPr>
          <w:ilvl w:val="0"/>
          <w:numId w:val="32"/>
        </w:numPr>
        <w:spacing w:before="120" w:after="120"/>
        <w:ind w:left="1195" w:hanging="475"/>
        <w:jc w:val="both"/>
        <w:rPr>
          <w:lang w:val="en-US"/>
        </w:rPr>
      </w:pPr>
      <w:r>
        <w:rPr>
          <w:lang w:val="en-US"/>
        </w:rPr>
        <w:t>Departments of</w:t>
      </w:r>
      <w:r w:rsidR="00102FE0" w:rsidRPr="00124DA6">
        <w:rPr>
          <w:lang w:val="en-US"/>
        </w:rPr>
        <w:t xml:space="preserve"> human resources of banks and </w:t>
      </w:r>
      <w:r w:rsidR="00231583" w:rsidRPr="00124DA6">
        <w:rPr>
          <w:lang w:val="en-US"/>
        </w:rPr>
        <w:t>MFI</w:t>
      </w:r>
      <w:r>
        <w:rPr>
          <w:lang w:val="en-US"/>
        </w:rPr>
        <w:t>s</w:t>
      </w:r>
      <w:r w:rsidR="00102FE0" w:rsidRPr="00124DA6">
        <w:rPr>
          <w:lang w:val="en-US"/>
        </w:rPr>
        <w:t xml:space="preserve"> in digital finance</w:t>
      </w:r>
      <w:r>
        <w:rPr>
          <w:lang w:val="en-US"/>
        </w:rPr>
        <w:t xml:space="preserve"> must be reinforced.</w:t>
      </w:r>
    </w:p>
    <w:p w14:paraId="76DB364D" w14:textId="00C483B0" w:rsidR="00102FE0" w:rsidRPr="00C80F20" w:rsidRDefault="00617C78" w:rsidP="00E5638F">
      <w:pPr>
        <w:pStyle w:val="Caption"/>
        <w:keepNext/>
        <w:rPr>
          <w:b/>
          <w:lang w:val="en-US"/>
        </w:rPr>
      </w:pPr>
      <w:r w:rsidRPr="00C80F20">
        <w:rPr>
          <w:b/>
          <w:lang w:val="en-US"/>
        </w:rPr>
        <w:t>Figure</w:t>
      </w:r>
      <w:r w:rsidR="00C702B4" w:rsidRPr="00C80F20">
        <w:rPr>
          <w:b/>
          <w:lang w:val="en-US"/>
        </w:rPr>
        <w:t> </w:t>
      </w:r>
      <w:r w:rsidRPr="00C80F20">
        <w:rPr>
          <w:b/>
          <w:lang w:val="en-US"/>
        </w:rPr>
        <w:t>3.</w:t>
      </w:r>
      <w:r w:rsidRPr="00C80F20">
        <w:rPr>
          <w:b/>
          <w:lang w:val="en-US"/>
        </w:rPr>
        <w:fldChar w:fldCharType="begin"/>
      </w:r>
      <w:r w:rsidRPr="00C80F20">
        <w:rPr>
          <w:b/>
          <w:lang w:val="en-US"/>
        </w:rPr>
        <w:instrText xml:space="preserve"> SEQ Figure_3. \* ARABIC </w:instrText>
      </w:r>
      <w:r w:rsidRPr="00C80F20">
        <w:rPr>
          <w:b/>
          <w:lang w:val="en-US"/>
        </w:rPr>
        <w:fldChar w:fldCharType="separate"/>
      </w:r>
      <w:r w:rsidR="004C6E5F" w:rsidRPr="00C80F20">
        <w:rPr>
          <w:b/>
          <w:noProof/>
          <w:lang w:val="en-US"/>
        </w:rPr>
        <w:t>15</w:t>
      </w:r>
      <w:r w:rsidRPr="00C80F20">
        <w:rPr>
          <w:b/>
          <w:lang w:val="en-US"/>
        </w:rPr>
        <w:fldChar w:fldCharType="end"/>
      </w:r>
      <w:r w:rsidR="00102FE0" w:rsidRPr="00C80F20">
        <w:rPr>
          <w:b/>
          <w:lang w:val="en-US"/>
        </w:rPr>
        <w:t>: Evolution of the number of accounts, banks</w:t>
      </w:r>
      <w:r w:rsidR="007E206A" w:rsidRPr="00C80F20">
        <w:rPr>
          <w:b/>
          <w:lang w:val="en-US"/>
        </w:rPr>
        <w:t>,</w:t>
      </w:r>
      <w:r w:rsidR="00102FE0" w:rsidRPr="00C80F20">
        <w:rPr>
          <w:b/>
          <w:lang w:val="en-US"/>
        </w:rPr>
        <w:t xml:space="preserve"> and </w:t>
      </w:r>
      <w:r w:rsidR="00231583" w:rsidRPr="00C80F20">
        <w:rPr>
          <w:b/>
          <w:lang w:val="en-US"/>
        </w:rPr>
        <w:t>MFIs</w:t>
      </w:r>
      <w:r w:rsidR="00102FE0" w:rsidRPr="00C80F20">
        <w:rPr>
          <w:b/>
          <w:lang w:val="en-US"/>
        </w:rPr>
        <w:t xml:space="preserve"> </w:t>
      </w:r>
    </w:p>
    <w:p w14:paraId="52BF3284" w14:textId="77777777" w:rsidR="00617C78" w:rsidRPr="00124DA6" w:rsidRDefault="00102FE0" w:rsidP="00617C78">
      <w:pPr>
        <w:pStyle w:val="NoSpacing"/>
        <w:keepNext/>
        <w:jc w:val="center"/>
        <w:rPr>
          <w:lang w:val="en-US"/>
        </w:rPr>
      </w:pPr>
      <w:r w:rsidRPr="00124DA6">
        <w:rPr>
          <w:noProof/>
          <w:lang w:eastAsia="fr-FR"/>
        </w:rPr>
        <w:drawing>
          <wp:inline distT="0" distB="0" distL="0" distR="0" wp14:anchorId="7669D75A" wp14:editId="50772C9C">
            <wp:extent cx="3038475" cy="1871330"/>
            <wp:effectExtent l="0" t="0" r="0" b="0"/>
            <wp:docPr id="159"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C01C640" w14:textId="77777777" w:rsidR="00102FE0" w:rsidRPr="00124DA6" w:rsidRDefault="00102FE0" w:rsidP="00617C78">
      <w:pPr>
        <w:pStyle w:val="NoSpacing"/>
        <w:jc w:val="center"/>
        <w:rPr>
          <w:lang w:val="en-US"/>
        </w:rPr>
      </w:pPr>
      <w:r w:rsidRPr="00124DA6">
        <w:rPr>
          <w:noProof/>
          <w:lang w:eastAsia="fr-FR"/>
        </w:rPr>
        <w:drawing>
          <wp:inline distT="0" distB="0" distL="0" distR="0" wp14:anchorId="67504CC8" wp14:editId="06F72C2D">
            <wp:extent cx="2933700" cy="1881963"/>
            <wp:effectExtent l="0" t="0" r="0" b="4445"/>
            <wp:docPr id="160"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B1F45FD" w14:textId="77777777" w:rsidR="00102FE0" w:rsidRPr="00C80F20" w:rsidRDefault="00390499" w:rsidP="00390499">
      <w:pPr>
        <w:pStyle w:val="Heading4"/>
        <w:rPr>
          <w:b/>
          <w:lang w:val="en-US"/>
        </w:rPr>
      </w:pPr>
      <w:r w:rsidRPr="00C80F20">
        <w:rPr>
          <w:b/>
          <w:lang w:val="en-US"/>
        </w:rPr>
        <w:t xml:space="preserve">3.4.3.2 </w:t>
      </w:r>
      <w:r w:rsidR="00102FE0" w:rsidRPr="00C80F20">
        <w:rPr>
          <w:b/>
          <w:lang w:val="en-US"/>
        </w:rPr>
        <w:t>The Post</w:t>
      </w:r>
    </w:p>
    <w:p w14:paraId="39CCD25A" w14:textId="26A7B9A9" w:rsidR="00102FE0" w:rsidRPr="00124DA6" w:rsidRDefault="0091440D" w:rsidP="00C80F20">
      <w:pPr>
        <w:pStyle w:val="ListParagraph"/>
        <w:numPr>
          <w:ilvl w:val="0"/>
          <w:numId w:val="47"/>
        </w:numPr>
        <w:spacing w:after="240" w:line="240" w:lineRule="auto"/>
        <w:ind w:left="0" w:firstLine="0"/>
        <w:contextualSpacing w:val="0"/>
        <w:jc w:val="both"/>
        <w:rPr>
          <w:lang w:val="en-US"/>
        </w:rPr>
      </w:pPr>
      <w:r>
        <w:rPr>
          <w:b/>
          <w:lang w:val="en-US"/>
        </w:rPr>
        <w:t>W</w:t>
      </w:r>
      <w:r w:rsidRPr="00124DA6">
        <w:rPr>
          <w:b/>
          <w:lang w:val="en-US"/>
        </w:rPr>
        <w:t>ith a customer base at end-2016 of 600,000 accounts, including 400,000 assets over one year</w:t>
      </w:r>
      <w:r>
        <w:rPr>
          <w:b/>
          <w:lang w:val="en-US"/>
        </w:rPr>
        <w:t>,</w:t>
      </w:r>
      <w:r w:rsidRPr="00124DA6">
        <w:rPr>
          <w:b/>
          <w:lang w:val="en-US"/>
        </w:rPr>
        <w:t xml:space="preserve"> </w:t>
      </w:r>
      <w:r>
        <w:rPr>
          <w:b/>
          <w:lang w:val="en-US"/>
        </w:rPr>
        <w:t>the</w:t>
      </w:r>
      <w:r w:rsidRPr="00124DA6">
        <w:rPr>
          <w:b/>
          <w:lang w:val="en-US"/>
        </w:rPr>
        <w:t xml:space="preserve"> </w:t>
      </w:r>
      <w:r w:rsidR="00102FE0" w:rsidRPr="00124DA6">
        <w:rPr>
          <w:b/>
          <w:lang w:val="en-US"/>
        </w:rPr>
        <w:t xml:space="preserve">Post plays a major role in </w:t>
      </w:r>
      <w:r>
        <w:rPr>
          <w:b/>
          <w:lang w:val="en-US"/>
        </w:rPr>
        <w:t xml:space="preserve">contributing to </w:t>
      </w:r>
      <w:r w:rsidR="00102FE0" w:rsidRPr="00124DA6">
        <w:rPr>
          <w:b/>
          <w:lang w:val="en-US"/>
        </w:rPr>
        <w:t>financial inclusion in Benin.</w:t>
      </w:r>
      <w:r w:rsidR="00102FE0" w:rsidRPr="00124DA6">
        <w:rPr>
          <w:lang w:val="en-US"/>
        </w:rPr>
        <w:t xml:space="preserve"> The Post has a network of 108 agencies</w:t>
      </w:r>
      <w:r>
        <w:rPr>
          <w:lang w:val="en-US"/>
        </w:rPr>
        <w:t xml:space="preserve">, </w:t>
      </w:r>
      <w:r w:rsidR="00102FE0" w:rsidRPr="00124DA6">
        <w:rPr>
          <w:lang w:val="en-US"/>
        </w:rPr>
        <w:t>mostly present in rural areas (80</w:t>
      </w:r>
      <w:r w:rsidR="00E5638F" w:rsidRPr="00124DA6">
        <w:rPr>
          <w:lang w:val="en-US"/>
        </w:rPr>
        <w:t xml:space="preserve"> percent</w:t>
      </w:r>
      <w:r w:rsidR="00102FE0" w:rsidRPr="00124DA6">
        <w:rPr>
          <w:lang w:val="en-US"/>
        </w:rPr>
        <w:t xml:space="preserve">). </w:t>
      </w:r>
      <w:r w:rsidR="00E5638F" w:rsidRPr="00124DA6">
        <w:rPr>
          <w:lang w:val="en-US"/>
        </w:rPr>
        <w:t xml:space="preserve">About </w:t>
      </w:r>
      <w:r w:rsidR="00102FE0" w:rsidRPr="00124DA6">
        <w:rPr>
          <w:lang w:val="en-US"/>
        </w:rPr>
        <w:t>70</w:t>
      </w:r>
      <w:r w:rsidR="00E5638F" w:rsidRPr="00124DA6">
        <w:rPr>
          <w:lang w:val="en-US"/>
        </w:rPr>
        <w:t xml:space="preserve"> percent</w:t>
      </w:r>
      <w:r w:rsidR="00102FE0" w:rsidRPr="00124DA6">
        <w:rPr>
          <w:lang w:val="en-US"/>
        </w:rPr>
        <w:t xml:space="preserve"> of Post agencies are interconnected. The Post would like to operate as a</w:t>
      </w:r>
      <w:r w:rsidR="00E5638F" w:rsidRPr="00124DA6">
        <w:rPr>
          <w:lang w:val="en-US"/>
        </w:rPr>
        <w:t>n</w:t>
      </w:r>
      <w:r w:rsidR="00102FE0" w:rsidRPr="00124DA6">
        <w:rPr>
          <w:lang w:val="en-US"/>
        </w:rPr>
        <w:t xml:space="preserve"> </w:t>
      </w:r>
      <w:r w:rsidR="00231583" w:rsidRPr="00124DA6">
        <w:rPr>
          <w:lang w:val="en-US"/>
        </w:rPr>
        <w:t>MFI</w:t>
      </w:r>
      <w:r>
        <w:rPr>
          <w:lang w:val="en-US"/>
        </w:rPr>
        <w:t>,</w:t>
      </w:r>
      <w:r w:rsidR="00102FE0" w:rsidRPr="00124DA6">
        <w:rPr>
          <w:lang w:val="en-US"/>
        </w:rPr>
        <w:t xml:space="preserve"> and a request for approval has been pending for five years at the </w:t>
      </w:r>
      <w:r w:rsidR="00762ACC" w:rsidRPr="00124DA6">
        <w:rPr>
          <w:lang w:val="en-US"/>
        </w:rPr>
        <w:t>BCEAO</w:t>
      </w:r>
      <w:r w:rsidR="00102FE0" w:rsidRPr="00124DA6">
        <w:rPr>
          <w:lang w:val="en-US"/>
        </w:rPr>
        <w:t xml:space="preserve">. </w:t>
      </w:r>
      <w:r>
        <w:rPr>
          <w:lang w:val="en-US"/>
        </w:rPr>
        <w:t>However,</w:t>
      </w:r>
      <w:r w:rsidRPr="00124DA6">
        <w:rPr>
          <w:lang w:val="en-US"/>
        </w:rPr>
        <w:t xml:space="preserve"> </w:t>
      </w:r>
      <w:r w:rsidR="00102FE0" w:rsidRPr="00124DA6">
        <w:rPr>
          <w:lang w:val="en-US"/>
        </w:rPr>
        <w:t>the Post is a state-owned company</w:t>
      </w:r>
      <w:r>
        <w:rPr>
          <w:lang w:val="en-US"/>
        </w:rPr>
        <w:t xml:space="preserve">, </w:t>
      </w:r>
      <w:r w:rsidR="00102FE0" w:rsidRPr="00124DA6">
        <w:rPr>
          <w:lang w:val="en-US"/>
        </w:rPr>
        <w:t xml:space="preserve">and that the </w:t>
      </w:r>
      <w:r>
        <w:rPr>
          <w:lang w:val="en-US"/>
        </w:rPr>
        <w:t>government</w:t>
      </w:r>
      <w:r w:rsidRPr="00124DA6">
        <w:rPr>
          <w:lang w:val="en-US"/>
        </w:rPr>
        <w:t xml:space="preserve"> </w:t>
      </w:r>
      <w:r w:rsidR="00102FE0" w:rsidRPr="00124DA6">
        <w:rPr>
          <w:lang w:val="en-US"/>
        </w:rPr>
        <w:t>cannot be the sole shareholder of a</w:t>
      </w:r>
      <w:r w:rsidR="00E5638F" w:rsidRPr="00124DA6">
        <w:rPr>
          <w:lang w:val="en-US"/>
        </w:rPr>
        <w:t>n</w:t>
      </w:r>
      <w:r w:rsidR="00102FE0" w:rsidRPr="00124DA6">
        <w:rPr>
          <w:lang w:val="en-US"/>
        </w:rPr>
        <w:t xml:space="preserve"> </w:t>
      </w:r>
      <w:r w:rsidR="00231583" w:rsidRPr="00124DA6">
        <w:rPr>
          <w:lang w:val="en-US"/>
        </w:rPr>
        <w:t>MFI</w:t>
      </w:r>
      <w:r w:rsidR="00102FE0" w:rsidRPr="00124DA6">
        <w:rPr>
          <w:lang w:val="en-US"/>
        </w:rPr>
        <w:t>. In addition, MFIs, referred to in Article</w:t>
      </w:r>
      <w:r w:rsidR="00C702B4">
        <w:rPr>
          <w:lang w:val="en-US"/>
        </w:rPr>
        <w:t> </w:t>
      </w:r>
      <w:r w:rsidR="00102FE0" w:rsidRPr="00124DA6">
        <w:rPr>
          <w:lang w:val="en-US"/>
        </w:rPr>
        <w:t xml:space="preserve">44 of the law regulating decentralized financial systems, (MFIs with outstanding loans or deposits greater than </w:t>
      </w:r>
      <w:r w:rsidR="00E63C1D">
        <w:rPr>
          <w:lang w:val="en-US"/>
        </w:rPr>
        <w:t>CFAF</w:t>
      </w:r>
      <w:r w:rsidR="00C702B4">
        <w:rPr>
          <w:lang w:val="en-US"/>
        </w:rPr>
        <w:t> </w:t>
      </w:r>
      <w:r w:rsidR="00E5638F" w:rsidRPr="00124DA6">
        <w:rPr>
          <w:lang w:val="en-US"/>
        </w:rPr>
        <w:t>2</w:t>
      </w:r>
      <w:r w:rsidR="00C702B4">
        <w:rPr>
          <w:lang w:val="en-US"/>
        </w:rPr>
        <w:t> </w:t>
      </w:r>
      <w:r w:rsidR="00102FE0" w:rsidRPr="00124DA6">
        <w:rPr>
          <w:lang w:val="en-US"/>
        </w:rPr>
        <w:t>billion in two consecutive years), must be supervised by the Banking Commission.</w:t>
      </w:r>
    </w:p>
    <w:p w14:paraId="01AE9F90" w14:textId="4CA4FC57" w:rsidR="00102FE0" w:rsidRPr="00124DA6" w:rsidRDefault="00102FE0" w:rsidP="00C80F20">
      <w:pPr>
        <w:pStyle w:val="ListParagraph"/>
        <w:numPr>
          <w:ilvl w:val="0"/>
          <w:numId w:val="47"/>
        </w:numPr>
        <w:spacing w:after="240" w:line="240" w:lineRule="auto"/>
        <w:ind w:left="0" w:firstLine="0"/>
        <w:contextualSpacing w:val="0"/>
        <w:jc w:val="both"/>
        <w:rPr>
          <w:lang w:val="en-US"/>
        </w:rPr>
      </w:pPr>
      <w:r w:rsidRPr="00124DA6">
        <w:rPr>
          <w:b/>
          <w:lang w:val="en-US"/>
        </w:rPr>
        <w:t xml:space="preserve">The Post wishes to </w:t>
      </w:r>
      <w:r w:rsidR="00141BD7">
        <w:rPr>
          <w:b/>
          <w:lang w:val="en-US"/>
        </w:rPr>
        <w:t>“</w:t>
      </w:r>
      <w:r w:rsidRPr="00124DA6">
        <w:rPr>
          <w:b/>
          <w:lang w:val="en-US"/>
        </w:rPr>
        <w:t>upgrade</w:t>
      </w:r>
      <w:r w:rsidR="00141BD7">
        <w:rPr>
          <w:b/>
          <w:lang w:val="en-US"/>
        </w:rPr>
        <w:t>”</w:t>
      </w:r>
      <w:r w:rsidRPr="00124DA6">
        <w:rPr>
          <w:b/>
          <w:lang w:val="en-US"/>
        </w:rPr>
        <w:t xml:space="preserve"> its GIS in 2018 and would like to submit to the </w:t>
      </w:r>
      <w:r w:rsidR="00762ACC" w:rsidRPr="00124DA6">
        <w:rPr>
          <w:b/>
          <w:lang w:val="en-US"/>
        </w:rPr>
        <w:t>BCEAO</w:t>
      </w:r>
      <w:r w:rsidRPr="00124DA6">
        <w:rPr>
          <w:b/>
          <w:lang w:val="en-US"/>
        </w:rPr>
        <w:t xml:space="preserve"> a request for authorization to establish electronic money</w:t>
      </w:r>
      <w:r w:rsidRPr="00124DA6">
        <w:rPr>
          <w:lang w:val="en-US"/>
        </w:rPr>
        <w:t xml:space="preserve">, in response to the </w:t>
      </w:r>
      <w:r w:rsidR="00141BD7">
        <w:rPr>
          <w:lang w:val="en-US"/>
        </w:rPr>
        <w:t>“</w:t>
      </w:r>
      <w:r w:rsidRPr="00124DA6">
        <w:rPr>
          <w:lang w:val="en-US"/>
        </w:rPr>
        <w:t>threat</w:t>
      </w:r>
      <w:r w:rsidR="00141BD7">
        <w:rPr>
          <w:lang w:val="en-US"/>
        </w:rPr>
        <w:t>”</w:t>
      </w:r>
      <w:r w:rsidRPr="00124DA6">
        <w:rPr>
          <w:lang w:val="en-US"/>
        </w:rPr>
        <w:t xml:space="preserve"> that MNO represents. In fact, the Post has recorded a very significant and continuous decline in its turnover (commissions on transactions) on its cash-to-cash transfer product, which declined from </w:t>
      </w:r>
      <w:r w:rsidR="00E5638F" w:rsidRPr="00124DA6">
        <w:rPr>
          <w:lang w:val="en-US"/>
        </w:rPr>
        <w:t>CFAF</w:t>
      </w:r>
      <w:r w:rsidR="00C702B4">
        <w:rPr>
          <w:lang w:val="en-US"/>
        </w:rPr>
        <w:t> </w:t>
      </w:r>
      <w:r w:rsidRPr="00124DA6">
        <w:rPr>
          <w:lang w:val="en-US"/>
        </w:rPr>
        <w:t>600</w:t>
      </w:r>
      <w:r w:rsidR="00C702B4">
        <w:rPr>
          <w:lang w:val="en-US"/>
        </w:rPr>
        <w:t> </w:t>
      </w:r>
      <w:r w:rsidRPr="00124DA6">
        <w:rPr>
          <w:lang w:val="en-US"/>
        </w:rPr>
        <w:t xml:space="preserve">million in 2014 to </w:t>
      </w:r>
      <w:r w:rsidR="00E5638F" w:rsidRPr="00124DA6">
        <w:rPr>
          <w:lang w:val="en-US"/>
        </w:rPr>
        <w:t>CFAF</w:t>
      </w:r>
      <w:r w:rsidR="00C702B4">
        <w:rPr>
          <w:lang w:val="en-US"/>
        </w:rPr>
        <w:t> </w:t>
      </w:r>
      <w:r w:rsidRPr="00124DA6">
        <w:rPr>
          <w:lang w:val="en-US"/>
        </w:rPr>
        <w:t>140</w:t>
      </w:r>
      <w:r w:rsidR="00C702B4">
        <w:rPr>
          <w:lang w:val="en-US"/>
        </w:rPr>
        <w:t> </w:t>
      </w:r>
      <w:r w:rsidRPr="00124DA6">
        <w:rPr>
          <w:lang w:val="en-US"/>
        </w:rPr>
        <w:t xml:space="preserve">million in 2015, then to </w:t>
      </w:r>
      <w:r w:rsidR="00E5638F" w:rsidRPr="00124DA6">
        <w:rPr>
          <w:lang w:val="en-US"/>
        </w:rPr>
        <w:t>CFAF</w:t>
      </w:r>
      <w:r w:rsidR="00C702B4">
        <w:rPr>
          <w:lang w:val="en-US"/>
        </w:rPr>
        <w:t> </w:t>
      </w:r>
      <w:r w:rsidRPr="00124DA6">
        <w:rPr>
          <w:lang w:val="en-US"/>
        </w:rPr>
        <w:t>92</w:t>
      </w:r>
      <w:r w:rsidR="00C702B4">
        <w:rPr>
          <w:lang w:val="en-US"/>
        </w:rPr>
        <w:t> </w:t>
      </w:r>
      <w:r w:rsidRPr="00124DA6">
        <w:rPr>
          <w:lang w:val="en-US"/>
        </w:rPr>
        <w:t xml:space="preserve">million in 2016, to settle at </w:t>
      </w:r>
      <w:r w:rsidR="00E5638F" w:rsidRPr="00124DA6">
        <w:rPr>
          <w:lang w:val="en-US"/>
        </w:rPr>
        <w:t>CFAF</w:t>
      </w:r>
      <w:r w:rsidR="00C702B4">
        <w:rPr>
          <w:lang w:val="en-US"/>
        </w:rPr>
        <w:t> </w:t>
      </w:r>
      <w:r w:rsidRPr="00124DA6">
        <w:rPr>
          <w:lang w:val="en-US"/>
        </w:rPr>
        <w:t>54</w:t>
      </w:r>
      <w:r w:rsidR="00C702B4">
        <w:rPr>
          <w:lang w:val="en-US"/>
        </w:rPr>
        <w:t> </w:t>
      </w:r>
      <w:r w:rsidRPr="00124DA6">
        <w:rPr>
          <w:lang w:val="en-US"/>
        </w:rPr>
        <w:t xml:space="preserve">million in November 2017. The reason </w:t>
      </w:r>
      <w:r w:rsidR="00E5638F" w:rsidRPr="00124DA6">
        <w:rPr>
          <w:lang w:val="en-US"/>
        </w:rPr>
        <w:t xml:space="preserve">for </w:t>
      </w:r>
      <w:r w:rsidRPr="00124DA6">
        <w:rPr>
          <w:lang w:val="en-US"/>
        </w:rPr>
        <w:t xml:space="preserve">this decline </w:t>
      </w:r>
      <w:r w:rsidR="0091440D">
        <w:rPr>
          <w:lang w:val="en-US"/>
        </w:rPr>
        <w:t>can be attributed</w:t>
      </w:r>
      <w:r w:rsidR="0091440D" w:rsidRPr="00124DA6">
        <w:rPr>
          <w:lang w:val="en-US"/>
        </w:rPr>
        <w:t xml:space="preserve"> </w:t>
      </w:r>
      <w:r w:rsidRPr="00124DA6">
        <w:rPr>
          <w:lang w:val="en-US"/>
        </w:rPr>
        <w:t>to mobile money. For now, the Post</w:t>
      </w:r>
      <w:r w:rsidR="00141BD7">
        <w:rPr>
          <w:lang w:val="en-US"/>
        </w:rPr>
        <w:t>’</w:t>
      </w:r>
      <w:r w:rsidRPr="00124DA6">
        <w:rPr>
          <w:lang w:val="en-US"/>
        </w:rPr>
        <w:t xml:space="preserve">s digital finance business is limited to </w:t>
      </w:r>
      <w:proofErr w:type="gramStart"/>
      <w:r w:rsidRPr="00124DA6">
        <w:rPr>
          <w:lang w:val="en-US"/>
        </w:rPr>
        <w:t>being</w:t>
      </w:r>
      <w:proofErr w:type="gramEnd"/>
      <w:r w:rsidRPr="00124DA6">
        <w:rPr>
          <w:lang w:val="en-US"/>
        </w:rPr>
        <w:t xml:space="preserve"> </w:t>
      </w:r>
      <w:r w:rsidR="00E5638F" w:rsidRPr="00124DA6">
        <w:rPr>
          <w:lang w:val="en-US"/>
        </w:rPr>
        <w:t xml:space="preserve">an </w:t>
      </w:r>
      <w:r w:rsidRPr="00124DA6">
        <w:rPr>
          <w:lang w:val="en-US"/>
        </w:rPr>
        <w:t>agent for mobile money solutions providers.</w:t>
      </w:r>
    </w:p>
    <w:p w14:paraId="232C1B20" w14:textId="77777777" w:rsidR="00102FE0" w:rsidRPr="00C80F20" w:rsidRDefault="00390499" w:rsidP="00390499">
      <w:pPr>
        <w:pStyle w:val="Heading4"/>
        <w:rPr>
          <w:b/>
          <w:lang w:val="en-US"/>
        </w:rPr>
      </w:pPr>
      <w:r w:rsidRPr="00C80F20">
        <w:rPr>
          <w:b/>
          <w:lang w:val="en-US"/>
        </w:rPr>
        <w:t xml:space="preserve">3.4.3.3 </w:t>
      </w:r>
      <w:r w:rsidR="00102FE0" w:rsidRPr="00C80F20">
        <w:rPr>
          <w:b/>
          <w:lang w:val="en-US"/>
        </w:rPr>
        <w:t xml:space="preserve">Mobile </w:t>
      </w:r>
      <w:r w:rsidR="00E5638F" w:rsidRPr="00C80F20">
        <w:rPr>
          <w:b/>
          <w:lang w:val="en-US"/>
        </w:rPr>
        <w:t>O</w:t>
      </w:r>
      <w:r w:rsidR="00102FE0" w:rsidRPr="00C80F20">
        <w:rPr>
          <w:b/>
          <w:lang w:val="en-US"/>
        </w:rPr>
        <w:t xml:space="preserve">perators </w:t>
      </w:r>
    </w:p>
    <w:p w14:paraId="6E195CDD" w14:textId="7071651A" w:rsidR="00102FE0" w:rsidRPr="00124DA6" w:rsidRDefault="00102FE0" w:rsidP="00C80F20">
      <w:pPr>
        <w:pStyle w:val="ListParagraph"/>
        <w:numPr>
          <w:ilvl w:val="0"/>
          <w:numId w:val="47"/>
        </w:numPr>
        <w:spacing w:after="240" w:line="240" w:lineRule="auto"/>
        <w:ind w:left="0" w:firstLine="0"/>
        <w:contextualSpacing w:val="0"/>
        <w:jc w:val="both"/>
        <w:rPr>
          <w:lang w:val="en-US"/>
        </w:rPr>
      </w:pPr>
      <w:r w:rsidRPr="00124DA6">
        <w:rPr>
          <w:b/>
          <w:lang w:val="en-US"/>
        </w:rPr>
        <w:t xml:space="preserve">The mobile phone landscape in Benin has </w:t>
      </w:r>
      <w:r w:rsidR="00E5638F" w:rsidRPr="00124DA6">
        <w:rPr>
          <w:b/>
          <w:lang w:val="en-US"/>
        </w:rPr>
        <w:t xml:space="preserve">four </w:t>
      </w:r>
      <w:r w:rsidR="005C005D" w:rsidRPr="00124DA6">
        <w:rPr>
          <w:b/>
          <w:lang w:val="en-US"/>
        </w:rPr>
        <w:t>main operators</w:t>
      </w:r>
      <w:r w:rsidRPr="00124DA6">
        <w:rPr>
          <w:lang w:val="en-US"/>
        </w:rPr>
        <w:t xml:space="preserve">: MTN, </w:t>
      </w:r>
      <w:proofErr w:type="spellStart"/>
      <w:r w:rsidRPr="00124DA6">
        <w:rPr>
          <w:lang w:val="en-US"/>
        </w:rPr>
        <w:t>Moov</w:t>
      </w:r>
      <w:proofErr w:type="spellEnd"/>
      <w:r w:rsidRPr="00124DA6">
        <w:rPr>
          <w:lang w:val="en-US"/>
        </w:rPr>
        <w:t>, GLO Mobile</w:t>
      </w:r>
      <w:r w:rsidR="00E5638F" w:rsidRPr="00124DA6">
        <w:rPr>
          <w:lang w:val="en-US"/>
        </w:rPr>
        <w:t>,</w:t>
      </w:r>
      <w:r w:rsidRPr="00124DA6">
        <w:rPr>
          <w:lang w:val="en-US"/>
        </w:rPr>
        <w:t xml:space="preserve"> and </w:t>
      </w:r>
      <w:proofErr w:type="spellStart"/>
      <w:r w:rsidRPr="00124DA6">
        <w:rPr>
          <w:lang w:val="en-US"/>
        </w:rPr>
        <w:t>Libercom</w:t>
      </w:r>
      <w:proofErr w:type="spellEnd"/>
      <w:r w:rsidRPr="00124DA6">
        <w:rPr>
          <w:lang w:val="en-US"/>
        </w:rPr>
        <w:t xml:space="preserve">. The total number of subscriptions to mobile networks </w:t>
      </w:r>
      <w:r w:rsidR="002177EA" w:rsidRPr="00124DA6">
        <w:rPr>
          <w:lang w:val="en-US"/>
        </w:rPr>
        <w:t xml:space="preserve">was </w:t>
      </w:r>
      <w:r w:rsidRPr="00124DA6">
        <w:rPr>
          <w:lang w:val="en-US"/>
        </w:rPr>
        <w:t xml:space="preserve">estimated in 2016 by the Regulatory Authority for Electronic Communications and Post (RAECP Benin) </w:t>
      </w:r>
      <w:r w:rsidR="002177EA" w:rsidRPr="00124DA6">
        <w:rPr>
          <w:lang w:val="en-US"/>
        </w:rPr>
        <w:t xml:space="preserve">at </w:t>
      </w:r>
      <w:r w:rsidRPr="00124DA6">
        <w:rPr>
          <w:lang w:val="en-US"/>
        </w:rPr>
        <w:t>10.9</w:t>
      </w:r>
      <w:r w:rsidR="00C702B4">
        <w:rPr>
          <w:lang w:val="en-US"/>
        </w:rPr>
        <w:t> </w:t>
      </w:r>
      <w:r w:rsidRPr="00124DA6">
        <w:rPr>
          <w:lang w:val="en-US"/>
        </w:rPr>
        <w:t>million.</w:t>
      </w:r>
    </w:p>
    <w:p w14:paraId="5E0C6AA4" w14:textId="49408BEF" w:rsidR="00102FE0" w:rsidRPr="00C80F20" w:rsidRDefault="007E206A" w:rsidP="000A4706">
      <w:pPr>
        <w:pStyle w:val="Caption"/>
        <w:rPr>
          <w:b/>
          <w:lang w:val="en-US"/>
        </w:rPr>
      </w:pPr>
      <w:r w:rsidRPr="00C80F20">
        <w:rPr>
          <w:b/>
          <w:lang w:val="en-US"/>
        </w:rPr>
        <w:t>Figure</w:t>
      </w:r>
      <w:r w:rsidR="00C702B4" w:rsidRPr="00C80F20">
        <w:rPr>
          <w:b/>
          <w:lang w:val="en-US"/>
        </w:rPr>
        <w:t> </w:t>
      </w:r>
      <w:r w:rsidRPr="00C80F20">
        <w:rPr>
          <w:b/>
          <w:lang w:val="en-US"/>
        </w:rPr>
        <w:t>3.</w:t>
      </w:r>
      <w:r w:rsidRPr="00C80F20">
        <w:rPr>
          <w:b/>
          <w:lang w:val="en-US"/>
        </w:rPr>
        <w:fldChar w:fldCharType="begin"/>
      </w:r>
      <w:r w:rsidRPr="00C80F20">
        <w:rPr>
          <w:b/>
          <w:lang w:val="en-US"/>
        </w:rPr>
        <w:instrText xml:space="preserve"> SEQ Figure_3. \* ARABIC </w:instrText>
      </w:r>
      <w:r w:rsidRPr="00C80F20">
        <w:rPr>
          <w:b/>
          <w:lang w:val="en-US"/>
        </w:rPr>
        <w:fldChar w:fldCharType="separate"/>
      </w:r>
      <w:r w:rsidR="004C6E5F" w:rsidRPr="00C80F20">
        <w:rPr>
          <w:b/>
          <w:noProof/>
          <w:lang w:val="en-US"/>
        </w:rPr>
        <w:t>16</w:t>
      </w:r>
      <w:r w:rsidRPr="00C80F20">
        <w:rPr>
          <w:b/>
          <w:lang w:val="en-US"/>
        </w:rPr>
        <w:fldChar w:fldCharType="end"/>
      </w:r>
      <w:r w:rsidR="00102FE0" w:rsidRPr="00C80F20">
        <w:rPr>
          <w:b/>
          <w:lang w:val="en-US"/>
        </w:rPr>
        <w:t xml:space="preserve">: Mobile telephony market share </w:t>
      </w:r>
    </w:p>
    <w:p w14:paraId="1D640633" w14:textId="77777777" w:rsidR="00102FE0" w:rsidRPr="00124DA6" w:rsidRDefault="00102FE0" w:rsidP="007E206A">
      <w:pPr>
        <w:pStyle w:val="NoSpacing"/>
        <w:keepNext/>
        <w:jc w:val="center"/>
        <w:rPr>
          <w:lang w:val="en-US"/>
        </w:rPr>
      </w:pPr>
      <w:r w:rsidRPr="00124DA6">
        <w:rPr>
          <w:noProof/>
          <w:lang w:eastAsia="fr-FR"/>
        </w:rPr>
        <w:drawing>
          <wp:inline distT="0" distB="0" distL="0" distR="0" wp14:anchorId="70ED59B1" wp14:editId="5366631C">
            <wp:extent cx="2550345" cy="1580515"/>
            <wp:effectExtent l="0" t="0" r="2540" b="635"/>
            <wp:docPr id="161"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52370" cy="1581770"/>
                    </a:xfrm>
                    <a:prstGeom prst="rect">
                      <a:avLst/>
                    </a:prstGeom>
                    <a:noFill/>
                    <a:ln>
                      <a:noFill/>
                    </a:ln>
                  </pic:spPr>
                </pic:pic>
              </a:graphicData>
            </a:graphic>
          </wp:inline>
        </w:drawing>
      </w:r>
    </w:p>
    <w:p w14:paraId="214E863B" w14:textId="4C452278" w:rsidR="00102FE0" w:rsidRPr="00124DA6" w:rsidRDefault="00102FE0" w:rsidP="007E206A">
      <w:pPr>
        <w:keepNext/>
        <w:ind w:left="3420"/>
        <w:rPr>
          <w:rFonts w:asciiTheme="majorHAnsi" w:hAnsiTheme="majorHAnsi" w:cstheme="majorHAnsi"/>
          <w:color w:val="2E74B5" w:themeColor="accent1" w:themeShade="BF"/>
          <w:sz w:val="20"/>
          <w:lang w:val="en-US"/>
        </w:rPr>
      </w:pPr>
      <w:r w:rsidRPr="00124DA6">
        <w:rPr>
          <w:rFonts w:asciiTheme="majorHAnsi" w:hAnsiTheme="majorHAnsi" w:cstheme="majorHAnsi"/>
          <w:i/>
          <w:color w:val="2E74B5" w:themeColor="accent1" w:themeShade="BF"/>
          <w:sz w:val="20"/>
          <w:lang w:val="en-US"/>
        </w:rPr>
        <w:t xml:space="preserve">Source: </w:t>
      </w:r>
      <w:r w:rsidRPr="00124DA6">
        <w:rPr>
          <w:rFonts w:asciiTheme="majorHAnsi" w:hAnsiTheme="majorHAnsi" w:cstheme="majorHAnsi"/>
          <w:color w:val="2E74B5" w:themeColor="accent1" w:themeShade="BF"/>
          <w:sz w:val="20"/>
          <w:lang w:val="en-US"/>
        </w:rPr>
        <w:t>RAECP Benin</w:t>
      </w:r>
      <w:r w:rsidR="00C702B4">
        <w:rPr>
          <w:rFonts w:asciiTheme="majorHAnsi" w:hAnsiTheme="majorHAnsi" w:cstheme="majorHAnsi"/>
          <w:color w:val="2E74B5" w:themeColor="accent1" w:themeShade="BF"/>
          <w:sz w:val="20"/>
          <w:lang w:val="en-US"/>
        </w:rPr>
        <w:t> </w:t>
      </w:r>
      <w:r w:rsidRPr="00124DA6">
        <w:rPr>
          <w:rFonts w:asciiTheme="majorHAnsi" w:hAnsiTheme="majorHAnsi" w:cstheme="majorHAnsi"/>
          <w:color w:val="2E74B5" w:themeColor="accent1" w:themeShade="BF"/>
          <w:sz w:val="20"/>
          <w:lang w:val="en-US"/>
        </w:rPr>
        <w:t>2016</w:t>
      </w:r>
      <w:r w:rsidR="002177EA" w:rsidRPr="00124DA6">
        <w:rPr>
          <w:rFonts w:asciiTheme="majorHAnsi" w:hAnsiTheme="majorHAnsi" w:cstheme="majorHAnsi"/>
          <w:color w:val="2E74B5" w:themeColor="accent1" w:themeShade="BF"/>
          <w:sz w:val="20"/>
          <w:lang w:val="en-US"/>
        </w:rPr>
        <w:t>.</w:t>
      </w:r>
    </w:p>
    <w:p w14:paraId="5C8045A5" w14:textId="55530FD9" w:rsidR="00102FE0" w:rsidRPr="00124DA6" w:rsidRDefault="00102FE0" w:rsidP="00C80F20">
      <w:pPr>
        <w:pStyle w:val="ListParagraph"/>
        <w:numPr>
          <w:ilvl w:val="0"/>
          <w:numId w:val="47"/>
        </w:numPr>
        <w:spacing w:after="240" w:line="240" w:lineRule="auto"/>
        <w:ind w:left="0" w:firstLine="0"/>
        <w:contextualSpacing w:val="0"/>
        <w:jc w:val="both"/>
        <w:rPr>
          <w:lang w:val="en-US"/>
        </w:rPr>
      </w:pPr>
      <w:r w:rsidRPr="00124DA6">
        <w:rPr>
          <w:lang w:val="en-US"/>
        </w:rPr>
        <w:t xml:space="preserve">MTN and </w:t>
      </w:r>
      <w:proofErr w:type="spellStart"/>
      <w:r w:rsidRPr="00124DA6">
        <w:rPr>
          <w:lang w:val="en-US"/>
        </w:rPr>
        <w:t>Moov</w:t>
      </w:r>
      <w:proofErr w:type="spellEnd"/>
      <w:r w:rsidRPr="00124DA6">
        <w:rPr>
          <w:lang w:val="en-US"/>
        </w:rPr>
        <w:t xml:space="preserve"> are the main operators since they together account for 82</w:t>
      </w:r>
      <w:r w:rsidR="002177EA" w:rsidRPr="00124DA6">
        <w:rPr>
          <w:lang w:val="en-US"/>
        </w:rPr>
        <w:t xml:space="preserve"> percent</w:t>
      </w:r>
      <w:r w:rsidRPr="00124DA6">
        <w:rPr>
          <w:lang w:val="en-US"/>
        </w:rPr>
        <w:t xml:space="preserve"> of the market share in the number of mobile subscriptions at the end of 2016. In fact, in 2016, the penetration rate of mobile Internet was 24.97</w:t>
      </w:r>
      <w:r w:rsidR="002177EA" w:rsidRPr="00124DA6">
        <w:rPr>
          <w:lang w:val="en-US"/>
        </w:rPr>
        <w:t xml:space="preserve"> percent</w:t>
      </w:r>
      <w:r w:rsidRPr="00124DA6">
        <w:rPr>
          <w:lang w:val="en-US"/>
        </w:rPr>
        <w:t>, for a total of 2.77</w:t>
      </w:r>
      <w:r w:rsidR="00C702B4">
        <w:rPr>
          <w:lang w:val="en-US"/>
        </w:rPr>
        <w:t> </w:t>
      </w:r>
      <w:r w:rsidRPr="00124DA6">
        <w:rPr>
          <w:lang w:val="en-US"/>
        </w:rPr>
        <w:t>million subscribers (RAECP Benin</w:t>
      </w:r>
      <w:r w:rsidR="00C702B4">
        <w:rPr>
          <w:lang w:val="en-US"/>
        </w:rPr>
        <w:t> </w:t>
      </w:r>
      <w:r w:rsidR="00FB6048" w:rsidRPr="00124DA6">
        <w:rPr>
          <w:lang w:val="en-US"/>
        </w:rPr>
        <w:t>2016</w:t>
      </w:r>
      <w:r w:rsidRPr="00124DA6">
        <w:rPr>
          <w:lang w:val="en-US"/>
        </w:rPr>
        <w:t>).</w:t>
      </w:r>
    </w:p>
    <w:p w14:paraId="3FFCBE55" w14:textId="6E93C874" w:rsidR="00102FE0" w:rsidRPr="00C80F20" w:rsidRDefault="008B6109" w:rsidP="008B6109">
      <w:pPr>
        <w:pStyle w:val="Caption"/>
        <w:keepNext/>
        <w:rPr>
          <w:b/>
          <w:lang w:val="en-US"/>
        </w:rPr>
      </w:pPr>
      <w:r w:rsidRPr="00C80F20">
        <w:rPr>
          <w:b/>
          <w:lang w:val="en-US"/>
        </w:rPr>
        <w:t>Figure</w:t>
      </w:r>
      <w:r w:rsidR="00C702B4" w:rsidRPr="00C80F20">
        <w:rPr>
          <w:b/>
          <w:lang w:val="en-US"/>
        </w:rPr>
        <w:t> </w:t>
      </w:r>
      <w:r w:rsidRPr="00C80F20">
        <w:rPr>
          <w:b/>
          <w:lang w:val="en-US"/>
        </w:rPr>
        <w:t>3.</w:t>
      </w:r>
      <w:r w:rsidRPr="00C80F20">
        <w:rPr>
          <w:b/>
          <w:lang w:val="en-US"/>
        </w:rPr>
        <w:fldChar w:fldCharType="begin"/>
      </w:r>
      <w:r w:rsidRPr="00C80F20">
        <w:rPr>
          <w:b/>
          <w:lang w:val="en-US"/>
        </w:rPr>
        <w:instrText xml:space="preserve"> SEQ Figure_3. \* ARABIC </w:instrText>
      </w:r>
      <w:r w:rsidRPr="00C80F20">
        <w:rPr>
          <w:b/>
          <w:lang w:val="en-US"/>
        </w:rPr>
        <w:fldChar w:fldCharType="separate"/>
      </w:r>
      <w:r w:rsidR="004C6E5F" w:rsidRPr="00C80F20">
        <w:rPr>
          <w:b/>
          <w:noProof/>
          <w:lang w:val="en-US"/>
        </w:rPr>
        <w:t>17</w:t>
      </w:r>
      <w:r w:rsidRPr="00C80F20">
        <w:rPr>
          <w:b/>
          <w:lang w:val="en-US"/>
        </w:rPr>
        <w:fldChar w:fldCharType="end"/>
      </w:r>
      <w:r w:rsidR="00102FE0" w:rsidRPr="00C80F20">
        <w:rPr>
          <w:b/>
          <w:lang w:val="en-US"/>
        </w:rPr>
        <w:t>: Evolution of the number of mobile Internet subscribers</w:t>
      </w:r>
    </w:p>
    <w:p w14:paraId="5E1E923A" w14:textId="77777777" w:rsidR="00102FE0" w:rsidRPr="00124DA6" w:rsidRDefault="00102FE0" w:rsidP="008B6109">
      <w:pPr>
        <w:pStyle w:val="NoSpacing"/>
        <w:keepNext/>
        <w:jc w:val="both"/>
        <w:rPr>
          <w:lang w:val="en-US"/>
        </w:rPr>
      </w:pPr>
      <w:r w:rsidRPr="00124DA6">
        <w:rPr>
          <w:noProof/>
          <w:lang w:eastAsia="fr-FR"/>
        </w:rPr>
        <w:drawing>
          <wp:inline distT="0" distB="0" distL="0" distR="0" wp14:anchorId="203F2EC2" wp14:editId="19F4FBD2">
            <wp:extent cx="6162675" cy="2456121"/>
            <wp:effectExtent l="0" t="0" r="0" b="1905"/>
            <wp:docPr id="162"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5DCA29F" w14:textId="4ADD9FA0" w:rsidR="00102FE0" w:rsidRPr="00124DA6" w:rsidRDefault="00102FE0" w:rsidP="00C80F20">
      <w:pPr>
        <w:pStyle w:val="ListParagraph"/>
        <w:numPr>
          <w:ilvl w:val="0"/>
          <w:numId w:val="47"/>
        </w:numPr>
        <w:spacing w:after="240" w:line="240" w:lineRule="auto"/>
        <w:ind w:left="0" w:firstLine="0"/>
        <w:contextualSpacing w:val="0"/>
        <w:jc w:val="both"/>
        <w:rPr>
          <w:lang w:val="en-US"/>
        </w:rPr>
      </w:pPr>
      <w:r w:rsidRPr="00124DA6">
        <w:rPr>
          <w:b/>
          <w:lang w:val="en-US"/>
        </w:rPr>
        <w:t xml:space="preserve">However, penetration of mobile broadband </w:t>
      </w:r>
      <w:r w:rsidR="002177EA" w:rsidRPr="00124DA6">
        <w:rPr>
          <w:b/>
          <w:lang w:val="en-US"/>
        </w:rPr>
        <w:t>I</w:t>
      </w:r>
      <w:r w:rsidRPr="00124DA6">
        <w:rPr>
          <w:b/>
          <w:lang w:val="en-US"/>
        </w:rPr>
        <w:t>nternet</w:t>
      </w:r>
      <w:r w:rsidR="007F7E1F">
        <w:rPr>
          <w:b/>
          <w:lang w:val="en-US"/>
        </w:rPr>
        <w:t xml:space="preserve"> proceeds at a slow place, </w:t>
      </w:r>
      <w:r w:rsidRPr="00124DA6">
        <w:rPr>
          <w:lang w:val="en-US"/>
        </w:rPr>
        <w:t xml:space="preserve">which </w:t>
      </w:r>
      <w:r w:rsidR="007A74B1" w:rsidRPr="00124DA6">
        <w:rPr>
          <w:lang w:val="en-US"/>
        </w:rPr>
        <w:t>points</w:t>
      </w:r>
      <w:r w:rsidR="002177EA" w:rsidRPr="00124DA6">
        <w:rPr>
          <w:lang w:val="en-US"/>
        </w:rPr>
        <w:t>,</w:t>
      </w:r>
      <w:r w:rsidR="007A74B1" w:rsidRPr="00124DA6">
        <w:rPr>
          <w:lang w:val="en-US"/>
        </w:rPr>
        <w:t xml:space="preserve"> </w:t>
      </w:r>
      <w:r w:rsidRPr="00124DA6">
        <w:rPr>
          <w:lang w:val="en-US"/>
        </w:rPr>
        <w:t>on the one hand, to the low level of equipment of the population in mobile devices compatible with broadband technology (</w:t>
      </w:r>
      <w:r w:rsidR="007A74B1" w:rsidRPr="00124DA6">
        <w:rPr>
          <w:lang w:val="en-US"/>
        </w:rPr>
        <w:t>smartphones and feature phones) and</w:t>
      </w:r>
      <w:r w:rsidR="002177EA" w:rsidRPr="00124DA6">
        <w:rPr>
          <w:lang w:val="en-US"/>
        </w:rPr>
        <w:t>,</w:t>
      </w:r>
      <w:r w:rsidR="007A74B1" w:rsidRPr="00124DA6">
        <w:rPr>
          <w:lang w:val="en-US"/>
        </w:rPr>
        <w:t xml:space="preserve"> o</w:t>
      </w:r>
      <w:r w:rsidRPr="00124DA6">
        <w:rPr>
          <w:lang w:val="en-US"/>
        </w:rPr>
        <w:t xml:space="preserve">n the other hand, to the limitation in terms of potential of deployment of innovative digital payment </w:t>
      </w:r>
      <w:r w:rsidR="00141BD7">
        <w:rPr>
          <w:lang w:val="en-US"/>
        </w:rPr>
        <w:t>“</w:t>
      </w:r>
      <w:r w:rsidRPr="00124DA6">
        <w:rPr>
          <w:lang w:val="en-US"/>
        </w:rPr>
        <w:t>SIM agnostic</w:t>
      </w:r>
      <w:r w:rsidR="00141BD7">
        <w:rPr>
          <w:lang w:val="en-US"/>
        </w:rPr>
        <w:t>”</w:t>
      </w:r>
      <w:r w:rsidR="007A74B1" w:rsidRPr="00124DA6">
        <w:rPr>
          <w:lang w:val="en-US"/>
        </w:rPr>
        <w:t xml:space="preserve"> solutions (</w:t>
      </w:r>
      <w:r w:rsidRPr="00124DA6">
        <w:rPr>
          <w:lang w:val="en-US"/>
        </w:rPr>
        <w:t>applications, QR code</w:t>
      </w:r>
      <w:r w:rsidR="002177EA" w:rsidRPr="00124DA6">
        <w:rPr>
          <w:lang w:val="en-US"/>
        </w:rPr>
        <w:t>,</w:t>
      </w:r>
      <w:r w:rsidRPr="00124DA6">
        <w:rPr>
          <w:lang w:val="en-US"/>
        </w:rPr>
        <w:t xml:space="preserve"> </w:t>
      </w:r>
      <w:r w:rsidR="002177EA" w:rsidRPr="00124DA6">
        <w:rPr>
          <w:lang w:val="en-US"/>
        </w:rPr>
        <w:t>and so on</w:t>
      </w:r>
      <w:r w:rsidR="007A74B1" w:rsidRPr="00124DA6">
        <w:rPr>
          <w:lang w:val="en-US"/>
        </w:rPr>
        <w:t xml:space="preserve">). </w:t>
      </w:r>
      <w:r w:rsidRPr="00124DA6">
        <w:rPr>
          <w:lang w:val="en-US"/>
        </w:rPr>
        <w:t xml:space="preserve">Moreover, at the level of each municipality, the proportion of households having access to mobile </w:t>
      </w:r>
      <w:r w:rsidR="002177EA" w:rsidRPr="00124DA6">
        <w:rPr>
          <w:lang w:val="en-US"/>
        </w:rPr>
        <w:t>I</w:t>
      </w:r>
      <w:r w:rsidRPr="00124DA6">
        <w:rPr>
          <w:lang w:val="en-US"/>
        </w:rPr>
        <w:t xml:space="preserve">nternet based on the number of </w:t>
      </w:r>
      <w:r w:rsidR="002177EA" w:rsidRPr="00124DA6">
        <w:rPr>
          <w:lang w:val="en-US"/>
        </w:rPr>
        <w:t>m</w:t>
      </w:r>
      <w:r w:rsidRPr="00124DA6">
        <w:rPr>
          <w:lang w:val="en-US"/>
        </w:rPr>
        <w:t xml:space="preserve">obile </w:t>
      </w:r>
      <w:r w:rsidR="002177EA" w:rsidRPr="00124DA6">
        <w:rPr>
          <w:lang w:val="en-US"/>
        </w:rPr>
        <w:t>m</w:t>
      </w:r>
      <w:r w:rsidRPr="00124DA6">
        <w:rPr>
          <w:lang w:val="en-US"/>
        </w:rPr>
        <w:t xml:space="preserve">oney service points available within the locality shows both the need to reinforce the density of the mobile money networks and the need to expand and strengthen the capacity of mobile broadband </w:t>
      </w:r>
      <w:r w:rsidR="002177EA" w:rsidRPr="00124DA6">
        <w:rPr>
          <w:lang w:val="en-US"/>
        </w:rPr>
        <w:t>I</w:t>
      </w:r>
      <w:r w:rsidRPr="00124DA6">
        <w:rPr>
          <w:lang w:val="en-US"/>
        </w:rPr>
        <w:t>nternet access networks to develop innovative digital finance solution.</w:t>
      </w:r>
    </w:p>
    <w:p w14:paraId="0C5788A7" w14:textId="33418BF3" w:rsidR="00102FE0" w:rsidRPr="00C80F20" w:rsidRDefault="008B6109" w:rsidP="00390499">
      <w:pPr>
        <w:pStyle w:val="Caption"/>
        <w:keepNext/>
        <w:rPr>
          <w:b/>
          <w:lang w:val="en-US"/>
        </w:rPr>
      </w:pPr>
      <w:r w:rsidRPr="00C80F20">
        <w:rPr>
          <w:b/>
          <w:lang w:val="en-US"/>
        </w:rPr>
        <w:t>Figure</w:t>
      </w:r>
      <w:r w:rsidR="00C702B4" w:rsidRPr="00C80F20">
        <w:rPr>
          <w:b/>
          <w:lang w:val="en-US"/>
        </w:rPr>
        <w:t> </w:t>
      </w:r>
      <w:r w:rsidRPr="00C80F20">
        <w:rPr>
          <w:b/>
          <w:lang w:val="en-US"/>
        </w:rPr>
        <w:t>3.</w:t>
      </w:r>
      <w:r w:rsidRPr="00C80F20">
        <w:rPr>
          <w:b/>
          <w:lang w:val="en-US"/>
        </w:rPr>
        <w:fldChar w:fldCharType="begin"/>
      </w:r>
      <w:r w:rsidRPr="00C80F20">
        <w:rPr>
          <w:b/>
          <w:lang w:val="en-US"/>
        </w:rPr>
        <w:instrText xml:space="preserve"> SEQ Figure_3. \* ARABIC </w:instrText>
      </w:r>
      <w:r w:rsidRPr="00C80F20">
        <w:rPr>
          <w:b/>
          <w:lang w:val="en-US"/>
        </w:rPr>
        <w:fldChar w:fldCharType="separate"/>
      </w:r>
      <w:r w:rsidR="004C6E5F" w:rsidRPr="00C80F20">
        <w:rPr>
          <w:b/>
          <w:noProof/>
          <w:lang w:val="en-US"/>
        </w:rPr>
        <w:t>18</w:t>
      </w:r>
      <w:r w:rsidRPr="00C80F20">
        <w:rPr>
          <w:b/>
          <w:lang w:val="en-US"/>
        </w:rPr>
        <w:fldChar w:fldCharType="end"/>
      </w:r>
      <w:r w:rsidR="00102FE0" w:rsidRPr="00C80F20">
        <w:rPr>
          <w:b/>
          <w:lang w:val="en-US"/>
        </w:rPr>
        <w:t xml:space="preserve">: Proportion of households (by municipality) having access to mobile </w:t>
      </w:r>
      <w:r w:rsidR="002177EA" w:rsidRPr="00C80F20">
        <w:rPr>
          <w:b/>
          <w:lang w:val="en-US"/>
        </w:rPr>
        <w:t>I</w:t>
      </w:r>
      <w:r w:rsidR="00102FE0" w:rsidRPr="00C80F20">
        <w:rPr>
          <w:b/>
          <w:lang w:val="en-US"/>
        </w:rPr>
        <w:t xml:space="preserve">nternet based on the number of </w:t>
      </w:r>
      <w:r w:rsidR="002177EA" w:rsidRPr="00C80F20">
        <w:rPr>
          <w:b/>
          <w:lang w:val="en-US"/>
        </w:rPr>
        <w:t>m</w:t>
      </w:r>
      <w:r w:rsidR="00102FE0" w:rsidRPr="00C80F20">
        <w:rPr>
          <w:b/>
          <w:lang w:val="en-US"/>
        </w:rPr>
        <w:t xml:space="preserve">obile </w:t>
      </w:r>
      <w:r w:rsidR="002177EA" w:rsidRPr="00C80F20">
        <w:rPr>
          <w:b/>
          <w:lang w:val="en-US"/>
        </w:rPr>
        <w:t>m</w:t>
      </w:r>
      <w:r w:rsidR="00102FE0" w:rsidRPr="00C80F20">
        <w:rPr>
          <w:b/>
          <w:lang w:val="en-US"/>
        </w:rPr>
        <w:t xml:space="preserve">oney points of service </w:t>
      </w:r>
    </w:p>
    <w:p w14:paraId="15222ECF" w14:textId="77777777" w:rsidR="00102FE0" w:rsidRPr="00124DA6" w:rsidRDefault="00102FE0" w:rsidP="008B6109">
      <w:pPr>
        <w:pStyle w:val="NoSpacing"/>
        <w:keepNext/>
        <w:jc w:val="both"/>
        <w:rPr>
          <w:lang w:val="en-US"/>
        </w:rPr>
      </w:pPr>
      <w:r w:rsidRPr="00124DA6">
        <w:rPr>
          <w:noProof/>
          <w:lang w:eastAsia="fr-FR"/>
        </w:rPr>
        <w:drawing>
          <wp:inline distT="0" distB="0" distL="0" distR="0" wp14:anchorId="74CE3594" wp14:editId="666D682D">
            <wp:extent cx="5638275" cy="1924050"/>
            <wp:effectExtent l="0" t="0" r="635" b="0"/>
            <wp:docPr id="16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38800" cy="1924229"/>
                    </a:xfrm>
                    <a:prstGeom prst="rect">
                      <a:avLst/>
                    </a:prstGeom>
                    <a:noFill/>
                    <a:ln>
                      <a:noFill/>
                    </a:ln>
                  </pic:spPr>
                </pic:pic>
              </a:graphicData>
            </a:graphic>
          </wp:inline>
        </w:drawing>
      </w:r>
    </w:p>
    <w:p w14:paraId="5B6A8141" w14:textId="77777777" w:rsidR="00102FE0" w:rsidRPr="0024331A" w:rsidRDefault="00102FE0" w:rsidP="008B6109">
      <w:pPr>
        <w:keepNext/>
        <w:ind w:left="90"/>
        <w:rPr>
          <w:rFonts w:asciiTheme="majorHAnsi" w:hAnsiTheme="majorHAnsi" w:cstheme="majorHAnsi"/>
          <w:color w:val="2E74B5" w:themeColor="accent1" w:themeShade="BF"/>
          <w:sz w:val="20"/>
        </w:rPr>
      </w:pPr>
      <w:r w:rsidRPr="0024331A">
        <w:rPr>
          <w:rFonts w:asciiTheme="majorHAnsi" w:hAnsiTheme="majorHAnsi" w:cstheme="majorHAnsi"/>
          <w:i/>
          <w:color w:val="2E74B5" w:themeColor="accent1" w:themeShade="BF"/>
          <w:sz w:val="20"/>
        </w:rPr>
        <w:t xml:space="preserve">Source: </w:t>
      </w:r>
      <w:hyperlink r:id="rId57" w:history="1">
        <w:r w:rsidRPr="0024331A">
          <w:rPr>
            <w:rFonts w:asciiTheme="majorHAnsi" w:hAnsiTheme="majorHAnsi" w:cstheme="majorHAnsi"/>
            <w:color w:val="2E74B5" w:themeColor="accent1" w:themeShade="BF"/>
            <w:sz w:val="20"/>
          </w:rPr>
          <w:t>http://finclusionlab.org/fr/market-insights/benin (</w:t>
        </w:r>
      </w:hyperlink>
      <w:r w:rsidRPr="0024331A">
        <w:rPr>
          <w:rFonts w:asciiTheme="majorHAnsi" w:hAnsiTheme="majorHAnsi" w:cstheme="majorHAnsi"/>
          <w:color w:val="2E74B5" w:themeColor="accent1" w:themeShade="BF"/>
          <w:sz w:val="20"/>
        </w:rPr>
        <w:t>2017)</w:t>
      </w:r>
      <w:r w:rsidR="002177EA" w:rsidRPr="0024331A">
        <w:rPr>
          <w:rFonts w:asciiTheme="majorHAnsi" w:hAnsiTheme="majorHAnsi" w:cstheme="majorHAnsi"/>
          <w:color w:val="2E74B5" w:themeColor="accent1" w:themeShade="BF"/>
          <w:sz w:val="20"/>
        </w:rPr>
        <w:t>.</w:t>
      </w:r>
    </w:p>
    <w:p w14:paraId="1FED9473" w14:textId="77777777" w:rsidR="00102FE0" w:rsidRPr="00124DA6" w:rsidRDefault="00102FE0" w:rsidP="00390499">
      <w:pPr>
        <w:pStyle w:val="NoSpacing"/>
        <w:spacing w:after="240"/>
        <w:rPr>
          <w:b/>
          <w:lang w:val="en-US"/>
        </w:rPr>
      </w:pPr>
      <w:r w:rsidRPr="00124DA6">
        <w:rPr>
          <w:b/>
          <w:lang w:val="en-US"/>
        </w:rPr>
        <w:t xml:space="preserve">Recommendations: </w:t>
      </w:r>
    </w:p>
    <w:p w14:paraId="7864C096" w14:textId="77777777"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Develop/enhance the market offering digital finance service provider through innovation.</w:t>
      </w:r>
    </w:p>
    <w:p w14:paraId="4C3D3F44" w14:textId="77777777"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Bring the digital tool into the system of existing tontines in the informal sector.</w:t>
      </w:r>
    </w:p>
    <w:p w14:paraId="64B0E872" w14:textId="77777777"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 xml:space="preserve">Develop and extend (through the MNOs) the high-speed mobile </w:t>
      </w:r>
      <w:r w:rsidR="00A413A0" w:rsidRPr="00124DA6">
        <w:rPr>
          <w:lang w:val="en-US"/>
        </w:rPr>
        <w:t>I</w:t>
      </w:r>
      <w:r w:rsidRPr="00124DA6">
        <w:rPr>
          <w:lang w:val="en-US"/>
        </w:rPr>
        <w:t xml:space="preserve">nternet access network to enable financial sector players (banks, </w:t>
      </w:r>
      <w:r w:rsidR="00A413A0" w:rsidRPr="00124DA6">
        <w:rPr>
          <w:lang w:val="en-US"/>
        </w:rPr>
        <w:t>MFIs</w:t>
      </w:r>
      <w:r w:rsidRPr="00124DA6">
        <w:rPr>
          <w:lang w:val="en-US"/>
        </w:rPr>
        <w:t>, fintech, MNO</w:t>
      </w:r>
      <w:r w:rsidR="00A413A0" w:rsidRPr="00124DA6">
        <w:rPr>
          <w:lang w:val="en-US"/>
        </w:rPr>
        <w:t>s</w:t>
      </w:r>
      <w:r w:rsidRPr="00124DA6">
        <w:rPr>
          <w:lang w:val="en-US"/>
        </w:rPr>
        <w:t>) to deploy innovative mobile payment solutions.</w:t>
      </w:r>
    </w:p>
    <w:p w14:paraId="71D247F6" w14:textId="74A2C669"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Develop payment services for taxicab bikes (</w:t>
      </w:r>
      <w:proofErr w:type="spellStart"/>
      <w:r w:rsidR="00A413A0" w:rsidRPr="00124DA6">
        <w:rPr>
          <w:lang w:val="en-US"/>
        </w:rPr>
        <w:t>z</w:t>
      </w:r>
      <w:r w:rsidRPr="00124DA6">
        <w:rPr>
          <w:lang w:val="en-US"/>
        </w:rPr>
        <w:t>emidjans</w:t>
      </w:r>
      <w:proofErr w:type="spellEnd"/>
      <w:r w:rsidRPr="00124DA6">
        <w:rPr>
          <w:lang w:val="en-US"/>
        </w:rPr>
        <w:t>). Indeed</w:t>
      </w:r>
      <w:r w:rsidR="00A413A0" w:rsidRPr="00124DA6">
        <w:rPr>
          <w:lang w:val="en-US"/>
        </w:rPr>
        <w:t>,</w:t>
      </w:r>
      <w:r w:rsidRPr="00124DA6">
        <w:rPr>
          <w:lang w:val="en-US"/>
        </w:rPr>
        <w:t xml:space="preserve"> </w:t>
      </w:r>
      <w:proofErr w:type="spellStart"/>
      <w:r w:rsidRPr="00124DA6">
        <w:rPr>
          <w:lang w:val="en-US"/>
        </w:rPr>
        <w:t>zemidjans</w:t>
      </w:r>
      <w:proofErr w:type="spellEnd"/>
      <w:r w:rsidRPr="00124DA6">
        <w:rPr>
          <w:lang w:val="en-US"/>
        </w:rPr>
        <w:t xml:space="preserve"> collect large volumes and values of retail payment ​​daily. According to </w:t>
      </w:r>
      <w:r w:rsidR="00A413A0" w:rsidRPr="00124DA6">
        <w:rPr>
          <w:lang w:val="en-US"/>
        </w:rPr>
        <w:t xml:space="preserve">the </w:t>
      </w:r>
      <w:r w:rsidRPr="00124DA6">
        <w:rPr>
          <w:lang w:val="en-US"/>
        </w:rPr>
        <w:t>UNCDF</w:t>
      </w:r>
      <w:r w:rsidR="00141BD7">
        <w:rPr>
          <w:lang w:val="en-US"/>
        </w:rPr>
        <w:t>’</w:t>
      </w:r>
      <w:r w:rsidRPr="00124DA6">
        <w:rPr>
          <w:lang w:val="en-US"/>
        </w:rPr>
        <w:t xml:space="preserve">s MM4P program, there are nearly 250,000 </w:t>
      </w:r>
      <w:proofErr w:type="spellStart"/>
      <w:r w:rsidRPr="00124DA6">
        <w:rPr>
          <w:lang w:val="en-US"/>
        </w:rPr>
        <w:t>zemidjans</w:t>
      </w:r>
      <w:proofErr w:type="spellEnd"/>
      <w:r w:rsidRPr="00124DA6">
        <w:rPr>
          <w:lang w:val="en-US"/>
        </w:rPr>
        <w:t xml:space="preserve"> in Benin. Beyond the payment aspects, the proximity of motorcycle taxis with the population makes them important levers for the promotion and popularization of the use of mobile money (especially for payment).</w:t>
      </w:r>
    </w:p>
    <w:p w14:paraId="2B1F8D72" w14:textId="77777777"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 xml:space="preserve">Promote the development of partnerships </w:t>
      </w:r>
      <w:r w:rsidR="00A413A0" w:rsidRPr="00124DA6">
        <w:rPr>
          <w:lang w:val="en-US"/>
        </w:rPr>
        <w:t>(</w:t>
      </w:r>
      <w:r w:rsidRPr="00124DA6">
        <w:rPr>
          <w:lang w:val="en-US"/>
        </w:rPr>
        <w:t>financial institution-mobile money providers</w:t>
      </w:r>
      <w:r w:rsidR="00A413A0" w:rsidRPr="00124DA6">
        <w:rPr>
          <w:lang w:val="en-US"/>
        </w:rPr>
        <w:t>)</w:t>
      </w:r>
      <w:r w:rsidRPr="00124DA6">
        <w:rPr>
          <w:lang w:val="en-US"/>
        </w:rPr>
        <w:t xml:space="preserve"> that would</w:t>
      </w:r>
    </w:p>
    <w:p w14:paraId="74822999" w14:textId="77777777" w:rsidR="00102FE0" w:rsidRPr="00124DA6" w:rsidRDefault="00102FE0" w:rsidP="00C80F20">
      <w:pPr>
        <w:pStyle w:val="NoSpacing"/>
        <w:numPr>
          <w:ilvl w:val="0"/>
          <w:numId w:val="33"/>
        </w:numPr>
        <w:spacing w:before="120" w:after="120"/>
        <w:ind w:left="1670" w:hanging="475"/>
        <w:jc w:val="both"/>
        <w:rPr>
          <w:lang w:val="en-US"/>
        </w:rPr>
      </w:pPr>
      <w:r w:rsidRPr="00124DA6">
        <w:rPr>
          <w:lang w:val="en-US"/>
        </w:rPr>
        <w:t xml:space="preserve">Extend the geographic scope of financial services to peri-urban and rural areas, notably </w:t>
      </w:r>
      <w:r w:rsidR="00A413A0" w:rsidRPr="00124DA6">
        <w:rPr>
          <w:lang w:val="en-US"/>
        </w:rPr>
        <w:t xml:space="preserve">owing </w:t>
      </w:r>
      <w:r w:rsidRPr="00124DA6">
        <w:rPr>
          <w:lang w:val="en-US"/>
        </w:rPr>
        <w:t>to the widespread presence of the networks of mobile money agents</w:t>
      </w:r>
      <w:r w:rsidR="00A413A0" w:rsidRPr="00124DA6">
        <w:rPr>
          <w:lang w:val="en-US"/>
        </w:rPr>
        <w:t>, and</w:t>
      </w:r>
    </w:p>
    <w:p w14:paraId="4082D4F5" w14:textId="312918C5" w:rsidR="00102FE0" w:rsidRPr="00124DA6" w:rsidRDefault="00102FE0" w:rsidP="00C80F20">
      <w:pPr>
        <w:pStyle w:val="NoSpacing"/>
        <w:numPr>
          <w:ilvl w:val="0"/>
          <w:numId w:val="33"/>
        </w:numPr>
        <w:spacing w:before="120" w:after="120"/>
        <w:ind w:left="1670" w:hanging="475"/>
        <w:jc w:val="both"/>
        <w:rPr>
          <w:lang w:val="en-US"/>
        </w:rPr>
      </w:pPr>
      <w:r w:rsidRPr="00124DA6">
        <w:rPr>
          <w:lang w:val="en-US"/>
        </w:rPr>
        <w:t>Allow the launch of credit solutions</w:t>
      </w:r>
      <w:r w:rsidR="007F7E1F">
        <w:rPr>
          <w:lang w:val="en-US"/>
        </w:rPr>
        <w:t xml:space="preserve"> </w:t>
      </w:r>
      <w:r w:rsidR="007F7E1F" w:rsidRPr="00124DA6">
        <w:rPr>
          <w:lang w:val="en-US"/>
        </w:rPr>
        <w:t>on the market</w:t>
      </w:r>
      <w:r w:rsidRPr="00124DA6">
        <w:rPr>
          <w:lang w:val="en-US"/>
        </w:rPr>
        <w:t xml:space="preserve">, based on credit scoring. In this regard, a dialogue framework will have to be set up between the </w:t>
      </w:r>
      <w:r w:rsidR="00762ACC" w:rsidRPr="00124DA6">
        <w:rPr>
          <w:lang w:val="en-US"/>
        </w:rPr>
        <w:t>BCEAO</w:t>
      </w:r>
      <w:r w:rsidRPr="00124DA6">
        <w:rPr>
          <w:lang w:val="en-US"/>
        </w:rPr>
        <w:t xml:space="preserve"> and the market players (banks, </w:t>
      </w:r>
      <w:r w:rsidR="00231583" w:rsidRPr="00124DA6">
        <w:rPr>
          <w:lang w:val="en-US"/>
        </w:rPr>
        <w:t>MFI</w:t>
      </w:r>
      <w:r w:rsidR="00A413A0" w:rsidRPr="00124DA6">
        <w:rPr>
          <w:lang w:val="en-US"/>
        </w:rPr>
        <w:t>s</w:t>
      </w:r>
      <w:r w:rsidRPr="00124DA6">
        <w:rPr>
          <w:lang w:val="en-US"/>
        </w:rPr>
        <w:t>) to understand their concerns and even the regulatory constraints for the launch of such solutions (attrition rate, consumer protection, management of the risk of repayment defaults,</w:t>
      </w:r>
      <w:r w:rsidR="00A413A0" w:rsidRPr="00124DA6">
        <w:rPr>
          <w:lang w:val="en-US"/>
        </w:rPr>
        <w:t xml:space="preserve"> and so on</w:t>
      </w:r>
      <w:r w:rsidRPr="00124DA6">
        <w:rPr>
          <w:lang w:val="en-US"/>
        </w:rPr>
        <w:t>). Areas of collaboration and synergies could be envisaged between the UNCDF</w:t>
      </w:r>
      <w:r w:rsidR="00C702B4">
        <w:rPr>
          <w:lang w:val="en-US"/>
        </w:rPr>
        <w:t> </w:t>
      </w:r>
      <w:r w:rsidRPr="00124DA6">
        <w:rPr>
          <w:lang w:val="en-US"/>
        </w:rPr>
        <w:t>MM4P program and the future actions of the World Bank on digital finance in Benin. Indeed, the MM4P program has set up a working group on operational digital finance.</w:t>
      </w:r>
    </w:p>
    <w:p w14:paraId="763096F0" w14:textId="77777777" w:rsidR="00102FE0" w:rsidRPr="00124DA6" w:rsidRDefault="00102FE0" w:rsidP="007414AC">
      <w:pPr>
        <w:pStyle w:val="NoSpacing"/>
        <w:numPr>
          <w:ilvl w:val="0"/>
          <w:numId w:val="32"/>
        </w:numPr>
        <w:spacing w:after="240"/>
        <w:ind w:left="1195" w:hanging="475"/>
        <w:jc w:val="both"/>
        <w:rPr>
          <w:lang w:val="en-US"/>
        </w:rPr>
      </w:pPr>
      <w:r w:rsidRPr="00124DA6">
        <w:rPr>
          <w:lang w:val="en-US"/>
        </w:rPr>
        <w:t xml:space="preserve">Promote a framework for consultation and collaboration between the different providers of digital finance solutions for the development of interoperability, including the participation of </w:t>
      </w:r>
      <w:r w:rsidR="00A413A0" w:rsidRPr="00124DA6">
        <w:rPr>
          <w:lang w:val="en-US"/>
        </w:rPr>
        <w:t xml:space="preserve">the </w:t>
      </w:r>
      <w:r w:rsidRPr="00124DA6">
        <w:rPr>
          <w:lang w:val="en-US"/>
        </w:rPr>
        <w:t xml:space="preserve">GIM-WAEMU as the main actor, designated by the </w:t>
      </w:r>
      <w:r w:rsidR="00762ACC" w:rsidRPr="00124DA6">
        <w:rPr>
          <w:lang w:val="en-US"/>
        </w:rPr>
        <w:t>BCEAO</w:t>
      </w:r>
      <w:r w:rsidRPr="00124DA6">
        <w:rPr>
          <w:lang w:val="en-US"/>
        </w:rPr>
        <w:t>.</w:t>
      </w:r>
    </w:p>
    <w:p w14:paraId="411B7085" w14:textId="77777777" w:rsidR="00102FE0" w:rsidRPr="00C80F20" w:rsidRDefault="00102FE0" w:rsidP="003B0586">
      <w:pPr>
        <w:pStyle w:val="Heading3"/>
        <w:rPr>
          <w:b/>
          <w:lang w:val="en-US"/>
        </w:rPr>
      </w:pPr>
      <w:bookmarkStart w:id="41" w:name="_Toc3975145"/>
      <w:r w:rsidRPr="00C80F20">
        <w:rPr>
          <w:b/>
          <w:lang w:val="en-US"/>
        </w:rPr>
        <w:t>3.4.4 Main government billers</w:t>
      </w:r>
      <w:bookmarkEnd w:id="41"/>
      <w:r w:rsidRPr="00C80F20">
        <w:rPr>
          <w:b/>
          <w:lang w:val="en-US"/>
        </w:rPr>
        <w:t xml:space="preserve"> </w:t>
      </w:r>
    </w:p>
    <w:p w14:paraId="54B8778E" w14:textId="77777777" w:rsidR="00102FE0" w:rsidRPr="00C80F20" w:rsidRDefault="00390499" w:rsidP="00390499">
      <w:pPr>
        <w:pStyle w:val="Heading4"/>
        <w:rPr>
          <w:b/>
          <w:lang w:val="en-US"/>
        </w:rPr>
      </w:pPr>
      <w:r w:rsidRPr="00C80F20">
        <w:rPr>
          <w:b/>
          <w:lang w:val="en-US"/>
        </w:rPr>
        <w:t xml:space="preserve">3.4.4.1 </w:t>
      </w:r>
      <w:r w:rsidR="00102FE0" w:rsidRPr="00C80F20">
        <w:rPr>
          <w:b/>
          <w:lang w:val="en-US"/>
        </w:rPr>
        <w:t xml:space="preserve">Main </w:t>
      </w:r>
      <w:r w:rsidRPr="00C80F20">
        <w:rPr>
          <w:b/>
          <w:lang w:val="en-US"/>
        </w:rPr>
        <w:t>Billers</w:t>
      </w:r>
    </w:p>
    <w:p w14:paraId="43CF693D" w14:textId="3A97C9B5" w:rsidR="00102FE0" w:rsidRPr="00124DA6" w:rsidRDefault="007F7E1F" w:rsidP="00C80F20">
      <w:pPr>
        <w:pStyle w:val="ListParagraph"/>
        <w:numPr>
          <w:ilvl w:val="0"/>
          <w:numId w:val="47"/>
        </w:numPr>
        <w:spacing w:after="240" w:line="240" w:lineRule="auto"/>
        <w:ind w:left="0" w:firstLine="0"/>
        <w:contextualSpacing w:val="0"/>
        <w:jc w:val="both"/>
        <w:rPr>
          <w:lang w:val="en-US"/>
        </w:rPr>
      </w:pPr>
      <w:r>
        <w:rPr>
          <w:b/>
          <w:lang w:val="en-US"/>
        </w:rPr>
        <w:t xml:space="preserve">At the government level, vast opportunities may be conducive to </w:t>
      </w:r>
      <w:r w:rsidR="00102FE0" w:rsidRPr="00124DA6">
        <w:rPr>
          <w:b/>
          <w:lang w:val="en-US"/>
        </w:rPr>
        <w:t>the digitalization of retail payments</w:t>
      </w:r>
      <w:r w:rsidR="00102FE0" w:rsidRPr="00124DA6">
        <w:rPr>
          <w:lang w:val="en-US"/>
        </w:rPr>
        <w:t xml:space="preserve">. In Benin, the volume of banknotes and coins in circulation amounted to </w:t>
      </w:r>
      <w:r w:rsidR="00A413A0" w:rsidRPr="00124DA6">
        <w:rPr>
          <w:lang w:val="en-US"/>
        </w:rPr>
        <w:t>CFAF</w:t>
      </w:r>
      <w:r w:rsidR="00C702B4">
        <w:rPr>
          <w:lang w:val="en-US"/>
        </w:rPr>
        <w:t> </w:t>
      </w:r>
      <w:r w:rsidR="00102FE0" w:rsidRPr="00124DA6">
        <w:rPr>
          <w:lang w:val="en-US"/>
        </w:rPr>
        <w:t>580.9</w:t>
      </w:r>
      <w:r w:rsidR="00C702B4">
        <w:rPr>
          <w:lang w:val="en-US"/>
        </w:rPr>
        <w:t> </w:t>
      </w:r>
      <w:r w:rsidR="00102FE0" w:rsidRPr="00124DA6">
        <w:rPr>
          <w:lang w:val="en-US"/>
        </w:rPr>
        <w:t xml:space="preserve">billion in 2016. As of December </w:t>
      </w:r>
      <w:r w:rsidR="00A413A0" w:rsidRPr="00124DA6">
        <w:rPr>
          <w:lang w:val="en-US"/>
        </w:rPr>
        <w:t xml:space="preserve">31, </w:t>
      </w:r>
      <w:r w:rsidR="00102FE0" w:rsidRPr="00124DA6">
        <w:rPr>
          <w:lang w:val="en-US"/>
        </w:rPr>
        <w:t>2016, the cumulative volume of electricity and water bill payments</w:t>
      </w:r>
      <w:r w:rsidR="00A413A0" w:rsidRPr="00124DA6">
        <w:rPr>
          <w:lang w:val="en-US"/>
        </w:rPr>
        <w:t>,</w:t>
      </w:r>
      <w:r w:rsidR="00102FE0" w:rsidRPr="00124DA6">
        <w:rPr>
          <w:lang w:val="en-US"/>
        </w:rPr>
        <w:t xml:space="preserve"> respectively</w:t>
      </w:r>
      <w:r w:rsidR="00A413A0" w:rsidRPr="00124DA6">
        <w:rPr>
          <w:lang w:val="en-US"/>
        </w:rPr>
        <w:t>,</w:t>
      </w:r>
      <w:r w:rsidR="00102FE0" w:rsidRPr="00124DA6">
        <w:rPr>
          <w:lang w:val="en-US"/>
        </w:rPr>
        <w:t xml:space="preserve"> at SBEE and SONEB companies was in the order of </w:t>
      </w:r>
      <w:r w:rsidR="00A413A0" w:rsidRPr="00124DA6">
        <w:rPr>
          <w:lang w:val="en-US"/>
        </w:rPr>
        <w:t>CFAF</w:t>
      </w:r>
      <w:r w:rsidR="00C702B4">
        <w:rPr>
          <w:lang w:val="en-US"/>
        </w:rPr>
        <w:t> </w:t>
      </w:r>
      <w:r w:rsidR="00102FE0" w:rsidRPr="00124DA6">
        <w:rPr>
          <w:lang w:val="en-US"/>
        </w:rPr>
        <w:t>125</w:t>
      </w:r>
      <w:r w:rsidR="00C702B4">
        <w:rPr>
          <w:lang w:val="en-US"/>
        </w:rPr>
        <w:t> </w:t>
      </w:r>
      <w:r w:rsidR="00102FE0" w:rsidRPr="00124DA6">
        <w:rPr>
          <w:lang w:val="en-US"/>
        </w:rPr>
        <w:t>billion, or nearly 21</w:t>
      </w:r>
      <w:r w:rsidR="00A413A0" w:rsidRPr="00124DA6">
        <w:rPr>
          <w:lang w:val="en-US"/>
        </w:rPr>
        <w:t xml:space="preserve"> percent</w:t>
      </w:r>
      <w:r w:rsidR="00102FE0" w:rsidRPr="00124DA6">
        <w:rPr>
          <w:lang w:val="en-US"/>
        </w:rPr>
        <w:t xml:space="preserve"> of the volume of currency in circulation.</w:t>
      </w:r>
    </w:p>
    <w:p w14:paraId="07051D29" w14:textId="77777777" w:rsidR="00102FE0" w:rsidRPr="00C80F20" w:rsidRDefault="00390499" w:rsidP="00390499">
      <w:pPr>
        <w:pStyle w:val="Heading4"/>
        <w:rPr>
          <w:b/>
          <w:lang w:val="en-US"/>
        </w:rPr>
      </w:pPr>
      <w:r w:rsidRPr="00C80F20">
        <w:rPr>
          <w:b/>
          <w:lang w:val="en-US"/>
        </w:rPr>
        <w:t xml:space="preserve">3.4.4.2 </w:t>
      </w:r>
      <w:r w:rsidR="00102FE0" w:rsidRPr="00C80F20">
        <w:rPr>
          <w:b/>
          <w:lang w:val="en-US"/>
        </w:rPr>
        <w:t xml:space="preserve">Governmental </w:t>
      </w:r>
      <w:r w:rsidRPr="00C80F20">
        <w:rPr>
          <w:b/>
          <w:lang w:val="en-US"/>
        </w:rPr>
        <w:t xml:space="preserve">Institutions </w:t>
      </w:r>
    </w:p>
    <w:p w14:paraId="6A3C52C2" w14:textId="0E395D7E" w:rsidR="00102FE0" w:rsidRPr="00124DA6" w:rsidRDefault="00102FE0" w:rsidP="00C80F20">
      <w:pPr>
        <w:pStyle w:val="ListParagraph"/>
        <w:numPr>
          <w:ilvl w:val="0"/>
          <w:numId w:val="47"/>
        </w:numPr>
        <w:spacing w:after="240" w:line="240" w:lineRule="auto"/>
        <w:ind w:left="0" w:firstLine="0"/>
        <w:contextualSpacing w:val="0"/>
        <w:jc w:val="both"/>
        <w:rPr>
          <w:lang w:val="en-US"/>
        </w:rPr>
      </w:pPr>
      <w:r w:rsidRPr="00124DA6">
        <w:rPr>
          <w:b/>
          <w:lang w:val="en-US"/>
        </w:rPr>
        <w:t xml:space="preserve">Since 2017, the </w:t>
      </w:r>
      <w:proofErr w:type="spellStart"/>
      <w:r w:rsidR="00A413A0" w:rsidRPr="00124DA6">
        <w:rPr>
          <w:b/>
          <w:lang w:val="en-US"/>
        </w:rPr>
        <w:t>GoB</w:t>
      </w:r>
      <w:proofErr w:type="spellEnd"/>
      <w:r w:rsidRPr="00124DA6">
        <w:rPr>
          <w:b/>
          <w:lang w:val="en-US"/>
        </w:rPr>
        <w:t xml:space="preserve"> has made the payment of vehicles tax mandatory for private vehicles</w:t>
      </w:r>
      <w:r w:rsidRPr="00124DA6">
        <w:rPr>
          <w:lang w:val="en-US"/>
        </w:rPr>
        <w:t xml:space="preserve">. Almost 300,000 vehicles are concerned. </w:t>
      </w:r>
      <w:proofErr w:type="gramStart"/>
      <w:r w:rsidRPr="00124DA6">
        <w:rPr>
          <w:lang w:val="en-US"/>
        </w:rPr>
        <w:t>With regard to</w:t>
      </w:r>
      <w:proofErr w:type="gramEnd"/>
      <w:r w:rsidRPr="00124DA6">
        <w:rPr>
          <w:lang w:val="en-US"/>
        </w:rPr>
        <w:t xml:space="preserve"> the car fleet, the volume of payments is estimated at </w:t>
      </w:r>
      <w:r w:rsidR="00A413A0" w:rsidRPr="00124DA6">
        <w:rPr>
          <w:lang w:val="en-US"/>
        </w:rPr>
        <w:t>CFAF</w:t>
      </w:r>
      <w:r w:rsidR="00C702B4">
        <w:rPr>
          <w:lang w:val="en-US"/>
        </w:rPr>
        <w:t> </w:t>
      </w:r>
      <w:r w:rsidRPr="00124DA6">
        <w:rPr>
          <w:lang w:val="en-US"/>
        </w:rPr>
        <w:t>4.7</w:t>
      </w:r>
      <w:r w:rsidR="00C702B4">
        <w:rPr>
          <w:lang w:val="en-US"/>
        </w:rPr>
        <w:t> </w:t>
      </w:r>
      <w:r w:rsidRPr="00124DA6">
        <w:rPr>
          <w:lang w:val="en-US"/>
        </w:rPr>
        <w:t>billion. The General Tax Directorate in charge of collecting this tax would consider launching, for 2018, in partnership with providers of mobile money solutions, a project for the payment of vehicles tax via mobile money.</w:t>
      </w:r>
    </w:p>
    <w:p w14:paraId="273FC467" w14:textId="77777777" w:rsidR="00102FE0" w:rsidRPr="00124DA6" w:rsidRDefault="00102FE0" w:rsidP="00390499">
      <w:pPr>
        <w:pStyle w:val="ListParagraph"/>
        <w:spacing w:after="240" w:line="240" w:lineRule="auto"/>
        <w:ind w:left="0"/>
        <w:contextualSpacing w:val="0"/>
        <w:rPr>
          <w:b/>
          <w:lang w:val="en-US"/>
        </w:rPr>
      </w:pPr>
      <w:r w:rsidRPr="00124DA6">
        <w:rPr>
          <w:b/>
          <w:lang w:val="en-US"/>
        </w:rPr>
        <w:t>Recommendations: Digitaliz</w:t>
      </w:r>
      <w:r w:rsidR="00490326" w:rsidRPr="00124DA6">
        <w:rPr>
          <w:b/>
          <w:lang w:val="en-US"/>
        </w:rPr>
        <w:t>e</w:t>
      </w:r>
      <w:r w:rsidRPr="00124DA6">
        <w:rPr>
          <w:b/>
          <w:lang w:val="en-US"/>
        </w:rPr>
        <w:t xml:space="preserve"> people’s payments to major government billers</w:t>
      </w:r>
    </w:p>
    <w:p w14:paraId="545E7AC9" w14:textId="77777777"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 xml:space="preserve">Involve the </w:t>
      </w:r>
      <w:r w:rsidR="00A413A0" w:rsidRPr="00124DA6">
        <w:rPr>
          <w:lang w:val="en-US"/>
        </w:rPr>
        <w:t>g</w:t>
      </w:r>
      <w:r w:rsidRPr="00124DA6">
        <w:rPr>
          <w:lang w:val="en-US"/>
        </w:rPr>
        <w:t>overnment in the process of digitizing retail payments.</w:t>
      </w:r>
    </w:p>
    <w:p w14:paraId="479942EB" w14:textId="0CD69522"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 xml:space="preserve">Develop for large </w:t>
      </w:r>
      <w:proofErr w:type="gramStart"/>
      <w:r w:rsidRPr="00124DA6">
        <w:rPr>
          <w:lang w:val="en-US"/>
        </w:rPr>
        <w:t>billers</w:t>
      </w:r>
      <w:proofErr w:type="gramEnd"/>
      <w:r w:rsidRPr="00124DA6">
        <w:rPr>
          <w:lang w:val="en-US"/>
        </w:rPr>
        <w:t xml:space="preserve"> </w:t>
      </w:r>
      <w:r w:rsidR="00141BD7">
        <w:rPr>
          <w:lang w:val="en-US"/>
        </w:rPr>
        <w:t>“</w:t>
      </w:r>
      <w:r w:rsidRPr="00124DA6">
        <w:rPr>
          <w:lang w:val="en-US"/>
        </w:rPr>
        <w:t>open</w:t>
      </w:r>
      <w:r w:rsidR="00141BD7">
        <w:rPr>
          <w:lang w:val="en-US"/>
        </w:rPr>
        <w:t>”</w:t>
      </w:r>
      <w:r w:rsidRPr="00124DA6">
        <w:rPr>
          <w:lang w:val="en-US"/>
        </w:rPr>
        <w:t xml:space="preserve"> digital payment solutions accepting the card (EPT) and mobile (mobile money, mobile applications, NFC</w:t>
      </w:r>
      <w:r w:rsidR="00A413A0" w:rsidRPr="00124DA6">
        <w:rPr>
          <w:lang w:val="en-US"/>
        </w:rPr>
        <w:t>,</w:t>
      </w:r>
      <w:r w:rsidRPr="00124DA6">
        <w:rPr>
          <w:lang w:val="en-US"/>
        </w:rPr>
        <w:t xml:space="preserve"> and QR code). However, the acceptance of digital payment at the level of large billers should be done with accompanying measures, in particular (feasibility study, measurement of the impact on the organization of companies, involv</w:t>
      </w:r>
      <w:r w:rsidR="00490326" w:rsidRPr="00124DA6">
        <w:rPr>
          <w:lang w:val="en-US"/>
        </w:rPr>
        <w:t>ing</w:t>
      </w:r>
      <w:r w:rsidRPr="00124DA6">
        <w:rPr>
          <w:lang w:val="en-US"/>
        </w:rPr>
        <w:t xml:space="preserve"> the social partners in the process of reflection of the transformation toward the digital system, </w:t>
      </w:r>
      <w:r w:rsidR="00A413A0" w:rsidRPr="00124DA6">
        <w:rPr>
          <w:lang w:val="en-US"/>
        </w:rPr>
        <w:t>and so on</w:t>
      </w:r>
      <w:r w:rsidRPr="00124DA6">
        <w:rPr>
          <w:lang w:val="en-US"/>
        </w:rPr>
        <w:t>).</w:t>
      </w:r>
    </w:p>
    <w:p w14:paraId="5DA8F94D" w14:textId="77777777"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Upgrade the management information systems of major billers, such as SBEE and SONEB, to enable them to support real-time transactions.</w:t>
      </w:r>
    </w:p>
    <w:p w14:paraId="3670E733" w14:textId="77777777" w:rsidR="00102FE0" w:rsidRPr="00124DA6" w:rsidRDefault="00102FE0" w:rsidP="00C80F20">
      <w:pPr>
        <w:pStyle w:val="NoSpacing"/>
        <w:numPr>
          <w:ilvl w:val="0"/>
          <w:numId w:val="32"/>
        </w:numPr>
        <w:spacing w:before="120" w:after="120"/>
        <w:ind w:left="1195" w:hanging="475"/>
        <w:jc w:val="both"/>
        <w:rPr>
          <w:lang w:val="en-US"/>
        </w:rPr>
      </w:pPr>
      <w:r w:rsidRPr="00124DA6">
        <w:rPr>
          <w:lang w:val="en-US"/>
        </w:rPr>
        <w:t xml:space="preserve">Upgrade public treasury management information systems and expand the computerization of all public treasury offices and the </w:t>
      </w:r>
      <w:r w:rsidR="00490326" w:rsidRPr="00124DA6">
        <w:rPr>
          <w:lang w:val="en-US"/>
        </w:rPr>
        <w:t>T</w:t>
      </w:r>
      <w:r w:rsidRPr="00124DA6">
        <w:rPr>
          <w:lang w:val="en-US"/>
        </w:rPr>
        <w:t xml:space="preserve">ax </w:t>
      </w:r>
      <w:r w:rsidR="00490326" w:rsidRPr="00124DA6">
        <w:rPr>
          <w:lang w:val="en-US"/>
        </w:rPr>
        <w:t>D</w:t>
      </w:r>
      <w:r w:rsidRPr="00124DA6">
        <w:rPr>
          <w:lang w:val="en-US"/>
        </w:rPr>
        <w:t>epartment.</w:t>
      </w:r>
    </w:p>
    <w:p w14:paraId="24625C68" w14:textId="77777777" w:rsidR="00102FE0" w:rsidRPr="00C80F20" w:rsidRDefault="00102FE0" w:rsidP="003B0586">
      <w:pPr>
        <w:pStyle w:val="Heading3"/>
        <w:rPr>
          <w:b/>
          <w:lang w:val="en-US"/>
        </w:rPr>
      </w:pPr>
      <w:bookmarkStart w:id="42" w:name="_Toc3975146"/>
      <w:r w:rsidRPr="00C80F20">
        <w:rPr>
          <w:b/>
          <w:lang w:val="en-US"/>
        </w:rPr>
        <w:t xml:space="preserve">3.4.5 Policy and </w:t>
      </w:r>
      <w:r w:rsidR="00490326" w:rsidRPr="00C80F20">
        <w:rPr>
          <w:b/>
          <w:lang w:val="en-US"/>
        </w:rPr>
        <w:t>R</w:t>
      </w:r>
      <w:r w:rsidRPr="00C80F20">
        <w:rPr>
          <w:b/>
          <w:lang w:val="en-US"/>
        </w:rPr>
        <w:t>egulations</w:t>
      </w:r>
      <w:bookmarkEnd w:id="42"/>
      <w:r w:rsidRPr="00C80F20">
        <w:rPr>
          <w:b/>
          <w:lang w:val="en-US"/>
        </w:rPr>
        <w:t xml:space="preserve"> </w:t>
      </w:r>
    </w:p>
    <w:p w14:paraId="6C7FC331" w14:textId="77777777" w:rsidR="00102FE0" w:rsidRPr="00124DA6" w:rsidRDefault="00102FE0" w:rsidP="00390499">
      <w:pPr>
        <w:pStyle w:val="ListParagraph"/>
        <w:spacing w:after="240" w:line="240" w:lineRule="auto"/>
        <w:ind w:left="0"/>
        <w:contextualSpacing w:val="0"/>
        <w:rPr>
          <w:rFonts w:eastAsia="Times New Roman" w:cs="Arial"/>
          <w:b/>
          <w:lang w:val="en-US" w:eastAsia="fr-FR"/>
        </w:rPr>
      </w:pPr>
      <w:r w:rsidRPr="00124DA6">
        <w:rPr>
          <w:b/>
          <w:lang w:val="en-US"/>
        </w:rPr>
        <w:t>Recommendations</w:t>
      </w:r>
      <w:r w:rsidR="00490326" w:rsidRPr="00124DA6">
        <w:rPr>
          <w:b/>
          <w:lang w:val="en-US"/>
        </w:rPr>
        <w:t>: Promote/popularize the regulatory texts of the BCEAO</w:t>
      </w:r>
      <w:r w:rsidRPr="00124DA6">
        <w:rPr>
          <w:b/>
          <w:lang w:val="en-US"/>
        </w:rPr>
        <w:t> </w:t>
      </w:r>
    </w:p>
    <w:p w14:paraId="7C701E97" w14:textId="1F23F260" w:rsidR="00102FE0" w:rsidRPr="00124DA6" w:rsidRDefault="00102FE0" w:rsidP="007414AC">
      <w:pPr>
        <w:pStyle w:val="NoSpacing"/>
        <w:numPr>
          <w:ilvl w:val="0"/>
          <w:numId w:val="32"/>
        </w:numPr>
        <w:spacing w:after="240"/>
        <w:ind w:left="1195" w:hanging="475"/>
        <w:jc w:val="both"/>
        <w:rPr>
          <w:lang w:val="en-US"/>
        </w:rPr>
      </w:pPr>
      <w:r w:rsidRPr="00124DA6">
        <w:rPr>
          <w:lang w:val="en-US"/>
        </w:rPr>
        <w:t xml:space="preserve">There is a lack of knowledge on the part of the suppliers, </w:t>
      </w:r>
      <w:proofErr w:type="gramStart"/>
      <w:r w:rsidRPr="00124DA6">
        <w:rPr>
          <w:lang w:val="en-US"/>
        </w:rPr>
        <w:t>in particular with</w:t>
      </w:r>
      <w:proofErr w:type="gramEnd"/>
      <w:r w:rsidRPr="00124DA6">
        <w:rPr>
          <w:lang w:val="en-US"/>
        </w:rPr>
        <w:t xml:space="preserve"> the </w:t>
      </w:r>
      <w:r w:rsidR="00A327AC" w:rsidRPr="00124DA6">
        <w:rPr>
          <w:lang w:val="en-US"/>
        </w:rPr>
        <w:t>MFI</w:t>
      </w:r>
      <w:r w:rsidRPr="00124DA6">
        <w:rPr>
          <w:lang w:val="en-US"/>
        </w:rPr>
        <w:t>s, the banks</w:t>
      </w:r>
      <w:r w:rsidR="00DA41D4" w:rsidRPr="00124DA6">
        <w:rPr>
          <w:lang w:val="en-US"/>
        </w:rPr>
        <w:t>,</w:t>
      </w:r>
      <w:r w:rsidRPr="00124DA6">
        <w:rPr>
          <w:lang w:val="en-US"/>
        </w:rPr>
        <w:t xml:space="preserve"> and the </w:t>
      </w:r>
      <w:r w:rsidR="00E07C35" w:rsidRPr="00124DA6">
        <w:rPr>
          <w:lang w:val="en-US"/>
        </w:rPr>
        <w:t>P</w:t>
      </w:r>
      <w:r w:rsidRPr="00124DA6">
        <w:rPr>
          <w:lang w:val="en-US"/>
        </w:rPr>
        <w:t xml:space="preserve">ost on the conditions and the modalities of exercise of the activity of agency banking and that of the activity of electronic money issuer. Also, the </w:t>
      </w:r>
      <w:r w:rsidR="00762ACC" w:rsidRPr="00124DA6">
        <w:rPr>
          <w:lang w:val="en-US"/>
        </w:rPr>
        <w:t>BCEAO</w:t>
      </w:r>
      <w:r w:rsidRPr="00124DA6">
        <w:rPr>
          <w:lang w:val="en-US"/>
        </w:rPr>
        <w:t>, in collaboration with the PAB</w:t>
      </w:r>
      <w:r w:rsidR="00DA41D4" w:rsidRPr="00124DA6">
        <w:rPr>
          <w:lang w:val="en-US"/>
        </w:rPr>
        <w:t>FI</w:t>
      </w:r>
      <w:r w:rsidRPr="00124DA6">
        <w:rPr>
          <w:lang w:val="en-US"/>
        </w:rPr>
        <w:t xml:space="preserve"> and the PA</w:t>
      </w:r>
      <w:r w:rsidR="00231583" w:rsidRPr="00124DA6">
        <w:rPr>
          <w:lang w:val="en-US"/>
        </w:rPr>
        <w:t>MFI</w:t>
      </w:r>
      <w:r w:rsidRPr="00124DA6">
        <w:rPr>
          <w:lang w:val="en-US"/>
        </w:rPr>
        <w:t xml:space="preserve">, should carry out </w:t>
      </w:r>
      <w:r w:rsidR="009C0A8A">
        <w:rPr>
          <w:lang w:val="en-US"/>
        </w:rPr>
        <w:t xml:space="preserve">communication and awareness-raising </w:t>
      </w:r>
      <w:r w:rsidRPr="00124DA6">
        <w:rPr>
          <w:lang w:val="en-US"/>
        </w:rPr>
        <w:t xml:space="preserve">campaigns toward the banking sector’s actors and decision makers and </w:t>
      </w:r>
      <w:r w:rsidR="00A327AC" w:rsidRPr="00124DA6">
        <w:rPr>
          <w:lang w:val="en-US"/>
        </w:rPr>
        <w:t>MFI</w:t>
      </w:r>
      <w:r w:rsidRPr="00124DA6">
        <w:rPr>
          <w:lang w:val="en-US"/>
        </w:rPr>
        <w:t>s to promote and inform stakeholders on</w:t>
      </w:r>
    </w:p>
    <w:p w14:paraId="7452875B" w14:textId="05689F3D" w:rsidR="00102FE0" w:rsidRPr="00124DA6" w:rsidRDefault="00490326" w:rsidP="002068ED">
      <w:pPr>
        <w:pStyle w:val="NoSpacing"/>
        <w:numPr>
          <w:ilvl w:val="0"/>
          <w:numId w:val="33"/>
        </w:numPr>
        <w:spacing w:before="120" w:after="120"/>
        <w:ind w:left="1670" w:hanging="475"/>
        <w:jc w:val="both"/>
        <w:rPr>
          <w:lang w:val="en-US"/>
        </w:rPr>
      </w:pPr>
      <w:r w:rsidRPr="00124DA6">
        <w:rPr>
          <w:lang w:val="en-US"/>
        </w:rPr>
        <w:t>T</w:t>
      </w:r>
      <w:r w:rsidR="00102FE0" w:rsidRPr="00124DA6">
        <w:rPr>
          <w:lang w:val="en-US"/>
        </w:rPr>
        <w:t xml:space="preserve">he possibilities open to the financial sector players (banks and </w:t>
      </w:r>
      <w:r w:rsidR="00231583" w:rsidRPr="00124DA6">
        <w:rPr>
          <w:lang w:val="en-US"/>
        </w:rPr>
        <w:t>MFI</w:t>
      </w:r>
      <w:r w:rsidRPr="00124DA6">
        <w:rPr>
          <w:lang w:val="en-US"/>
        </w:rPr>
        <w:t>s</w:t>
      </w:r>
      <w:r w:rsidR="00102FE0" w:rsidRPr="00124DA6">
        <w:rPr>
          <w:lang w:val="en-US"/>
        </w:rPr>
        <w:t xml:space="preserve">) to deploy </w:t>
      </w:r>
      <w:r w:rsidR="00141BD7">
        <w:rPr>
          <w:lang w:val="en-US"/>
        </w:rPr>
        <w:t>“</w:t>
      </w:r>
      <w:r w:rsidR="00102FE0" w:rsidRPr="00124DA6">
        <w:rPr>
          <w:lang w:val="en-US"/>
        </w:rPr>
        <w:t>agency banking</w:t>
      </w:r>
      <w:r w:rsidR="00141BD7">
        <w:rPr>
          <w:lang w:val="en-US"/>
        </w:rPr>
        <w:t>”</w:t>
      </w:r>
      <w:r w:rsidR="00102FE0" w:rsidRPr="00124DA6">
        <w:rPr>
          <w:lang w:val="en-US"/>
        </w:rPr>
        <w:t xml:space="preserve"> solutions</w:t>
      </w:r>
      <w:r w:rsidRPr="00124DA6">
        <w:rPr>
          <w:lang w:val="en-US"/>
        </w:rPr>
        <w:t xml:space="preserve"> and</w:t>
      </w:r>
    </w:p>
    <w:p w14:paraId="1D1F9BAE" w14:textId="77777777" w:rsidR="00102FE0" w:rsidRPr="00124DA6" w:rsidRDefault="00102FE0" w:rsidP="002068ED">
      <w:pPr>
        <w:pStyle w:val="NoSpacing"/>
        <w:numPr>
          <w:ilvl w:val="0"/>
          <w:numId w:val="33"/>
        </w:numPr>
        <w:spacing w:before="120" w:after="120"/>
        <w:ind w:left="1670" w:hanging="475"/>
        <w:jc w:val="both"/>
        <w:rPr>
          <w:lang w:val="en-US"/>
        </w:rPr>
      </w:pPr>
      <w:r w:rsidRPr="00124DA6">
        <w:rPr>
          <w:lang w:val="en-US"/>
        </w:rPr>
        <w:t>Instruction No. 008-05-2015, governing the conditions and modalities for the exercise of the activities of electronic money issuers in the member states of the WA</w:t>
      </w:r>
      <w:r w:rsidR="00490326" w:rsidRPr="00124DA6">
        <w:rPr>
          <w:lang w:val="en-US"/>
        </w:rPr>
        <w:t>E</w:t>
      </w:r>
      <w:r w:rsidRPr="00124DA6">
        <w:rPr>
          <w:lang w:val="en-US"/>
        </w:rPr>
        <w:t>MU.</w:t>
      </w:r>
    </w:p>
    <w:p w14:paraId="60A43228" w14:textId="19B1AAC0" w:rsidR="00102FE0" w:rsidRPr="00124DA6" w:rsidRDefault="00102FE0" w:rsidP="002068ED">
      <w:pPr>
        <w:pStyle w:val="NoSpacing"/>
        <w:numPr>
          <w:ilvl w:val="0"/>
          <w:numId w:val="32"/>
        </w:numPr>
        <w:spacing w:before="120" w:after="120"/>
        <w:ind w:left="1195" w:hanging="475"/>
        <w:jc w:val="both"/>
        <w:rPr>
          <w:lang w:val="en-US"/>
        </w:rPr>
      </w:pPr>
      <w:r w:rsidRPr="00124DA6">
        <w:rPr>
          <w:lang w:val="en-US"/>
        </w:rPr>
        <w:t xml:space="preserve">Implement tax incentives to </w:t>
      </w:r>
      <w:r w:rsidR="008302C7">
        <w:rPr>
          <w:lang w:val="en-US"/>
        </w:rPr>
        <w:t>foster</w:t>
      </w:r>
      <w:r w:rsidR="008302C7" w:rsidRPr="00124DA6">
        <w:rPr>
          <w:lang w:val="en-US"/>
        </w:rPr>
        <w:t xml:space="preserve"> </w:t>
      </w:r>
      <w:r w:rsidRPr="00124DA6">
        <w:rPr>
          <w:lang w:val="en-US"/>
        </w:rPr>
        <w:t>the widespread deployment of electronic payment cards and terminals (EPTs). These measures could result</w:t>
      </w:r>
      <w:proofErr w:type="gramStart"/>
      <w:r w:rsidR="00DA41D4" w:rsidRPr="00124DA6">
        <w:rPr>
          <w:lang w:val="en-US"/>
        </w:rPr>
        <w:t>,</w:t>
      </w:r>
      <w:r w:rsidRPr="00124DA6">
        <w:rPr>
          <w:lang w:val="en-US"/>
        </w:rPr>
        <w:t xml:space="preserve"> in particular</w:t>
      </w:r>
      <w:r w:rsidR="00DA41D4" w:rsidRPr="00124DA6">
        <w:rPr>
          <w:lang w:val="en-US"/>
        </w:rPr>
        <w:t>,</w:t>
      </w:r>
      <w:r w:rsidRPr="00124DA6">
        <w:rPr>
          <w:lang w:val="en-US"/>
        </w:rPr>
        <w:t xml:space="preserve"> in</w:t>
      </w:r>
      <w:proofErr w:type="gramEnd"/>
      <w:r w:rsidRPr="00124DA6">
        <w:rPr>
          <w:lang w:val="en-US"/>
        </w:rPr>
        <w:t xml:space="preserve"> an exemption of all or part of the customs taxes, during a certain period (the time to develop the market), to reduce the costs of acquisition of equipment and to equip the population sufficiently with cards and in EPT at affordable prices.</w:t>
      </w:r>
    </w:p>
    <w:p w14:paraId="16252178" w14:textId="77777777" w:rsidR="00102FE0" w:rsidRPr="00124DA6" w:rsidRDefault="00102FE0" w:rsidP="002068ED">
      <w:pPr>
        <w:pStyle w:val="NoSpacing"/>
        <w:numPr>
          <w:ilvl w:val="0"/>
          <w:numId w:val="32"/>
        </w:numPr>
        <w:spacing w:before="120" w:after="120"/>
        <w:ind w:left="1195" w:hanging="475"/>
        <w:jc w:val="both"/>
        <w:rPr>
          <w:lang w:val="en-US"/>
        </w:rPr>
      </w:pPr>
      <w:r w:rsidRPr="00124DA6">
        <w:rPr>
          <w:lang w:val="en-US"/>
        </w:rPr>
        <w:t xml:space="preserve">Promote a framework for consultation between the </w:t>
      </w:r>
      <w:r w:rsidR="00762ACC" w:rsidRPr="00124DA6">
        <w:rPr>
          <w:lang w:val="en-US"/>
        </w:rPr>
        <w:t>BCEAO</w:t>
      </w:r>
      <w:r w:rsidRPr="00124DA6">
        <w:rPr>
          <w:lang w:val="en-US"/>
        </w:rPr>
        <w:t xml:space="preserve"> and the banking sector players to identify the challenges and opportunities related to the large-scale development of bank branch solutions.</w:t>
      </w:r>
    </w:p>
    <w:p w14:paraId="2981B284" w14:textId="74E4F460" w:rsidR="00102FE0" w:rsidRPr="00124DA6" w:rsidRDefault="00102FE0" w:rsidP="002068ED">
      <w:pPr>
        <w:pStyle w:val="NoSpacing"/>
        <w:numPr>
          <w:ilvl w:val="0"/>
          <w:numId w:val="32"/>
        </w:numPr>
        <w:spacing w:before="120" w:after="120"/>
        <w:ind w:left="1195" w:hanging="475"/>
        <w:jc w:val="both"/>
        <w:rPr>
          <w:lang w:val="en-US"/>
        </w:rPr>
      </w:pPr>
      <w:r w:rsidRPr="00124DA6">
        <w:rPr>
          <w:lang w:val="en-US"/>
        </w:rPr>
        <w:t>Advocate and promote government involvement in P2G payment digitalization initiatives.</w:t>
      </w:r>
      <w:r w:rsidR="00B879DF" w:rsidRPr="00124DA6">
        <w:rPr>
          <w:lang w:val="en-US"/>
        </w:rPr>
        <w:t xml:space="preserve"> </w:t>
      </w:r>
      <w:r w:rsidRPr="00124DA6">
        <w:rPr>
          <w:lang w:val="en-US"/>
        </w:rPr>
        <w:t xml:space="preserve">The </w:t>
      </w:r>
      <w:r w:rsidR="00CC4777" w:rsidRPr="00124DA6">
        <w:rPr>
          <w:lang w:val="en-US"/>
        </w:rPr>
        <w:t>s</w:t>
      </w:r>
      <w:r w:rsidRPr="00124DA6">
        <w:rPr>
          <w:lang w:val="en-US"/>
        </w:rPr>
        <w:t xml:space="preserve">tate is a </w:t>
      </w:r>
      <w:r w:rsidR="002425E2">
        <w:rPr>
          <w:lang w:val="en-US"/>
        </w:rPr>
        <w:t>major</w:t>
      </w:r>
      <w:r w:rsidRPr="00124DA6">
        <w:rPr>
          <w:lang w:val="en-US"/>
        </w:rPr>
        <w:t xml:space="preserve"> collector of retail payments (both in volume and value) such as taxes (stamps, stamp duties, </w:t>
      </w:r>
      <w:r w:rsidR="00CC4777" w:rsidRPr="00124DA6">
        <w:rPr>
          <w:lang w:val="en-US"/>
        </w:rPr>
        <w:t>and so on</w:t>
      </w:r>
      <w:r w:rsidRPr="00124DA6">
        <w:rPr>
          <w:lang w:val="en-US"/>
        </w:rPr>
        <w:t>)</w:t>
      </w:r>
      <w:r w:rsidR="00CC4777" w:rsidRPr="00124DA6">
        <w:rPr>
          <w:lang w:val="en-US"/>
        </w:rPr>
        <w:t xml:space="preserve"> and</w:t>
      </w:r>
      <w:r w:rsidRPr="00124DA6">
        <w:rPr>
          <w:lang w:val="en-US"/>
        </w:rPr>
        <w:t xml:space="preserve"> bills (water, electricity). As such, the state could send a powerful message to the people and play a key role in </w:t>
      </w:r>
      <w:r w:rsidR="008302C7">
        <w:rPr>
          <w:lang w:val="en-US"/>
        </w:rPr>
        <w:t xml:space="preserve">ensuring that </w:t>
      </w:r>
      <w:r w:rsidRPr="00124DA6">
        <w:rPr>
          <w:lang w:val="en-US"/>
        </w:rPr>
        <w:t xml:space="preserve">financial services </w:t>
      </w:r>
      <w:r w:rsidR="008302C7">
        <w:rPr>
          <w:lang w:val="en-US"/>
        </w:rPr>
        <w:t xml:space="preserve">become popular and adopted </w:t>
      </w:r>
      <w:r w:rsidRPr="00124DA6">
        <w:rPr>
          <w:lang w:val="en-US"/>
        </w:rPr>
        <w:t>with a strong potential impact on consumer confidence in the digitization of payments. All the determinants for the development of digital finance are in place in Benin (competitive environment, large-scale agent networks, customer base</w:t>
      </w:r>
      <w:r w:rsidR="00CC4777" w:rsidRPr="00124DA6">
        <w:rPr>
          <w:lang w:val="en-US"/>
        </w:rPr>
        <w:t>,</w:t>
      </w:r>
      <w:r w:rsidRPr="00124DA6">
        <w:rPr>
          <w:lang w:val="en-US"/>
        </w:rPr>
        <w:t xml:space="preserve"> and rapidly growing activity rate). It is important at this stage of the development of the activity to drive the demand through innovation and the involvement of the </w:t>
      </w:r>
      <w:r w:rsidR="00CC4777" w:rsidRPr="00124DA6">
        <w:rPr>
          <w:lang w:val="en-US"/>
        </w:rPr>
        <w:t>s</w:t>
      </w:r>
      <w:r w:rsidRPr="00124DA6">
        <w:rPr>
          <w:lang w:val="en-US"/>
        </w:rPr>
        <w:t>tate in payment initiatives.</w:t>
      </w:r>
    </w:p>
    <w:p w14:paraId="6FAA3516" w14:textId="77777777" w:rsidR="00102FE0" w:rsidRPr="002068ED" w:rsidRDefault="00102FE0" w:rsidP="003B0586">
      <w:pPr>
        <w:pStyle w:val="Heading3"/>
        <w:rPr>
          <w:b/>
          <w:lang w:val="en-US"/>
        </w:rPr>
      </w:pPr>
      <w:bookmarkStart w:id="43" w:name="_Toc3975147"/>
      <w:r w:rsidRPr="002068ED">
        <w:rPr>
          <w:b/>
          <w:lang w:val="en-US"/>
        </w:rPr>
        <w:t xml:space="preserve">3.4.6 Development of the </w:t>
      </w:r>
      <w:r w:rsidR="00876352" w:rsidRPr="002068ED">
        <w:rPr>
          <w:b/>
          <w:lang w:val="en-US"/>
        </w:rPr>
        <w:t>E</w:t>
      </w:r>
      <w:r w:rsidRPr="002068ED">
        <w:rPr>
          <w:b/>
          <w:lang w:val="en-US"/>
        </w:rPr>
        <w:t>cosystem</w:t>
      </w:r>
      <w:bookmarkEnd w:id="43"/>
    </w:p>
    <w:p w14:paraId="6FC3839A" w14:textId="77777777" w:rsidR="00102FE0" w:rsidRPr="00124DA6" w:rsidRDefault="00102FE0" w:rsidP="00390499">
      <w:pPr>
        <w:spacing w:after="240" w:line="240" w:lineRule="auto"/>
        <w:rPr>
          <w:b/>
          <w:lang w:val="en-US"/>
        </w:rPr>
      </w:pPr>
      <w:r w:rsidRPr="00124DA6">
        <w:rPr>
          <w:b/>
          <w:lang w:val="en-US"/>
        </w:rPr>
        <w:t xml:space="preserve">Recommendation: </w:t>
      </w:r>
    </w:p>
    <w:p w14:paraId="3A9C9977" w14:textId="0E80031C" w:rsidR="00102FE0" w:rsidRPr="00124DA6" w:rsidRDefault="00102FE0" w:rsidP="00390499">
      <w:pPr>
        <w:pStyle w:val="NoSpacing"/>
        <w:numPr>
          <w:ilvl w:val="0"/>
          <w:numId w:val="32"/>
        </w:numPr>
        <w:spacing w:after="240"/>
        <w:ind w:left="1195" w:hanging="475"/>
        <w:jc w:val="both"/>
        <w:rPr>
          <w:lang w:val="en-US"/>
        </w:rPr>
      </w:pPr>
      <w:r w:rsidRPr="00124DA6">
        <w:rPr>
          <w:lang w:val="en-US"/>
        </w:rPr>
        <w:t>Collaborate with the technical and financial partners operating in Benin as part of the development of digitalization of payments, including the UNCDF</w:t>
      </w:r>
      <w:r w:rsidR="00C702B4">
        <w:rPr>
          <w:lang w:val="en-US"/>
        </w:rPr>
        <w:t> </w:t>
      </w:r>
      <w:r w:rsidRPr="00124DA6">
        <w:rPr>
          <w:lang w:val="en-US"/>
        </w:rPr>
        <w:t>MM4P program.</w:t>
      </w:r>
    </w:p>
    <w:p w14:paraId="24B84113" w14:textId="77777777" w:rsidR="00102FE0" w:rsidRPr="002068ED" w:rsidRDefault="003B0586" w:rsidP="003B0586">
      <w:pPr>
        <w:pStyle w:val="Heading2"/>
        <w:rPr>
          <w:b/>
          <w:lang w:val="en-US"/>
        </w:rPr>
      </w:pPr>
      <w:bookmarkStart w:id="44" w:name="_Toc3975148"/>
      <w:r w:rsidRPr="002068ED">
        <w:rPr>
          <w:b/>
          <w:lang w:val="en-US"/>
        </w:rPr>
        <w:t xml:space="preserve">3.5 </w:t>
      </w:r>
      <w:r w:rsidR="00876352" w:rsidRPr="002068ED">
        <w:rPr>
          <w:b/>
          <w:lang w:val="en-US"/>
        </w:rPr>
        <w:t>Scenarios of Cash to Digital Migration</w:t>
      </w:r>
      <w:bookmarkEnd w:id="44"/>
    </w:p>
    <w:p w14:paraId="4BA53D62" w14:textId="600402F1" w:rsidR="00102FE0" w:rsidRPr="002068ED" w:rsidRDefault="00887860" w:rsidP="00EE4886">
      <w:pPr>
        <w:pStyle w:val="Caption"/>
        <w:keepNext/>
        <w:keepLines/>
        <w:rPr>
          <w:b/>
          <w:lang w:val="en-US"/>
        </w:rPr>
      </w:pPr>
      <w:r w:rsidRPr="002068ED">
        <w:rPr>
          <w:b/>
          <w:lang w:val="en-US"/>
        </w:rPr>
        <w:t>Table</w:t>
      </w:r>
      <w:r w:rsidR="00C702B4" w:rsidRPr="002068ED">
        <w:rPr>
          <w:b/>
          <w:lang w:val="en-US"/>
        </w:rPr>
        <w:t> </w:t>
      </w:r>
      <w:r w:rsidRPr="002068ED">
        <w:rPr>
          <w:b/>
          <w:lang w:val="en-US"/>
        </w:rPr>
        <w:t>3.</w:t>
      </w:r>
      <w:r w:rsidRPr="002068ED">
        <w:rPr>
          <w:b/>
          <w:lang w:val="en-US"/>
        </w:rPr>
        <w:fldChar w:fldCharType="begin"/>
      </w:r>
      <w:r w:rsidRPr="002068ED">
        <w:rPr>
          <w:b/>
          <w:lang w:val="en-US"/>
        </w:rPr>
        <w:instrText xml:space="preserve"> SEQ Table_3. \* ARABIC </w:instrText>
      </w:r>
      <w:r w:rsidRPr="002068ED">
        <w:rPr>
          <w:b/>
          <w:lang w:val="en-US"/>
        </w:rPr>
        <w:fldChar w:fldCharType="separate"/>
      </w:r>
      <w:r w:rsidR="004C6E5F" w:rsidRPr="002068ED">
        <w:rPr>
          <w:b/>
          <w:noProof/>
          <w:lang w:val="en-US"/>
        </w:rPr>
        <w:t>6</w:t>
      </w:r>
      <w:r w:rsidRPr="002068ED">
        <w:rPr>
          <w:b/>
          <w:lang w:val="en-US"/>
        </w:rPr>
        <w:fldChar w:fldCharType="end"/>
      </w:r>
      <w:r w:rsidR="00102FE0" w:rsidRPr="002068ED">
        <w:rPr>
          <w:b/>
          <w:lang w:val="en-US"/>
        </w:rPr>
        <w:t>: Scenarios of cash to digital migration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3"/>
        <w:gridCol w:w="383"/>
        <w:gridCol w:w="2925"/>
        <w:gridCol w:w="3099"/>
        <w:gridCol w:w="2786"/>
      </w:tblGrid>
      <w:tr w:rsidR="000F036E" w:rsidRPr="00124DA6" w14:paraId="71DE17D7" w14:textId="77777777" w:rsidTr="00506222">
        <w:trPr>
          <w:trHeight w:val="282"/>
          <w:jc w:val="center"/>
        </w:trPr>
        <w:tc>
          <w:tcPr>
            <w:tcW w:w="5000" w:type="pct"/>
            <w:gridSpan w:val="5"/>
            <w:shd w:val="clear" w:color="auto" w:fill="auto"/>
            <w:noWrap/>
            <w:tcMar>
              <w:top w:w="15" w:type="dxa"/>
              <w:left w:w="108" w:type="dxa"/>
              <w:bottom w:w="0" w:type="dxa"/>
              <w:right w:w="108" w:type="dxa"/>
            </w:tcMar>
            <w:vAlign w:val="center"/>
          </w:tcPr>
          <w:p w14:paraId="1D30BD62" w14:textId="77777777" w:rsidR="000F036E" w:rsidRPr="00124DA6" w:rsidRDefault="000F036E" w:rsidP="00EE4886">
            <w:pPr>
              <w:keepNext/>
              <w:keepLines/>
              <w:spacing w:after="0" w:line="240" w:lineRule="auto"/>
              <w:jc w:val="center"/>
              <w:rPr>
                <w:rFonts w:cstheme="minorHAnsi"/>
                <w:b/>
                <w:bCs/>
                <w:sz w:val="20"/>
                <w:szCs w:val="20"/>
                <w:lang w:val="en-US"/>
              </w:rPr>
            </w:pPr>
            <w:r w:rsidRPr="00124DA6">
              <w:rPr>
                <w:rFonts w:cstheme="minorHAnsi"/>
                <w:b/>
                <w:bCs/>
                <w:sz w:val="20"/>
                <w:szCs w:val="20"/>
                <w:lang w:val="en-US"/>
              </w:rPr>
              <w:t>Payee</w:t>
            </w:r>
          </w:p>
        </w:tc>
      </w:tr>
      <w:tr w:rsidR="00EE3A35" w:rsidRPr="00124DA6" w14:paraId="706335C2" w14:textId="77777777" w:rsidTr="00B80A15">
        <w:trPr>
          <w:trHeight w:val="282"/>
          <w:jc w:val="center"/>
        </w:trPr>
        <w:tc>
          <w:tcPr>
            <w:tcW w:w="195" w:type="pct"/>
            <w:vMerge w:val="restart"/>
            <w:shd w:val="clear" w:color="auto" w:fill="auto"/>
            <w:noWrap/>
            <w:tcMar>
              <w:top w:w="15" w:type="dxa"/>
              <w:left w:w="108" w:type="dxa"/>
              <w:bottom w:w="0" w:type="dxa"/>
              <w:right w:w="108" w:type="dxa"/>
            </w:tcMar>
            <w:textDirection w:val="btLr"/>
            <w:vAlign w:val="center"/>
            <w:hideMark/>
          </w:tcPr>
          <w:p w14:paraId="704578A1" w14:textId="77777777" w:rsidR="00EE3A35" w:rsidRPr="00124DA6" w:rsidRDefault="00EE3A35" w:rsidP="00EE3A35">
            <w:pPr>
              <w:keepNext/>
              <w:keepLines/>
              <w:spacing w:after="0" w:line="240" w:lineRule="auto"/>
              <w:jc w:val="center"/>
              <w:rPr>
                <w:rFonts w:cstheme="minorHAnsi"/>
                <w:sz w:val="20"/>
                <w:szCs w:val="20"/>
                <w:lang w:val="en-US"/>
              </w:rPr>
            </w:pPr>
            <w:r w:rsidRPr="00124DA6">
              <w:rPr>
                <w:rFonts w:cstheme="minorHAnsi"/>
                <w:b/>
                <w:bCs/>
                <w:sz w:val="20"/>
                <w:szCs w:val="20"/>
                <w:lang w:val="en-US"/>
              </w:rPr>
              <w:t>Payer</w:t>
            </w:r>
          </w:p>
        </w:tc>
        <w:tc>
          <w:tcPr>
            <w:tcW w:w="139" w:type="pct"/>
            <w:vMerge w:val="restart"/>
            <w:shd w:val="clear" w:color="auto" w:fill="auto"/>
            <w:noWrap/>
            <w:tcMar>
              <w:top w:w="15" w:type="dxa"/>
              <w:left w:w="108" w:type="dxa"/>
              <w:bottom w:w="0" w:type="dxa"/>
              <w:right w:w="108" w:type="dxa"/>
            </w:tcMar>
            <w:textDirection w:val="btLr"/>
            <w:vAlign w:val="center"/>
            <w:hideMark/>
          </w:tcPr>
          <w:p w14:paraId="3431BD7D" w14:textId="77777777" w:rsidR="00EE3A35" w:rsidRPr="00124DA6" w:rsidRDefault="00EE3A35" w:rsidP="00EE3A35">
            <w:pPr>
              <w:keepNext/>
              <w:keepLines/>
              <w:spacing w:after="0" w:line="240" w:lineRule="auto"/>
              <w:ind w:left="113" w:right="113"/>
              <w:jc w:val="center"/>
              <w:rPr>
                <w:rFonts w:cstheme="minorHAnsi"/>
                <w:sz w:val="20"/>
                <w:szCs w:val="20"/>
                <w:lang w:val="en-US"/>
              </w:rPr>
            </w:pPr>
            <w:r w:rsidRPr="00124DA6">
              <w:rPr>
                <w:rFonts w:cstheme="minorHAnsi"/>
                <w:b/>
                <w:bCs/>
                <w:sz w:val="20"/>
                <w:szCs w:val="20"/>
                <w:lang w:val="en-US"/>
              </w:rPr>
              <w:t>Government</w:t>
            </w:r>
          </w:p>
        </w:tc>
        <w:tc>
          <w:tcPr>
            <w:tcW w:w="1495" w:type="pct"/>
            <w:shd w:val="clear" w:color="auto" w:fill="auto"/>
            <w:noWrap/>
            <w:tcMar>
              <w:top w:w="15" w:type="dxa"/>
              <w:left w:w="108" w:type="dxa"/>
              <w:bottom w:w="0" w:type="dxa"/>
              <w:right w:w="108" w:type="dxa"/>
            </w:tcMar>
            <w:vAlign w:val="center"/>
            <w:hideMark/>
          </w:tcPr>
          <w:p w14:paraId="733F27C5" w14:textId="77777777" w:rsidR="00EE3A35" w:rsidRPr="00124DA6" w:rsidRDefault="00EE3A35" w:rsidP="00EE4886">
            <w:pPr>
              <w:keepNext/>
              <w:keepLines/>
              <w:tabs>
                <w:tab w:val="left" w:pos="495"/>
                <w:tab w:val="center" w:pos="1167"/>
              </w:tabs>
              <w:spacing w:after="0" w:line="240" w:lineRule="auto"/>
              <w:jc w:val="center"/>
              <w:rPr>
                <w:rFonts w:cstheme="minorHAnsi"/>
                <w:sz w:val="20"/>
                <w:szCs w:val="20"/>
                <w:lang w:val="en-US"/>
              </w:rPr>
            </w:pPr>
            <w:r w:rsidRPr="00124DA6">
              <w:rPr>
                <w:rFonts w:cstheme="minorHAnsi"/>
                <w:b/>
                <w:bCs/>
                <w:sz w:val="20"/>
                <w:szCs w:val="20"/>
                <w:lang w:val="en-US"/>
              </w:rPr>
              <w:t>Government</w:t>
            </w:r>
          </w:p>
        </w:tc>
        <w:tc>
          <w:tcPr>
            <w:tcW w:w="1591" w:type="pct"/>
            <w:shd w:val="clear" w:color="auto" w:fill="auto"/>
            <w:noWrap/>
            <w:tcMar>
              <w:top w:w="15" w:type="dxa"/>
              <w:left w:w="108" w:type="dxa"/>
              <w:bottom w:w="0" w:type="dxa"/>
              <w:right w:w="108" w:type="dxa"/>
            </w:tcMar>
            <w:vAlign w:val="center"/>
            <w:hideMark/>
          </w:tcPr>
          <w:p w14:paraId="58E595B8" w14:textId="77777777" w:rsidR="00EE3A35" w:rsidRPr="00124DA6" w:rsidRDefault="00EE3A35" w:rsidP="00EE4886">
            <w:pPr>
              <w:keepNext/>
              <w:keepLines/>
              <w:spacing w:after="0" w:line="240" w:lineRule="auto"/>
              <w:jc w:val="center"/>
              <w:rPr>
                <w:rFonts w:cstheme="minorHAnsi"/>
                <w:sz w:val="20"/>
                <w:szCs w:val="20"/>
                <w:lang w:val="en-US"/>
              </w:rPr>
            </w:pPr>
            <w:r w:rsidRPr="00124DA6">
              <w:rPr>
                <w:rFonts w:cstheme="minorHAnsi"/>
                <w:b/>
                <w:bCs/>
                <w:sz w:val="20"/>
                <w:szCs w:val="20"/>
                <w:lang w:val="en-US"/>
              </w:rPr>
              <w:t>Business</w:t>
            </w:r>
          </w:p>
        </w:tc>
        <w:tc>
          <w:tcPr>
            <w:tcW w:w="1580" w:type="pct"/>
            <w:shd w:val="clear" w:color="auto" w:fill="auto"/>
            <w:noWrap/>
            <w:tcMar>
              <w:top w:w="15" w:type="dxa"/>
              <w:left w:w="108" w:type="dxa"/>
              <w:bottom w:w="0" w:type="dxa"/>
              <w:right w:w="108" w:type="dxa"/>
            </w:tcMar>
            <w:vAlign w:val="center"/>
            <w:hideMark/>
          </w:tcPr>
          <w:p w14:paraId="7AAD9612" w14:textId="77777777" w:rsidR="00EE3A35" w:rsidRPr="00124DA6" w:rsidRDefault="00EE3A35" w:rsidP="00EE4886">
            <w:pPr>
              <w:keepNext/>
              <w:keepLines/>
              <w:spacing w:after="0" w:line="240" w:lineRule="auto"/>
              <w:jc w:val="center"/>
              <w:rPr>
                <w:rFonts w:cstheme="minorHAnsi"/>
                <w:sz w:val="20"/>
                <w:szCs w:val="20"/>
                <w:lang w:val="en-US"/>
              </w:rPr>
            </w:pPr>
            <w:r w:rsidRPr="00124DA6">
              <w:rPr>
                <w:rFonts w:cstheme="minorHAnsi"/>
                <w:b/>
                <w:bCs/>
                <w:sz w:val="20"/>
                <w:szCs w:val="20"/>
                <w:lang w:val="en-US"/>
              </w:rPr>
              <w:t>Person (individual)</w:t>
            </w:r>
          </w:p>
        </w:tc>
      </w:tr>
      <w:tr w:rsidR="00EE3A35" w:rsidRPr="008A6E7B" w14:paraId="18C7B4CB" w14:textId="77777777" w:rsidTr="00B80A15">
        <w:trPr>
          <w:cantSplit/>
          <w:trHeight w:val="1134"/>
          <w:jc w:val="center"/>
        </w:trPr>
        <w:tc>
          <w:tcPr>
            <w:tcW w:w="195" w:type="pct"/>
            <w:vMerge/>
            <w:shd w:val="clear" w:color="auto" w:fill="auto"/>
            <w:noWrap/>
            <w:tcMar>
              <w:top w:w="15" w:type="dxa"/>
              <w:left w:w="108" w:type="dxa"/>
              <w:bottom w:w="0" w:type="dxa"/>
              <w:right w:w="108" w:type="dxa"/>
            </w:tcMar>
            <w:textDirection w:val="btLr"/>
            <w:vAlign w:val="center"/>
            <w:hideMark/>
          </w:tcPr>
          <w:p w14:paraId="2912522F" w14:textId="77777777" w:rsidR="00EE3A35" w:rsidRPr="00124DA6" w:rsidRDefault="00EE3A35" w:rsidP="00EE4886">
            <w:pPr>
              <w:keepNext/>
              <w:keepLines/>
              <w:spacing w:after="0" w:line="240" w:lineRule="auto"/>
              <w:jc w:val="center"/>
              <w:rPr>
                <w:rFonts w:cstheme="minorHAnsi"/>
                <w:sz w:val="20"/>
                <w:szCs w:val="20"/>
                <w:lang w:val="en-US"/>
              </w:rPr>
            </w:pPr>
          </w:p>
        </w:tc>
        <w:tc>
          <w:tcPr>
            <w:tcW w:w="139" w:type="pct"/>
            <w:vMerge/>
            <w:shd w:val="clear" w:color="auto" w:fill="auto"/>
            <w:noWrap/>
            <w:tcMar>
              <w:top w:w="15" w:type="dxa"/>
              <w:left w:w="108" w:type="dxa"/>
              <w:bottom w:w="0" w:type="dxa"/>
              <w:right w:w="108" w:type="dxa"/>
            </w:tcMar>
            <w:textDirection w:val="btLr"/>
            <w:vAlign w:val="center"/>
            <w:hideMark/>
          </w:tcPr>
          <w:p w14:paraId="3EE78E8B" w14:textId="77777777" w:rsidR="00EE3A35" w:rsidRPr="00124DA6" w:rsidRDefault="00EE3A35" w:rsidP="00154B07">
            <w:pPr>
              <w:keepNext/>
              <w:keepLines/>
              <w:spacing w:after="0" w:line="240" w:lineRule="auto"/>
              <w:ind w:left="113" w:right="113"/>
              <w:jc w:val="center"/>
              <w:rPr>
                <w:rFonts w:cstheme="minorHAnsi"/>
                <w:sz w:val="20"/>
                <w:szCs w:val="20"/>
                <w:lang w:val="en-US"/>
              </w:rPr>
            </w:pPr>
          </w:p>
        </w:tc>
        <w:tc>
          <w:tcPr>
            <w:tcW w:w="1495" w:type="pct"/>
            <w:shd w:val="clear" w:color="auto" w:fill="auto"/>
            <w:noWrap/>
            <w:tcMar>
              <w:top w:w="15" w:type="dxa"/>
              <w:left w:w="108" w:type="dxa"/>
              <w:bottom w:w="0" w:type="dxa"/>
              <w:right w:w="108" w:type="dxa"/>
            </w:tcMar>
            <w:hideMark/>
          </w:tcPr>
          <w:p w14:paraId="5454508C" w14:textId="77777777" w:rsidR="00EE3A35" w:rsidRPr="00124DA6" w:rsidRDefault="00EE3A35" w:rsidP="00EE4886">
            <w:pPr>
              <w:keepNext/>
              <w:keepLines/>
              <w:spacing w:after="0" w:line="240" w:lineRule="auto"/>
              <w:jc w:val="both"/>
              <w:rPr>
                <w:rFonts w:cstheme="minorHAnsi"/>
                <w:sz w:val="20"/>
                <w:szCs w:val="20"/>
                <w:lang w:val="en-US"/>
              </w:rPr>
            </w:pPr>
          </w:p>
        </w:tc>
        <w:tc>
          <w:tcPr>
            <w:tcW w:w="1591" w:type="pct"/>
            <w:shd w:val="clear" w:color="auto" w:fill="auto"/>
            <w:noWrap/>
            <w:tcMar>
              <w:top w:w="15" w:type="dxa"/>
              <w:left w:w="108" w:type="dxa"/>
              <w:bottom w:w="0" w:type="dxa"/>
              <w:right w:w="108" w:type="dxa"/>
            </w:tcMar>
            <w:hideMark/>
          </w:tcPr>
          <w:p w14:paraId="41A2F3D6" w14:textId="77777777" w:rsidR="00EE3A35" w:rsidRPr="00124DA6" w:rsidRDefault="00EE3A35" w:rsidP="00EE4886">
            <w:pPr>
              <w:keepNext/>
              <w:keepLines/>
              <w:spacing w:after="0" w:line="240" w:lineRule="auto"/>
              <w:jc w:val="both"/>
              <w:rPr>
                <w:rFonts w:cstheme="minorHAnsi"/>
                <w:sz w:val="20"/>
                <w:szCs w:val="20"/>
                <w:lang w:val="en-US"/>
              </w:rPr>
            </w:pPr>
          </w:p>
        </w:tc>
        <w:tc>
          <w:tcPr>
            <w:tcW w:w="1580" w:type="pct"/>
            <w:shd w:val="clear" w:color="auto" w:fill="auto"/>
            <w:noWrap/>
            <w:tcMar>
              <w:top w:w="15" w:type="dxa"/>
              <w:left w:w="108" w:type="dxa"/>
              <w:bottom w:w="0" w:type="dxa"/>
              <w:right w:w="108" w:type="dxa"/>
            </w:tcMar>
            <w:hideMark/>
          </w:tcPr>
          <w:p w14:paraId="23711E94" w14:textId="77777777" w:rsidR="00EE3A35" w:rsidRPr="00124DA6" w:rsidRDefault="00EE3A35" w:rsidP="00EE4886">
            <w:pPr>
              <w:keepNext/>
              <w:keepLines/>
              <w:spacing w:after="0" w:line="240" w:lineRule="auto"/>
              <w:jc w:val="both"/>
              <w:rPr>
                <w:rFonts w:cstheme="minorHAnsi"/>
                <w:bCs/>
                <w:sz w:val="20"/>
                <w:szCs w:val="20"/>
                <w:lang w:val="en-US"/>
              </w:rPr>
            </w:pPr>
            <w:r w:rsidRPr="00124DA6">
              <w:rPr>
                <w:rFonts w:cstheme="minorHAnsi"/>
                <w:bCs/>
                <w:sz w:val="20"/>
                <w:szCs w:val="20"/>
                <w:lang w:val="en-US"/>
              </w:rPr>
              <w:t>G2P</w:t>
            </w:r>
          </w:p>
          <w:p w14:paraId="45AED255" w14:textId="77777777" w:rsidR="00EE3A35" w:rsidRPr="00124DA6" w:rsidRDefault="00EE3A35" w:rsidP="00EE4886">
            <w:pPr>
              <w:pStyle w:val="NoSpacing"/>
              <w:keepNext/>
              <w:keepLines/>
              <w:jc w:val="both"/>
              <w:rPr>
                <w:rFonts w:cstheme="minorHAnsi"/>
                <w:color w:val="ED7D31" w:themeColor="accent2"/>
                <w:sz w:val="20"/>
                <w:szCs w:val="20"/>
                <w:lang w:val="en-US"/>
              </w:rPr>
            </w:pPr>
            <w:r w:rsidRPr="00124DA6">
              <w:rPr>
                <w:rFonts w:cstheme="minorHAnsi"/>
                <w:color w:val="ED7D31" w:themeColor="accent2"/>
                <w:sz w:val="20"/>
                <w:szCs w:val="20"/>
                <w:lang w:val="en-US"/>
              </w:rPr>
              <w:t>Scholarship reception</w:t>
            </w:r>
          </w:p>
          <w:p w14:paraId="5EC7D40E" w14:textId="77777777" w:rsidR="00EE3A35" w:rsidRPr="00124DA6" w:rsidRDefault="00EE3A35" w:rsidP="00EE4886">
            <w:pPr>
              <w:pStyle w:val="NoSpacing"/>
              <w:keepNext/>
              <w:keepLines/>
              <w:jc w:val="both"/>
              <w:rPr>
                <w:rFonts w:cstheme="minorHAnsi"/>
                <w:color w:val="2E74B5" w:themeColor="accent1" w:themeShade="BF"/>
                <w:sz w:val="20"/>
                <w:szCs w:val="20"/>
                <w:lang w:val="en-US"/>
              </w:rPr>
            </w:pPr>
          </w:p>
          <w:p w14:paraId="331EFA5F" w14:textId="77777777" w:rsidR="00EE3A35" w:rsidRPr="00124DA6" w:rsidRDefault="00EE3A35" w:rsidP="00EE4886">
            <w:pPr>
              <w:pStyle w:val="NoSpacing"/>
              <w:keepNext/>
              <w:keepLines/>
              <w:jc w:val="both"/>
              <w:rPr>
                <w:rFonts w:cstheme="minorHAnsi"/>
                <w:color w:val="767171" w:themeColor="background2" w:themeShade="80"/>
                <w:sz w:val="20"/>
                <w:szCs w:val="20"/>
                <w:lang w:val="en-US"/>
              </w:rPr>
            </w:pPr>
            <w:r w:rsidRPr="00124DA6">
              <w:rPr>
                <w:rFonts w:cstheme="minorHAnsi"/>
                <w:color w:val="767171" w:themeColor="background2" w:themeShade="80"/>
                <w:sz w:val="20"/>
                <w:szCs w:val="20"/>
                <w:lang w:val="en-US"/>
              </w:rPr>
              <w:t xml:space="preserve">Bank; </w:t>
            </w:r>
            <w:proofErr w:type="spellStart"/>
            <w:r w:rsidRPr="00124DA6">
              <w:rPr>
                <w:rFonts w:cstheme="minorHAnsi"/>
                <w:color w:val="767171" w:themeColor="background2" w:themeShade="80"/>
                <w:sz w:val="20"/>
                <w:szCs w:val="20"/>
                <w:lang w:val="en-US"/>
              </w:rPr>
              <w:t>EP</w:t>
            </w:r>
            <w:r w:rsidRPr="00124DA6">
              <w:rPr>
                <w:rFonts w:cstheme="minorHAnsi"/>
                <w:color w:val="767171" w:themeColor="background2" w:themeShade="80"/>
                <w:sz w:val="20"/>
                <w:szCs w:val="20"/>
                <w:vertAlign w:val="superscript"/>
                <w:lang w:val="en-US"/>
              </w:rPr>
              <w:t>a</w:t>
            </w:r>
            <w:proofErr w:type="spellEnd"/>
          </w:p>
          <w:p w14:paraId="4677EDD2" w14:textId="77777777" w:rsidR="00EE3A35" w:rsidRPr="00124DA6" w:rsidRDefault="00EE3A35" w:rsidP="00EE4886">
            <w:pPr>
              <w:pStyle w:val="NoSpacing"/>
              <w:keepNext/>
              <w:keepLines/>
              <w:jc w:val="both"/>
              <w:rPr>
                <w:rFonts w:cstheme="minorHAnsi"/>
                <w:color w:val="2E74B5" w:themeColor="accent1" w:themeShade="BF"/>
                <w:sz w:val="20"/>
                <w:szCs w:val="20"/>
                <w:lang w:val="en-US"/>
              </w:rPr>
            </w:pPr>
          </w:p>
          <w:p w14:paraId="01EB6CEE" w14:textId="77777777" w:rsidR="00EE3A35" w:rsidRPr="00124DA6" w:rsidRDefault="00EE3A35" w:rsidP="00EE4886">
            <w:pPr>
              <w:pStyle w:val="NoSpacing"/>
              <w:keepNext/>
              <w:keepLines/>
              <w:jc w:val="both"/>
              <w:rPr>
                <w:rFonts w:cstheme="minorHAnsi"/>
                <w:color w:val="2E74B5" w:themeColor="accent1" w:themeShade="BF"/>
                <w:sz w:val="20"/>
                <w:szCs w:val="20"/>
                <w:lang w:val="en-US"/>
              </w:rPr>
            </w:pPr>
            <w:r w:rsidRPr="00124DA6">
              <w:rPr>
                <w:rFonts w:cstheme="minorHAnsi"/>
                <w:color w:val="2E74B5" w:themeColor="accent1" w:themeShade="BF"/>
                <w:sz w:val="20"/>
                <w:szCs w:val="20"/>
                <w:lang w:val="en-US"/>
              </w:rPr>
              <w:t>Debit card; prepaid card; mobile (mobile money)</w:t>
            </w:r>
          </w:p>
          <w:p w14:paraId="3FBE9F8F" w14:textId="77777777" w:rsidR="00EE3A35" w:rsidRPr="00124DA6" w:rsidRDefault="00EE3A35" w:rsidP="00EE4886">
            <w:pPr>
              <w:pStyle w:val="NoSpacing"/>
              <w:keepNext/>
              <w:keepLines/>
              <w:jc w:val="both"/>
              <w:rPr>
                <w:rFonts w:cstheme="minorHAnsi"/>
                <w:color w:val="2E74B5" w:themeColor="accent1" w:themeShade="BF"/>
                <w:sz w:val="20"/>
                <w:szCs w:val="20"/>
                <w:lang w:val="en-US"/>
              </w:rPr>
            </w:pPr>
          </w:p>
          <w:p w14:paraId="0EFBF42A" w14:textId="77777777" w:rsidR="00EE3A35" w:rsidRPr="00124DA6" w:rsidRDefault="00EE3A35" w:rsidP="00EE4886">
            <w:pPr>
              <w:keepNext/>
              <w:keepLines/>
              <w:spacing w:after="0" w:line="240" w:lineRule="auto"/>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ATM</w:t>
            </w:r>
          </w:p>
          <w:p w14:paraId="72D2B71C" w14:textId="77777777" w:rsidR="00EE3A35" w:rsidRPr="00124DA6" w:rsidRDefault="00EE3A35" w:rsidP="00EE4886">
            <w:pPr>
              <w:pStyle w:val="NoSpacing"/>
              <w:keepNext/>
              <w:keepLines/>
              <w:jc w:val="both"/>
              <w:rPr>
                <w:rFonts w:cstheme="minorHAnsi"/>
                <w:color w:val="2E74B5" w:themeColor="accent1" w:themeShade="BF"/>
                <w:sz w:val="20"/>
                <w:szCs w:val="20"/>
                <w:lang w:val="en-US"/>
              </w:rPr>
            </w:pPr>
            <w:r w:rsidRPr="00124DA6">
              <w:rPr>
                <w:rFonts w:cstheme="minorHAnsi"/>
                <w:color w:val="806000" w:themeColor="accent4" w:themeShade="80"/>
                <w:sz w:val="20"/>
                <w:szCs w:val="20"/>
                <w:lang w:val="en-US"/>
              </w:rPr>
              <w:t>Agents/retailers (mobile money)</w:t>
            </w:r>
          </w:p>
        </w:tc>
      </w:tr>
      <w:tr w:rsidR="00196854" w:rsidRPr="00124DA6" w14:paraId="116A210E" w14:textId="77777777" w:rsidTr="00B80A15">
        <w:trPr>
          <w:cantSplit/>
          <w:trHeight w:val="1134"/>
          <w:jc w:val="center"/>
        </w:trPr>
        <w:tc>
          <w:tcPr>
            <w:tcW w:w="195" w:type="pct"/>
            <w:vMerge/>
            <w:noWrap/>
            <w:hideMark/>
          </w:tcPr>
          <w:p w14:paraId="406FA0E5" w14:textId="77777777" w:rsidR="00196854" w:rsidRPr="00124DA6" w:rsidRDefault="00196854" w:rsidP="00EE4886">
            <w:pPr>
              <w:keepNext/>
              <w:keepLines/>
              <w:spacing w:after="0" w:line="240" w:lineRule="auto"/>
              <w:jc w:val="both"/>
              <w:rPr>
                <w:rFonts w:cstheme="minorHAnsi"/>
                <w:sz w:val="20"/>
                <w:szCs w:val="20"/>
                <w:lang w:val="en-US"/>
              </w:rPr>
            </w:pPr>
          </w:p>
        </w:tc>
        <w:tc>
          <w:tcPr>
            <w:tcW w:w="139" w:type="pct"/>
            <w:shd w:val="clear" w:color="auto" w:fill="auto"/>
            <w:noWrap/>
            <w:tcMar>
              <w:top w:w="15" w:type="dxa"/>
              <w:left w:w="108" w:type="dxa"/>
              <w:bottom w:w="0" w:type="dxa"/>
              <w:right w:w="108" w:type="dxa"/>
            </w:tcMar>
            <w:textDirection w:val="btLr"/>
            <w:vAlign w:val="center"/>
            <w:hideMark/>
          </w:tcPr>
          <w:p w14:paraId="157C402B" w14:textId="77777777" w:rsidR="00196854" w:rsidRPr="00124DA6" w:rsidRDefault="00196854" w:rsidP="00154B07">
            <w:pPr>
              <w:keepNext/>
              <w:keepLines/>
              <w:spacing w:after="0" w:line="240" w:lineRule="auto"/>
              <w:ind w:left="113" w:right="113"/>
              <w:jc w:val="center"/>
              <w:rPr>
                <w:rFonts w:cstheme="minorHAnsi"/>
                <w:sz w:val="20"/>
                <w:szCs w:val="20"/>
                <w:lang w:val="en-US"/>
              </w:rPr>
            </w:pPr>
            <w:r w:rsidRPr="00124DA6">
              <w:rPr>
                <w:rFonts w:cstheme="minorHAnsi"/>
                <w:b/>
                <w:bCs/>
                <w:sz w:val="20"/>
                <w:szCs w:val="20"/>
                <w:lang w:val="en-US"/>
              </w:rPr>
              <w:t>Person (individual)</w:t>
            </w:r>
          </w:p>
        </w:tc>
        <w:tc>
          <w:tcPr>
            <w:tcW w:w="1495" w:type="pct"/>
            <w:shd w:val="clear" w:color="auto" w:fill="auto"/>
            <w:noWrap/>
            <w:tcMar>
              <w:top w:w="15" w:type="dxa"/>
              <w:left w:w="108" w:type="dxa"/>
              <w:bottom w:w="0" w:type="dxa"/>
              <w:right w:w="108" w:type="dxa"/>
            </w:tcMar>
            <w:hideMark/>
          </w:tcPr>
          <w:p w14:paraId="5AB67654" w14:textId="77777777" w:rsidR="00196854" w:rsidRPr="00124DA6" w:rsidRDefault="00196854" w:rsidP="00EE4886">
            <w:pPr>
              <w:keepNext/>
              <w:keepLines/>
              <w:spacing w:after="0" w:line="240" w:lineRule="auto"/>
              <w:jc w:val="both"/>
              <w:rPr>
                <w:rFonts w:cstheme="minorHAnsi"/>
                <w:sz w:val="20"/>
                <w:szCs w:val="20"/>
                <w:lang w:val="en-US"/>
              </w:rPr>
            </w:pPr>
            <w:r w:rsidRPr="00124DA6">
              <w:rPr>
                <w:rFonts w:cstheme="minorHAnsi"/>
                <w:sz w:val="20"/>
                <w:szCs w:val="20"/>
                <w:lang w:val="en-US"/>
              </w:rPr>
              <w:t>P2G</w:t>
            </w:r>
          </w:p>
          <w:p w14:paraId="24E66403" w14:textId="77777777" w:rsidR="00196854" w:rsidRPr="00124DA6" w:rsidRDefault="00196854" w:rsidP="00EE4886">
            <w:pPr>
              <w:pStyle w:val="NoSpacing"/>
              <w:keepNext/>
              <w:keepLines/>
              <w:jc w:val="both"/>
              <w:rPr>
                <w:rFonts w:cstheme="minorHAnsi"/>
                <w:color w:val="ED7D31" w:themeColor="accent2"/>
                <w:sz w:val="20"/>
                <w:szCs w:val="20"/>
                <w:lang w:val="en-US"/>
              </w:rPr>
            </w:pPr>
            <w:r w:rsidRPr="00124DA6">
              <w:rPr>
                <w:rFonts w:cstheme="minorHAnsi"/>
                <w:color w:val="ED7D31" w:themeColor="accent2"/>
                <w:sz w:val="20"/>
                <w:szCs w:val="20"/>
                <w:lang w:val="en-US"/>
              </w:rPr>
              <w:t>Stamp duty; vehicle tax, driving license; tuition fees</w:t>
            </w:r>
          </w:p>
          <w:p w14:paraId="3597855B" w14:textId="77777777" w:rsidR="00196854" w:rsidRPr="00124DA6" w:rsidRDefault="00196854" w:rsidP="00EE4886">
            <w:pPr>
              <w:pStyle w:val="NoSpacing"/>
              <w:keepNext/>
              <w:keepLines/>
              <w:jc w:val="both"/>
              <w:rPr>
                <w:rFonts w:cstheme="minorHAnsi"/>
                <w:color w:val="767171" w:themeColor="background2" w:themeShade="80"/>
                <w:sz w:val="20"/>
                <w:szCs w:val="20"/>
                <w:lang w:val="en-US"/>
              </w:rPr>
            </w:pPr>
          </w:p>
          <w:p w14:paraId="10E3CBBA"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r w:rsidRPr="00124DA6">
              <w:rPr>
                <w:rFonts w:cstheme="minorHAnsi"/>
                <w:color w:val="767171" w:themeColor="background2" w:themeShade="80"/>
                <w:sz w:val="20"/>
                <w:szCs w:val="20"/>
                <w:lang w:val="en-US"/>
              </w:rPr>
              <w:t>Bank; EP</w:t>
            </w:r>
            <w:r w:rsidRPr="00124DA6">
              <w:rPr>
                <w:rFonts w:cstheme="minorHAnsi"/>
                <w:color w:val="2E74B5" w:themeColor="accent1" w:themeShade="BF"/>
                <w:sz w:val="20"/>
                <w:szCs w:val="20"/>
                <w:lang w:val="en-US"/>
              </w:rPr>
              <w:t xml:space="preserve"> </w:t>
            </w:r>
          </w:p>
          <w:p w14:paraId="0E0B65FB"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p>
          <w:p w14:paraId="665405A1"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r w:rsidRPr="00124DA6">
              <w:rPr>
                <w:rFonts w:cstheme="minorHAnsi"/>
                <w:color w:val="2E74B5" w:themeColor="accent1" w:themeShade="BF"/>
                <w:sz w:val="20"/>
                <w:szCs w:val="20"/>
                <w:lang w:val="en-US"/>
              </w:rPr>
              <w:t>Debit card; prepaid card; mobile money</w:t>
            </w:r>
          </w:p>
          <w:p w14:paraId="4068DB36"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p>
          <w:p w14:paraId="11AE8BC6" w14:textId="77777777" w:rsidR="00196854" w:rsidRPr="00124DA6" w:rsidRDefault="00196854" w:rsidP="00EE4886">
            <w:pPr>
              <w:keepNext/>
              <w:keepLines/>
              <w:spacing w:after="0" w:line="240" w:lineRule="auto"/>
              <w:jc w:val="both"/>
              <w:rPr>
                <w:rFonts w:cstheme="minorHAnsi"/>
                <w:color w:val="806000" w:themeColor="accent4" w:themeShade="80"/>
                <w:sz w:val="20"/>
                <w:szCs w:val="20"/>
                <w:lang w:val="en-US"/>
              </w:rPr>
            </w:pPr>
          </w:p>
          <w:p w14:paraId="7034E6A5" w14:textId="77777777" w:rsidR="00196854" w:rsidRPr="00124DA6" w:rsidRDefault="00196854" w:rsidP="00EE4886">
            <w:pPr>
              <w:keepNext/>
              <w:keepLines/>
              <w:spacing w:after="0" w:line="240" w:lineRule="auto"/>
              <w:jc w:val="both"/>
              <w:rPr>
                <w:rFonts w:cstheme="minorHAnsi"/>
                <w:color w:val="806000" w:themeColor="accent4" w:themeShade="80"/>
                <w:sz w:val="20"/>
                <w:szCs w:val="20"/>
                <w:lang w:val="en-US"/>
              </w:rPr>
            </w:pPr>
          </w:p>
          <w:p w14:paraId="38813F3A" w14:textId="77777777" w:rsidR="00196854" w:rsidRPr="00124DA6" w:rsidRDefault="00196854" w:rsidP="00EE4886">
            <w:pPr>
              <w:keepNext/>
              <w:keepLines/>
              <w:spacing w:after="0" w:line="240" w:lineRule="auto"/>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EPT</w:t>
            </w:r>
          </w:p>
          <w:p w14:paraId="51637481" w14:textId="77777777" w:rsidR="00196854" w:rsidRPr="00124DA6" w:rsidRDefault="00196854" w:rsidP="00EE4886">
            <w:pPr>
              <w:pStyle w:val="NoSpacing"/>
              <w:keepNext/>
              <w:keepLines/>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Mobile (mobile money)</w:t>
            </w:r>
          </w:p>
          <w:p w14:paraId="6F7949EF" w14:textId="091AA6AB" w:rsidR="00196854" w:rsidRPr="00124DA6" w:rsidRDefault="00196854" w:rsidP="00EE4886">
            <w:pPr>
              <w:pStyle w:val="NoSpacing"/>
              <w:keepNext/>
              <w:keepLines/>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Agents/retailers (OTC)</w:t>
            </w:r>
            <w:r w:rsidR="002425E2">
              <w:rPr>
                <w:rFonts w:cstheme="minorHAnsi"/>
                <w:color w:val="806000" w:themeColor="accent4" w:themeShade="80"/>
                <w:sz w:val="20"/>
                <w:szCs w:val="20"/>
                <w:lang w:val="en-US"/>
              </w:rPr>
              <w:t xml:space="preserve"> </w:t>
            </w:r>
            <w:r w:rsidRPr="00124DA6">
              <w:rPr>
                <w:rFonts w:cstheme="minorHAnsi"/>
                <w:color w:val="806000" w:themeColor="accent4" w:themeShade="80"/>
                <w:sz w:val="20"/>
                <w:szCs w:val="20"/>
                <w:vertAlign w:val="superscript"/>
                <w:lang w:val="en-US"/>
              </w:rPr>
              <w:t>b</w:t>
            </w:r>
          </w:p>
        </w:tc>
        <w:tc>
          <w:tcPr>
            <w:tcW w:w="1591" w:type="pct"/>
            <w:shd w:val="clear" w:color="auto" w:fill="auto"/>
            <w:noWrap/>
            <w:tcMar>
              <w:top w:w="15" w:type="dxa"/>
              <w:left w:w="108" w:type="dxa"/>
              <w:bottom w:w="0" w:type="dxa"/>
              <w:right w:w="108" w:type="dxa"/>
            </w:tcMar>
            <w:hideMark/>
          </w:tcPr>
          <w:p w14:paraId="1B164432" w14:textId="77777777" w:rsidR="00196854" w:rsidRPr="00124DA6" w:rsidRDefault="00196854" w:rsidP="00EE4886">
            <w:pPr>
              <w:keepNext/>
              <w:keepLines/>
              <w:spacing w:after="0" w:line="240" w:lineRule="auto"/>
              <w:jc w:val="both"/>
              <w:rPr>
                <w:rFonts w:cstheme="minorHAnsi"/>
                <w:sz w:val="20"/>
                <w:szCs w:val="20"/>
                <w:lang w:val="en-US"/>
              </w:rPr>
            </w:pPr>
            <w:r w:rsidRPr="00124DA6">
              <w:rPr>
                <w:rFonts w:cstheme="minorHAnsi"/>
                <w:sz w:val="20"/>
                <w:szCs w:val="20"/>
                <w:lang w:val="en-US"/>
              </w:rPr>
              <w:t>P2B</w:t>
            </w:r>
          </w:p>
          <w:p w14:paraId="4042FB12" w14:textId="77777777" w:rsidR="00196854" w:rsidRPr="00124DA6" w:rsidRDefault="00196854" w:rsidP="00EE4886">
            <w:pPr>
              <w:pStyle w:val="NoSpacing"/>
              <w:keepNext/>
              <w:keepLines/>
              <w:jc w:val="both"/>
              <w:rPr>
                <w:rFonts w:cstheme="minorHAnsi"/>
                <w:color w:val="ED7D31" w:themeColor="accent2"/>
                <w:sz w:val="20"/>
                <w:szCs w:val="20"/>
                <w:lang w:val="en-US"/>
              </w:rPr>
            </w:pPr>
            <w:r w:rsidRPr="00124DA6">
              <w:rPr>
                <w:rFonts w:cstheme="minorHAnsi"/>
                <w:color w:val="ED7D31" w:themeColor="accent2"/>
                <w:sz w:val="20"/>
                <w:szCs w:val="20"/>
                <w:lang w:val="en-US"/>
              </w:rPr>
              <w:t xml:space="preserve">Main </w:t>
            </w:r>
            <w:proofErr w:type="gramStart"/>
            <w:r w:rsidRPr="00124DA6">
              <w:rPr>
                <w:rFonts w:cstheme="minorHAnsi"/>
                <w:color w:val="ED7D31" w:themeColor="accent2"/>
                <w:sz w:val="20"/>
                <w:szCs w:val="20"/>
                <w:lang w:val="en-US"/>
              </w:rPr>
              <w:t>billers</w:t>
            </w:r>
            <w:r w:rsidR="00141BD7">
              <w:rPr>
                <w:rFonts w:cstheme="minorHAnsi"/>
                <w:color w:val="ED7D31" w:themeColor="accent2"/>
                <w:sz w:val="20"/>
                <w:szCs w:val="20"/>
                <w:lang w:val="en-US"/>
              </w:rPr>
              <w:t> </w:t>
            </w:r>
            <w:r w:rsidRPr="00124DA6">
              <w:rPr>
                <w:rFonts w:cstheme="minorHAnsi"/>
                <w:color w:val="ED7D31" w:themeColor="accent2"/>
                <w:sz w:val="20"/>
                <w:szCs w:val="20"/>
                <w:lang w:val="en-US"/>
              </w:rPr>
              <w:t>;</w:t>
            </w:r>
            <w:proofErr w:type="gramEnd"/>
            <w:r w:rsidRPr="00124DA6">
              <w:rPr>
                <w:rFonts w:cstheme="minorHAnsi"/>
                <w:color w:val="ED7D31" w:themeColor="accent2"/>
                <w:sz w:val="20"/>
                <w:szCs w:val="20"/>
                <w:lang w:val="en-US"/>
              </w:rPr>
              <w:t xml:space="preserve"> merchants, </w:t>
            </w:r>
            <w:proofErr w:type="spellStart"/>
            <w:r w:rsidRPr="00124DA6">
              <w:rPr>
                <w:rFonts w:cstheme="minorHAnsi"/>
                <w:color w:val="ED7D31" w:themeColor="accent2"/>
                <w:sz w:val="20"/>
                <w:szCs w:val="20"/>
                <w:lang w:val="en-US"/>
              </w:rPr>
              <w:t>zemidjans</w:t>
            </w:r>
            <w:proofErr w:type="spellEnd"/>
            <w:r w:rsidRPr="00124DA6">
              <w:rPr>
                <w:rFonts w:cstheme="minorHAnsi"/>
                <w:color w:val="ED7D31" w:themeColor="accent2"/>
                <w:sz w:val="20"/>
                <w:szCs w:val="20"/>
                <w:lang w:val="en-US"/>
              </w:rPr>
              <w:t xml:space="preserve"> (taxis motorcycles)</w:t>
            </w:r>
          </w:p>
          <w:p w14:paraId="64A6B143"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p>
          <w:p w14:paraId="69EB3B5E"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r w:rsidRPr="00124DA6">
              <w:rPr>
                <w:rFonts w:cstheme="minorHAnsi"/>
                <w:color w:val="767171" w:themeColor="background2" w:themeShade="80"/>
                <w:sz w:val="20"/>
                <w:szCs w:val="20"/>
                <w:lang w:val="en-US"/>
              </w:rPr>
              <w:t>Bank; EP</w:t>
            </w:r>
            <w:r w:rsidRPr="00124DA6">
              <w:rPr>
                <w:rFonts w:cstheme="minorHAnsi"/>
                <w:color w:val="2E74B5" w:themeColor="accent1" w:themeShade="BF"/>
                <w:sz w:val="20"/>
                <w:szCs w:val="20"/>
                <w:lang w:val="en-US"/>
              </w:rPr>
              <w:t xml:space="preserve"> </w:t>
            </w:r>
          </w:p>
          <w:p w14:paraId="005171CC"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p>
          <w:p w14:paraId="4F87611F"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r w:rsidRPr="00124DA6">
              <w:rPr>
                <w:rFonts w:cstheme="minorHAnsi"/>
                <w:color w:val="2E74B5" w:themeColor="accent1" w:themeShade="BF"/>
                <w:sz w:val="20"/>
                <w:szCs w:val="20"/>
                <w:lang w:val="en-US"/>
              </w:rPr>
              <w:t>Debit Card; prepaid Card; mobile money</w:t>
            </w:r>
          </w:p>
          <w:p w14:paraId="17A5BD14" w14:textId="77777777" w:rsidR="00196854" w:rsidRPr="00B03F0F" w:rsidRDefault="00196854" w:rsidP="00EE4886">
            <w:pPr>
              <w:pStyle w:val="NoSpacing"/>
              <w:keepNext/>
              <w:keepLines/>
              <w:jc w:val="both"/>
              <w:rPr>
                <w:rFonts w:cstheme="minorHAnsi"/>
                <w:color w:val="2E74B5" w:themeColor="accent1" w:themeShade="BF"/>
                <w:sz w:val="20"/>
                <w:szCs w:val="20"/>
                <w:lang w:val="fr-CA"/>
              </w:rPr>
            </w:pPr>
            <w:r w:rsidRPr="00B03F0F">
              <w:rPr>
                <w:rFonts w:cstheme="minorHAnsi"/>
                <w:color w:val="2E74B5" w:themeColor="accent1" w:themeShade="BF"/>
                <w:sz w:val="20"/>
                <w:szCs w:val="20"/>
                <w:lang w:val="fr-CA"/>
              </w:rPr>
              <w:t>(QR code, NFC)</w:t>
            </w:r>
          </w:p>
          <w:p w14:paraId="4C536FD2" w14:textId="77777777" w:rsidR="00196854" w:rsidRPr="00B03F0F" w:rsidRDefault="00196854" w:rsidP="00EE4886">
            <w:pPr>
              <w:pStyle w:val="NoSpacing"/>
              <w:keepNext/>
              <w:keepLines/>
              <w:jc w:val="both"/>
              <w:rPr>
                <w:rFonts w:cstheme="minorHAnsi"/>
                <w:color w:val="2E74B5" w:themeColor="accent1" w:themeShade="BF"/>
                <w:sz w:val="20"/>
                <w:szCs w:val="20"/>
                <w:lang w:val="fr-CA"/>
              </w:rPr>
            </w:pPr>
            <w:r w:rsidRPr="00B03F0F">
              <w:rPr>
                <w:rFonts w:cstheme="minorHAnsi"/>
                <w:color w:val="2E74B5" w:themeColor="accent1" w:themeShade="BF"/>
                <w:sz w:val="20"/>
                <w:szCs w:val="20"/>
                <w:lang w:val="fr-CA"/>
              </w:rPr>
              <w:t xml:space="preserve">Mobile Money; </w:t>
            </w:r>
          </w:p>
          <w:p w14:paraId="37F5B709" w14:textId="77777777" w:rsidR="00196854" w:rsidRPr="00B03F0F" w:rsidRDefault="00196854" w:rsidP="00EE4886">
            <w:pPr>
              <w:pStyle w:val="NoSpacing"/>
              <w:keepNext/>
              <w:keepLines/>
              <w:jc w:val="both"/>
              <w:rPr>
                <w:rFonts w:cstheme="minorHAnsi"/>
                <w:color w:val="2E74B5" w:themeColor="accent1" w:themeShade="BF"/>
                <w:sz w:val="20"/>
                <w:szCs w:val="20"/>
                <w:lang w:val="fr-CA"/>
              </w:rPr>
            </w:pPr>
          </w:p>
          <w:p w14:paraId="687BB5C0" w14:textId="77777777" w:rsidR="00196854" w:rsidRPr="00124DA6" w:rsidRDefault="00196854" w:rsidP="00EE4886">
            <w:pPr>
              <w:keepNext/>
              <w:keepLines/>
              <w:spacing w:after="0" w:line="240" w:lineRule="auto"/>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EPT</w:t>
            </w:r>
          </w:p>
          <w:p w14:paraId="6CF86CA6" w14:textId="77777777" w:rsidR="00196854" w:rsidRPr="00124DA6" w:rsidRDefault="00196854" w:rsidP="00EE4886">
            <w:pPr>
              <w:pStyle w:val="NoSpacing"/>
              <w:keepNext/>
              <w:keepLines/>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Agents/retailers (mobile money)</w:t>
            </w:r>
          </w:p>
          <w:p w14:paraId="116D1DB6" w14:textId="77777777" w:rsidR="00196854" w:rsidRPr="00124DA6" w:rsidRDefault="00196854" w:rsidP="00EE4886">
            <w:pPr>
              <w:pStyle w:val="NoSpacing"/>
              <w:keepNext/>
              <w:keepLines/>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Agents/retailers (OTC)</w:t>
            </w:r>
          </w:p>
        </w:tc>
        <w:tc>
          <w:tcPr>
            <w:tcW w:w="1580" w:type="pct"/>
            <w:shd w:val="clear" w:color="auto" w:fill="auto"/>
            <w:noWrap/>
            <w:tcMar>
              <w:top w:w="15" w:type="dxa"/>
              <w:left w:w="108" w:type="dxa"/>
              <w:bottom w:w="0" w:type="dxa"/>
              <w:right w:w="108" w:type="dxa"/>
            </w:tcMar>
            <w:hideMark/>
          </w:tcPr>
          <w:p w14:paraId="221976E8" w14:textId="77777777" w:rsidR="00196854" w:rsidRPr="00124DA6" w:rsidRDefault="00196854" w:rsidP="00EE4886">
            <w:pPr>
              <w:keepNext/>
              <w:keepLines/>
              <w:spacing w:after="0" w:line="240" w:lineRule="auto"/>
              <w:jc w:val="both"/>
              <w:rPr>
                <w:rFonts w:cstheme="minorHAnsi"/>
                <w:sz w:val="20"/>
                <w:szCs w:val="20"/>
                <w:lang w:val="en-US"/>
              </w:rPr>
            </w:pPr>
            <w:r w:rsidRPr="00124DA6">
              <w:rPr>
                <w:rFonts w:cstheme="minorHAnsi"/>
                <w:sz w:val="20"/>
                <w:szCs w:val="20"/>
                <w:lang w:val="en-US"/>
              </w:rPr>
              <w:t>P2P</w:t>
            </w:r>
          </w:p>
          <w:p w14:paraId="45F36711" w14:textId="77777777" w:rsidR="00196854" w:rsidRPr="00124DA6" w:rsidRDefault="00196854" w:rsidP="00EE4886">
            <w:pPr>
              <w:pStyle w:val="NoSpacing"/>
              <w:keepNext/>
              <w:keepLines/>
              <w:jc w:val="both"/>
              <w:rPr>
                <w:rFonts w:cstheme="minorHAnsi"/>
                <w:color w:val="ED7D31" w:themeColor="accent2"/>
                <w:sz w:val="20"/>
                <w:szCs w:val="20"/>
                <w:lang w:val="en-US"/>
              </w:rPr>
            </w:pPr>
            <w:r w:rsidRPr="00124DA6">
              <w:rPr>
                <w:rFonts w:cstheme="minorHAnsi"/>
                <w:color w:val="ED7D31" w:themeColor="accent2"/>
                <w:sz w:val="20"/>
                <w:szCs w:val="20"/>
                <w:lang w:val="en-US"/>
              </w:rPr>
              <w:t>Money transfers, tontines</w:t>
            </w:r>
          </w:p>
          <w:p w14:paraId="25C5C747"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p>
          <w:p w14:paraId="2F7AA8F0" w14:textId="77777777" w:rsidR="00196854" w:rsidRPr="00124DA6" w:rsidRDefault="00196854" w:rsidP="00EE4886">
            <w:pPr>
              <w:pStyle w:val="NoSpacing"/>
              <w:keepNext/>
              <w:keepLines/>
              <w:jc w:val="both"/>
              <w:rPr>
                <w:rFonts w:cstheme="minorHAnsi"/>
                <w:color w:val="767171" w:themeColor="background2" w:themeShade="80"/>
                <w:sz w:val="20"/>
                <w:szCs w:val="20"/>
                <w:lang w:val="en-US"/>
              </w:rPr>
            </w:pPr>
          </w:p>
          <w:p w14:paraId="0FAFD73B"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r w:rsidRPr="00124DA6">
              <w:rPr>
                <w:rFonts w:cstheme="minorHAnsi"/>
                <w:color w:val="767171" w:themeColor="background2" w:themeShade="80"/>
                <w:sz w:val="20"/>
                <w:szCs w:val="20"/>
                <w:lang w:val="en-US"/>
              </w:rPr>
              <w:t>Bank; EP</w:t>
            </w:r>
            <w:r w:rsidRPr="00124DA6">
              <w:rPr>
                <w:rFonts w:cstheme="minorHAnsi"/>
                <w:color w:val="2E74B5" w:themeColor="accent1" w:themeShade="BF"/>
                <w:sz w:val="20"/>
                <w:szCs w:val="20"/>
                <w:lang w:val="en-US"/>
              </w:rPr>
              <w:t xml:space="preserve"> </w:t>
            </w:r>
          </w:p>
          <w:p w14:paraId="67E0B651"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p>
          <w:p w14:paraId="32BF30FF"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r w:rsidRPr="00124DA6">
              <w:rPr>
                <w:rFonts w:cstheme="minorHAnsi"/>
                <w:color w:val="2E74B5" w:themeColor="accent1" w:themeShade="BF"/>
                <w:sz w:val="20"/>
                <w:szCs w:val="20"/>
                <w:lang w:val="en-US"/>
              </w:rPr>
              <w:t>Debit card; prepaid card; mobile money</w:t>
            </w:r>
          </w:p>
          <w:p w14:paraId="6BC76BDE" w14:textId="77777777" w:rsidR="00196854" w:rsidRPr="00124DA6" w:rsidRDefault="00196854" w:rsidP="00EE4886">
            <w:pPr>
              <w:pStyle w:val="NoSpacing"/>
              <w:keepNext/>
              <w:keepLines/>
              <w:jc w:val="both"/>
              <w:rPr>
                <w:rFonts w:cstheme="minorHAnsi"/>
                <w:color w:val="2E74B5" w:themeColor="accent1" w:themeShade="BF"/>
                <w:sz w:val="20"/>
                <w:szCs w:val="20"/>
                <w:lang w:val="en-US"/>
              </w:rPr>
            </w:pPr>
          </w:p>
          <w:p w14:paraId="5C821D8E" w14:textId="77777777" w:rsidR="00196854" w:rsidRPr="00124DA6" w:rsidRDefault="00196854" w:rsidP="00EE4886">
            <w:pPr>
              <w:keepNext/>
              <w:keepLines/>
              <w:spacing w:after="0" w:line="240" w:lineRule="auto"/>
              <w:jc w:val="both"/>
              <w:rPr>
                <w:rFonts w:cstheme="minorHAnsi"/>
                <w:color w:val="806000" w:themeColor="accent4" w:themeShade="80"/>
                <w:sz w:val="20"/>
                <w:szCs w:val="20"/>
                <w:lang w:val="en-US"/>
              </w:rPr>
            </w:pPr>
          </w:p>
          <w:p w14:paraId="06B4BECF" w14:textId="77777777" w:rsidR="00196854" w:rsidRPr="00124DA6" w:rsidRDefault="00196854" w:rsidP="00EE4886">
            <w:pPr>
              <w:keepNext/>
              <w:keepLines/>
              <w:spacing w:after="0" w:line="240" w:lineRule="auto"/>
              <w:jc w:val="both"/>
              <w:rPr>
                <w:rFonts w:cstheme="minorHAnsi"/>
                <w:color w:val="806000" w:themeColor="accent4" w:themeShade="80"/>
                <w:sz w:val="20"/>
                <w:szCs w:val="20"/>
                <w:lang w:val="en-US"/>
              </w:rPr>
            </w:pPr>
          </w:p>
          <w:p w14:paraId="5F08C617" w14:textId="77777777" w:rsidR="00196854" w:rsidRPr="00124DA6" w:rsidRDefault="00196854" w:rsidP="00EE4886">
            <w:pPr>
              <w:keepNext/>
              <w:keepLines/>
              <w:spacing w:after="0" w:line="240" w:lineRule="auto"/>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ATM</w:t>
            </w:r>
          </w:p>
          <w:p w14:paraId="6EA457B7" w14:textId="77777777" w:rsidR="00196854" w:rsidRPr="00124DA6" w:rsidRDefault="00196854" w:rsidP="00EE4886">
            <w:pPr>
              <w:pStyle w:val="NoSpacing"/>
              <w:keepNext/>
              <w:keepLines/>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Agents/retailers (mobile money)</w:t>
            </w:r>
          </w:p>
          <w:p w14:paraId="31C5EEE2" w14:textId="77777777" w:rsidR="00196854" w:rsidRPr="00124DA6" w:rsidRDefault="00196854" w:rsidP="00EE4886">
            <w:pPr>
              <w:pStyle w:val="NoSpacing"/>
              <w:keepNext/>
              <w:keepLines/>
              <w:jc w:val="both"/>
              <w:rPr>
                <w:rFonts w:cstheme="minorHAnsi"/>
                <w:color w:val="806000" w:themeColor="accent4" w:themeShade="80"/>
                <w:sz w:val="20"/>
                <w:szCs w:val="20"/>
                <w:lang w:val="en-US"/>
              </w:rPr>
            </w:pPr>
            <w:r w:rsidRPr="00124DA6">
              <w:rPr>
                <w:rFonts w:cstheme="minorHAnsi"/>
                <w:color w:val="806000" w:themeColor="accent4" w:themeShade="80"/>
                <w:sz w:val="20"/>
                <w:szCs w:val="20"/>
                <w:lang w:val="en-US"/>
              </w:rPr>
              <w:t>Agents/retailers (OTC)</w:t>
            </w:r>
          </w:p>
        </w:tc>
      </w:tr>
    </w:tbl>
    <w:p w14:paraId="2F82DE78" w14:textId="77777777" w:rsidR="00B01B1A" w:rsidRPr="00124DA6" w:rsidRDefault="00B01B1A" w:rsidP="00EE4886">
      <w:pPr>
        <w:pStyle w:val="Caption"/>
        <w:keepNext/>
        <w:keepLines/>
        <w:spacing w:before="0" w:after="0"/>
        <w:jc w:val="left"/>
        <w:rPr>
          <w:rFonts w:asciiTheme="minorHAnsi" w:hAnsiTheme="minorHAnsi" w:cstheme="minorHAnsi"/>
          <w:color w:val="806000" w:themeColor="accent4" w:themeShade="80"/>
          <w:sz w:val="18"/>
          <w:lang w:val="en-US"/>
        </w:rPr>
      </w:pPr>
      <w:r w:rsidRPr="00124DA6">
        <w:rPr>
          <w:rFonts w:asciiTheme="minorHAnsi" w:hAnsiTheme="minorHAnsi" w:cstheme="minorHAnsi"/>
          <w:i/>
          <w:sz w:val="18"/>
          <w:lang w:val="en-US"/>
        </w:rPr>
        <w:t>Note</w:t>
      </w:r>
      <w:r w:rsidRPr="00124DA6">
        <w:rPr>
          <w:rFonts w:asciiTheme="minorHAnsi" w:hAnsiTheme="minorHAnsi" w:cstheme="minorHAnsi"/>
          <w:sz w:val="18"/>
          <w:lang w:val="en-US"/>
        </w:rPr>
        <w:t xml:space="preserve">: </w:t>
      </w:r>
      <w:r w:rsidR="00102FE0" w:rsidRPr="00124DA6">
        <w:rPr>
          <w:rFonts w:asciiTheme="minorHAnsi" w:hAnsiTheme="minorHAnsi" w:cstheme="minorHAnsi"/>
          <w:color w:val="ED7D31" w:themeColor="accent2"/>
          <w:sz w:val="18"/>
          <w:lang w:val="en-US"/>
        </w:rPr>
        <w:t>Payment type or nature</w:t>
      </w:r>
      <w:r w:rsidRPr="00124DA6">
        <w:rPr>
          <w:rFonts w:asciiTheme="minorHAnsi" w:hAnsiTheme="minorHAnsi" w:cstheme="minorHAnsi"/>
          <w:color w:val="ED7D31" w:themeColor="accent2"/>
          <w:sz w:val="18"/>
          <w:lang w:val="en-US"/>
        </w:rPr>
        <w:t xml:space="preserve">; </w:t>
      </w:r>
      <w:r w:rsidR="00102FE0" w:rsidRPr="00124DA6">
        <w:rPr>
          <w:rFonts w:asciiTheme="minorHAnsi" w:hAnsiTheme="minorHAnsi" w:cstheme="minorHAnsi"/>
          <w:color w:val="767171" w:themeColor="background2" w:themeShade="80"/>
          <w:sz w:val="18"/>
          <w:lang w:val="en-US"/>
        </w:rPr>
        <w:t>Account</w:t>
      </w:r>
      <w:r w:rsidRPr="00124DA6">
        <w:rPr>
          <w:rFonts w:asciiTheme="minorHAnsi" w:hAnsiTheme="minorHAnsi" w:cstheme="minorHAnsi"/>
          <w:color w:val="767171" w:themeColor="background2" w:themeShade="80"/>
          <w:sz w:val="18"/>
          <w:lang w:val="en-US"/>
        </w:rPr>
        <w:t>;</w:t>
      </w:r>
      <w:r w:rsidR="00102FE0" w:rsidRPr="00124DA6">
        <w:rPr>
          <w:rFonts w:asciiTheme="minorHAnsi" w:hAnsiTheme="minorHAnsi" w:cstheme="minorHAnsi"/>
          <w:color w:val="767171" w:themeColor="background2" w:themeShade="80"/>
          <w:sz w:val="18"/>
          <w:lang w:val="en-US"/>
        </w:rPr>
        <w:t xml:space="preserve"> </w:t>
      </w:r>
      <w:r w:rsidR="00102FE0" w:rsidRPr="00124DA6">
        <w:rPr>
          <w:rFonts w:asciiTheme="minorHAnsi" w:hAnsiTheme="minorHAnsi" w:cstheme="minorHAnsi"/>
          <w:sz w:val="18"/>
          <w:lang w:val="en-US"/>
        </w:rPr>
        <w:t>Used payment means</w:t>
      </w:r>
      <w:r w:rsidRPr="00124DA6">
        <w:rPr>
          <w:rFonts w:asciiTheme="minorHAnsi" w:hAnsiTheme="minorHAnsi" w:cstheme="minorHAnsi"/>
          <w:sz w:val="18"/>
          <w:lang w:val="en-US"/>
        </w:rPr>
        <w:t xml:space="preserve">; </w:t>
      </w:r>
      <w:r w:rsidR="00102FE0" w:rsidRPr="00124DA6">
        <w:rPr>
          <w:rFonts w:asciiTheme="minorHAnsi" w:hAnsiTheme="minorHAnsi" w:cstheme="minorHAnsi"/>
          <w:color w:val="806000" w:themeColor="accent4" w:themeShade="80"/>
          <w:sz w:val="18"/>
          <w:lang w:val="en-US"/>
        </w:rPr>
        <w:t>Channel/</w:t>
      </w:r>
      <w:r w:rsidRPr="00124DA6">
        <w:rPr>
          <w:rFonts w:asciiTheme="minorHAnsi" w:hAnsiTheme="minorHAnsi" w:cstheme="minorHAnsi"/>
          <w:color w:val="806000" w:themeColor="accent4" w:themeShade="80"/>
          <w:sz w:val="18"/>
          <w:lang w:val="en-US"/>
        </w:rPr>
        <w:t>a</w:t>
      </w:r>
      <w:r w:rsidR="00102FE0" w:rsidRPr="00124DA6">
        <w:rPr>
          <w:rFonts w:asciiTheme="minorHAnsi" w:hAnsiTheme="minorHAnsi" w:cstheme="minorHAnsi"/>
          <w:color w:val="806000" w:themeColor="accent4" w:themeShade="80"/>
          <w:sz w:val="18"/>
          <w:lang w:val="en-US"/>
        </w:rPr>
        <w:t>ccess network to the digital financial services</w:t>
      </w:r>
      <w:r w:rsidRPr="00124DA6">
        <w:rPr>
          <w:rFonts w:asciiTheme="minorHAnsi" w:hAnsiTheme="minorHAnsi" w:cstheme="minorHAnsi"/>
          <w:color w:val="806000" w:themeColor="accent4" w:themeShade="80"/>
          <w:sz w:val="18"/>
          <w:lang w:val="en-US"/>
        </w:rPr>
        <w:t>.</w:t>
      </w:r>
    </w:p>
    <w:p w14:paraId="4A9D66E7" w14:textId="77777777" w:rsidR="00102FE0" w:rsidRPr="00124DA6" w:rsidRDefault="00B01B1A" w:rsidP="00EE4886">
      <w:pPr>
        <w:pStyle w:val="Caption"/>
        <w:keepNext/>
        <w:keepLines/>
        <w:spacing w:before="0"/>
        <w:jc w:val="left"/>
        <w:rPr>
          <w:rFonts w:asciiTheme="minorHAnsi" w:hAnsiTheme="minorHAnsi" w:cstheme="minorHAnsi"/>
          <w:color w:val="000000" w:themeColor="text1"/>
          <w:sz w:val="18"/>
          <w:lang w:val="en-US"/>
        </w:rPr>
      </w:pPr>
      <w:r w:rsidRPr="00124DA6">
        <w:rPr>
          <w:rFonts w:asciiTheme="minorHAnsi" w:hAnsiTheme="minorHAnsi" w:cstheme="minorHAnsi"/>
          <w:color w:val="000000" w:themeColor="text1"/>
          <w:sz w:val="18"/>
          <w:lang w:val="en-US"/>
        </w:rPr>
        <w:t>a. Electronic portfolio; b. Over</w:t>
      </w:r>
      <w:r w:rsidR="007036A2" w:rsidRPr="00124DA6">
        <w:rPr>
          <w:rFonts w:asciiTheme="minorHAnsi" w:hAnsiTheme="minorHAnsi" w:cstheme="minorHAnsi"/>
          <w:color w:val="000000" w:themeColor="text1"/>
          <w:sz w:val="18"/>
          <w:lang w:val="en-US"/>
        </w:rPr>
        <w:t>-</w:t>
      </w:r>
      <w:r w:rsidRPr="00124DA6">
        <w:rPr>
          <w:rFonts w:asciiTheme="minorHAnsi" w:hAnsiTheme="minorHAnsi" w:cstheme="minorHAnsi"/>
          <w:color w:val="000000" w:themeColor="text1"/>
          <w:sz w:val="18"/>
          <w:lang w:val="en-US"/>
        </w:rPr>
        <w:t>the</w:t>
      </w:r>
      <w:r w:rsidR="007036A2" w:rsidRPr="00124DA6">
        <w:rPr>
          <w:rFonts w:asciiTheme="minorHAnsi" w:hAnsiTheme="minorHAnsi" w:cstheme="minorHAnsi"/>
          <w:color w:val="000000" w:themeColor="text1"/>
          <w:sz w:val="18"/>
          <w:lang w:val="en-US"/>
        </w:rPr>
        <w:t>-</w:t>
      </w:r>
      <w:r w:rsidRPr="00124DA6">
        <w:rPr>
          <w:rFonts w:asciiTheme="minorHAnsi" w:hAnsiTheme="minorHAnsi" w:cstheme="minorHAnsi"/>
          <w:color w:val="000000" w:themeColor="text1"/>
          <w:sz w:val="18"/>
          <w:lang w:val="en-US"/>
        </w:rPr>
        <w:t>counter transaction mode.</w:t>
      </w:r>
      <w:r w:rsidR="00102FE0" w:rsidRPr="00124DA6">
        <w:rPr>
          <w:rFonts w:asciiTheme="minorHAnsi" w:hAnsiTheme="minorHAnsi" w:cstheme="minorHAnsi"/>
          <w:color w:val="000000" w:themeColor="text1"/>
          <w:sz w:val="18"/>
          <w:lang w:val="en-US"/>
        </w:rPr>
        <w:t xml:space="preserve"> </w:t>
      </w:r>
    </w:p>
    <w:p w14:paraId="1381866F" w14:textId="77777777" w:rsidR="00102FE0" w:rsidRPr="00124DA6" w:rsidRDefault="00102FE0" w:rsidP="00EE4886">
      <w:pPr>
        <w:pStyle w:val="NoSpacing"/>
        <w:keepNext/>
        <w:keepLines/>
        <w:jc w:val="both"/>
        <w:rPr>
          <w:color w:val="000000" w:themeColor="text1"/>
          <w:sz w:val="18"/>
          <w:szCs w:val="18"/>
          <w:lang w:val="en-US"/>
        </w:rPr>
      </w:pPr>
    </w:p>
    <w:p w14:paraId="6B0F13FB" w14:textId="77777777" w:rsidR="00A35A22" w:rsidRPr="00124DA6" w:rsidRDefault="00A35A22" w:rsidP="00102FE0">
      <w:pPr>
        <w:pStyle w:val="NoSpacing"/>
        <w:jc w:val="both"/>
        <w:rPr>
          <w:b/>
          <w:sz w:val="18"/>
          <w:szCs w:val="18"/>
          <w:lang w:val="en-US"/>
        </w:rPr>
      </w:pPr>
      <w:r w:rsidRPr="00124DA6">
        <w:rPr>
          <w:b/>
          <w:sz w:val="18"/>
          <w:szCs w:val="18"/>
          <w:lang w:val="en-US"/>
        </w:rPr>
        <w:br w:type="page"/>
      </w:r>
    </w:p>
    <w:p w14:paraId="3C7E8536" w14:textId="77777777" w:rsidR="00102FE0" w:rsidRPr="002068ED" w:rsidRDefault="000A4706" w:rsidP="000A4706">
      <w:pPr>
        <w:pStyle w:val="Heading2"/>
        <w:rPr>
          <w:b/>
          <w:lang w:val="en-US"/>
        </w:rPr>
      </w:pPr>
      <w:bookmarkStart w:id="45" w:name="_Toc3975149"/>
      <w:r w:rsidRPr="002068ED">
        <w:rPr>
          <w:b/>
          <w:lang w:val="en-US"/>
        </w:rPr>
        <w:t xml:space="preserve">3.6 </w:t>
      </w:r>
      <w:r w:rsidR="00102FE0" w:rsidRPr="002068ED">
        <w:rPr>
          <w:b/>
          <w:lang w:val="en-US"/>
        </w:rPr>
        <w:t>Annex</w:t>
      </w:r>
      <w:r w:rsidR="007A74B1" w:rsidRPr="002068ED">
        <w:rPr>
          <w:b/>
          <w:lang w:val="en-US"/>
        </w:rPr>
        <w:t>es</w:t>
      </w:r>
      <w:bookmarkEnd w:id="45"/>
    </w:p>
    <w:p w14:paraId="5CC93A5D" w14:textId="77777777" w:rsidR="00102FE0" w:rsidRPr="002068ED" w:rsidRDefault="00102FE0" w:rsidP="00440389">
      <w:pPr>
        <w:pStyle w:val="Heading3"/>
        <w:rPr>
          <w:b/>
          <w:lang w:val="en-US"/>
        </w:rPr>
      </w:pPr>
      <w:bookmarkStart w:id="46" w:name="_Toc3975150"/>
      <w:r w:rsidRPr="002068ED">
        <w:rPr>
          <w:b/>
          <w:lang w:val="en-US"/>
        </w:rPr>
        <w:t>Annex 1: List of countries</w:t>
      </w:r>
      <w:bookmarkEnd w:id="46"/>
    </w:p>
    <w:p w14:paraId="2ED0E225" w14:textId="77777777" w:rsidR="00102FE0" w:rsidRPr="00124DA6" w:rsidRDefault="00102FE0" w:rsidP="00102FE0">
      <w:pPr>
        <w:jc w:val="both"/>
        <w:rPr>
          <w:lang w:val="en-US"/>
        </w:rPr>
      </w:pPr>
      <w:r w:rsidRPr="00124DA6">
        <w:rPr>
          <w:noProof/>
          <w:lang w:eastAsia="fr-FR"/>
        </w:rPr>
        <w:drawing>
          <wp:inline distT="0" distB="0" distL="0" distR="0" wp14:anchorId="2B00F0AD" wp14:editId="0E426BBB">
            <wp:extent cx="6638925" cy="2647950"/>
            <wp:effectExtent l="0" t="0" r="9525" b="0"/>
            <wp:docPr id="16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38925" cy="2647950"/>
                    </a:xfrm>
                    <a:prstGeom prst="rect">
                      <a:avLst/>
                    </a:prstGeom>
                    <a:noFill/>
                    <a:ln>
                      <a:noFill/>
                    </a:ln>
                  </pic:spPr>
                </pic:pic>
              </a:graphicData>
            </a:graphic>
          </wp:inline>
        </w:drawing>
      </w:r>
    </w:p>
    <w:p w14:paraId="1E806F8C" w14:textId="77777777" w:rsidR="00102FE0" w:rsidRPr="00124DA6" w:rsidRDefault="00102FE0" w:rsidP="00102FE0">
      <w:pPr>
        <w:pStyle w:val="NoSpacing"/>
        <w:jc w:val="both"/>
        <w:rPr>
          <w:lang w:val="en-US"/>
        </w:rPr>
      </w:pPr>
    </w:p>
    <w:p w14:paraId="404419FD" w14:textId="77777777" w:rsidR="00102FE0" w:rsidRPr="002068ED" w:rsidRDefault="00102FE0" w:rsidP="00440389">
      <w:pPr>
        <w:pStyle w:val="Heading3"/>
        <w:rPr>
          <w:b/>
          <w:lang w:val="en-US"/>
        </w:rPr>
      </w:pPr>
      <w:bookmarkStart w:id="47" w:name="_Toc3975151"/>
      <w:r w:rsidRPr="002068ED">
        <w:rPr>
          <w:b/>
          <w:lang w:val="en-US"/>
        </w:rPr>
        <w:t>Annex 2: Population of Benin by province</w:t>
      </w:r>
      <w:bookmarkEnd w:id="47"/>
      <w:r w:rsidRPr="002068ED">
        <w:rPr>
          <w:b/>
          <w:lang w:val="en-US"/>
        </w:rPr>
        <w:t xml:space="preserve"> </w:t>
      </w:r>
    </w:p>
    <w:p w14:paraId="178184FE" w14:textId="0B6496AA" w:rsidR="00323944" w:rsidRPr="00F8592F" w:rsidRDefault="00102FE0" w:rsidP="00F8592F">
      <w:pPr>
        <w:jc w:val="both"/>
        <w:rPr>
          <w:lang w:val="en-US"/>
        </w:rPr>
      </w:pPr>
      <w:r w:rsidRPr="00124DA6">
        <w:rPr>
          <w:noProof/>
          <w:color w:val="FF0000"/>
          <w:lang w:eastAsia="fr-FR"/>
        </w:rPr>
        <w:drawing>
          <wp:inline distT="0" distB="0" distL="0" distR="0" wp14:anchorId="3C9C45FC" wp14:editId="252B8F32">
            <wp:extent cx="3227442" cy="4207510"/>
            <wp:effectExtent l="0" t="0" r="0" b="2540"/>
            <wp:docPr id="16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29924" cy="4210746"/>
                    </a:xfrm>
                    <a:prstGeom prst="rect">
                      <a:avLst/>
                    </a:prstGeom>
                    <a:noFill/>
                    <a:ln>
                      <a:noFill/>
                    </a:ln>
                  </pic:spPr>
                </pic:pic>
              </a:graphicData>
            </a:graphic>
          </wp:inline>
        </w:drawing>
      </w:r>
    </w:p>
    <w:p w14:paraId="1AE5FC77" w14:textId="77777777" w:rsidR="00323944" w:rsidRPr="00124DA6" w:rsidRDefault="00323944" w:rsidP="00323944">
      <w:pPr>
        <w:tabs>
          <w:tab w:val="left" w:pos="5895"/>
        </w:tabs>
        <w:jc w:val="both"/>
        <w:rPr>
          <w:lang w:val="en-US"/>
        </w:rPr>
      </w:pPr>
    </w:p>
    <w:p w14:paraId="04130F2A" w14:textId="77777777" w:rsidR="00323944" w:rsidRPr="00124DA6" w:rsidRDefault="00323944" w:rsidP="00102FE0">
      <w:pPr>
        <w:tabs>
          <w:tab w:val="left" w:pos="5895"/>
        </w:tabs>
        <w:jc w:val="both"/>
        <w:rPr>
          <w:lang w:val="en-US"/>
        </w:rPr>
      </w:pPr>
    </w:p>
    <w:p w14:paraId="6A397EFE" w14:textId="77777777" w:rsidR="00102FE0" w:rsidRPr="00124DA6" w:rsidRDefault="00102FE0" w:rsidP="00102FE0">
      <w:pPr>
        <w:tabs>
          <w:tab w:val="left" w:pos="5895"/>
        </w:tabs>
        <w:jc w:val="both"/>
        <w:rPr>
          <w:lang w:val="en-US"/>
        </w:rPr>
      </w:pPr>
    </w:p>
    <w:p w14:paraId="3AC9D414" w14:textId="77777777" w:rsidR="00102FE0" w:rsidRPr="00124DA6" w:rsidRDefault="00102FE0" w:rsidP="000A4706">
      <w:pPr>
        <w:rPr>
          <w:lang w:val="en-US"/>
        </w:rPr>
      </w:pPr>
    </w:p>
    <w:bookmarkEnd w:id="26"/>
    <w:p w14:paraId="6BD9DC21" w14:textId="77777777" w:rsidR="00F30751" w:rsidRPr="00124DA6" w:rsidRDefault="00F30751" w:rsidP="003D7922">
      <w:pPr>
        <w:tabs>
          <w:tab w:val="left" w:pos="5895"/>
        </w:tabs>
        <w:rPr>
          <w:lang w:val="en-US"/>
        </w:rPr>
      </w:pPr>
    </w:p>
    <w:p w14:paraId="1FDEC82A" w14:textId="77777777" w:rsidR="00F30751" w:rsidRPr="00124DA6" w:rsidRDefault="00F30751" w:rsidP="003D7922">
      <w:pPr>
        <w:tabs>
          <w:tab w:val="left" w:pos="5895"/>
        </w:tabs>
        <w:rPr>
          <w:lang w:val="en-US"/>
        </w:rPr>
      </w:pPr>
    </w:p>
    <w:p w14:paraId="40B1B592" w14:textId="77777777" w:rsidR="00F30751" w:rsidRPr="00124DA6" w:rsidRDefault="00F30751" w:rsidP="003D7922">
      <w:pPr>
        <w:tabs>
          <w:tab w:val="left" w:pos="5895"/>
        </w:tabs>
        <w:rPr>
          <w:lang w:val="en-US"/>
        </w:rPr>
      </w:pPr>
    </w:p>
    <w:p w14:paraId="7C8F725C" w14:textId="77777777" w:rsidR="00F30751" w:rsidRPr="00124DA6" w:rsidRDefault="00F30751" w:rsidP="003D7922">
      <w:pPr>
        <w:tabs>
          <w:tab w:val="left" w:pos="5895"/>
        </w:tabs>
        <w:rPr>
          <w:lang w:val="en-US"/>
        </w:rPr>
      </w:pPr>
    </w:p>
    <w:p w14:paraId="262328D6" w14:textId="77777777" w:rsidR="00F30751" w:rsidRPr="00124DA6" w:rsidRDefault="00F30751" w:rsidP="003D7922">
      <w:pPr>
        <w:tabs>
          <w:tab w:val="left" w:pos="5895"/>
        </w:tabs>
        <w:rPr>
          <w:lang w:val="en-US"/>
        </w:rPr>
      </w:pPr>
    </w:p>
    <w:p w14:paraId="2DE2657F" w14:textId="77777777" w:rsidR="00F30751" w:rsidRPr="00124DA6" w:rsidRDefault="00F30751" w:rsidP="003D7922">
      <w:pPr>
        <w:tabs>
          <w:tab w:val="left" w:pos="5895"/>
        </w:tabs>
        <w:rPr>
          <w:lang w:val="en-US"/>
        </w:rPr>
      </w:pPr>
    </w:p>
    <w:p w14:paraId="615C851D" w14:textId="77777777" w:rsidR="00F30751" w:rsidRPr="00124DA6" w:rsidRDefault="00F30751" w:rsidP="00140B30">
      <w:pPr>
        <w:tabs>
          <w:tab w:val="left" w:pos="5895"/>
        </w:tabs>
        <w:rPr>
          <w:sz w:val="16"/>
          <w:szCs w:val="16"/>
          <w:lang w:val="en-US"/>
        </w:rPr>
      </w:pPr>
      <w:r w:rsidRPr="00124DA6">
        <w:rPr>
          <w:noProof/>
          <w:lang w:eastAsia="fr-FR"/>
        </w:rPr>
        <mc:AlternateContent>
          <mc:Choice Requires="wps">
            <w:drawing>
              <wp:anchor distT="91440" distB="91440" distL="365760" distR="365760" simplePos="0" relativeHeight="251644928" behindDoc="0" locked="0" layoutInCell="1" allowOverlap="1" wp14:anchorId="6DFA59F5" wp14:editId="132135BA">
                <wp:simplePos x="0" y="0"/>
                <wp:positionH relativeFrom="margin">
                  <wp:align>right</wp:align>
                </wp:positionH>
                <wp:positionV relativeFrom="margin">
                  <wp:posOffset>3733800</wp:posOffset>
                </wp:positionV>
                <wp:extent cx="6477000" cy="2066290"/>
                <wp:effectExtent l="0" t="0" r="0" b="10160"/>
                <wp:wrapTopAndBottom/>
                <wp:docPr id="271" name="Rectangle 271"/>
                <wp:cNvGraphicFramePr/>
                <a:graphic xmlns:a="http://schemas.openxmlformats.org/drawingml/2006/main">
                  <a:graphicData uri="http://schemas.microsoft.com/office/word/2010/wordprocessingShape">
                    <wps:wsp>
                      <wps:cNvSpPr/>
                      <wps:spPr>
                        <a:xfrm>
                          <a:off x="0" y="0"/>
                          <a:ext cx="6477000" cy="20662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E6464C" w14:textId="77777777" w:rsidR="003B0984" w:rsidRDefault="003B0984">
                            <w:pPr>
                              <w:pStyle w:val="NoSpacing"/>
                              <w:jc w:val="center"/>
                              <w:rPr>
                                <w:color w:val="5B9BD5" w:themeColor="accent1"/>
                              </w:rPr>
                            </w:pPr>
                            <w:r>
                              <w:rPr>
                                <w:noProof/>
                                <w:color w:val="5B9BD5" w:themeColor="accent1"/>
                                <w:lang w:eastAsia="fr-FR"/>
                              </w:rPr>
                              <w:drawing>
                                <wp:inline distT="0" distB="0" distL="0" distR="0" wp14:anchorId="34F57D40" wp14:editId="48D2D585">
                                  <wp:extent cx="722376" cy="38404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923B51D" w14:textId="77777777" w:rsidR="003B0984" w:rsidRPr="0042530F" w:rsidRDefault="003B0984" w:rsidP="0042530F">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sidRPr="0042530F">
                              <w:rPr>
                                <w:color w:val="5B9BD5" w:themeColor="accent1"/>
                                <w:sz w:val="56"/>
                                <w:szCs w:val="56"/>
                              </w:rPr>
                              <w:t xml:space="preserve">AGRICULTURE FINANCE </w:t>
                            </w:r>
                            <w:r>
                              <w:rPr>
                                <w:color w:val="5B9BD5" w:themeColor="accent1"/>
                                <w:sz w:val="56"/>
                                <w:szCs w:val="56"/>
                              </w:rPr>
                              <w:t>R</w:t>
                            </w:r>
                            <w:r w:rsidRPr="0042530F">
                              <w:rPr>
                                <w:color w:val="5B9BD5" w:themeColor="accent1"/>
                                <w:sz w:val="56"/>
                                <w:szCs w:val="56"/>
                              </w:rPr>
                              <w:t>EVIEW</w:t>
                            </w:r>
                          </w:p>
                          <w:p w14:paraId="19E7FBC5" w14:textId="77777777" w:rsidR="003B0984" w:rsidRDefault="003B0984">
                            <w:pPr>
                              <w:pStyle w:val="NoSpacing"/>
                              <w:spacing w:before="240"/>
                              <w:jc w:val="center"/>
                              <w:rPr>
                                <w:color w:val="5B9BD5" w:themeColor="accent1"/>
                              </w:rPr>
                            </w:pPr>
                            <w:r>
                              <w:rPr>
                                <w:noProof/>
                                <w:color w:val="5B9BD5" w:themeColor="accent1"/>
                                <w:lang w:eastAsia="fr-FR"/>
                              </w:rPr>
                              <w:drawing>
                                <wp:inline distT="0" distB="0" distL="0" distR="0" wp14:anchorId="5B561DEA" wp14:editId="11C6889B">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A59F5" id="Rectangle 271" o:spid="_x0000_s1040" style="position:absolute;margin-left:458.8pt;margin-top:294pt;width:510pt;height:162.7pt;z-index:251644928;visibility:visible;mso-wrap-style:square;mso-width-percent:0;mso-height-percent:0;mso-wrap-distance-left:28.8pt;mso-wrap-distance-top:7.2pt;mso-wrap-distance-right:28.8pt;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" filled="f" stroked="f" strokeweight="1pt">
                <v:textbox inset="10.8pt,0,10.8pt,0">
                  <w:txbxContent>
                    <w:p w14:paraId="3CE6464C" w14:textId="77777777" w:rsidR="003B0984" w:rsidRDefault="003B0984">
                      <w:pPr>
                        <w:pStyle w:val="NoSpacing"/>
                        <w:jc w:val="center"/>
                        <w:rPr>
                          <w:color w:val="5B9BD5" w:themeColor="accent1"/>
                        </w:rPr>
                      </w:pPr>
                      <w:r>
                        <w:rPr>
                          <w:noProof/>
                          <w:color w:val="5B9BD5" w:themeColor="accent1"/>
                          <w:lang w:eastAsia="fr-FR"/>
                        </w:rPr>
                        <w:drawing>
                          <wp:inline distT="0" distB="0" distL="0" distR="0" wp14:anchorId="34F57D40" wp14:editId="48D2D585">
                            <wp:extent cx="722376" cy="384048"/>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923B51D" w14:textId="77777777" w:rsidR="003B0984" w:rsidRPr="0042530F" w:rsidRDefault="003B0984" w:rsidP="0042530F">
                      <w:pPr>
                        <w:pStyle w:val="NoSpacing"/>
                        <w:pBdr>
                          <w:top w:val="single" w:sz="6" w:space="10" w:color="5B9BD5" w:themeColor="accent1"/>
                          <w:left w:val="single" w:sz="2" w:space="10" w:color="FFFFFF" w:themeColor="background1"/>
                          <w:bottom w:val="single" w:sz="6" w:space="10" w:color="5B9BD5" w:themeColor="accent1"/>
                          <w:right w:val="single" w:sz="2" w:space="10" w:color="FFFFFF" w:themeColor="background1"/>
                        </w:pBdr>
                        <w:spacing w:before="120" w:after="120"/>
                        <w:jc w:val="center"/>
                        <w:rPr>
                          <w:color w:val="5B9BD5" w:themeColor="accent1"/>
                          <w:sz w:val="56"/>
                          <w:szCs w:val="56"/>
                        </w:rPr>
                      </w:pPr>
                      <w:r w:rsidRPr="0042530F">
                        <w:rPr>
                          <w:color w:val="5B9BD5" w:themeColor="accent1"/>
                          <w:sz w:val="56"/>
                          <w:szCs w:val="56"/>
                        </w:rPr>
                        <w:t xml:space="preserve">AGRICULTURE FINANCE </w:t>
                      </w:r>
                      <w:r>
                        <w:rPr>
                          <w:color w:val="5B9BD5" w:themeColor="accent1"/>
                          <w:sz w:val="56"/>
                          <w:szCs w:val="56"/>
                        </w:rPr>
                        <w:t>R</w:t>
                      </w:r>
                      <w:r w:rsidRPr="0042530F">
                        <w:rPr>
                          <w:color w:val="5B9BD5" w:themeColor="accent1"/>
                          <w:sz w:val="56"/>
                          <w:szCs w:val="56"/>
                        </w:rPr>
                        <w:t>EVIEW</w:t>
                      </w:r>
                    </w:p>
                    <w:p w14:paraId="19E7FBC5" w14:textId="77777777" w:rsidR="003B0984" w:rsidRDefault="003B0984">
                      <w:pPr>
                        <w:pStyle w:val="NoSpacing"/>
                        <w:spacing w:before="240"/>
                        <w:jc w:val="center"/>
                        <w:rPr>
                          <w:color w:val="5B9BD5" w:themeColor="accent1"/>
                        </w:rPr>
                      </w:pPr>
                      <w:r>
                        <w:rPr>
                          <w:noProof/>
                          <w:color w:val="5B9BD5" w:themeColor="accent1"/>
                          <w:lang w:eastAsia="fr-FR"/>
                        </w:rPr>
                        <w:drawing>
                          <wp:inline distT="0" distB="0" distL="0" distR="0" wp14:anchorId="5B561DEA" wp14:editId="11C6889B">
                            <wp:extent cx="374904" cy="237744"/>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p>
    <w:p w14:paraId="356B8A6B" w14:textId="77777777" w:rsidR="00F30751" w:rsidRPr="00124DA6" w:rsidRDefault="00F30751" w:rsidP="00F30751">
      <w:pPr>
        <w:rPr>
          <w:sz w:val="16"/>
          <w:szCs w:val="16"/>
          <w:lang w:val="en-US"/>
        </w:rPr>
      </w:pPr>
    </w:p>
    <w:p w14:paraId="79A9FF63" w14:textId="77777777" w:rsidR="00F30751" w:rsidRPr="00124DA6" w:rsidRDefault="00F30751" w:rsidP="00F30751">
      <w:pPr>
        <w:rPr>
          <w:sz w:val="16"/>
          <w:szCs w:val="16"/>
          <w:lang w:val="en-US"/>
        </w:rPr>
      </w:pPr>
    </w:p>
    <w:p w14:paraId="09B774FA" w14:textId="77777777" w:rsidR="00F30751" w:rsidRPr="00124DA6" w:rsidRDefault="00F30751" w:rsidP="00F30751">
      <w:pPr>
        <w:rPr>
          <w:sz w:val="16"/>
          <w:szCs w:val="16"/>
          <w:lang w:val="en-US"/>
        </w:rPr>
      </w:pPr>
    </w:p>
    <w:p w14:paraId="5E0F3F9C" w14:textId="77777777" w:rsidR="00F30751" w:rsidRPr="00124DA6" w:rsidRDefault="00F30751" w:rsidP="00F30751">
      <w:pPr>
        <w:rPr>
          <w:sz w:val="16"/>
          <w:szCs w:val="16"/>
          <w:lang w:val="en-US"/>
        </w:rPr>
      </w:pPr>
    </w:p>
    <w:p w14:paraId="0A0824A2" w14:textId="77777777" w:rsidR="00F30751" w:rsidRPr="00124DA6" w:rsidRDefault="00F30751" w:rsidP="00F30751">
      <w:pPr>
        <w:rPr>
          <w:sz w:val="16"/>
          <w:szCs w:val="16"/>
          <w:lang w:val="en-US"/>
        </w:rPr>
      </w:pPr>
    </w:p>
    <w:p w14:paraId="75720FF9" w14:textId="77777777" w:rsidR="00F30751" w:rsidRPr="00124DA6" w:rsidRDefault="00F30751" w:rsidP="00F30751">
      <w:pPr>
        <w:rPr>
          <w:sz w:val="16"/>
          <w:szCs w:val="16"/>
          <w:lang w:val="en-US"/>
        </w:rPr>
      </w:pPr>
    </w:p>
    <w:p w14:paraId="33DBBB58" w14:textId="77777777" w:rsidR="00F30751" w:rsidRPr="00124DA6" w:rsidRDefault="00F30751" w:rsidP="00F30751">
      <w:pPr>
        <w:rPr>
          <w:sz w:val="16"/>
          <w:szCs w:val="16"/>
          <w:lang w:val="en-US"/>
        </w:rPr>
      </w:pPr>
    </w:p>
    <w:p w14:paraId="0FAEEA6D" w14:textId="77777777" w:rsidR="00F30751" w:rsidRPr="00124DA6" w:rsidRDefault="00F30751" w:rsidP="00F30751">
      <w:pPr>
        <w:rPr>
          <w:sz w:val="16"/>
          <w:szCs w:val="16"/>
          <w:lang w:val="en-US"/>
        </w:rPr>
      </w:pPr>
    </w:p>
    <w:p w14:paraId="446407B4" w14:textId="77777777" w:rsidR="00F30751" w:rsidRPr="00124DA6" w:rsidRDefault="00F30751" w:rsidP="00F30751">
      <w:pPr>
        <w:rPr>
          <w:sz w:val="16"/>
          <w:szCs w:val="16"/>
          <w:lang w:val="en-US"/>
        </w:rPr>
      </w:pPr>
    </w:p>
    <w:p w14:paraId="4C884F65" w14:textId="77777777" w:rsidR="00F30751" w:rsidRPr="00124DA6" w:rsidRDefault="00F30751" w:rsidP="00F30751">
      <w:pPr>
        <w:rPr>
          <w:sz w:val="16"/>
          <w:szCs w:val="16"/>
          <w:lang w:val="en-US"/>
        </w:rPr>
      </w:pPr>
    </w:p>
    <w:p w14:paraId="245AA8B7" w14:textId="14F1B31E" w:rsidR="00005D46" w:rsidRPr="00F8592F" w:rsidRDefault="00005D46" w:rsidP="00005D46">
      <w:pPr>
        <w:pStyle w:val="Heading1"/>
        <w:rPr>
          <w:b/>
        </w:rPr>
      </w:pPr>
      <w:bookmarkStart w:id="48" w:name="_Toc519781967"/>
      <w:bookmarkStart w:id="49" w:name="_Toc511157647"/>
      <w:bookmarkStart w:id="50" w:name="_Toc3975152"/>
      <w:r w:rsidRPr="00F8592F">
        <w:rPr>
          <w:b/>
        </w:rPr>
        <w:t>CHAPTER</w:t>
      </w:r>
      <w:r w:rsidR="00C702B4" w:rsidRPr="00F8592F">
        <w:rPr>
          <w:b/>
        </w:rPr>
        <w:t> </w:t>
      </w:r>
      <w:r w:rsidRPr="00F8592F">
        <w:rPr>
          <w:b/>
        </w:rPr>
        <w:t>4: Agriculture Finance Review Key Findings</w:t>
      </w:r>
      <w:bookmarkEnd w:id="48"/>
      <w:bookmarkEnd w:id="49"/>
      <w:bookmarkEnd w:id="50"/>
    </w:p>
    <w:p w14:paraId="450731D9" w14:textId="1F36700C" w:rsidR="00794EAB" w:rsidRDefault="008302C7" w:rsidP="00794EAB">
      <w:pPr>
        <w:rPr>
          <w:lang w:val="en-US"/>
        </w:rPr>
      </w:pPr>
      <w:r>
        <w:rPr>
          <w:b/>
          <w:lang w:val="en-US"/>
        </w:rPr>
        <w:t>In Benin, t</w:t>
      </w:r>
      <w:r w:rsidR="00794EAB">
        <w:rPr>
          <w:b/>
          <w:lang w:val="en-US"/>
        </w:rPr>
        <w:t xml:space="preserve">he </w:t>
      </w:r>
      <w:r>
        <w:rPr>
          <w:b/>
          <w:lang w:val="en-US"/>
        </w:rPr>
        <w:t xml:space="preserve">agricultural </w:t>
      </w:r>
      <w:r w:rsidR="00794EAB">
        <w:rPr>
          <w:b/>
          <w:lang w:val="en-US"/>
        </w:rPr>
        <w:t xml:space="preserve">sector is </w:t>
      </w:r>
      <w:r>
        <w:rPr>
          <w:b/>
          <w:lang w:val="en-US"/>
        </w:rPr>
        <w:t>the mainstay of the</w:t>
      </w:r>
      <w:r w:rsidR="00794EAB">
        <w:rPr>
          <w:b/>
          <w:lang w:val="en-US"/>
        </w:rPr>
        <w:t xml:space="preserve"> economy in terms of employability and contribution to the GDP. </w:t>
      </w:r>
      <w:r>
        <w:rPr>
          <w:b/>
          <w:lang w:val="en-US"/>
        </w:rPr>
        <w:t>The</w:t>
      </w:r>
      <w:r w:rsidR="00794EAB">
        <w:rPr>
          <w:b/>
          <w:lang w:val="en-US"/>
        </w:rPr>
        <w:t xml:space="preserve"> government </w:t>
      </w:r>
      <w:r>
        <w:rPr>
          <w:b/>
          <w:lang w:val="en-US"/>
        </w:rPr>
        <w:t xml:space="preserve">strongly </w:t>
      </w:r>
      <w:r w:rsidR="00794EAB">
        <w:rPr>
          <w:b/>
          <w:lang w:val="en-US"/>
        </w:rPr>
        <w:t>support</w:t>
      </w:r>
      <w:r>
        <w:rPr>
          <w:b/>
          <w:lang w:val="en-US"/>
        </w:rPr>
        <w:t>s</w:t>
      </w:r>
      <w:r w:rsidR="00794EAB">
        <w:rPr>
          <w:b/>
          <w:lang w:val="en-US"/>
        </w:rPr>
        <w:t xml:space="preserve"> its transformation. Despite such public interventions, private sector financing remains limited. </w:t>
      </w:r>
    </w:p>
    <w:p w14:paraId="4010229B" w14:textId="77777777" w:rsidR="00794EAB" w:rsidRPr="00F8592F" w:rsidRDefault="00794EAB" w:rsidP="00794EAB">
      <w:pPr>
        <w:pStyle w:val="Heading2"/>
        <w:rPr>
          <w:b/>
          <w:lang w:val="en-US"/>
        </w:rPr>
      </w:pPr>
      <w:bookmarkStart w:id="51" w:name="_Toc3975153"/>
      <w:r w:rsidRPr="00F8592F">
        <w:rPr>
          <w:b/>
          <w:lang w:val="en-US"/>
        </w:rPr>
        <w:t>4.1 Agriculture sector a key pillar in Benin economy</w:t>
      </w:r>
      <w:bookmarkEnd w:id="51"/>
    </w:p>
    <w:p w14:paraId="460C66CE" w14:textId="2F38B826" w:rsidR="00794EAB" w:rsidRDefault="00794EAB" w:rsidP="00F8592F">
      <w:pPr>
        <w:pStyle w:val="ListParagraph"/>
        <w:numPr>
          <w:ilvl w:val="0"/>
          <w:numId w:val="47"/>
        </w:numPr>
        <w:spacing w:after="240" w:line="240" w:lineRule="auto"/>
        <w:ind w:left="0" w:firstLine="0"/>
        <w:contextualSpacing w:val="0"/>
        <w:jc w:val="both"/>
        <w:rPr>
          <w:rFonts w:cstheme="minorHAnsi"/>
          <w:lang w:val="en-US"/>
        </w:rPr>
      </w:pPr>
      <w:r w:rsidRPr="003D2501">
        <w:rPr>
          <w:rFonts w:cstheme="minorHAnsi"/>
          <w:b/>
          <w:lang w:val="en-US"/>
        </w:rPr>
        <w:t>The agricultural sector is an important pillar of the Beninese economy.</w:t>
      </w:r>
      <w:r w:rsidRPr="006E1DE3">
        <w:rPr>
          <w:rFonts w:cstheme="minorHAnsi"/>
          <w:lang w:val="en-US"/>
        </w:rPr>
        <w:t xml:space="preserve"> Indeed, it contributes </w:t>
      </w:r>
      <w:r w:rsidR="008302C7">
        <w:rPr>
          <w:rFonts w:cstheme="minorHAnsi"/>
          <w:lang w:val="en-US"/>
        </w:rPr>
        <w:t>on</w:t>
      </w:r>
      <w:r w:rsidR="008302C7" w:rsidRPr="006E1DE3">
        <w:rPr>
          <w:rFonts w:cstheme="minorHAnsi"/>
          <w:lang w:val="en-US"/>
        </w:rPr>
        <w:t xml:space="preserve"> </w:t>
      </w:r>
      <w:r w:rsidRPr="006E1DE3">
        <w:rPr>
          <w:rFonts w:cstheme="minorHAnsi"/>
          <w:lang w:val="en-US"/>
        </w:rPr>
        <w:t xml:space="preserve">average </w:t>
      </w:r>
      <w:r w:rsidR="008302C7">
        <w:rPr>
          <w:rFonts w:cstheme="minorHAnsi"/>
          <w:lang w:val="en-US"/>
        </w:rPr>
        <w:t>to</w:t>
      </w:r>
      <w:r w:rsidR="008302C7" w:rsidRPr="006E1DE3">
        <w:rPr>
          <w:rFonts w:cstheme="minorHAnsi"/>
          <w:lang w:val="en-US"/>
        </w:rPr>
        <w:t xml:space="preserve"> </w:t>
      </w:r>
      <w:r w:rsidRPr="006E1DE3">
        <w:rPr>
          <w:rFonts w:cstheme="minorHAnsi"/>
          <w:lang w:val="en-US"/>
        </w:rPr>
        <w:t xml:space="preserve">32 percent to </w:t>
      </w:r>
      <w:r>
        <w:rPr>
          <w:rFonts w:cstheme="minorHAnsi"/>
          <w:lang w:val="en-US"/>
        </w:rPr>
        <w:t xml:space="preserve">the </w:t>
      </w:r>
      <w:r w:rsidRPr="006E1DE3">
        <w:rPr>
          <w:rFonts w:cstheme="minorHAnsi"/>
          <w:lang w:val="en-US"/>
        </w:rPr>
        <w:t xml:space="preserve">GDP, 75–90 percent to export revenues, and 15 percent to </w:t>
      </w:r>
      <w:r w:rsidRPr="006E1DE3">
        <w:rPr>
          <w:rFonts w:ascii="Calibri" w:hAnsi="Calibri" w:cs="Calibri"/>
          <w:lang w:val="en-US"/>
        </w:rPr>
        <w:t>government</w:t>
      </w:r>
      <w:r w:rsidRPr="006E1DE3">
        <w:rPr>
          <w:rFonts w:cstheme="minorHAnsi"/>
          <w:lang w:val="en-US"/>
        </w:rPr>
        <w:t xml:space="preserve"> revenue and provides about 52.6 percent of jobs</w:t>
      </w:r>
      <w:r>
        <w:rPr>
          <w:rFonts w:cstheme="minorHAnsi"/>
          <w:lang w:val="en-US"/>
        </w:rPr>
        <w:t xml:space="preserve"> (World Bank</w:t>
      </w:r>
      <w:r w:rsidR="00C702B4">
        <w:rPr>
          <w:rFonts w:cstheme="minorHAnsi"/>
          <w:lang w:val="en-US"/>
        </w:rPr>
        <w:t> </w:t>
      </w:r>
      <w:r>
        <w:rPr>
          <w:rFonts w:cstheme="minorHAnsi"/>
          <w:lang w:val="en-US"/>
        </w:rPr>
        <w:t>2016a)</w:t>
      </w:r>
      <w:r w:rsidRPr="006E1DE3">
        <w:rPr>
          <w:rFonts w:cstheme="minorHAnsi"/>
          <w:lang w:val="en-US"/>
        </w:rPr>
        <w:t xml:space="preserve">. Agricultural growth is around 4 percent a year, barely above the population growth rate of 3.5 percent. </w:t>
      </w:r>
    </w:p>
    <w:p w14:paraId="64D0C626" w14:textId="46D294A0" w:rsidR="00794EAB" w:rsidRPr="006E1DE3" w:rsidRDefault="00794EAB" w:rsidP="00F8592F">
      <w:pPr>
        <w:pStyle w:val="ListParagraph"/>
        <w:numPr>
          <w:ilvl w:val="0"/>
          <w:numId w:val="47"/>
        </w:numPr>
        <w:spacing w:after="240" w:line="240" w:lineRule="auto"/>
        <w:ind w:left="0" w:firstLine="0"/>
        <w:contextualSpacing w:val="0"/>
        <w:jc w:val="both"/>
        <w:rPr>
          <w:rFonts w:cstheme="minorHAnsi"/>
          <w:lang w:val="en-US"/>
        </w:rPr>
      </w:pPr>
      <w:r w:rsidRPr="006E1DE3">
        <w:rPr>
          <w:rFonts w:cstheme="minorHAnsi"/>
          <w:b/>
          <w:lang w:val="en-US"/>
        </w:rPr>
        <w:t>Beninese agriculture is characterized by the predominance of smallholder farmers</w:t>
      </w:r>
      <w:r w:rsidRPr="006E1DE3">
        <w:rPr>
          <w:rFonts w:cstheme="minorHAnsi"/>
          <w:lang w:val="en-US"/>
        </w:rPr>
        <w:t>. Their number was estimated in 2013 during the national population census at about 650,000 households (</w:t>
      </w:r>
      <w:r w:rsidRPr="006E1DE3">
        <w:rPr>
          <w:lang w:val="en-US"/>
        </w:rPr>
        <w:t xml:space="preserve">Union </w:t>
      </w:r>
      <w:proofErr w:type="spellStart"/>
      <w:r w:rsidR="00141BD7">
        <w:rPr>
          <w:lang w:val="en-US"/>
        </w:rPr>
        <w:t>e</w:t>
      </w:r>
      <w:r w:rsidRPr="006E1DE3">
        <w:rPr>
          <w:lang w:val="en-US"/>
        </w:rPr>
        <w:t>uropéenne</w:t>
      </w:r>
      <w:proofErr w:type="spellEnd"/>
      <w:r w:rsidR="00141BD7">
        <w:rPr>
          <w:lang w:val="en-US"/>
        </w:rPr>
        <w:t> </w:t>
      </w:r>
      <w:r w:rsidRPr="006E1DE3">
        <w:rPr>
          <w:lang w:val="en-US"/>
        </w:rPr>
        <w:t xml:space="preserve">2016) </w:t>
      </w:r>
      <w:r w:rsidRPr="006E1DE3">
        <w:rPr>
          <w:rFonts w:cstheme="minorHAnsi"/>
          <w:lang w:val="en-US"/>
        </w:rPr>
        <w:t>having agriculture as their main occupation with an average land size of 1.7 ha. One</w:t>
      </w:r>
      <w:r w:rsidR="00141BD7">
        <w:rPr>
          <w:rFonts w:cstheme="minorHAnsi"/>
          <w:lang w:val="en-US"/>
        </w:rPr>
        <w:t xml:space="preserve"> </w:t>
      </w:r>
      <w:r w:rsidRPr="006E1DE3">
        <w:rPr>
          <w:rFonts w:cstheme="minorHAnsi"/>
          <w:lang w:val="en-US"/>
        </w:rPr>
        <w:t xml:space="preserve">third (34 percent) of these </w:t>
      </w:r>
      <w:r w:rsidRPr="006E1DE3">
        <w:rPr>
          <w:rFonts w:ascii="Calibri" w:hAnsi="Calibri" w:cs="Calibri"/>
          <w:lang w:val="en-US"/>
        </w:rPr>
        <w:t>farms</w:t>
      </w:r>
      <w:r w:rsidRPr="006E1DE3">
        <w:rPr>
          <w:rFonts w:cstheme="minorHAnsi"/>
          <w:lang w:val="en-US"/>
        </w:rPr>
        <w:t xml:space="preserve"> are of less than 1 ha.</w:t>
      </w:r>
    </w:p>
    <w:p w14:paraId="384E8D6D" w14:textId="1D267FEC" w:rsidR="00794EAB" w:rsidRPr="006E1DE3" w:rsidRDefault="00794EAB" w:rsidP="00F8592F">
      <w:pPr>
        <w:pStyle w:val="ListParagraph"/>
        <w:numPr>
          <w:ilvl w:val="0"/>
          <w:numId w:val="47"/>
        </w:numPr>
        <w:spacing w:after="240" w:line="240" w:lineRule="auto"/>
        <w:ind w:left="0" w:firstLine="0"/>
        <w:contextualSpacing w:val="0"/>
        <w:jc w:val="both"/>
        <w:rPr>
          <w:rFonts w:cstheme="minorHAnsi"/>
          <w:lang w:val="en-US"/>
        </w:rPr>
      </w:pPr>
      <w:r w:rsidRPr="006E1DE3">
        <w:rPr>
          <w:rFonts w:cstheme="minorHAnsi"/>
          <w:b/>
          <w:lang w:val="en-US"/>
        </w:rPr>
        <w:t>The country has a small number of agriculture enterprises and a plethora of very small retailers of agriculture products</w:t>
      </w:r>
      <w:r w:rsidRPr="006E1DE3">
        <w:rPr>
          <w:rFonts w:cstheme="minorHAnsi"/>
          <w:lang w:val="en-US"/>
        </w:rPr>
        <w:t xml:space="preserve">. </w:t>
      </w:r>
      <w:r w:rsidR="00476FA2">
        <w:rPr>
          <w:rFonts w:cstheme="minorHAnsi"/>
          <w:lang w:val="en-US"/>
        </w:rPr>
        <w:t>A</w:t>
      </w:r>
      <w:r w:rsidR="00476FA2" w:rsidRPr="006E1DE3">
        <w:rPr>
          <w:rFonts w:cstheme="minorHAnsi"/>
          <w:lang w:val="en-US"/>
        </w:rPr>
        <w:t xml:space="preserve">ccording to the last </w:t>
      </w:r>
      <w:r w:rsidR="00476FA2" w:rsidRPr="00744657">
        <w:rPr>
          <w:rFonts w:cstheme="minorHAnsi"/>
          <w:lang w:val="en-US"/>
        </w:rPr>
        <w:t xml:space="preserve">General </w:t>
      </w:r>
      <w:r w:rsidR="00476FA2" w:rsidRPr="00795897">
        <w:rPr>
          <w:rFonts w:cstheme="minorHAnsi"/>
          <w:lang w:val="en-US"/>
        </w:rPr>
        <w:t xml:space="preserve">Enterprise </w:t>
      </w:r>
      <w:r w:rsidR="00476FA2" w:rsidRPr="00744657">
        <w:rPr>
          <w:rFonts w:cstheme="minorHAnsi"/>
          <w:lang w:val="en-US"/>
        </w:rPr>
        <w:t>Census</w:t>
      </w:r>
      <w:r w:rsidR="00476FA2" w:rsidRPr="00795897">
        <w:rPr>
          <w:rFonts w:cstheme="minorHAnsi"/>
          <w:lang w:val="en-US"/>
        </w:rPr>
        <w:t xml:space="preserve"> (RGE_2)</w:t>
      </w:r>
      <w:r w:rsidR="00476FA2">
        <w:rPr>
          <w:rFonts w:cstheme="minorHAnsi"/>
          <w:lang w:val="en-US"/>
        </w:rPr>
        <w:t>, an</w:t>
      </w:r>
      <w:r w:rsidRPr="006E1DE3">
        <w:rPr>
          <w:rFonts w:cstheme="minorHAnsi"/>
          <w:lang w:val="en-US"/>
        </w:rPr>
        <w:t xml:space="preserve"> agricultural enterprise is defined </w:t>
      </w:r>
      <w:r w:rsidRPr="00795897">
        <w:rPr>
          <w:rFonts w:cstheme="minorHAnsi"/>
          <w:lang w:val="en-US"/>
        </w:rPr>
        <w:t>as an enterprise that produces agricultural goods and has well-de</w:t>
      </w:r>
      <w:r w:rsidRPr="006E1DE3">
        <w:rPr>
          <w:rFonts w:cstheme="minorHAnsi"/>
          <w:lang w:val="en-US"/>
        </w:rPr>
        <w:t>fined headquarter</w:t>
      </w:r>
      <w:r w:rsidR="00141BD7">
        <w:rPr>
          <w:rFonts w:cstheme="minorHAnsi"/>
          <w:lang w:val="en-US"/>
        </w:rPr>
        <w:t>s</w:t>
      </w:r>
      <w:r w:rsidRPr="006E1DE3">
        <w:rPr>
          <w:rFonts w:cstheme="minorHAnsi"/>
          <w:lang w:val="en-US"/>
        </w:rPr>
        <w:t xml:space="preserve">. RGE_2 identified 80 agricultural enterprises operating in the country. </w:t>
      </w:r>
      <w:r w:rsidR="00476FA2">
        <w:rPr>
          <w:rFonts w:cstheme="minorHAnsi"/>
          <w:lang w:val="en-US"/>
        </w:rPr>
        <w:t>E</w:t>
      </w:r>
      <w:r w:rsidRPr="006E1DE3">
        <w:rPr>
          <w:rFonts w:cstheme="minorHAnsi"/>
          <w:lang w:val="en-US"/>
        </w:rPr>
        <w:t xml:space="preserve">nterprises engaged in the processing of cash crops that have an important economic weight are registered in </w:t>
      </w:r>
      <w:r w:rsidRPr="006E1DE3">
        <w:rPr>
          <w:rFonts w:ascii="Calibri" w:hAnsi="Calibri" w:cs="Calibri"/>
          <w:lang w:val="en-US"/>
        </w:rPr>
        <w:t>the</w:t>
      </w:r>
      <w:r w:rsidRPr="006E1DE3">
        <w:rPr>
          <w:rFonts w:cstheme="minorHAnsi"/>
          <w:lang w:val="en-US"/>
        </w:rPr>
        <w:t xml:space="preserve"> industry category. The </w:t>
      </w:r>
      <w:r w:rsidRPr="00FE2D7F">
        <w:rPr>
          <w:rFonts w:cstheme="minorHAnsi"/>
          <w:lang w:val="en-US"/>
        </w:rPr>
        <w:t>census accounted 95 such</w:t>
      </w:r>
      <w:r>
        <w:rPr>
          <w:rFonts w:cstheme="minorHAnsi"/>
          <w:lang w:val="en-US"/>
        </w:rPr>
        <w:t xml:space="preserve"> </w:t>
      </w:r>
      <w:r w:rsidRPr="006E1DE3">
        <w:rPr>
          <w:rFonts w:cstheme="minorHAnsi"/>
          <w:lang w:val="en-US"/>
        </w:rPr>
        <w:t>enterprises of which 11 are engaged in the cotton processing and the rest in other agribusiness activities. The census recorded 19,558 enterprises (INSAE</w:t>
      </w:r>
      <w:r w:rsidR="00C702B4">
        <w:rPr>
          <w:rFonts w:cstheme="minorHAnsi"/>
          <w:lang w:val="en-US"/>
        </w:rPr>
        <w:t> </w:t>
      </w:r>
      <w:r w:rsidRPr="006E1DE3">
        <w:rPr>
          <w:rFonts w:cstheme="minorHAnsi"/>
          <w:lang w:val="en-US"/>
        </w:rPr>
        <w:t>2010) engaged in retail trade of cereals, tubers, and other food products. Women dominate the agricultur</w:t>
      </w:r>
      <w:r>
        <w:rPr>
          <w:rFonts w:cstheme="minorHAnsi"/>
          <w:lang w:val="en-US"/>
        </w:rPr>
        <w:t>al</w:t>
      </w:r>
      <w:r w:rsidRPr="006E1DE3">
        <w:rPr>
          <w:rFonts w:cstheme="minorHAnsi"/>
          <w:lang w:val="en-US"/>
        </w:rPr>
        <w:t xml:space="preserve"> sector in a variety of roles, representing most informal agricultural traders and agri-food processors. However,</w:t>
      </w:r>
      <w:r w:rsidR="00476FA2">
        <w:rPr>
          <w:rFonts w:cstheme="minorHAnsi"/>
          <w:lang w:val="en-US"/>
        </w:rPr>
        <w:t xml:space="preserve"> </w:t>
      </w:r>
      <w:r w:rsidRPr="006E1DE3">
        <w:rPr>
          <w:rFonts w:cstheme="minorHAnsi"/>
          <w:lang w:val="en-US"/>
        </w:rPr>
        <w:t>formal agribusiness continue</w:t>
      </w:r>
      <w:r w:rsidR="00141BD7">
        <w:rPr>
          <w:rFonts w:cstheme="minorHAnsi"/>
          <w:lang w:val="en-US"/>
        </w:rPr>
        <w:t>s</w:t>
      </w:r>
      <w:r w:rsidRPr="006E1DE3">
        <w:rPr>
          <w:rFonts w:cstheme="minorHAnsi"/>
          <w:lang w:val="en-US"/>
        </w:rPr>
        <w:t xml:space="preserve"> to be dominated by men.</w:t>
      </w:r>
    </w:p>
    <w:p w14:paraId="38945E79" w14:textId="52749E4C" w:rsidR="00794EAB" w:rsidRDefault="00794EAB" w:rsidP="00F8592F">
      <w:pPr>
        <w:pStyle w:val="ListParagraph"/>
        <w:numPr>
          <w:ilvl w:val="0"/>
          <w:numId w:val="47"/>
        </w:numPr>
        <w:spacing w:after="240" w:line="240" w:lineRule="auto"/>
        <w:ind w:left="0" w:firstLine="0"/>
        <w:contextualSpacing w:val="0"/>
        <w:jc w:val="both"/>
        <w:rPr>
          <w:rFonts w:cstheme="minorHAnsi"/>
          <w:lang w:val="en-US"/>
        </w:rPr>
      </w:pPr>
      <w:r>
        <w:rPr>
          <w:rFonts w:cstheme="minorHAnsi"/>
          <w:b/>
          <w:lang w:val="en-US"/>
        </w:rPr>
        <w:t xml:space="preserve">The country </w:t>
      </w:r>
      <w:r w:rsidRPr="006E1DE3">
        <w:rPr>
          <w:rFonts w:cstheme="minorHAnsi"/>
          <w:b/>
          <w:lang w:val="en-US"/>
        </w:rPr>
        <w:t>benefits from a substantial quantity of natural resources</w:t>
      </w:r>
      <w:r>
        <w:rPr>
          <w:rFonts w:cstheme="minorHAnsi"/>
          <w:b/>
          <w:lang w:val="en-US"/>
        </w:rPr>
        <w:t xml:space="preserve"> </w:t>
      </w:r>
      <w:r w:rsidRPr="006E1DE3">
        <w:rPr>
          <w:rFonts w:cstheme="minorHAnsi"/>
          <w:b/>
          <w:lang w:val="en-US"/>
        </w:rPr>
        <w:t>across different agroecological zones</w:t>
      </w:r>
      <w:r w:rsidRPr="006E1DE3">
        <w:rPr>
          <w:rFonts w:cstheme="minorHAnsi"/>
          <w:lang w:val="en-US"/>
        </w:rPr>
        <w:t xml:space="preserve">. The country has a </w:t>
      </w:r>
      <w:r w:rsidR="00476FA2">
        <w:rPr>
          <w:rFonts w:cstheme="minorHAnsi"/>
          <w:lang w:val="en-US"/>
        </w:rPr>
        <w:t>significant</w:t>
      </w:r>
      <w:r w:rsidR="00476FA2" w:rsidRPr="006E1DE3">
        <w:rPr>
          <w:rFonts w:cstheme="minorHAnsi"/>
          <w:lang w:val="en-US"/>
        </w:rPr>
        <w:t xml:space="preserve"> </w:t>
      </w:r>
      <w:r w:rsidRPr="006E1DE3">
        <w:rPr>
          <w:rFonts w:cstheme="minorHAnsi"/>
          <w:lang w:val="en-US"/>
        </w:rPr>
        <w:t xml:space="preserve">quantity </w:t>
      </w:r>
      <w:r w:rsidRPr="006E1DE3">
        <w:rPr>
          <w:rFonts w:ascii="Calibri" w:hAnsi="Calibri" w:cs="Calibri"/>
          <w:lang w:val="en-US"/>
        </w:rPr>
        <w:t>of</w:t>
      </w:r>
      <w:r w:rsidRPr="006E1DE3">
        <w:rPr>
          <w:rFonts w:cstheme="minorHAnsi"/>
          <w:lang w:val="en-US"/>
        </w:rPr>
        <w:t xml:space="preserve"> arable land of which only 20</w:t>
      </w:r>
      <w:r>
        <w:rPr>
          <w:rFonts w:cstheme="minorHAnsi"/>
          <w:lang w:val="en-US"/>
        </w:rPr>
        <w:t xml:space="preserve"> </w:t>
      </w:r>
      <w:r w:rsidRPr="006E1DE3">
        <w:rPr>
          <w:rFonts w:cstheme="minorHAnsi"/>
          <w:lang w:val="en-US"/>
        </w:rPr>
        <w:t>percent is exploited</w:t>
      </w:r>
      <w:r>
        <w:rPr>
          <w:rFonts w:cstheme="minorHAnsi"/>
          <w:lang w:val="en-US"/>
        </w:rPr>
        <w:t xml:space="preserve"> (World Bank</w:t>
      </w:r>
      <w:r w:rsidR="00C702B4">
        <w:rPr>
          <w:rFonts w:cstheme="minorHAnsi"/>
          <w:lang w:val="en-US"/>
        </w:rPr>
        <w:t> </w:t>
      </w:r>
      <w:r>
        <w:rPr>
          <w:rFonts w:cstheme="minorHAnsi"/>
          <w:lang w:val="en-US"/>
        </w:rPr>
        <w:t>2016a)</w:t>
      </w:r>
      <w:r w:rsidRPr="006E1DE3">
        <w:rPr>
          <w:rFonts w:cstheme="minorHAnsi"/>
          <w:lang w:val="en-US"/>
        </w:rPr>
        <w:t>. Benin receives adequate rainfall and enjoys abundant water resources, both surface and groundwater.</w:t>
      </w:r>
      <w:r>
        <w:rPr>
          <w:rFonts w:cstheme="minorHAnsi"/>
          <w:lang w:val="en-US"/>
        </w:rPr>
        <w:t xml:space="preserve"> </w:t>
      </w:r>
      <w:r w:rsidRPr="006E1DE3">
        <w:rPr>
          <w:rFonts w:cstheme="minorHAnsi"/>
          <w:lang w:val="en-US"/>
        </w:rPr>
        <w:t xml:space="preserve">The country can be characterized by eight agroecological zones. In the Extreme North </w:t>
      </w:r>
      <w:r w:rsidRPr="00FE2D7F">
        <w:rPr>
          <w:rFonts w:cstheme="minorHAnsi"/>
          <w:lang w:val="en-US"/>
        </w:rPr>
        <w:t>zone, the soil is highly fertile although prone to erosion, and the practice of animal-drawn tillage is common. In the North Cotton zone,</w:t>
      </w:r>
      <w:r w:rsidRPr="00FE2D7F">
        <w:rPr>
          <w:rFonts w:cstheme="minorHAnsi"/>
          <w:i/>
          <w:lang w:val="en-US"/>
        </w:rPr>
        <w:t xml:space="preserve"> </w:t>
      </w:r>
      <w:r w:rsidRPr="00744657">
        <w:rPr>
          <w:rFonts w:cstheme="minorHAnsi"/>
          <w:lang w:val="en-US"/>
        </w:rPr>
        <w:t>cotton cultivation is well developed, but conditions are conducive to a wide variety of crops. In the Food Crop</w:t>
      </w:r>
      <w:r w:rsidRPr="00744657">
        <w:rPr>
          <w:rFonts w:cstheme="minorHAnsi"/>
          <w:i/>
          <w:lang w:val="en-US"/>
        </w:rPr>
        <w:t xml:space="preserve"> </w:t>
      </w:r>
      <w:r w:rsidRPr="00744657">
        <w:rPr>
          <w:rFonts w:cstheme="minorHAnsi"/>
          <w:lang w:val="en-US"/>
        </w:rPr>
        <w:t xml:space="preserve">zone of South </w:t>
      </w:r>
      <w:proofErr w:type="spellStart"/>
      <w:r w:rsidRPr="00744657">
        <w:rPr>
          <w:rFonts w:cstheme="minorHAnsi"/>
          <w:lang w:val="en-US"/>
        </w:rPr>
        <w:t>Borgou</w:t>
      </w:r>
      <w:proofErr w:type="spellEnd"/>
      <w:r w:rsidRPr="00744657">
        <w:rPr>
          <w:rFonts w:cstheme="minorHAnsi"/>
          <w:lang w:val="en-US"/>
        </w:rPr>
        <w:t>, the climate is tropical with unimodal rainfall, suitable for fruit and forest crops, and livestock</w:t>
      </w:r>
      <w:r w:rsidRPr="006E1DE3">
        <w:rPr>
          <w:rFonts w:cstheme="minorHAnsi"/>
          <w:lang w:val="en-US"/>
        </w:rPr>
        <w:t xml:space="preserve"> breeding is fairly developed. In the West </w:t>
      </w:r>
      <w:proofErr w:type="spellStart"/>
      <w:r w:rsidRPr="006E1DE3">
        <w:rPr>
          <w:rFonts w:cstheme="minorHAnsi"/>
          <w:lang w:val="en-US"/>
        </w:rPr>
        <w:t>Atacora</w:t>
      </w:r>
      <w:proofErr w:type="spellEnd"/>
      <w:r w:rsidRPr="006E1DE3">
        <w:rPr>
          <w:rFonts w:cstheme="minorHAnsi"/>
          <w:lang w:val="en-US"/>
        </w:rPr>
        <w:t xml:space="preserve"> zone, the climate is tropical but with irregular and fluctuating rainfall, and the soils are scarcely fertile. The Central Cotton zone is a transitional zone and receives plentiful rainfall. The landscape is woody savanna with large expanses of land and fertile areas. The annual crops include cotton. The southern region of the country has the most abundant rainfall and the most fertile soil. In the Terre de Barre zone, with the soil degraded but easy to work, oil palm trees are commonly grown. In the Depression zone, the soil is fertile but difficult to work; the cropping system is dominated by maize. In the </w:t>
      </w:r>
      <w:r w:rsidR="00C702B4">
        <w:rPr>
          <w:rFonts w:cstheme="minorHAnsi"/>
          <w:lang w:val="en-US"/>
        </w:rPr>
        <w:t>f</w:t>
      </w:r>
      <w:r w:rsidRPr="006E1DE3">
        <w:rPr>
          <w:rFonts w:cstheme="minorHAnsi"/>
          <w:lang w:val="en-US"/>
        </w:rPr>
        <w:t>isheries zone</w:t>
      </w:r>
      <w:r w:rsidRPr="006E1DE3">
        <w:rPr>
          <w:rFonts w:cstheme="minorHAnsi"/>
          <w:i/>
          <w:lang w:val="en-US"/>
        </w:rPr>
        <w:t xml:space="preserve">, </w:t>
      </w:r>
      <w:r w:rsidRPr="006E1DE3">
        <w:rPr>
          <w:rFonts w:cstheme="minorHAnsi"/>
          <w:lang w:val="en-US"/>
        </w:rPr>
        <w:t xml:space="preserve">arable land is not readily available, with soil in Littoral sandy and marginally fertile.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94EAB" w:rsidRPr="008A6E7B" w14:paraId="2470395B" w14:textId="77777777" w:rsidTr="002646AC">
        <w:tc>
          <w:tcPr>
            <w:tcW w:w="9350" w:type="dxa"/>
          </w:tcPr>
          <w:p w14:paraId="2EF91390" w14:textId="5EE9A34C" w:rsidR="00794EAB" w:rsidRPr="00F8592F" w:rsidRDefault="00794EAB" w:rsidP="002646AC">
            <w:pPr>
              <w:pStyle w:val="Caption"/>
              <w:keepNext/>
              <w:keepLines/>
              <w:spacing w:after="0"/>
              <w:rPr>
                <w:rFonts w:eastAsia="SimSun"/>
                <w:b/>
              </w:rPr>
            </w:pPr>
            <w:r w:rsidRPr="00F8592F">
              <w:rPr>
                <w:rFonts w:eastAsia="SimSun"/>
                <w:b/>
              </w:rPr>
              <w:t>Map</w:t>
            </w:r>
            <w:r w:rsidR="00C702B4" w:rsidRPr="00F8592F">
              <w:rPr>
                <w:rFonts w:eastAsia="SimSun"/>
                <w:b/>
              </w:rPr>
              <w:t> </w:t>
            </w:r>
            <w:r w:rsidRPr="00F8592F">
              <w:rPr>
                <w:rFonts w:eastAsia="SimSun"/>
                <w:b/>
              </w:rPr>
              <w:t xml:space="preserve">4.1: </w:t>
            </w:r>
            <w:r w:rsidRPr="00F8592F">
              <w:rPr>
                <w:b/>
              </w:rPr>
              <w:t>Agroecological zones in Benin</w:t>
            </w:r>
          </w:p>
        </w:tc>
      </w:tr>
      <w:tr w:rsidR="00794EAB" w:rsidRPr="008A6E7B" w14:paraId="5BF2BE0F" w14:textId="77777777" w:rsidTr="002646AC">
        <w:tc>
          <w:tcPr>
            <w:tcW w:w="9350" w:type="dxa"/>
          </w:tcPr>
          <w:p w14:paraId="00551AD3" w14:textId="77777777" w:rsidR="00794EAB" w:rsidRPr="003D2501" w:rsidRDefault="00794EAB" w:rsidP="002646AC">
            <w:pPr>
              <w:keepNext/>
              <w:keepLines/>
              <w:rPr>
                <w:rFonts w:asciiTheme="minorHAnsi" w:hAnsiTheme="minorHAnsi" w:cstheme="minorHAnsi"/>
                <w:color w:val="2E74B5" w:themeColor="accent1" w:themeShade="BF"/>
                <w:szCs w:val="16"/>
              </w:rPr>
            </w:pPr>
            <w:r w:rsidRPr="006E1DE3">
              <w:rPr>
                <w:rFonts w:cstheme="minorHAnsi"/>
                <w:noProof/>
                <w:color w:val="2E74B5" w:themeColor="accent1" w:themeShade="BF"/>
                <w:lang w:eastAsia="fr-FR"/>
              </w:rPr>
              <w:drawing>
                <wp:anchor distT="0" distB="0" distL="114300" distR="114300" simplePos="0" relativeHeight="251675648" behindDoc="0" locked="0" layoutInCell="1" allowOverlap="1" wp14:anchorId="6EC75F46" wp14:editId="7C16DBC3">
                  <wp:simplePos x="0" y="0"/>
                  <wp:positionH relativeFrom="margin">
                    <wp:posOffset>1917700</wp:posOffset>
                  </wp:positionH>
                  <wp:positionV relativeFrom="margin">
                    <wp:posOffset>39370</wp:posOffset>
                  </wp:positionV>
                  <wp:extent cx="2438400" cy="3343275"/>
                  <wp:effectExtent l="0" t="0" r="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vised_agroeco_map.emf"/>
                          <pic:cNvPicPr/>
                        </pic:nvPicPr>
                        <pic:blipFill rotWithShape="1">
                          <a:blip r:embed="rId60" cstate="print">
                            <a:extLst>
                              <a:ext uri="{28A0092B-C50C-407E-A947-70E740481C1C}">
                                <a14:useLocalDpi xmlns:a14="http://schemas.microsoft.com/office/drawing/2010/main" val="0"/>
                              </a:ext>
                            </a:extLst>
                          </a:blip>
                          <a:srcRect t="4618"/>
                          <a:stretch/>
                        </pic:blipFill>
                        <pic:spPr bwMode="auto">
                          <a:xfrm>
                            <a:off x="0" y="0"/>
                            <a:ext cx="2438400" cy="334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794EAB" w:rsidRPr="006E1DE3" w14:paraId="57947506" w14:textId="77777777" w:rsidTr="002646AC">
        <w:tc>
          <w:tcPr>
            <w:tcW w:w="9350" w:type="dxa"/>
          </w:tcPr>
          <w:p w14:paraId="0A722224" w14:textId="442A84B5" w:rsidR="00794EAB" w:rsidRPr="006E1DE3" w:rsidRDefault="00794EAB" w:rsidP="002646AC">
            <w:pPr>
              <w:keepNext/>
              <w:keepLines/>
              <w:ind w:left="3311"/>
              <w:rPr>
                <w:rFonts w:asciiTheme="majorHAnsi" w:hAnsiTheme="majorHAnsi" w:cstheme="majorHAnsi"/>
                <w:color w:val="2E74B5" w:themeColor="accent1" w:themeShade="BF"/>
                <w:szCs w:val="16"/>
              </w:rPr>
            </w:pPr>
            <w:r w:rsidRPr="006E1DE3">
              <w:rPr>
                <w:rFonts w:asciiTheme="majorHAnsi" w:hAnsiTheme="majorHAnsi" w:cstheme="majorHAnsi"/>
                <w:i/>
                <w:color w:val="2E74B5" w:themeColor="accent1" w:themeShade="BF"/>
                <w:szCs w:val="16"/>
              </w:rPr>
              <w:t>Source</w:t>
            </w:r>
            <w:r w:rsidRPr="006E1DE3">
              <w:rPr>
                <w:rFonts w:asciiTheme="majorHAnsi" w:hAnsiTheme="majorHAnsi" w:cstheme="majorHAnsi"/>
                <w:color w:val="2E74B5" w:themeColor="accent1" w:themeShade="BF"/>
                <w:szCs w:val="16"/>
              </w:rPr>
              <w:t>: FAO</w:t>
            </w:r>
            <w:r w:rsidR="00141BD7">
              <w:rPr>
                <w:rFonts w:asciiTheme="majorHAnsi" w:hAnsiTheme="majorHAnsi" w:cstheme="majorHAnsi"/>
                <w:color w:val="2E74B5" w:themeColor="accent1" w:themeShade="BF"/>
                <w:szCs w:val="16"/>
              </w:rPr>
              <w:t> </w:t>
            </w:r>
            <w:r w:rsidRPr="006E1DE3">
              <w:rPr>
                <w:rFonts w:asciiTheme="majorHAnsi" w:hAnsiTheme="majorHAnsi" w:cstheme="majorHAnsi"/>
                <w:color w:val="2E74B5" w:themeColor="accent1" w:themeShade="BF"/>
                <w:szCs w:val="16"/>
              </w:rPr>
              <w:t>2009.</w:t>
            </w:r>
          </w:p>
        </w:tc>
      </w:tr>
    </w:tbl>
    <w:p w14:paraId="755A5EFD" w14:textId="2E31F563" w:rsidR="00794EAB" w:rsidRPr="006E1DE3" w:rsidRDefault="00794EAB" w:rsidP="00F8592F">
      <w:pPr>
        <w:pStyle w:val="ListParagraph"/>
        <w:numPr>
          <w:ilvl w:val="0"/>
          <w:numId w:val="47"/>
        </w:numPr>
        <w:spacing w:after="240" w:line="240" w:lineRule="auto"/>
        <w:ind w:left="0" w:firstLine="0"/>
        <w:contextualSpacing w:val="0"/>
        <w:jc w:val="both"/>
        <w:rPr>
          <w:rFonts w:cstheme="minorHAnsi"/>
          <w:color w:val="191717"/>
          <w:lang w:val="en-US"/>
        </w:rPr>
      </w:pPr>
      <w:r>
        <w:rPr>
          <w:rFonts w:cstheme="minorHAnsi"/>
          <w:b/>
          <w:color w:val="222222"/>
          <w:lang w:val="en-US"/>
        </w:rPr>
        <w:t xml:space="preserve">This variety of agroecology </w:t>
      </w:r>
      <w:r w:rsidR="00476FA2">
        <w:rPr>
          <w:rFonts w:cstheme="minorHAnsi"/>
          <w:b/>
          <w:color w:val="222222"/>
          <w:lang w:val="en-US"/>
        </w:rPr>
        <w:t xml:space="preserve">area </w:t>
      </w:r>
      <w:r>
        <w:rPr>
          <w:rFonts w:cstheme="minorHAnsi"/>
          <w:b/>
          <w:color w:val="222222"/>
          <w:lang w:val="en-US"/>
        </w:rPr>
        <w:t xml:space="preserve">allows the production of </w:t>
      </w:r>
      <w:r w:rsidR="00476FA2">
        <w:rPr>
          <w:rFonts w:cstheme="minorHAnsi"/>
          <w:b/>
          <w:color w:val="222222"/>
          <w:lang w:val="en-US"/>
        </w:rPr>
        <w:t xml:space="preserve">a </w:t>
      </w:r>
      <w:r>
        <w:rPr>
          <w:rFonts w:cstheme="minorHAnsi"/>
          <w:b/>
          <w:color w:val="222222"/>
          <w:lang w:val="en-US"/>
        </w:rPr>
        <w:t xml:space="preserve">range of crops. </w:t>
      </w:r>
      <w:r w:rsidRPr="00B64E35">
        <w:rPr>
          <w:rFonts w:cstheme="minorHAnsi"/>
          <w:color w:val="222222"/>
          <w:lang w:val="en-US"/>
        </w:rPr>
        <w:t>The main cash crops produced in the country are cotton, cashew, and pineapple, while the main food crops include cereals (maize, sorghum, millet), rice, tubers (cassava and yams).</w:t>
      </w:r>
      <w:r w:rsidRPr="006E1DE3">
        <w:rPr>
          <w:rFonts w:cstheme="minorHAnsi"/>
          <w:lang w:val="en-US"/>
        </w:rPr>
        <w:t xml:space="preserve"> </w:t>
      </w:r>
      <w:r w:rsidRPr="006E1DE3">
        <w:rPr>
          <w:rFonts w:ascii="Calibri" w:hAnsi="Calibri" w:cs="Calibri"/>
          <w:lang w:val="en-US"/>
        </w:rPr>
        <w:t xml:space="preserve">Outside of cotton, production systems are mostly low intensive, based on traditional low-input/low-output cultivation techniques. </w:t>
      </w:r>
      <w:r w:rsidRPr="006E1DE3">
        <w:rPr>
          <w:rFonts w:cstheme="minorHAnsi"/>
          <w:lang w:val="en-US"/>
        </w:rPr>
        <w:t>Below is</w:t>
      </w:r>
      <w:r w:rsidRPr="006E1DE3">
        <w:rPr>
          <w:rFonts w:ascii="Calibri" w:hAnsi="Calibri" w:cs="Calibri"/>
          <w:lang w:val="en-US"/>
        </w:rPr>
        <w:t xml:space="preserve"> a short overview of </w:t>
      </w:r>
      <w:r w:rsidRPr="006E1DE3">
        <w:rPr>
          <w:rFonts w:cstheme="minorHAnsi"/>
          <w:lang w:val="en-US"/>
        </w:rPr>
        <w:t>key value chains:</w:t>
      </w:r>
      <w:r w:rsidRPr="006E1DE3">
        <w:rPr>
          <w:rStyle w:val="FootnoteReference"/>
          <w:rFonts w:cstheme="minorHAnsi"/>
          <w:lang w:val="en-US"/>
        </w:rPr>
        <w:footnoteReference w:id="17"/>
      </w:r>
      <w:r w:rsidRPr="006E1DE3">
        <w:rPr>
          <w:rFonts w:cstheme="minorHAnsi"/>
          <w:lang w:val="en-US"/>
        </w:rPr>
        <w:t xml:space="preserve"> </w:t>
      </w:r>
    </w:p>
    <w:p w14:paraId="26FAFAC3" w14:textId="51DE0843" w:rsidR="00794EAB" w:rsidRPr="006E1DE3" w:rsidRDefault="00794EAB" w:rsidP="009673B0">
      <w:pPr>
        <w:pStyle w:val="ListParagraph"/>
        <w:numPr>
          <w:ilvl w:val="1"/>
          <w:numId w:val="7"/>
        </w:numPr>
        <w:autoSpaceDE w:val="0"/>
        <w:autoSpaceDN w:val="0"/>
        <w:adjustRightInd w:val="0"/>
        <w:spacing w:before="120" w:after="120" w:line="240" w:lineRule="auto"/>
        <w:ind w:left="1195" w:hanging="475"/>
        <w:contextualSpacing w:val="0"/>
        <w:jc w:val="both"/>
        <w:rPr>
          <w:rFonts w:cstheme="minorHAnsi"/>
          <w:lang w:val="en-US"/>
        </w:rPr>
      </w:pPr>
      <w:r w:rsidRPr="006E1DE3">
        <w:rPr>
          <w:rFonts w:cstheme="minorHAnsi"/>
          <w:b/>
          <w:color w:val="222222"/>
          <w:lang w:val="en-US"/>
        </w:rPr>
        <w:t>Cotton:</w:t>
      </w:r>
      <w:r w:rsidRPr="006E1DE3">
        <w:rPr>
          <w:rFonts w:cstheme="minorHAnsi"/>
          <w:color w:val="222222"/>
          <w:lang w:val="en-US"/>
        </w:rPr>
        <w:t xml:space="preserve"> The cotton system accounts for almost 30 percent of the country exports and contributes to around 6 percent of GDP formation</w:t>
      </w:r>
      <w:r w:rsidR="00651749">
        <w:rPr>
          <w:rFonts w:cstheme="minorHAnsi"/>
          <w:color w:val="222222"/>
          <w:lang w:val="en-US"/>
        </w:rPr>
        <w:t xml:space="preserve"> </w:t>
      </w:r>
      <w:r w:rsidR="00651749" w:rsidRPr="006E1DE3">
        <w:rPr>
          <w:rFonts w:cstheme="minorHAnsi"/>
          <w:color w:val="222222"/>
          <w:lang w:val="en-US"/>
        </w:rPr>
        <w:t>in terms of value added</w:t>
      </w:r>
      <w:r w:rsidRPr="006E1DE3">
        <w:rPr>
          <w:rFonts w:cstheme="minorHAnsi"/>
          <w:color w:val="222222"/>
          <w:lang w:val="en-US"/>
        </w:rPr>
        <w:t>. Cotton is the main economic activity of over 325,000 households and provides cash income to nearly 2.5</w:t>
      </w:r>
      <w:r w:rsidR="00C702B4">
        <w:rPr>
          <w:rFonts w:cstheme="minorHAnsi"/>
          <w:color w:val="222222"/>
          <w:lang w:val="en-US"/>
        </w:rPr>
        <w:t> </w:t>
      </w:r>
      <w:r w:rsidRPr="006E1DE3">
        <w:rPr>
          <w:rFonts w:cstheme="minorHAnsi"/>
          <w:color w:val="222222"/>
          <w:lang w:val="en-US"/>
        </w:rPr>
        <w:t xml:space="preserve">million people in Benin, which represent 25 percent of the country population. Cotton income also creates multiplier effects in transportation, crafts, trade, and construction. On the industrial front, cotton system is key with ginning factories, cotton seed mills, and cotton wool mill. </w:t>
      </w:r>
      <w:r w:rsidR="00651749">
        <w:rPr>
          <w:rFonts w:cstheme="minorHAnsi"/>
          <w:color w:val="222222"/>
          <w:lang w:val="en-US"/>
        </w:rPr>
        <w:t>Actors</w:t>
      </w:r>
      <w:r w:rsidR="00651749" w:rsidRPr="006E1DE3">
        <w:rPr>
          <w:rFonts w:cstheme="minorHAnsi"/>
          <w:color w:val="222222"/>
          <w:lang w:val="en-US"/>
        </w:rPr>
        <w:t xml:space="preserve"> </w:t>
      </w:r>
      <w:r w:rsidRPr="006E1DE3">
        <w:rPr>
          <w:rFonts w:cstheme="minorHAnsi"/>
          <w:color w:val="222222"/>
          <w:lang w:val="en-US"/>
        </w:rPr>
        <w:t>of the subsector are organized within the Interprofessional Association of the Cotton (AIC). Cotton production grew from 61,619 tons in 2011 to 172,002 tons in 2015. The cumulative revenue of the exports of cotton during 2011–2015 in monetary terms was CFAF</w:t>
      </w:r>
      <w:r w:rsidR="00C702B4">
        <w:rPr>
          <w:rFonts w:cstheme="minorHAnsi"/>
          <w:color w:val="222222"/>
          <w:lang w:val="en-US"/>
        </w:rPr>
        <w:t> </w:t>
      </w:r>
      <w:r w:rsidRPr="006E1DE3">
        <w:rPr>
          <w:rFonts w:cstheme="minorHAnsi"/>
          <w:color w:val="222222"/>
          <w:lang w:val="en-US"/>
        </w:rPr>
        <w:t>423,877</w:t>
      </w:r>
      <w:r w:rsidR="00C702B4">
        <w:rPr>
          <w:rFonts w:cstheme="minorHAnsi"/>
          <w:color w:val="222222"/>
          <w:lang w:val="en-US"/>
        </w:rPr>
        <w:t> </w:t>
      </w:r>
      <w:r w:rsidRPr="006E1DE3">
        <w:rPr>
          <w:rFonts w:cstheme="minorHAnsi"/>
          <w:color w:val="222222"/>
          <w:lang w:val="en-US"/>
        </w:rPr>
        <w:t xml:space="preserve">million. </w:t>
      </w:r>
    </w:p>
    <w:p w14:paraId="0572BF38" w14:textId="6A2FA460" w:rsidR="00794EAB" w:rsidRPr="00087B56" w:rsidRDefault="00794EAB" w:rsidP="009673B0">
      <w:pPr>
        <w:pStyle w:val="ListParagraph"/>
        <w:numPr>
          <w:ilvl w:val="1"/>
          <w:numId w:val="7"/>
        </w:numPr>
        <w:autoSpaceDE w:val="0"/>
        <w:autoSpaceDN w:val="0"/>
        <w:adjustRightInd w:val="0"/>
        <w:spacing w:before="120" w:after="120" w:line="240" w:lineRule="auto"/>
        <w:ind w:left="1195" w:hanging="475"/>
        <w:contextualSpacing w:val="0"/>
        <w:jc w:val="both"/>
        <w:rPr>
          <w:rFonts w:cstheme="minorHAnsi"/>
          <w:lang w:val="en-US"/>
        </w:rPr>
      </w:pPr>
      <w:r w:rsidRPr="00087B56">
        <w:rPr>
          <w:rFonts w:cstheme="minorHAnsi"/>
          <w:b/>
          <w:color w:val="222222"/>
          <w:lang w:val="en-US"/>
        </w:rPr>
        <w:t>Cashew:</w:t>
      </w:r>
      <w:r w:rsidRPr="00087B56">
        <w:rPr>
          <w:rFonts w:cstheme="minorHAnsi"/>
          <w:color w:val="222222"/>
          <w:lang w:val="en-US"/>
        </w:rPr>
        <w:t xml:space="preserve"> The cashew subsector contributes to 8 percent of the country</w:t>
      </w:r>
      <w:r w:rsidR="00141BD7">
        <w:rPr>
          <w:rFonts w:cstheme="minorHAnsi"/>
          <w:color w:val="222222"/>
          <w:lang w:val="en-US"/>
        </w:rPr>
        <w:t>’</w:t>
      </w:r>
      <w:r w:rsidRPr="00087B56">
        <w:rPr>
          <w:rFonts w:cstheme="minorHAnsi"/>
          <w:color w:val="222222"/>
          <w:lang w:val="en-US"/>
        </w:rPr>
        <w:t>s export revenue (second only to cotton). Benin is the ninth-largest exporter of cashew nuts in the world. The production involves 60,000 producers and more than 200,000 actors (trade, processing, and exporting). Like in the cotton subsector, the actors are organized in an interprofessional organization. From 2011 to 2015, cashew exports increased significantly by 156 percent from 51,348 tons to 131,241 tons. These exports brought to the country more than CFAF</w:t>
      </w:r>
      <w:r w:rsidR="00C702B4">
        <w:rPr>
          <w:rFonts w:cstheme="minorHAnsi"/>
          <w:color w:val="222222"/>
          <w:lang w:val="en-US"/>
        </w:rPr>
        <w:t> </w:t>
      </w:r>
      <w:r w:rsidRPr="00087B56">
        <w:rPr>
          <w:rFonts w:cstheme="minorHAnsi"/>
          <w:color w:val="222222"/>
          <w:lang w:val="en-US"/>
        </w:rPr>
        <w:t>148,250</w:t>
      </w:r>
      <w:r w:rsidR="00C702B4">
        <w:rPr>
          <w:rFonts w:cstheme="minorHAnsi"/>
          <w:color w:val="222222"/>
          <w:lang w:val="en-US"/>
        </w:rPr>
        <w:t> </w:t>
      </w:r>
      <w:r w:rsidRPr="00087B56">
        <w:rPr>
          <w:rFonts w:cstheme="minorHAnsi"/>
          <w:color w:val="222222"/>
          <w:lang w:val="en-US"/>
        </w:rPr>
        <w:t xml:space="preserve">million over 2011–2015. </w:t>
      </w:r>
    </w:p>
    <w:p w14:paraId="1E1E798C" w14:textId="7C51FC40" w:rsidR="00794EAB" w:rsidRPr="00087B56" w:rsidRDefault="00794EAB" w:rsidP="009673B0">
      <w:pPr>
        <w:pStyle w:val="ListParagraph"/>
        <w:numPr>
          <w:ilvl w:val="1"/>
          <w:numId w:val="7"/>
        </w:numPr>
        <w:autoSpaceDE w:val="0"/>
        <w:autoSpaceDN w:val="0"/>
        <w:adjustRightInd w:val="0"/>
        <w:spacing w:before="120" w:after="120" w:line="240" w:lineRule="auto"/>
        <w:ind w:left="1195" w:hanging="475"/>
        <w:contextualSpacing w:val="0"/>
        <w:jc w:val="both"/>
        <w:rPr>
          <w:rFonts w:cstheme="minorHAnsi"/>
          <w:lang w:val="en-US"/>
        </w:rPr>
      </w:pPr>
      <w:r w:rsidRPr="00087B56">
        <w:rPr>
          <w:rFonts w:cstheme="minorHAnsi"/>
          <w:b/>
          <w:color w:val="222222"/>
          <w:lang w:val="en-US"/>
        </w:rPr>
        <w:t>Pineapple:</w:t>
      </w:r>
      <w:r w:rsidRPr="00087B56">
        <w:rPr>
          <w:rFonts w:cstheme="minorHAnsi"/>
          <w:color w:val="222222"/>
          <w:lang w:val="en-US"/>
        </w:rPr>
        <w:t xml:space="preserve"> The production involves 15,000 producers, 70 percent of whom work on 0.5–1</w:t>
      </w:r>
      <w:r w:rsidR="00C702B4">
        <w:rPr>
          <w:rFonts w:cstheme="minorHAnsi"/>
          <w:color w:val="222222"/>
          <w:lang w:val="en-US"/>
        </w:rPr>
        <w:t> </w:t>
      </w:r>
      <w:r w:rsidRPr="00087B56">
        <w:rPr>
          <w:rFonts w:cstheme="minorHAnsi"/>
          <w:color w:val="222222"/>
          <w:lang w:val="en-US"/>
        </w:rPr>
        <w:t>ha of land and about 25,000 temporary jobs. The sector contributes to 1.2 percent of the country</w:t>
      </w:r>
      <w:r w:rsidR="00141BD7">
        <w:rPr>
          <w:rFonts w:cstheme="minorHAnsi"/>
          <w:color w:val="222222"/>
          <w:lang w:val="en-US"/>
        </w:rPr>
        <w:t>’</w:t>
      </w:r>
      <w:r w:rsidRPr="00087B56">
        <w:rPr>
          <w:rFonts w:cstheme="minorHAnsi"/>
          <w:color w:val="222222"/>
          <w:lang w:val="en-US"/>
        </w:rPr>
        <w:t>s GDP. Like other crops, the pineapple yield dropped from 56,193</w:t>
      </w:r>
      <w:r w:rsidR="00C702B4">
        <w:rPr>
          <w:rFonts w:cstheme="minorHAnsi"/>
          <w:color w:val="222222"/>
          <w:lang w:val="en-US"/>
        </w:rPr>
        <w:t> </w:t>
      </w:r>
      <w:r w:rsidRPr="00087B56">
        <w:rPr>
          <w:rFonts w:cstheme="minorHAnsi"/>
          <w:color w:val="222222"/>
          <w:lang w:val="en-US"/>
        </w:rPr>
        <w:t>kg per ha in 2008 to 47,382</w:t>
      </w:r>
      <w:r w:rsidR="00C702B4">
        <w:rPr>
          <w:rFonts w:cstheme="minorHAnsi"/>
          <w:color w:val="222222"/>
          <w:lang w:val="en-US"/>
        </w:rPr>
        <w:t> </w:t>
      </w:r>
      <w:r w:rsidRPr="00087B56">
        <w:rPr>
          <w:rFonts w:cstheme="minorHAnsi"/>
          <w:color w:val="222222"/>
          <w:lang w:val="en-US"/>
        </w:rPr>
        <w:t>kg per ha in 2015. Only 23 percent of national production is processed domestically. From 2011 to 2015, 2,576 tons of pineapple was exported internationally (excluding sub</w:t>
      </w:r>
      <w:r w:rsidR="00110B3B">
        <w:rPr>
          <w:rFonts w:cstheme="minorHAnsi"/>
          <w:color w:val="222222"/>
          <w:lang w:val="en-US"/>
        </w:rPr>
        <w:t>-</w:t>
      </w:r>
      <w:r w:rsidRPr="00087B56">
        <w:rPr>
          <w:rFonts w:cstheme="minorHAnsi"/>
          <w:color w:val="222222"/>
          <w:lang w:val="en-US"/>
        </w:rPr>
        <w:t>region</w:t>
      </w:r>
      <w:r w:rsidR="00C702B4">
        <w:rPr>
          <w:rFonts w:cstheme="minorHAnsi"/>
          <w:color w:val="222222"/>
          <w:lang w:val="en-US"/>
        </w:rPr>
        <w:t>s</w:t>
      </w:r>
      <w:r w:rsidRPr="00087B56">
        <w:rPr>
          <w:rFonts w:cstheme="minorHAnsi"/>
          <w:color w:val="222222"/>
          <w:lang w:val="en-US"/>
        </w:rPr>
        <w:t>) representing a value of more than CFAF</w:t>
      </w:r>
      <w:r w:rsidR="00C702B4">
        <w:rPr>
          <w:rFonts w:cstheme="minorHAnsi"/>
          <w:color w:val="222222"/>
          <w:lang w:val="en-US"/>
        </w:rPr>
        <w:t> </w:t>
      </w:r>
      <w:r w:rsidRPr="00087B56">
        <w:rPr>
          <w:rFonts w:cstheme="minorHAnsi"/>
          <w:color w:val="222222"/>
          <w:lang w:val="en-US"/>
        </w:rPr>
        <w:t>220</w:t>
      </w:r>
      <w:r w:rsidR="00C702B4">
        <w:rPr>
          <w:rFonts w:cstheme="minorHAnsi"/>
          <w:color w:val="222222"/>
          <w:lang w:val="en-US"/>
        </w:rPr>
        <w:t> </w:t>
      </w:r>
      <w:r w:rsidRPr="00087B56">
        <w:rPr>
          <w:rFonts w:cstheme="minorHAnsi"/>
          <w:color w:val="222222"/>
          <w:lang w:val="en-US"/>
        </w:rPr>
        <w:t>million. These exports abroad represent a small part of the country</w:t>
      </w:r>
      <w:r w:rsidR="00141BD7">
        <w:rPr>
          <w:rFonts w:cstheme="minorHAnsi"/>
          <w:color w:val="222222"/>
          <w:lang w:val="en-US"/>
        </w:rPr>
        <w:t>’</w:t>
      </w:r>
      <w:r w:rsidRPr="00087B56">
        <w:rPr>
          <w:rFonts w:cstheme="minorHAnsi"/>
          <w:color w:val="222222"/>
          <w:lang w:val="en-US"/>
        </w:rPr>
        <w:t>s exports. In fact, according to several studies less than 2 percent of the national pineapple production is exported internationally, while more than 35 percent of this same production is exported to the countries of the sub</w:t>
      </w:r>
      <w:r>
        <w:rPr>
          <w:rFonts w:cstheme="minorHAnsi"/>
          <w:color w:val="222222"/>
          <w:lang w:val="en-US"/>
        </w:rPr>
        <w:t>-</w:t>
      </w:r>
      <w:r w:rsidRPr="00087B56">
        <w:rPr>
          <w:rFonts w:cstheme="minorHAnsi"/>
          <w:color w:val="222222"/>
          <w:lang w:val="en-US"/>
        </w:rPr>
        <w:t xml:space="preserve">region, mainly to Nigeria. </w:t>
      </w:r>
    </w:p>
    <w:p w14:paraId="1229BE2A" w14:textId="721A1ED2" w:rsidR="00794EAB" w:rsidRPr="006E1DE3" w:rsidRDefault="00794EAB" w:rsidP="009673B0">
      <w:pPr>
        <w:pStyle w:val="ListParagraph"/>
        <w:numPr>
          <w:ilvl w:val="1"/>
          <w:numId w:val="7"/>
        </w:numPr>
        <w:autoSpaceDE w:val="0"/>
        <w:autoSpaceDN w:val="0"/>
        <w:adjustRightInd w:val="0"/>
        <w:spacing w:before="120" w:after="120" w:line="240" w:lineRule="auto"/>
        <w:ind w:left="1195" w:hanging="475"/>
        <w:contextualSpacing w:val="0"/>
        <w:jc w:val="both"/>
        <w:rPr>
          <w:rFonts w:cstheme="minorHAnsi"/>
          <w:lang w:val="en-US"/>
        </w:rPr>
      </w:pPr>
      <w:r w:rsidRPr="006E1DE3">
        <w:rPr>
          <w:rFonts w:cstheme="minorHAnsi"/>
          <w:b/>
          <w:color w:val="222222"/>
          <w:lang w:val="en-US"/>
        </w:rPr>
        <w:t>Maize:</w:t>
      </w:r>
      <w:r w:rsidRPr="006E1DE3">
        <w:rPr>
          <w:rFonts w:cstheme="minorHAnsi"/>
          <w:color w:val="222222"/>
          <w:lang w:val="en-US"/>
        </w:rPr>
        <w:t xml:space="preserve"> </w:t>
      </w:r>
      <w:r>
        <w:rPr>
          <w:rFonts w:cstheme="minorHAnsi"/>
          <w:color w:val="222222"/>
          <w:lang w:val="en-US"/>
        </w:rPr>
        <w:t xml:space="preserve">It </w:t>
      </w:r>
      <w:r w:rsidRPr="006E1DE3">
        <w:rPr>
          <w:rFonts w:cstheme="minorHAnsi"/>
          <w:color w:val="222222"/>
          <w:lang w:val="en-US"/>
        </w:rPr>
        <w:t>accounts for 78.3 percent of all cereal production in Benin, and 52.6 percent of the country</w:t>
      </w:r>
      <w:r w:rsidR="00141BD7">
        <w:rPr>
          <w:rFonts w:cstheme="minorHAnsi"/>
          <w:color w:val="222222"/>
          <w:lang w:val="en-US"/>
        </w:rPr>
        <w:t>’</w:t>
      </w:r>
      <w:r w:rsidRPr="006E1DE3">
        <w:rPr>
          <w:rFonts w:cstheme="minorHAnsi"/>
          <w:color w:val="222222"/>
          <w:lang w:val="en-US"/>
        </w:rPr>
        <w:t>s total area planted in 2015. About 550,000 producers are producing maize, 95 percent of which farm less than 2</w:t>
      </w:r>
      <w:r>
        <w:rPr>
          <w:rFonts w:cstheme="minorHAnsi"/>
          <w:color w:val="222222"/>
          <w:lang w:val="en-US"/>
        </w:rPr>
        <w:t xml:space="preserve"> </w:t>
      </w:r>
      <w:r w:rsidRPr="006E1DE3">
        <w:rPr>
          <w:rFonts w:cstheme="minorHAnsi"/>
          <w:color w:val="222222"/>
          <w:lang w:val="en-US"/>
        </w:rPr>
        <w:t>ha. A small fraction of maize production is exported (0.04 percent) to Niger. Like other crops in country, maize yield also fell from 1</w:t>
      </w:r>
      <w:r>
        <w:rPr>
          <w:rFonts w:cstheme="minorHAnsi"/>
          <w:color w:val="222222"/>
          <w:lang w:val="en-US"/>
        </w:rPr>
        <w:t>,</w:t>
      </w:r>
      <w:r w:rsidRPr="006E1DE3">
        <w:rPr>
          <w:rFonts w:cstheme="minorHAnsi"/>
          <w:color w:val="222222"/>
          <w:lang w:val="en-US"/>
        </w:rPr>
        <w:t>422</w:t>
      </w:r>
      <w:r w:rsidR="00C702B4">
        <w:rPr>
          <w:rFonts w:cstheme="minorHAnsi"/>
          <w:color w:val="222222"/>
          <w:lang w:val="en-US"/>
        </w:rPr>
        <w:t> </w:t>
      </w:r>
      <w:r w:rsidRPr="006E1DE3">
        <w:rPr>
          <w:rFonts w:cstheme="minorHAnsi"/>
          <w:color w:val="222222"/>
          <w:lang w:val="en-US"/>
        </w:rPr>
        <w:t>kg</w:t>
      </w:r>
      <w:r>
        <w:rPr>
          <w:rFonts w:cstheme="minorHAnsi"/>
          <w:color w:val="222222"/>
          <w:lang w:val="en-US"/>
        </w:rPr>
        <w:t xml:space="preserve"> per </w:t>
      </w:r>
      <w:r w:rsidRPr="006E1DE3">
        <w:rPr>
          <w:rFonts w:cstheme="minorHAnsi"/>
          <w:color w:val="222222"/>
          <w:lang w:val="en-US"/>
        </w:rPr>
        <w:t>ha in 2011 to 1</w:t>
      </w:r>
      <w:r>
        <w:rPr>
          <w:rFonts w:cstheme="minorHAnsi"/>
          <w:color w:val="222222"/>
          <w:lang w:val="en-US"/>
        </w:rPr>
        <w:t>,</w:t>
      </w:r>
      <w:r w:rsidRPr="006E1DE3">
        <w:rPr>
          <w:rFonts w:cstheme="minorHAnsi"/>
          <w:color w:val="222222"/>
          <w:lang w:val="en-US"/>
        </w:rPr>
        <w:t>281</w:t>
      </w:r>
      <w:r w:rsidR="00C702B4">
        <w:rPr>
          <w:rFonts w:cstheme="minorHAnsi"/>
          <w:color w:val="222222"/>
          <w:lang w:val="en-US"/>
        </w:rPr>
        <w:t> </w:t>
      </w:r>
      <w:r w:rsidRPr="006E1DE3">
        <w:rPr>
          <w:rFonts w:cstheme="minorHAnsi"/>
          <w:color w:val="222222"/>
          <w:lang w:val="en-US"/>
        </w:rPr>
        <w:t>kg</w:t>
      </w:r>
      <w:r>
        <w:rPr>
          <w:rFonts w:cstheme="minorHAnsi"/>
          <w:color w:val="222222"/>
          <w:lang w:val="en-US"/>
        </w:rPr>
        <w:t xml:space="preserve"> per </w:t>
      </w:r>
      <w:r w:rsidRPr="006E1DE3">
        <w:rPr>
          <w:rFonts w:cstheme="minorHAnsi"/>
          <w:color w:val="222222"/>
          <w:lang w:val="en-US"/>
        </w:rPr>
        <w:t>ha in 2015, mainly due to poor weather conditions and non-optimal used of inputs.</w:t>
      </w:r>
    </w:p>
    <w:p w14:paraId="6670FD9D" w14:textId="27C945B7" w:rsidR="00794EAB" w:rsidRPr="006E1DE3" w:rsidRDefault="00794EAB" w:rsidP="009673B0">
      <w:pPr>
        <w:pStyle w:val="ListParagraph"/>
        <w:numPr>
          <w:ilvl w:val="1"/>
          <w:numId w:val="7"/>
        </w:numPr>
        <w:autoSpaceDE w:val="0"/>
        <w:autoSpaceDN w:val="0"/>
        <w:adjustRightInd w:val="0"/>
        <w:spacing w:before="120" w:after="120" w:line="240" w:lineRule="auto"/>
        <w:ind w:left="1195" w:hanging="475"/>
        <w:contextualSpacing w:val="0"/>
        <w:jc w:val="both"/>
        <w:rPr>
          <w:rFonts w:cstheme="minorHAnsi"/>
          <w:lang w:val="en-US"/>
        </w:rPr>
      </w:pPr>
      <w:r w:rsidRPr="006E1DE3">
        <w:rPr>
          <w:rFonts w:cstheme="minorHAnsi"/>
          <w:b/>
          <w:color w:val="222222"/>
          <w:lang w:val="en-US"/>
        </w:rPr>
        <w:t>Rice:</w:t>
      </w:r>
      <w:r w:rsidRPr="006E1DE3">
        <w:rPr>
          <w:rFonts w:cstheme="minorHAnsi"/>
          <w:color w:val="222222"/>
          <w:lang w:val="en-US"/>
        </w:rPr>
        <w:t xml:space="preserve"> It accounts for 17 percent of the country</w:t>
      </w:r>
      <w:r w:rsidR="00141BD7">
        <w:rPr>
          <w:rFonts w:cstheme="minorHAnsi"/>
          <w:color w:val="222222"/>
          <w:lang w:val="en-US"/>
        </w:rPr>
        <w:t>’</w:t>
      </w:r>
      <w:r w:rsidRPr="006E1DE3">
        <w:rPr>
          <w:rFonts w:cstheme="minorHAnsi"/>
          <w:color w:val="222222"/>
          <w:lang w:val="en-US"/>
        </w:rPr>
        <w:t>s total cereal consumption (second only to maize). Rice production involves about 70,000 producers, 42 percent of whom are women, organized into more than 1,195 producer groups. Benin has an important potential of more than 325,000</w:t>
      </w:r>
      <w:r w:rsidR="00C702B4">
        <w:rPr>
          <w:rFonts w:cstheme="minorHAnsi"/>
          <w:color w:val="222222"/>
          <w:lang w:val="en-US"/>
        </w:rPr>
        <w:t> </w:t>
      </w:r>
      <w:r w:rsidRPr="006E1DE3">
        <w:rPr>
          <w:rFonts w:cstheme="minorHAnsi"/>
          <w:color w:val="222222"/>
          <w:lang w:val="en-US"/>
        </w:rPr>
        <w:t>ha of land suitable for rice production, which includes 205,000</w:t>
      </w:r>
      <w:r w:rsidR="00C702B4">
        <w:rPr>
          <w:rFonts w:cstheme="minorHAnsi"/>
          <w:color w:val="222222"/>
          <w:lang w:val="en-US"/>
        </w:rPr>
        <w:t> </w:t>
      </w:r>
      <w:r w:rsidRPr="006E1DE3">
        <w:rPr>
          <w:rFonts w:cstheme="minorHAnsi"/>
          <w:color w:val="222222"/>
          <w:lang w:val="en-US"/>
        </w:rPr>
        <w:t>ha of lowlands and 120,000</w:t>
      </w:r>
      <w:r w:rsidR="00C702B4">
        <w:rPr>
          <w:rFonts w:cstheme="minorHAnsi"/>
          <w:color w:val="222222"/>
          <w:lang w:val="en-US"/>
        </w:rPr>
        <w:t> </w:t>
      </w:r>
      <w:r w:rsidRPr="006E1DE3">
        <w:rPr>
          <w:rFonts w:cstheme="minorHAnsi"/>
          <w:color w:val="222222"/>
          <w:lang w:val="en-US"/>
        </w:rPr>
        <w:t>ha of plains. However, the average area planted over 2011–2015 is 65.935 ha. In 2015, the country imported 979,545 tons of rice, of which 70–90 percent</w:t>
      </w:r>
      <w:r w:rsidRPr="006E1DE3">
        <w:rPr>
          <w:rStyle w:val="FootnoteReference"/>
          <w:rFonts w:cstheme="minorHAnsi"/>
          <w:color w:val="222222"/>
          <w:lang w:val="en-US"/>
        </w:rPr>
        <w:footnoteReference w:id="18"/>
      </w:r>
      <w:r w:rsidRPr="006E1DE3">
        <w:rPr>
          <w:rFonts w:cstheme="minorHAnsi"/>
          <w:color w:val="222222"/>
          <w:lang w:val="en-US"/>
        </w:rPr>
        <w:t xml:space="preserve"> is reexported to Nigeria.</w:t>
      </w:r>
    </w:p>
    <w:p w14:paraId="17BE5E42" w14:textId="52438A94" w:rsidR="00794EAB" w:rsidRPr="006E1DE3" w:rsidRDefault="00794EAB" w:rsidP="009673B0">
      <w:pPr>
        <w:pStyle w:val="ListParagraph"/>
        <w:numPr>
          <w:ilvl w:val="1"/>
          <w:numId w:val="7"/>
        </w:numPr>
        <w:autoSpaceDE w:val="0"/>
        <w:autoSpaceDN w:val="0"/>
        <w:adjustRightInd w:val="0"/>
        <w:spacing w:before="120" w:after="120" w:line="240" w:lineRule="auto"/>
        <w:ind w:left="1195" w:hanging="475"/>
        <w:contextualSpacing w:val="0"/>
        <w:jc w:val="both"/>
        <w:rPr>
          <w:rFonts w:cstheme="minorHAnsi"/>
          <w:lang w:val="en-US"/>
        </w:rPr>
      </w:pPr>
      <w:r w:rsidRPr="006E1DE3">
        <w:rPr>
          <w:rFonts w:cstheme="minorHAnsi"/>
          <w:b/>
          <w:color w:val="222222"/>
          <w:lang w:val="en-US"/>
        </w:rPr>
        <w:t>Animal (meat, milk, and egg) and fish sectors</w:t>
      </w:r>
      <w:r w:rsidRPr="006E1DE3">
        <w:rPr>
          <w:rFonts w:cstheme="minorHAnsi"/>
          <w:color w:val="222222"/>
          <w:lang w:val="en-US"/>
        </w:rPr>
        <w:t xml:space="preserve">: Current production of meat, milk, eggs, and fish is insufficient </w:t>
      </w:r>
      <w:r w:rsidR="0009339A">
        <w:rPr>
          <w:rFonts w:cstheme="minorHAnsi"/>
          <w:color w:val="222222"/>
          <w:lang w:val="en-US"/>
        </w:rPr>
        <w:t>relative to</w:t>
      </w:r>
      <w:r w:rsidR="0009339A" w:rsidRPr="006E1DE3">
        <w:rPr>
          <w:rFonts w:cstheme="minorHAnsi"/>
          <w:color w:val="222222"/>
          <w:lang w:val="en-US"/>
        </w:rPr>
        <w:t xml:space="preserve"> </w:t>
      </w:r>
      <w:r w:rsidRPr="006E1DE3">
        <w:rPr>
          <w:rFonts w:cstheme="minorHAnsi"/>
          <w:color w:val="222222"/>
          <w:lang w:val="en-US"/>
        </w:rPr>
        <w:t>the needs</w:t>
      </w:r>
      <w:r w:rsidR="0009339A">
        <w:rPr>
          <w:rFonts w:cstheme="minorHAnsi"/>
          <w:color w:val="222222"/>
          <w:lang w:val="en-US"/>
        </w:rPr>
        <w:t xml:space="preserve"> of the population</w:t>
      </w:r>
      <w:r w:rsidRPr="006E1DE3">
        <w:rPr>
          <w:rFonts w:cstheme="minorHAnsi"/>
          <w:color w:val="222222"/>
          <w:lang w:val="en-US"/>
        </w:rPr>
        <w:t>. The potentialities of livestock and fisheries seem poorly valued, even though several studies show that they are high</w:t>
      </w:r>
      <w:r w:rsidR="00706F23">
        <w:rPr>
          <w:rFonts w:cstheme="minorHAnsi"/>
          <w:color w:val="222222"/>
          <w:lang w:val="en-US"/>
        </w:rPr>
        <w:t>-</w:t>
      </w:r>
      <w:r w:rsidRPr="006E1DE3">
        <w:rPr>
          <w:rFonts w:cstheme="minorHAnsi"/>
          <w:color w:val="222222"/>
          <w:lang w:val="en-US"/>
        </w:rPr>
        <w:t xml:space="preserve">value-added subsectors and are therefore potential sources of growth. </w:t>
      </w:r>
    </w:p>
    <w:p w14:paraId="7D32C4DE" w14:textId="77777777" w:rsidR="00794EAB" w:rsidRPr="00F8592F" w:rsidRDefault="0026735F" w:rsidP="00404FC2">
      <w:pPr>
        <w:pStyle w:val="Heading3"/>
        <w:rPr>
          <w:b/>
          <w:lang w:val="en-US"/>
        </w:rPr>
      </w:pPr>
      <w:bookmarkStart w:id="52" w:name="_Toc3975154"/>
      <w:r w:rsidRPr="00F8592F">
        <w:rPr>
          <w:b/>
          <w:lang w:val="en-US"/>
        </w:rPr>
        <w:t>4.1.1 Receiving an</w:t>
      </w:r>
      <w:r w:rsidR="00404FC2" w:rsidRPr="00F8592F">
        <w:rPr>
          <w:b/>
          <w:lang w:val="en-US"/>
        </w:rPr>
        <w:t xml:space="preserve"> increasingly attention from the authorities</w:t>
      </w:r>
      <w:bookmarkEnd w:id="52"/>
    </w:p>
    <w:p w14:paraId="1FB77003" w14:textId="3BF40E1F" w:rsidR="00404FC2" w:rsidRPr="006E1DE3" w:rsidRDefault="00404FC2" w:rsidP="00F8592F">
      <w:pPr>
        <w:pStyle w:val="ListParagraph"/>
        <w:numPr>
          <w:ilvl w:val="0"/>
          <w:numId w:val="47"/>
        </w:numPr>
        <w:spacing w:after="240" w:line="240" w:lineRule="auto"/>
        <w:ind w:left="0" w:firstLine="0"/>
        <w:contextualSpacing w:val="0"/>
        <w:jc w:val="both"/>
        <w:rPr>
          <w:rFonts w:cstheme="minorHAnsi"/>
          <w:lang w:val="en-US"/>
        </w:rPr>
      </w:pPr>
      <w:r w:rsidRPr="006E1DE3">
        <w:rPr>
          <w:rFonts w:cstheme="minorHAnsi"/>
          <w:b/>
          <w:lang w:val="en-US"/>
        </w:rPr>
        <w:t xml:space="preserve">The </w:t>
      </w:r>
      <w:proofErr w:type="spellStart"/>
      <w:r w:rsidRPr="006E1DE3">
        <w:rPr>
          <w:rFonts w:cstheme="minorHAnsi"/>
          <w:b/>
          <w:lang w:val="en-US"/>
        </w:rPr>
        <w:t>GoB</w:t>
      </w:r>
      <w:proofErr w:type="spellEnd"/>
      <w:r w:rsidRPr="006E1DE3">
        <w:rPr>
          <w:rFonts w:cstheme="minorHAnsi"/>
          <w:b/>
          <w:lang w:val="en-US"/>
        </w:rPr>
        <w:t xml:space="preserve"> recognizes that agriculture is a key pillar of the economic developm</w:t>
      </w:r>
      <w:r>
        <w:rPr>
          <w:rFonts w:cstheme="minorHAnsi"/>
          <w:b/>
          <w:lang w:val="en-US"/>
        </w:rPr>
        <w:t xml:space="preserve">ent of the country, and thereby </w:t>
      </w:r>
      <w:r w:rsidRPr="006E1DE3">
        <w:rPr>
          <w:rFonts w:cstheme="minorHAnsi"/>
          <w:b/>
          <w:lang w:val="en-US"/>
        </w:rPr>
        <w:t>provides direct and indirect support for the sector development.</w:t>
      </w:r>
      <w:r w:rsidRPr="006E1DE3">
        <w:rPr>
          <w:rFonts w:cstheme="minorHAnsi"/>
          <w:lang w:val="en-US"/>
        </w:rPr>
        <w:t xml:space="preserve"> Thus, the government </w:t>
      </w:r>
      <w:r w:rsidR="0009339A">
        <w:rPr>
          <w:rFonts w:cstheme="minorHAnsi"/>
          <w:lang w:val="en-US"/>
        </w:rPr>
        <w:t>undertook</w:t>
      </w:r>
      <w:r w:rsidR="0009339A" w:rsidRPr="006E1DE3">
        <w:rPr>
          <w:rFonts w:cstheme="minorHAnsi"/>
          <w:lang w:val="en-US"/>
        </w:rPr>
        <w:t xml:space="preserve"> </w:t>
      </w:r>
      <w:r w:rsidRPr="006E1DE3">
        <w:rPr>
          <w:rFonts w:cstheme="minorHAnsi"/>
          <w:lang w:val="en-US"/>
        </w:rPr>
        <w:t xml:space="preserve">major </w:t>
      </w:r>
      <w:r w:rsidRPr="006E1DE3">
        <w:rPr>
          <w:rFonts w:cstheme="minorHAnsi"/>
          <w:color w:val="222222"/>
          <w:lang w:val="en-US"/>
        </w:rPr>
        <w:t>reforms</w:t>
      </w:r>
      <w:r w:rsidRPr="006E1DE3">
        <w:rPr>
          <w:rFonts w:cstheme="minorHAnsi"/>
          <w:lang w:val="en-US"/>
        </w:rPr>
        <w:t xml:space="preserve"> in the agricultural sector </w:t>
      </w:r>
      <w:r w:rsidR="0009339A">
        <w:rPr>
          <w:rFonts w:cstheme="minorHAnsi"/>
          <w:lang w:val="en-US"/>
        </w:rPr>
        <w:t>designed to promote</w:t>
      </w:r>
      <w:r w:rsidR="0009339A" w:rsidRPr="006E1DE3">
        <w:rPr>
          <w:rFonts w:cstheme="minorHAnsi"/>
          <w:lang w:val="en-US"/>
        </w:rPr>
        <w:t xml:space="preserve"> </w:t>
      </w:r>
      <w:r w:rsidRPr="006E1DE3">
        <w:rPr>
          <w:rFonts w:cstheme="minorHAnsi"/>
          <w:lang w:val="en-US"/>
        </w:rPr>
        <w:t>agricultural value chains and access to finance:</w:t>
      </w:r>
    </w:p>
    <w:p w14:paraId="5B50E434" w14:textId="032F4696" w:rsidR="00404FC2" w:rsidRPr="006E1DE3" w:rsidRDefault="00404FC2" w:rsidP="00404FC2">
      <w:pPr>
        <w:pStyle w:val="Default"/>
        <w:numPr>
          <w:ilvl w:val="0"/>
          <w:numId w:val="11"/>
        </w:numPr>
        <w:spacing w:after="240"/>
        <w:ind w:left="1195" w:hanging="475"/>
        <w:jc w:val="both"/>
        <w:rPr>
          <w:rFonts w:asciiTheme="minorHAnsi" w:hAnsiTheme="minorHAnsi" w:cstheme="minorHAnsi"/>
          <w:sz w:val="22"/>
          <w:szCs w:val="22"/>
          <w:lang w:val="en-US"/>
        </w:rPr>
      </w:pPr>
      <w:r w:rsidRPr="006E1DE3">
        <w:rPr>
          <w:rFonts w:asciiTheme="minorHAnsi" w:hAnsiTheme="minorHAnsi" w:cstheme="minorHAnsi"/>
          <w:sz w:val="22"/>
          <w:szCs w:val="22"/>
          <w:lang w:val="en-US"/>
        </w:rPr>
        <w:t xml:space="preserve">Establishment of agricultural development poles and </w:t>
      </w:r>
      <w:r w:rsidR="002425E2">
        <w:rPr>
          <w:rFonts w:asciiTheme="minorHAnsi" w:hAnsiTheme="minorHAnsi" w:cstheme="minorHAnsi"/>
          <w:sz w:val="22"/>
          <w:szCs w:val="22"/>
          <w:lang w:val="en-US"/>
        </w:rPr>
        <w:t>“</w:t>
      </w:r>
      <w:r w:rsidRPr="006E1DE3">
        <w:rPr>
          <w:rFonts w:asciiTheme="minorHAnsi" w:hAnsiTheme="minorHAnsi" w:cstheme="minorHAnsi"/>
          <w:sz w:val="22"/>
          <w:szCs w:val="22"/>
          <w:lang w:val="en-US"/>
        </w:rPr>
        <w:t>drivers</w:t>
      </w:r>
      <w:r w:rsidR="002425E2">
        <w:rPr>
          <w:rFonts w:asciiTheme="minorHAnsi" w:hAnsiTheme="minorHAnsi" w:cstheme="minorHAnsi"/>
          <w:sz w:val="22"/>
          <w:szCs w:val="22"/>
          <w:lang w:val="en-US"/>
        </w:rPr>
        <w:t xml:space="preserve">” </w:t>
      </w:r>
      <w:r w:rsidRPr="006E1DE3">
        <w:rPr>
          <w:rFonts w:asciiTheme="minorHAnsi" w:hAnsiTheme="minorHAnsi" w:cstheme="minorHAnsi"/>
          <w:sz w:val="22"/>
          <w:szCs w:val="22"/>
          <w:lang w:val="en-US"/>
        </w:rPr>
        <w:t>crops. Seven (7) agricultural development poles have been identified alongside the twelve Departmental Directorate of Agriculture, Livestock and Fisheries (</w:t>
      </w:r>
      <w:r w:rsidRPr="00744657">
        <w:rPr>
          <w:rFonts w:asciiTheme="minorHAnsi" w:hAnsiTheme="minorHAnsi" w:cstheme="minorHAnsi"/>
          <w:sz w:val="22"/>
          <w:szCs w:val="22"/>
          <w:lang w:val="en-US"/>
        </w:rPr>
        <w:t>DDAEP</w:t>
      </w:r>
      <w:r w:rsidRPr="006E1DE3">
        <w:rPr>
          <w:rFonts w:asciiTheme="minorHAnsi" w:hAnsiTheme="minorHAnsi" w:cstheme="minorHAnsi"/>
          <w:sz w:val="22"/>
          <w:szCs w:val="22"/>
          <w:lang w:val="en-US"/>
        </w:rPr>
        <w:t>)</w:t>
      </w:r>
      <w:r>
        <w:rPr>
          <w:rFonts w:asciiTheme="minorHAnsi" w:hAnsiTheme="minorHAnsi" w:cstheme="minorHAnsi"/>
          <w:sz w:val="22"/>
          <w:szCs w:val="22"/>
          <w:lang w:val="en-US"/>
        </w:rPr>
        <w:t>,</w:t>
      </w:r>
      <w:r w:rsidRPr="006E1DE3">
        <w:rPr>
          <w:rFonts w:asciiTheme="minorHAnsi" w:hAnsiTheme="minorHAnsi" w:cstheme="minorHAnsi"/>
          <w:sz w:val="22"/>
          <w:szCs w:val="22"/>
          <w:lang w:val="en-US"/>
        </w:rPr>
        <w:t xml:space="preserve"> and the Government Action Plan (PAG) has selected </w:t>
      </w:r>
      <w:r w:rsidRPr="006E1DE3">
        <w:rPr>
          <w:rFonts w:asciiTheme="minorHAnsi" w:hAnsiTheme="minorHAnsi" w:cstheme="minorHAnsi"/>
          <w:iCs/>
          <w:sz w:val="22"/>
          <w:szCs w:val="22"/>
          <w:lang w:val="en-US"/>
        </w:rPr>
        <w:t>ten</w:t>
      </w:r>
      <w:r w:rsidRPr="006E1DE3">
        <w:rPr>
          <w:rFonts w:asciiTheme="minorHAnsi" w:hAnsiTheme="minorHAnsi" w:cstheme="minorHAnsi"/>
          <w:sz w:val="22"/>
          <w:szCs w:val="22"/>
          <w:lang w:val="en-US"/>
        </w:rPr>
        <w:t xml:space="preserve"> crops to drive the sector development. These ten crops are</w:t>
      </w:r>
      <w:r w:rsidR="0009339A">
        <w:rPr>
          <w:rFonts w:asciiTheme="minorHAnsi" w:hAnsiTheme="minorHAnsi" w:cstheme="minorHAnsi"/>
          <w:sz w:val="22"/>
          <w:szCs w:val="22"/>
          <w:lang w:val="en-US"/>
        </w:rPr>
        <w:t xml:space="preserve"> the following</w:t>
      </w:r>
      <w:r w:rsidRPr="006E1DE3">
        <w:rPr>
          <w:rFonts w:asciiTheme="minorHAnsi" w:hAnsiTheme="minorHAnsi" w:cstheme="minorHAnsi"/>
          <w:sz w:val="22"/>
          <w:szCs w:val="22"/>
          <w:lang w:val="en-US"/>
        </w:rPr>
        <w:t>: cashew, pineapple, maize, rice, cassava and vegetable products, meat, milk, eggs</w:t>
      </w:r>
      <w:r>
        <w:rPr>
          <w:rFonts w:asciiTheme="minorHAnsi" w:hAnsiTheme="minorHAnsi" w:cstheme="minorHAnsi"/>
          <w:sz w:val="22"/>
          <w:szCs w:val="22"/>
          <w:lang w:val="en-US"/>
        </w:rPr>
        <w:t>,</w:t>
      </w:r>
      <w:r w:rsidRPr="006E1DE3">
        <w:rPr>
          <w:rFonts w:asciiTheme="minorHAnsi" w:hAnsiTheme="minorHAnsi" w:cstheme="minorHAnsi"/>
          <w:sz w:val="22"/>
          <w:szCs w:val="22"/>
          <w:lang w:val="en-US"/>
        </w:rPr>
        <w:t xml:space="preserve"> and fish.</w:t>
      </w:r>
    </w:p>
    <w:p w14:paraId="494F72CF" w14:textId="77777777" w:rsidR="00404FC2" w:rsidRPr="006E1DE3" w:rsidRDefault="00404FC2" w:rsidP="00404FC2">
      <w:pPr>
        <w:pStyle w:val="Default"/>
        <w:numPr>
          <w:ilvl w:val="0"/>
          <w:numId w:val="11"/>
        </w:numPr>
        <w:spacing w:after="240"/>
        <w:ind w:left="1195" w:hanging="475"/>
        <w:jc w:val="both"/>
        <w:rPr>
          <w:rFonts w:asciiTheme="minorHAnsi" w:hAnsiTheme="minorHAnsi" w:cstheme="minorHAnsi"/>
          <w:sz w:val="22"/>
          <w:szCs w:val="22"/>
          <w:lang w:val="en-US"/>
        </w:rPr>
      </w:pPr>
      <w:r w:rsidRPr="006E1DE3">
        <w:rPr>
          <w:rFonts w:asciiTheme="minorHAnsi" w:hAnsiTheme="minorHAnsi" w:cstheme="minorHAnsi"/>
          <w:sz w:val="22"/>
          <w:szCs w:val="22"/>
          <w:lang w:val="en-US"/>
        </w:rPr>
        <w:t xml:space="preserve">The adoption of value chain development through agricultural cluster approach. An agricultural cluster is based on the aggregation approach of actors with producers as </w:t>
      </w:r>
      <w:r>
        <w:rPr>
          <w:rFonts w:asciiTheme="minorHAnsi" w:hAnsiTheme="minorHAnsi" w:cstheme="minorHAnsi"/>
          <w:sz w:val="22"/>
          <w:szCs w:val="22"/>
          <w:lang w:val="en-US"/>
        </w:rPr>
        <w:t xml:space="preserve">the </w:t>
      </w:r>
      <w:r w:rsidRPr="006E1DE3">
        <w:rPr>
          <w:rFonts w:asciiTheme="minorHAnsi" w:hAnsiTheme="minorHAnsi" w:cstheme="minorHAnsi"/>
          <w:iCs/>
          <w:sz w:val="22"/>
          <w:szCs w:val="22"/>
          <w:lang w:val="en-US"/>
        </w:rPr>
        <w:t>aggregated</w:t>
      </w:r>
      <w:r w:rsidRPr="006E1DE3">
        <w:rPr>
          <w:rFonts w:asciiTheme="minorHAnsi" w:hAnsiTheme="minorHAnsi" w:cstheme="minorHAnsi"/>
          <w:sz w:val="22"/>
          <w:szCs w:val="22"/>
          <w:lang w:val="en-US"/>
        </w:rPr>
        <w:t xml:space="preserve">. An </w:t>
      </w:r>
      <w:r w:rsidRPr="006E1DE3">
        <w:rPr>
          <w:rFonts w:asciiTheme="minorHAnsi" w:hAnsiTheme="minorHAnsi" w:cstheme="minorHAnsi"/>
          <w:color w:val="222222"/>
          <w:sz w:val="22"/>
          <w:szCs w:val="22"/>
          <w:lang w:val="en-US"/>
        </w:rPr>
        <w:t>aggregator</w:t>
      </w:r>
      <w:r w:rsidRPr="006E1DE3">
        <w:rPr>
          <w:rFonts w:asciiTheme="minorHAnsi" w:hAnsiTheme="minorHAnsi" w:cstheme="minorHAnsi"/>
          <w:sz w:val="22"/>
          <w:szCs w:val="22"/>
          <w:lang w:val="en-US"/>
        </w:rPr>
        <w:t xml:space="preserve"> can be a processing firm, a Professional Agricultural Organization (PO), or one of the private companies that provide inputs and services to the aggregated and aggregator. The relationships between aggregated and aggregators are governed by a business model that responds to the needs of the market.</w:t>
      </w:r>
    </w:p>
    <w:p w14:paraId="07F459D3" w14:textId="47C7615D" w:rsidR="00404FC2" w:rsidRDefault="005A4A61" w:rsidP="00F8592F">
      <w:pPr>
        <w:pStyle w:val="ListParagraph"/>
        <w:numPr>
          <w:ilvl w:val="0"/>
          <w:numId w:val="47"/>
        </w:numPr>
        <w:autoSpaceDE w:val="0"/>
        <w:autoSpaceDN w:val="0"/>
        <w:adjustRightInd w:val="0"/>
        <w:spacing w:after="0" w:line="240" w:lineRule="auto"/>
        <w:ind w:left="0" w:firstLine="0"/>
        <w:jc w:val="both"/>
        <w:rPr>
          <w:rFonts w:cstheme="minorHAnsi"/>
          <w:color w:val="222222"/>
          <w:lang w:val="en"/>
        </w:rPr>
      </w:pPr>
      <w:r>
        <w:rPr>
          <w:rFonts w:cstheme="minorHAnsi"/>
          <w:b/>
          <w:color w:val="222222"/>
          <w:lang w:val="en"/>
        </w:rPr>
        <w:t>The</w:t>
      </w:r>
      <w:r w:rsidR="00404FC2" w:rsidRPr="00404FC2">
        <w:rPr>
          <w:rFonts w:cstheme="minorHAnsi"/>
          <w:b/>
          <w:color w:val="222222"/>
          <w:lang w:val="en"/>
        </w:rPr>
        <w:t xml:space="preserve"> five-year program 2016</w:t>
      </w:r>
      <w:r w:rsidR="00706F23">
        <w:rPr>
          <w:rFonts w:cstheme="minorHAnsi"/>
          <w:b/>
          <w:color w:val="222222"/>
          <w:lang w:val="en"/>
        </w:rPr>
        <w:t>–</w:t>
      </w:r>
      <w:r w:rsidR="00404FC2" w:rsidRPr="00404FC2">
        <w:rPr>
          <w:rFonts w:cstheme="minorHAnsi"/>
          <w:b/>
          <w:color w:val="222222"/>
          <w:lang w:val="en"/>
        </w:rPr>
        <w:t>2021</w:t>
      </w:r>
      <w:r>
        <w:rPr>
          <w:rFonts w:cstheme="minorHAnsi"/>
          <w:b/>
          <w:color w:val="222222"/>
          <w:lang w:val="en"/>
        </w:rPr>
        <w:t xml:space="preserve"> of t</w:t>
      </w:r>
      <w:r w:rsidRPr="00404FC2">
        <w:rPr>
          <w:rFonts w:cstheme="minorHAnsi"/>
          <w:b/>
          <w:color w:val="222222"/>
          <w:lang w:val="en"/>
        </w:rPr>
        <w:t>he Government of Benin</w:t>
      </w:r>
      <w:r w:rsidR="00404FC2" w:rsidRPr="00404FC2">
        <w:rPr>
          <w:rFonts w:cstheme="minorHAnsi"/>
          <w:b/>
          <w:color w:val="222222"/>
          <w:lang w:val="en"/>
        </w:rPr>
        <w:t xml:space="preserve"> for the economic and social development of country give</w:t>
      </w:r>
      <w:r>
        <w:rPr>
          <w:rFonts w:cstheme="minorHAnsi"/>
          <w:b/>
          <w:color w:val="222222"/>
          <w:lang w:val="en"/>
        </w:rPr>
        <w:t>s</w:t>
      </w:r>
      <w:r w:rsidR="00404FC2" w:rsidRPr="00404FC2">
        <w:rPr>
          <w:rFonts w:cstheme="minorHAnsi"/>
          <w:b/>
          <w:color w:val="222222"/>
          <w:lang w:val="en"/>
        </w:rPr>
        <w:t xml:space="preserve"> an important role to the agriculture sector.</w:t>
      </w:r>
      <w:r w:rsidR="00404FC2" w:rsidRPr="00404FC2">
        <w:rPr>
          <w:rFonts w:cstheme="minorHAnsi"/>
          <w:color w:val="222222"/>
          <w:lang w:val="en"/>
        </w:rPr>
        <w:t xml:space="preserve"> Indeed, the Government Action Program (PAG) has (3) pillars: Consolidating democracy, the rule of law and good governance; engage the structural transformation of the economy, improve the living conditions of the populations. It includes 45 projects and institutional reforms with an estimated budget of 9 039</w:t>
      </w:r>
      <w:r w:rsidR="00C702B4">
        <w:rPr>
          <w:rFonts w:cstheme="minorHAnsi"/>
          <w:color w:val="222222"/>
          <w:lang w:val="en"/>
        </w:rPr>
        <w:t> </w:t>
      </w:r>
      <w:r w:rsidR="00404FC2" w:rsidRPr="00404FC2">
        <w:rPr>
          <w:rFonts w:cstheme="minorHAnsi"/>
          <w:color w:val="222222"/>
          <w:lang w:val="en"/>
        </w:rPr>
        <w:t>billion FCFA for five years. To initiate the structural transformation of the economy, more than (7 000) billions CFAF of investments are needed for projects particularly in agriculture, tourism and culture, digital economy and ICT, Energy, transport infrastructure and processing units, etc. Approximately 3 529</w:t>
      </w:r>
      <w:r w:rsidR="00C702B4">
        <w:rPr>
          <w:rFonts w:cstheme="minorHAnsi"/>
          <w:color w:val="222222"/>
          <w:lang w:val="en"/>
        </w:rPr>
        <w:t> </w:t>
      </w:r>
      <w:r w:rsidR="00404FC2" w:rsidRPr="00404FC2">
        <w:rPr>
          <w:rFonts w:cstheme="minorHAnsi"/>
          <w:color w:val="222222"/>
          <w:lang w:val="en"/>
        </w:rPr>
        <w:t>billion CFAF is projected from public financing excluding PPP and 5 510</w:t>
      </w:r>
      <w:r w:rsidR="00C702B4">
        <w:rPr>
          <w:rFonts w:cstheme="minorHAnsi"/>
          <w:color w:val="222222"/>
          <w:lang w:val="en"/>
        </w:rPr>
        <w:t> </w:t>
      </w:r>
      <w:r w:rsidR="00404FC2" w:rsidRPr="00404FC2">
        <w:rPr>
          <w:rFonts w:cstheme="minorHAnsi"/>
          <w:color w:val="222222"/>
          <w:lang w:val="en"/>
        </w:rPr>
        <w:t xml:space="preserve">billion CFAF is expected from private financing. </w:t>
      </w:r>
    </w:p>
    <w:p w14:paraId="4426B956" w14:textId="77777777" w:rsidR="00404FC2" w:rsidRPr="00404FC2" w:rsidRDefault="00404FC2" w:rsidP="00F8592F">
      <w:pPr>
        <w:pStyle w:val="ListParagraph"/>
        <w:autoSpaceDE w:val="0"/>
        <w:autoSpaceDN w:val="0"/>
        <w:adjustRightInd w:val="0"/>
        <w:spacing w:after="0" w:line="240" w:lineRule="auto"/>
        <w:ind w:left="0"/>
        <w:jc w:val="both"/>
        <w:rPr>
          <w:rFonts w:cstheme="minorHAnsi"/>
          <w:color w:val="222222"/>
          <w:lang w:val="en"/>
        </w:rPr>
      </w:pPr>
    </w:p>
    <w:p w14:paraId="1CA0EF3D" w14:textId="46EEFB9C" w:rsidR="00404FC2" w:rsidRPr="00404FC2" w:rsidRDefault="00404FC2" w:rsidP="00F8592F">
      <w:pPr>
        <w:pStyle w:val="ListParagraph"/>
        <w:numPr>
          <w:ilvl w:val="0"/>
          <w:numId w:val="47"/>
        </w:numPr>
        <w:autoSpaceDE w:val="0"/>
        <w:autoSpaceDN w:val="0"/>
        <w:adjustRightInd w:val="0"/>
        <w:spacing w:after="0" w:line="240" w:lineRule="auto"/>
        <w:ind w:left="0" w:firstLine="0"/>
        <w:jc w:val="both"/>
        <w:rPr>
          <w:rFonts w:cstheme="minorHAnsi"/>
          <w:color w:val="222222"/>
          <w:lang w:val="en"/>
        </w:rPr>
      </w:pPr>
      <w:r w:rsidRPr="00404FC2">
        <w:rPr>
          <w:rFonts w:cstheme="minorHAnsi"/>
          <w:b/>
          <w:color w:val="222222"/>
          <w:lang w:val="en"/>
        </w:rPr>
        <w:t>To crowd</w:t>
      </w:r>
      <w:r w:rsidR="00141BD7">
        <w:rPr>
          <w:rFonts w:cstheme="minorHAnsi"/>
          <w:b/>
          <w:color w:val="222222"/>
          <w:lang w:val="en"/>
        </w:rPr>
        <w:t xml:space="preserve"> </w:t>
      </w:r>
      <w:r w:rsidRPr="00404FC2">
        <w:rPr>
          <w:rFonts w:cstheme="minorHAnsi"/>
          <w:b/>
          <w:color w:val="222222"/>
          <w:lang w:val="en"/>
        </w:rPr>
        <w:t xml:space="preserve">in private sector financing to support PAG projects fully implementation particularly for the agriculture sector given the gap, the </w:t>
      </w:r>
      <w:r w:rsidRPr="00404FC2">
        <w:rPr>
          <w:rFonts w:cstheme="minorHAnsi"/>
          <w:b/>
          <w:lang w:val="en-US"/>
        </w:rPr>
        <w:t>new strategic Plan for agriculture (</w:t>
      </w:r>
      <w:r w:rsidRPr="00404FC2">
        <w:rPr>
          <w:rFonts w:cstheme="minorHAnsi"/>
          <w:b/>
          <w:i/>
          <w:lang w:val="en-US"/>
        </w:rPr>
        <w:t xml:space="preserve">Plan </w:t>
      </w:r>
      <w:proofErr w:type="spellStart"/>
      <w:r w:rsidRPr="00404FC2">
        <w:rPr>
          <w:rFonts w:cstheme="minorHAnsi"/>
          <w:b/>
          <w:i/>
          <w:lang w:val="en-US"/>
        </w:rPr>
        <w:t>Stratégique</w:t>
      </w:r>
      <w:proofErr w:type="spellEnd"/>
      <w:r w:rsidRPr="00404FC2">
        <w:rPr>
          <w:rFonts w:cstheme="minorHAnsi"/>
          <w:b/>
          <w:i/>
          <w:lang w:val="en-US"/>
        </w:rPr>
        <w:t xml:space="preserve"> de </w:t>
      </w:r>
      <w:proofErr w:type="spellStart"/>
      <w:r w:rsidRPr="00404FC2">
        <w:rPr>
          <w:rFonts w:cstheme="minorHAnsi"/>
          <w:b/>
          <w:i/>
          <w:lang w:val="en-US"/>
        </w:rPr>
        <w:t>Développement</w:t>
      </w:r>
      <w:proofErr w:type="spellEnd"/>
      <w:r w:rsidRPr="00404FC2">
        <w:rPr>
          <w:rFonts w:cstheme="minorHAnsi"/>
          <w:b/>
          <w:i/>
          <w:lang w:val="en-US"/>
        </w:rPr>
        <w:t xml:space="preserve"> du </w:t>
      </w:r>
      <w:proofErr w:type="spellStart"/>
      <w:r w:rsidRPr="00404FC2">
        <w:rPr>
          <w:rFonts w:cstheme="minorHAnsi"/>
          <w:b/>
          <w:i/>
          <w:lang w:val="en-US"/>
        </w:rPr>
        <w:t>Secteur</w:t>
      </w:r>
      <w:proofErr w:type="spellEnd"/>
      <w:r w:rsidRPr="00404FC2">
        <w:rPr>
          <w:rFonts w:cstheme="minorHAnsi"/>
          <w:b/>
          <w:i/>
          <w:lang w:val="en-US"/>
        </w:rPr>
        <w:t xml:space="preserve"> Agricole,</w:t>
      </w:r>
      <w:r w:rsidRPr="00404FC2">
        <w:rPr>
          <w:rFonts w:cstheme="minorHAnsi"/>
          <w:b/>
          <w:lang w:val="en-US"/>
        </w:rPr>
        <w:t xml:space="preserve"> PSDSA) has a specific axis on agriculture finance and insurance.</w:t>
      </w:r>
      <w:r w:rsidRPr="00404FC2">
        <w:rPr>
          <w:rFonts w:cstheme="minorHAnsi"/>
          <w:lang w:val="en-US"/>
        </w:rPr>
        <w:t xml:space="preserve"> This dedicated axis focuses on the establishment of financing mechanisms and insurance adapted and accessible to different types of farms and categories of actors in the agricultural sector. This axis has four mains components:</w:t>
      </w:r>
    </w:p>
    <w:p w14:paraId="6506A637" w14:textId="77777777" w:rsidR="00404FC2" w:rsidRPr="006E1DE3" w:rsidRDefault="00404FC2" w:rsidP="00404FC2">
      <w:pPr>
        <w:pStyle w:val="Default"/>
        <w:numPr>
          <w:ilvl w:val="0"/>
          <w:numId w:val="11"/>
        </w:numPr>
        <w:ind w:left="1195" w:hanging="475"/>
        <w:jc w:val="both"/>
        <w:rPr>
          <w:rFonts w:asciiTheme="minorHAnsi" w:hAnsiTheme="minorHAnsi" w:cstheme="minorHAnsi"/>
          <w:sz w:val="22"/>
          <w:szCs w:val="22"/>
          <w:lang w:val="en-US"/>
        </w:rPr>
      </w:pPr>
      <w:r w:rsidRPr="006E1DE3">
        <w:rPr>
          <w:rFonts w:asciiTheme="minorHAnsi" w:hAnsiTheme="minorHAnsi" w:cstheme="minorHAnsi"/>
          <w:sz w:val="22"/>
          <w:szCs w:val="22"/>
          <w:lang w:val="en-US"/>
        </w:rPr>
        <w:t xml:space="preserve">The operationalization of FNDA in synergy with the other funds and financing instruments (FNM, </w:t>
      </w:r>
      <w:r w:rsidRPr="00744657">
        <w:rPr>
          <w:rFonts w:asciiTheme="minorHAnsi" w:hAnsiTheme="minorHAnsi" w:cstheme="minorHAnsi"/>
          <w:sz w:val="22"/>
          <w:szCs w:val="22"/>
          <w:lang w:val="en-US"/>
        </w:rPr>
        <w:t>FNPEEJ</w:t>
      </w:r>
      <w:r w:rsidRPr="006E1DE3">
        <w:rPr>
          <w:rFonts w:asciiTheme="minorHAnsi" w:hAnsiTheme="minorHAnsi" w:cstheme="minorHAnsi"/>
          <w:sz w:val="22"/>
          <w:szCs w:val="22"/>
          <w:lang w:val="en-US"/>
        </w:rPr>
        <w:t>)</w:t>
      </w:r>
    </w:p>
    <w:p w14:paraId="4B236884" w14:textId="77777777" w:rsidR="00404FC2" w:rsidRPr="006E1DE3" w:rsidRDefault="00404FC2" w:rsidP="00404FC2">
      <w:pPr>
        <w:pStyle w:val="Default"/>
        <w:numPr>
          <w:ilvl w:val="0"/>
          <w:numId w:val="11"/>
        </w:numPr>
        <w:ind w:left="1195" w:hanging="475"/>
        <w:jc w:val="both"/>
        <w:rPr>
          <w:rFonts w:asciiTheme="minorHAnsi" w:hAnsiTheme="minorHAnsi" w:cstheme="minorHAnsi"/>
          <w:sz w:val="22"/>
          <w:szCs w:val="22"/>
          <w:lang w:val="en-US"/>
        </w:rPr>
      </w:pPr>
      <w:r w:rsidRPr="006E1DE3">
        <w:rPr>
          <w:rFonts w:asciiTheme="minorHAnsi" w:hAnsiTheme="minorHAnsi" w:cstheme="minorHAnsi"/>
          <w:sz w:val="22"/>
          <w:szCs w:val="22"/>
          <w:lang w:val="en-US"/>
        </w:rPr>
        <w:t>Strengthening insurance mechanisms in the agricultural sector</w:t>
      </w:r>
    </w:p>
    <w:p w14:paraId="286D764F" w14:textId="77777777" w:rsidR="00404FC2" w:rsidRPr="00795897" w:rsidRDefault="00404FC2" w:rsidP="00404FC2">
      <w:pPr>
        <w:pStyle w:val="Default"/>
        <w:numPr>
          <w:ilvl w:val="0"/>
          <w:numId w:val="11"/>
        </w:numPr>
        <w:ind w:left="1195" w:hanging="475"/>
        <w:jc w:val="both"/>
        <w:rPr>
          <w:rFonts w:asciiTheme="minorHAnsi" w:hAnsiTheme="minorHAnsi" w:cstheme="minorHAnsi"/>
          <w:sz w:val="22"/>
          <w:szCs w:val="22"/>
          <w:lang w:val="en-US"/>
        </w:rPr>
      </w:pPr>
      <w:r w:rsidRPr="006E1DE3">
        <w:rPr>
          <w:rFonts w:asciiTheme="minorHAnsi" w:hAnsiTheme="minorHAnsi" w:cstheme="minorHAnsi"/>
          <w:sz w:val="22"/>
          <w:szCs w:val="22"/>
          <w:lang w:val="en-US"/>
        </w:rPr>
        <w:t xml:space="preserve">The </w:t>
      </w:r>
      <w:r w:rsidRPr="00795897">
        <w:rPr>
          <w:rFonts w:asciiTheme="minorHAnsi" w:hAnsiTheme="minorHAnsi" w:cstheme="minorHAnsi"/>
          <w:sz w:val="22"/>
          <w:szCs w:val="22"/>
          <w:lang w:val="en-US"/>
        </w:rPr>
        <w:t>management of calamities in the agricultural sector through the establishment of a disaster fund</w:t>
      </w:r>
    </w:p>
    <w:p w14:paraId="0A606CD3" w14:textId="77777777" w:rsidR="00404FC2" w:rsidRPr="006E1DE3" w:rsidRDefault="00404FC2" w:rsidP="00404FC2">
      <w:pPr>
        <w:pStyle w:val="Default"/>
        <w:numPr>
          <w:ilvl w:val="0"/>
          <w:numId w:val="11"/>
        </w:numPr>
        <w:ind w:left="1195" w:hanging="475"/>
        <w:jc w:val="both"/>
        <w:rPr>
          <w:rFonts w:asciiTheme="minorHAnsi" w:hAnsiTheme="minorHAnsi" w:cstheme="minorHAnsi"/>
          <w:sz w:val="22"/>
          <w:szCs w:val="22"/>
          <w:lang w:val="en-US"/>
        </w:rPr>
      </w:pPr>
      <w:r w:rsidRPr="00795897">
        <w:rPr>
          <w:rFonts w:asciiTheme="minorHAnsi" w:hAnsiTheme="minorHAnsi" w:cstheme="minorHAnsi"/>
          <w:sz w:val="22"/>
          <w:szCs w:val="22"/>
          <w:lang w:val="en-US"/>
        </w:rPr>
        <w:t>Strengthening the agriculture component of the Municipal Development Support Fund, (</w:t>
      </w:r>
      <w:proofErr w:type="spellStart"/>
      <w:r w:rsidRPr="00744657">
        <w:rPr>
          <w:rFonts w:asciiTheme="minorHAnsi" w:hAnsiTheme="minorHAnsi" w:cstheme="minorHAnsi"/>
          <w:sz w:val="22"/>
          <w:szCs w:val="22"/>
          <w:lang w:val="en-US"/>
        </w:rPr>
        <w:t>FADeC</w:t>
      </w:r>
      <w:proofErr w:type="spellEnd"/>
      <w:r w:rsidRPr="00795897">
        <w:rPr>
          <w:rFonts w:asciiTheme="minorHAnsi" w:hAnsiTheme="minorHAnsi" w:cstheme="minorHAnsi"/>
          <w:sz w:val="22"/>
          <w:szCs w:val="22"/>
          <w:lang w:val="en-US"/>
        </w:rPr>
        <w:t>-Agriculture</w:t>
      </w:r>
      <w:r w:rsidRPr="006E1DE3">
        <w:rPr>
          <w:rFonts w:asciiTheme="minorHAnsi" w:hAnsiTheme="minorHAnsi" w:cstheme="minorHAnsi"/>
          <w:sz w:val="22"/>
          <w:szCs w:val="22"/>
          <w:lang w:val="en-US"/>
        </w:rPr>
        <w:t>)</w:t>
      </w:r>
    </w:p>
    <w:p w14:paraId="7810366D" w14:textId="59376CCE" w:rsidR="00404FC2" w:rsidRPr="006E1DE3" w:rsidRDefault="00404FC2" w:rsidP="00F8592F">
      <w:pPr>
        <w:pStyle w:val="ListParagraph"/>
        <w:numPr>
          <w:ilvl w:val="0"/>
          <w:numId w:val="47"/>
        </w:numPr>
        <w:spacing w:before="120" w:after="120" w:line="240" w:lineRule="auto"/>
        <w:ind w:left="0" w:firstLine="0"/>
        <w:contextualSpacing w:val="0"/>
        <w:jc w:val="both"/>
        <w:rPr>
          <w:rFonts w:cstheme="minorHAnsi"/>
          <w:lang w:val="en-US"/>
        </w:rPr>
      </w:pPr>
      <w:r>
        <w:rPr>
          <w:rFonts w:cstheme="minorHAnsi"/>
          <w:b/>
          <w:lang w:val="en-US"/>
        </w:rPr>
        <w:t>In addition, this strategic focus, the</w:t>
      </w:r>
      <w:r w:rsidRPr="006E1DE3">
        <w:rPr>
          <w:rFonts w:cstheme="minorHAnsi"/>
          <w:b/>
          <w:lang w:val="en-US"/>
        </w:rPr>
        <w:t xml:space="preserve"> </w:t>
      </w:r>
      <w:proofErr w:type="spellStart"/>
      <w:r w:rsidRPr="006E1DE3">
        <w:rPr>
          <w:rFonts w:cstheme="minorHAnsi"/>
          <w:b/>
          <w:lang w:val="en-US"/>
        </w:rPr>
        <w:t>GoB</w:t>
      </w:r>
      <w:proofErr w:type="spellEnd"/>
      <w:r w:rsidRPr="006E1DE3">
        <w:rPr>
          <w:rFonts w:cstheme="minorHAnsi"/>
          <w:b/>
          <w:lang w:val="en-US"/>
        </w:rPr>
        <w:t xml:space="preserve"> ratified several texts to enhance the environment for private sector financing. </w:t>
      </w:r>
      <w:r w:rsidRPr="006E1DE3">
        <w:rPr>
          <w:rFonts w:cstheme="minorHAnsi"/>
          <w:lang w:val="en-US"/>
        </w:rPr>
        <w:t xml:space="preserve">The leasing law (L. No. 2017-02) will allow banks as well as MFIs to offer leasing products that will contribute to opening access to credit to entrepreneurs, through the removal of two obstacles: the collateral requirement for the borrower and on the </w:t>
      </w:r>
      <w:proofErr w:type="gramStart"/>
      <w:r w:rsidRPr="006E1DE3">
        <w:rPr>
          <w:rFonts w:cstheme="minorHAnsi"/>
          <w:lang w:val="en-US"/>
        </w:rPr>
        <w:t>supply</w:t>
      </w:r>
      <w:proofErr w:type="gramEnd"/>
      <w:r w:rsidRPr="006E1DE3">
        <w:rPr>
          <w:rFonts w:cstheme="minorHAnsi"/>
          <w:lang w:val="en-US"/>
        </w:rPr>
        <w:t xml:space="preserve"> side </w:t>
      </w:r>
      <w:r w:rsidR="00110B3B">
        <w:rPr>
          <w:rFonts w:cstheme="minorHAnsi"/>
          <w:lang w:val="en-US"/>
        </w:rPr>
        <w:t xml:space="preserve">is </w:t>
      </w:r>
      <w:r w:rsidRPr="006E1DE3">
        <w:rPr>
          <w:rFonts w:cstheme="minorHAnsi"/>
          <w:lang w:val="en-US"/>
        </w:rPr>
        <w:t>the facilitation of the recovery of equipment acquired by the bank in the case of defaults. The government has also ratified a law on factoring and on the Credit Bureau. The Credit Bureau currently concerns banks and MFIs under Article</w:t>
      </w:r>
      <w:r w:rsidR="00C702B4">
        <w:rPr>
          <w:rFonts w:cstheme="minorHAnsi"/>
          <w:lang w:val="en-US"/>
        </w:rPr>
        <w:t> </w:t>
      </w:r>
      <w:r w:rsidRPr="006E1DE3">
        <w:rPr>
          <w:rFonts w:cstheme="minorHAnsi"/>
          <w:lang w:val="en-US"/>
        </w:rPr>
        <w:t>44 and aims to reduce the asymmetry of information between lenders and borrowers.</w:t>
      </w:r>
    </w:p>
    <w:p w14:paraId="2104D90E" w14:textId="77777777" w:rsidR="00404FC2" w:rsidRPr="006E1DE3" w:rsidRDefault="00404FC2" w:rsidP="00F8592F">
      <w:pPr>
        <w:pStyle w:val="ListParagraph"/>
        <w:numPr>
          <w:ilvl w:val="0"/>
          <w:numId w:val="47"/>
        </w:numPr>
        <w:spacing w:after="240" w:line="240" w:lineRule="auto"/>
        <w:ind w:left="0" w:firstLine="0"/>
        <w:contextualSpacing w:val="0"/>
        <w:jc w:val="both"/>
        <w:rPr>
          <w:rFonts w:cstheme="minorHAnsi"/>
          <w:lang w:val="en-US"/>
        </w:rPr>
      </w:pPr>
      <w:r w:rsidRPr="006E1DE3">
        <w:rPr>
          <w:rFonts w:cstheme="minorHAnsi"/>
          <w:b/>
          <w:lang w:val="en-US"/>
        </w:rPr>
        <w:t xml:space="preserve">The </w:t>
      </w:r>
      <w:proofErr w:type="spellStart"/>
      <w:r w:rsidRPr="006E1DE3">
        <w:rPr>
          <w:rFonts w:cstheme="minorHAnsi"/>
          <w:b/>
          <w:lang w:val="en-US"/>
        </w:rPr>
        <w:t>GoB</w:t>
      </w:r>
      <w:proofErr w:type="spellEnd"/>
      <w:r w:rsidRPr="006E1DE3">
        <w:rPr>
          <w:rFonts w:cstheme="minorHAnsi"/>
          <w:b/>
          <w:lang w:val="en-US"/>
        </w:rPr>
        <w:t xml:space="preserve"> </w:t>
      </w:r>
      <w:r>
        <w:rPr>
          <w:rFonts w:cstheme="minorHAnsi"/>
          <w:b/>
          <w:lang w:val="en-US"/>
        </w:rPr>
        <w:t xml:space="preserve">established </w:t>
      </w:r>
      <w:r w:rsidRPr="006E1DE3">
        <w:rPr>
          <w:rFonts w:cstheme="minorHAnsi"/>
          <w:b/>
          <w:lang w:val="en-US"/>
        </w:rPr>
        <w:t>financial instruments to</w:t>
      </w:r>
      <w:r>
        <w:rPr>
          <w:rFonts w:cstheme="minorHAnsi"/>
          <w:b/>
          <w:lang w:val="en-US"/>
        </w:rPr>
        <w:t xml:space="preserve"> attract private financing and</w:t>
      </w:r>
      <w:r w:rsidRPr="006E1DE3">
        <w:rPr>
          <w:rFonts w:cstheme="minorHAnsi"/>
          <w:b/>
          <w:lang w:val="en-US"/>
        </w:rPr>
        <w:t xml:space="preserve"> facilitate access</w:t>
      </w:r>
      <w:r>
        <w:rPr>
          <w:rFonts w:cstheme="minorHAnsi"/>
          <w:b/>
          <w:lang w:val="en-US"/>
        </w:rPr>
        <w:t xml:space="preserve"> of smallholders and MSMEs</w:t>
      </w:r>
      <w:r w:rsidRPr="006E1DE3">
        <w:rPr>
          <w:rFonts w:cstheme="minorHAnsi"/>
          <w:b/>
          <w:lang w:val="en-US"/>
        </w:rPr>
        <w:t xml:space="preserve"> to credit and insurance</w:t>
      </w:r>
      <w:r>
        <w:rPr>
          <w:rFonts w:cstheme="minorHAnsi"/>
          <w:b/>
          <w:lang w:val="en-US"/>
        </w:rPr>
        <w:t xml:space="preserve"> in the agriculture sector</w:t>
      </w:r>
      <w:r w:rsidRPr="006E1DE3">
        <w:rPr>
          <w:rFonts w:cstheme="minorHAnsi"/>
          <w:b/>
          <w:lang w:val="en-US"/>
        </w:rPr>
        <w:t xml:space="preserve">. </w:t>
      </w:r>
      <w:r w:rsidRPr="006E1DE3">
        <w:rPr>
          <w:rFonts w:cstheme="minorHAnsi"/>
          <w:lang w:val="en-US"/>
        </w:rPr>
        <w:t>Indeed,</w:t>
      </w:r>
      <w:r w:rsidRPr="006E1DE3">
        <w:rPr>
          <w:rFonts w:cstheme="minorHAnsi"/>
          <w:b/>
          <w:lang w:val="en-US"/>
        </w:rPr>
        <w:t xml:space="preserve"> </w:t>
      </w:r>
      <w:r w:rsidRPr="006E1DE3">
        <w:rPr>
          <w:rFonts w:cstheme="minorHAnsi"/>
          <w:lang w:val="en-US"/>
        </w:rPr>
        <w:t xml:space="preserve">the </w:t>
      </w:r>
      <w:proofErr w:type="spellStart"/>
      <w:r w:rsidRPr="006E1DE3">
        <w:rPr>
          <w:rFonts w:cstheme="minorHAnsi"/>
          <w:lang w:val="en-US"/>
        </w:rPr>
        <w:t>GoB</w:t>
      </w:r>
      <w:proofErr w:type="spellEnd"/>
      <w:r w:rsidRPr="006E1DE3">
        <w:rPr>
          <w:rFonts w:cstheme="minorHAnsi"/>
          <w:lang w:val="en-US"/>
        </w:rPr>
        <w:t xml:space="preserve"> established a risk-sharing facility and credit instruments that are descri</w:t>
      </w:r>
      <w:r>
        <w:rPr>
          <w:rFonts w:cstheme="minorHAnsi"/>
          <w:lang w:val="en-US"/>
        </w:rPr>
        <w:t>bed in the following paragraphs:</w:t>
      </w:r>
    </w:p>
    <w:p w14:paraId="52079F77" w14:textId="12C2572B" w:rsidR="00404FC2" w:rsidRPr="006E1DE3" w:rsidRDefault="00404FC2" w:rsidP="00F8592F">
      <w:pPr>
        <w:pStyle w:val="ListParagraph"/>
        <w:numPr>
          <w:ilvl w:val="0"/>
          <w:numId w:val="45"/>
        </w:numPr>
        <w:spacing w:before="120" w:after="120" w:line="240" w:lineRule="auto"/>
        <w:contextualSpacing w:val="0"/>
        <w:jc w:val="both"/>
        <w:rPr>
          <w:rFonts w:cstheme="minorHAnsi"/>
          <w:lang w:val="en-US"/>
        </w:rPr>
      </w:pPr>
      <w:r w:rsidRPr="006E1DE3">
        <w:rPr>
          <w:rFonts w:cstheme="minorHAnsi"/>
          <w:b/>
          <w:lang w:val="en-US"/>
        </w:rPr>
        <w:t>FONAGA:</w:t>
      </w:r>
      <w:r w:rsidRPr="006E1DE3">
        <w:rPr>
          <w:rFonts w:cstheme="minorHAnsi"/>
          <w:lang w:val="en-US"/>
        </w:rPr>
        <w:t xml:space="preserve"> The fund was established in 1990 and operates independent of the government. The initial allocation of funds was CFAF</w:t>
      </w:r>
      <w:r w:rsidR="00C702B4">
        <w:rPr>
          <w:rFonts w:cstheme="minorHAnsi"/>
          <w:lang w:val="en-US"/>
        </w:rPr>
        <w:t> </w:t>
      </w:r>
      <w:r w:rsidRPr="006E1DE3">
        <w:rPr>
          <w:rFonts w:cstheme="minorHAnsi"/>
          <w:lang w:val="en-US"/>
        </w:rPr>
        <w:t>1.5</w:t>
      </w:r>
      <w:r w:rsidR="00C702B4">
        <w:rPr>
          <w:rFonts w:cstheme="minorHAnsi"/>
          <w:lang w:val="en-US"/>
        </w:rPr>
        <w:t> </w:t>
      </w:r>
      <w:r w:rsidRPr="006E1DE3">
        <w:rPr>
          <w:rFonts w:cstheme="minorHAnsi"/>
          <w:lang w:val="en-US"/>
        </w:rPr>
        <w:t>billion with the mission of facilitating SME access to bank financing. Its main activity is the provision of partial guarantees to banks that grant loans to SMEs. FONAGA provides collateral for both short-term and medium</w:t>
      </w:r>
      <w:r w:rsidR="00141BD7">
        <w:rPr>
          <w:rFonts w:cstheme="minorHAnsi"/>
          <w:lang w:val="en-US"/>
        </w:rPr>
        <w:t>—</w:t>
      </w:r>
      <w:r w:rsidRPr="006E1DE3">
        <w:rPr>
          <w:rFonts w:cstheme="minorHAnsi"/>
          <w:lang w:val="en-US"/>
        </w:rPr>
        <w:t xml:space="preserve">to long-term loans for private businesses in all economic sectors. However, the intervention of the fund in </w:t>
      </w:r>
      <w:r>
        <w:rPr>
          <w:rFonts w:cstheme="minorHAnsi"/>
          <w:lang w:val="en-US"/>
        </w:rPr>
        <w:t xml:space="preserve">the </w:t>
      </w:r>
      <w:r w:rsidRPr="006E1DE3">
        <w:rPr>
          <w:rFonts w:cstheme="minorHAnsi"/>
          <w:lang w:val="en-US"/>
        </w:rPr>
        <w:t xml:space="preserve">agricultural </w:t>
      </w:r>
      <w:r>
        <w:rPr>
          <w:rFonts w:cstheme="minorHAnsi"/>
          <w:lang w:val="en-US"/>
        </w:rPr>
        <w:t xml:space="preserve">sector </w:t>
      </w:r>
      <w:r w:rsidRPr="006E1DE3">
        <w:rPr>
          <w:rFonts w:cstheme="minorHAnsi"/>
          <w:lang w:val="en-US"/>
        </w:rPr>
        <w:t>is very limited. FONAGA has agreement with banks and deals with about 350 SMEs each year that obtain more than CFAF</w:t>
      </w:r>
      <w:r w:rsidR="00C702B4">
        <w:rPr>
          <w:rFonts w:cstheme="minorHAnsi"/>
          <w:lang w:val="en-US"/>
        </w:rPr>
        <w:t> </w:t>
      </w:r>
      <w:r w:rsidRPr="006E1DE3">
        <w:rPr>
          <w:rFonts w:cstheme="minorHAnsi"/>
          <w:lang w:val="en-US"/>
        </w:rPr>
        <w:t>2.5</w:t>
      </w:r>
      <w:r w:rsidRPr="006E1DE3">
        <w:rPr>
          <w:rStyle w:val="FootnoteReference"/>
          <w:rFonts w:cstheme="minorHAnsi"/>
          <w:lang w:val="en-US"/>
        </w:rPr>
        <w:footnoteReference w:id="19"/>
      </w:r>
      <w:r w:rsidR="00C702B4">
        <w:rPr>
          <w:rFonts w:cstheme="minorHAnsi"/>
          <w:lang w:val="en-US"/>
        </w:rPr>
        <w:t> </w:t>
      </w:r>
      <w:r w:rsidRPr="006E1DE3">
        <w:rPr>
          <w:rFonts w:cstheme="minorHAnsi"/>
          <w:lang w:val="en-US"/>
        </w:rPr>
        <w:t xml:space="preserve">billion of loans. In exchange for the commission paid to FONAGA, a borrower can access their services in two ways: </w:t>
      </w:r>
    </w:p>
    <w:p w14:paraId="097D669C" w14:textId="77777777" w:rsidR="00404FC2" w:rsidRPr="006E1DE3" w:rsidRDefault="00404FC2" w:rsidP="00F8592F">
      <w:pPr>
        <w:pStyle w:val="Default"/>
        <w:numPr>
          <w:ilvl w:val="1"/>
          <w:numId w:val="11"/>
        </w:numPr>
        <w:spacing w:before="120" w:after="120"/>
        <w:jc w:val="both"/>
        <w:rPr>
          <w:rFonts w:asciiTheme="minorHAnsi" w:hAnsiTheme="minorHAnsi" w:cstheme="minorHAnsi"/>
          <w:color w:val="222222"/>
          <w:sz w:val="22"/>
          <w:szCs w:val="20"/>
          <w:lang w:val="en-US"/>
        </w:rPr>
      </w:pPr>
      <w:r w:rsidRPr="006E1DE3">
        <w:rPr>
          <w:rFonts w:asciiTheme="minorHAnsi" w:hAnsiTheme="minorHAnsi" w:cstheme="minorHAnsi"/>
          <w:sz w:val="22"/>
          <w:szCs w:val="20"/>
          <w:lang w:val="en-US"/>
        </w:rPr>
        <w:t xml:space="preserve">A </w:t>
      </w:r>
      <w:r w:rsidRPr="006E1DE3">
        <w:rPr>
          <w:rFonts w:asciiTheme="minorHAnsi" w:hAnsiTheme="minorHAnsi" w:cstheme="minorHAnsi"/>
          <w:color w:val="222222"/>
          <w:sz w:val="22"/>
          <w:szCs w:val="20"/>
          <w:lang w:val="en-US"/>
        </w:rPr>
        <w:t xml:space="preserve">bank after its analysis can refer the client to FONAGA for a guarantee. FONAGA will conduct its own due diligence of the loan application and based on the result of the </w:t>
      </w:r>
      <w:r w:rsidRPr="006E1DE3">
        <w:rPr>
          <w:rFonts w:asciiTheme="minorHAnsi" w:hAnsiTheme="minorHAnsi" w:cstheme="minorHAnsi"/>
          <w:color w:val="auto"/>
          <w:sz w:val="22"/>
          <w:szCs w:val="20"/>
          <w:lang w:val="en-US"/>
        </w:rPr>
        <w:t>assessment</w:t>
      </w:r>
      <w:r w:rsidRPr="006E1DE3">
        <w:rPr>
          <w:rFonts w:asciiTheme="minorHAnsi" w:hAnsiTheme="minorHAnsi" w:cstheme="minorHAnsi"/>
          <w:color w:val="222222"/>
          <w:sz w:val="22"/>
          <w:szCs w:val="20"/>
          <w:lang w:val="en-US"/>
        </w:rPr>
        <w:t xml:space="preserve"> can provide a guarantee for up to 50 percent.</w:t>
      </w:r>
    </w:p>
    <w:p w14:paraId="2AD62200" w14:textId="683CFAC4" w:rsidR="00404FC2" w:rsidRPr="00673099" w:rsidRDefault="00404FC2" w:rsidP="00F8592F">
      <w:pPr>
        <w:pStyle w:val="Default"/>
        <w:numPr>
          <w:ilvl w:val="1"/>
          <w:numId w:val="11"/>
        </w:numPr>
        <w:spacing w:before="120" w:after="120"/>
        <w:jc w:val="both"/>
        <w:rPr>
          <w:rFonts w:asciiTheme="minorHAnsi" w:hAnsiTheme="minorHAnsi" w:cstheme="minorHAnsi"/>
          <w:color w:val="222222"/>
          <w:sz w:val="22"/>
          <w:szCs w:val="20"/>
          <w:lang w:val="en-US"/>
        </w:rPr>
      </w:pPr>
      <w:r w:rsidRPr="006E1DE3">
        <w:rPr>
          <w:rFonts w:asciiTheme="minorHAnsi" w:hAnsiTheme="minorHAnsi" w:cstheme="minorHAnsi"/>
          <w:color w:val="222222"/>
          <w:sz w:val="22"/>
          <w:szCs w:val="20"/>
          <w:lang w:val="en-US"/>
        </w:rPr>
        <w:t xml:space="preserve">A </w:t>
      </w:r>
      <w:r w:rsidRPr="00795897">
        <w:rPr>
          <w:rFonts w:asciiTheme="minorHAnsi" w:hAnsiTheme="minorHAnsi" w:cstheme="minorHAnsi"/>
          <w:color w:val="222222"/>
          <w:sz w:val="22"/>
          <w:szCs w:val="20"/>
          <w:lang w:val="en-US"/>
        </w:rPr>
        <w:t>client (</w:t>
      </w:r>
      <w:r w:rsidRPr="00744657">
        <w:rPr>
          <w:rFonts w:asciiTheme="minorHAnsi" w:hAnsiTheme="minorHAnsi" w:cstheme="minorHAnsi"/>
          <w:color w:val="222222"/>
          <w:sz w:val="22"/>
          <w:szCs w:val="20"/>
          <w:lang w:val="en-US"/>
        </w:rPr>
        <w:t>SME</w:t>
      </w:r>
      <w:r w:rsidRPr="00795897">
        <w:rPr>
          <w:rFonts w:asciiTheme="minorHAnsi" w:hAnsiTheme="minorHAnsi" w:cstheme="minorHAnsi"/>
          <w:color w:val="222222"/>
          <w:sz w:val="22"/>
          <w:szCs w:val="20"/>
          <w:lang w:val="en-US"/>
        </w:rPr>
        <w:t>) can also go</w:t>
      </w:r>
      <w:r w:rsidRPr="006E1DE3">
        <w:rPr>
          <w:rFonts w:asciiTheme="minorHAnsi" w:hAnsiTheme="minorHAnsi" w:cstheme="minorHAnsi"/>
          <w:color w:val="222222"/>
          <w:sz w:val="22"/>
          <w:szCs w:val="20"/>
          <w:lang w:val="en-US"/>
        </w:rPr>
        <w:t xml:space="preserve"> directly to FONAGA to obtain a loan guarantee and/or support to </w:t>
      </w:r>
      <w:r w:rsidRPr="006E1DE3">
        <w:rPr>
          <w:rFonts w:asciiTheme="minorHAnsi" w:hAnsiTheme="minorHAnsi" w:cstheme="minorHAnsi"/>
          <w:color w:val="auto"/>
          <w:sz w:val="22"/>
          <w:szCs w:val="20"/>
          <w:lang w:val="en-US"/>
        </w:rPr>
        <w:t>develop</w:t>
      </w:r>
      <w:r w:rsidRPr="006E1DE3">
        <w:rPr>
          <w:rFonts w:asciiTheme="minorHAnsi" w:hAnsiTheme="minorHAnsi" w:cstheme="minorHAnsi"/>
          <w:color w:val="222222"/>
          <w:sz w:val="22"/>
          <w:szCs w:val="20"/>
          <w:lang w:val="en-US"/>
        </w:rPr>
        <w:t xml:space="preserve"> a bankable business plan to access a loan. Again, the borrower will go through two assessments (FONAGA and the banks).</w:t>
      </w:r>
      <w:r>
        <w:rPr>
          <w:rFonts w:asciiTheme="minorHAnsi" w:hAnsiTheme="minorHAnsi" w:cstheme="minorHAnsi"/>
          <w:color w:val="222222"/>
          <w:sz w:val="22"/>
          <w:szCs w:val="20"/>
          <w:lang w:val="en-US"/>
        </w:rPr>
        <w:t xml:space="preserve"> </w:t>
      </w:r>
      <w:r w:rsidRPr="00673099">
        <w:rPr>
          <w:rFonts w:asciiTheme="minorHAnsi" w:hAnsiTheme="minorHAnsi" w:cstheme="minorHAnsi"/>
          <w:color w:val="222222"/>
          <w:sz w:val="22"/>
          <w:szCs w:val="20"/>
          <w:lang w:val="en-US"/>
        </w:rPr>
        <w:t xml:space="preserve">The </w:t>
      </w:r>
      <w:r w:rsidRPr="00673099">
        <w:rPr>
          <w:rFonts w:asciiTheme="minorHAnsi" w:hAnsiTheme="minorHAnsi" w:cstheme="minorHAnsi"/>
          <w:color w:val="auto"/>
          <w:sz w:val="22"/>
          <w:szCs w:val="20"/>
          <w:lang w:val="en-US"/>
        </w:rPr>
        <w:t>maximum</w:t>
      </w:r>
      <w:r w:rsidRPr="00673099">
        <w:rPr>
          <w:rFonts w:asciiTheme="minorHAnsi" w:hAnsiTheme="minorHAnsi" w:cstheme="minorHAnsi"/>
          <w:color w:val="222222"/>
          <w:sz w:val="22"/>
          <w:szCs w:val="20"/>
          <w:lang w:val="en-US"/>
        </w:rPr>
        <w:t xml:space="preserve"> amount of the partial guarantee provide by FONAGA to a single borrower is limited to CFAF</w:t>
      </w:r>
      <w:r w:rsidR="00C702B4">
        <w:rPr>
          <w:rFonts w:asciiTheme="minorHAnsi" w:hAnsiTheme="minorHAnsi" w:cstheme="minorHAnsi"/>
          <w:color w:val="222222"/>
          <w:sz w:val="22"/>
          <w:szCs w:val="20"/>
          <w:lang w:val="en-US"/>
        </w:rPr>
        <w:t> </w:t>
      </w:r>
      <w:r w:rsidRPr="00673099">
        <w:rPr>
          <w:rFonts w:asciiTheme="minorHAnsi" w:hAnsiTheme="minorHAnsi" w:cstheme="minorHAnsi"/>
          <w:color w:val="222222"/>
          <w:sz w:val="22"/>
          <w:szCs w:val="20"/>
          <w:lang w:val="en-US"/>
        </w:rPr>
        <w:t>30</w:t>
      </w:r>
      <w:r w:rsidR="00C702B4">
        <w:rPr>
          <w:rFonts w:asciiTheme="minorHAnsi" w:hAnsiTheme="minorHAnsi" w:cstheme="minorHAnsi"/>
          <w:sz w:val="22"/>
          <w:szCs w:val="20"/>
          <w:lang w:val="en-US"/>
        </w:rPr>
        <w:t> </w:t>
      </w:r>
      <w:r w:rsidRPr="00673099">
        <w:rPr>
          <w:rFonts w:asciiTheme="minorHAnsi" w:hAnsiTheme="minorHAnsi" w:cstheme="minorHAnsi"/>
          <w:sz w:val="22"/>
          <w:szCs w:val="20"/>
          <w:lang w:val="en-US"/>
        </w:rPr>
        <w:t>million.</w:t>
      </w:r>
    </w:p>
    <w:p w14:paraId="73E31DBB" w14:textId="152036D7" w:rsidR="00404FC2" w:rsidRDefault="00404FC2" w:rsidP="00F8592F">
      <w:pPr>
        <w:pStyle w:val="ListParagraph"/>
        <w:numPr>
          <w:ilvl w:val="0"/>
          <w:numId w:val="11"/>
        </w:numPr>
        <w:spacing w:before="120" w:after="120" w:line="240" w:lineRule="auto"/>
        <w:contextualSpacing w:val="0"/>
        <w:jc w:val="both"/>
        <w:rPr>
          <w:rFonts w:cstheme="minorHAnsi"/>
          <w:lang w:val="en-US"/>
        </w:rPr>
      </w:pPr>
      <w:r w:rsidRPr="006E1DE3">
        <w:rPr>
          <w:rFonts w:cstheme="minorHAnsi"/>
          <w:b/>
          <w:lang w:val="en-US"/>
        </w:rPr>
        <w:t>FNDA:</w:t>
      </w:r>
      <w:r w:rsidRPr="006E1DE3">
        <w:rPr>
          <w:rFonts w:cstheme="minorHAnsi"/>
          <w:lang w:val="en-US"/>
        </w:rPr>
        <w:t xml:space="preserve"> The </w:t>
      </w:r>
      <w:proofErr w:type="spellStart"/>
      <w:r w:rsidRPr="006E1DE3">
        <w:rPr>
          <w:rFonts w:cstheme="minorHAnsi"/>
          <w:lang w:val="en-US"/>
        </w:rPr>
        <w:t>GoB</w:t>
      </w:r>
      <w:proofErr w:type="spellEnd"/>
      <w:r w:rsidRPr="006E1DE3">
        <w:rPr>
          <w:rFonts w:cstheme="minorHAnsi"/>
          <w:lang w:val="en-US"/>
        </w:rPr>
        <w:t xml:space="preserve"> adopted a new decree in June 2017 defining the new orientation of the funds. FNDA is the flagship financing instrument for the agricultural component of the PAG and aims to finance the development and modernization of the agricultural sector. FNDA will benefit the support of the Belgian cooperation </w:t>
      </w:r>
      <w:r w:rsidRPr="00795897">
        <w:rPr>
          <w:rFonts w:cstheme="minorHAnsi"/>
          <w:lang w:val="en-US"/>
        </w:rPr>
        <w:t>and EU budget</w:t>
      </w:r>
      <w:r w:rsidRPr="006E1DE3">
        <w:rPr>
          <w:rFonts w:cstheme="minorHAnsi"/>
          <w:lang w:val="en-US"/>
        </w:rPr>
        <w:t xml:space="preserve"> support for the revision of the manual of procedures and the development of </w:t>
      </w:r>
      <w:r>
        <w:rPr>
          <w:rFonts w:cstheme="minorHAnsi"/>
          <w:lang w:val="en-US"/>
        </w:rPr>
        <w:t xml:space="preserve">the </w:t>
      </w:r>
      <w:r w:rsidRPr="006E1DE3">
        <w:rPr>
          <w:rFonts w:cstheme="minorHAnsi"/>
          <w:lang w:val="en-US"/>
        </w:rPr>
        <w:t xml:space="preserve">agricultural financing strategy. The </w:t>
      </w:r>
      <w:proofErr w:type="spellStart"/>
      <w:r w:rsidRPr="006E1DE3">
        <w:rPr>
          <w:rFonts w:cstheme="minorHAnsi"/>
          <w:lang w:val="en-US"/>
        </w:rPr>
        <w:t>GoB</w:t>
      </w:r>
      <w:proofErr w:type="spellEnd"/>
      <w:r w:rsidRPr="006E1DE3">
        <w:rPr>
          <w:rFonts w:cstheme="minorHAnsi"/>
          <w:lang w:val="en-US"/>
        </w:rPr>
        <w:t xml:space="preserve"> will allocate to FNDA CFAF</w:t>
      </w:r>
      <w:r w:rsidR="00C702B4">
        <w:rPr>
          <w:rFonts w:cstheme="minorHAnsi"/>
          <w:lang w:val="en-US"/>
        </w:rPr>
        <w:t> </w:t>
      </w:r>
      <w:r w:rsidRPr="006E1DE3">
        <w:rPr>
          <w:rFonts w:cstheme="minorHAnsi"/>
          <w:lang w:val="en-US"/>
        </w:rPr>
        <w:t>10</w:t>
      </w:r>
      <w:r w:rsidR="00C702B4">
        <w:rPr>
          <w:rFonts w:cstheme="minorHAnsi"/>
          <w:lang w:val="en-US"/>
        </w:rPr>
        <w:t> </w:t>
      </w:r>
      <w:r w:rsidRPr="006E1DE3">
        <w:rPr>
          <w:rFonts w:cstheme="minorHAnsi"/>
          <w:lang w:val="en-US"/>
        </w:rPr>
        <w:t>Billion (2.5</w:t>
      </w:r>
      <w:r w:rsidR="00C702B4">
        <w:rPr>
          <w:rFonts w:cstheme="minorHAnsi"/>
          <w:lang w:val="en-US"/>
        </w:rPr>
        <w:t> </w:t>
      </w:r>
      <w:r w:rsidRPr="006E1DE3">
        <w:rPr>
          <w:rFonts w:cstheme="minorHAnsi"/>
          <w:lang w:val="en-US"/>
        </w:rPr>
        <w:t>billion each year for four years). Several agricultural sector development projects including the World Bank-supported PADA plan to replenish the fund once it is operational. FNDA will have an approach of faire-faire by financial and nonfinancial service providers selected based on a REOI. FNDA planned to support the sector via three main windows</w:t>
      </w:r>
      <w:r w:rsidRPr="006E1DE3">
        <w:rPr>
          <w:rStyle w:val="FootnoteReference"/>
          <w:rFonts w:cstheme="minorHAnsi"/>
          <w:lang w:val="en-US"/>
        </w:rPr>
        <w:footnoteReference w:id="20"/>
      </w:r>
      <w:r w:rsidRPr="006E1DE3">
        <w:rPr>
          <w:rFonts w:cstheme="minorHAnsi"/>
          <w:lang w:val="en-US"/>
        </w:rPr>
        <w:t xml:space="preserve"> using different instruments. As of December 2017, the recruitment of </w:t>
      </w:r>
      <w:r>
        <w:rPr>
          <w:rFonts w:cstheme="minorHAnsi"/>
          <w:lang w:val="en-US"/>
        </w:rPr>
        <w:t xml:space="preserve">the </w:t>
      </w:r>
      <w:r w:rsidRPr="006E1DE3">
        <w:rPr>
          <w:rFonts w:cstheme="minorHAnsi"/>
          <w:lang w:val="en-US"/>
        </w:rPr>
        <w:t xml:space="preserve">FNDA team was ongoing; the implementation strategy of the windows as well as the terms/conditions of the different instruments envisaged, and their operationalization was not fully defined: </w:t>
      </w:r>
    </w:p>
    <w:p w14:paraId="6AF896ED" w14:textId="0FE4963F" w:rsidR="00404FC2" w:rsidRDefault="00404FC2" w:rsidP="00F8592F">
      <w:pPr>
        <w:pStyle w:val="ListParagraph"/>
        <w:numPr>
          <w:ilvl w:val="1"/>
          <w:numId w:val="11"/>
        </w:numPr>
        <w:spacing w:before="120" w:after="120" w:line="240" w:lineRule="auto"/>
        <w:contextualSpacing w:val="0"/>
        <w:jc w:val="both"/>
        <w:rPr>
          <w:rFonts w:cstheme="minorHAnsi"/>
          <w:lang w:val="en-US"/>
        </w:rPr>
      </w:pPr>
      <w:r w:rsidRPr="00D22117">
        <w:rPr>
          <w:rFonts w:cstheme="minorHAnsi"/>
          <w:b/>
          <w:lang w:val="en-US"/>
        </w:rPr>
        <w:t>Window</w:t>
      </w:r>
      <w:r w:rsidR="00C702B4">
        <w:rPr>
          <w:rFonts w:cstheme="minorHAnsi"/>
          <w:b/>
          <w:lang w:val="en-US"/>
        </w:rPr>
        <w:t> </w:t>
      </w:r>
      <w:r w:rsidRPr="00D22117">
        <w:rPr>
          <w:rFonts w:cstheme="minorHAnsi"/>
          <w:b/>
          <w:lang w:val="en-US"/>
        </w:rPr>
        <w:t>1: Subsidies for agricultural sector investment.</w:t>
      </w:r>
      <w:r w:rsidRPr="00D22117">
        <w:rPr>
          <w:rFonts w:cstheme="minorHAnsi"/>
          <w:lang w:val="en-US"/>
        </w:rPr>
        <w:t xml:space="preserve"> The objective of this window is to establish adequate financial mechanisms to facilitate sustainable access to investment capital needed by farmers and/or private agricultural entrepreneurs. Two instruments are under </w:t>
      </w:r>
      <w:r w:rsidRPr="00D22117">
        <w:rPr>
          <w:rFonts w:cstheme="minorHAnsi"/>
          <w:color w:val="222222"/>
          <w:lang w:val="en-US"/>
        </w:rPr>
        <w:t>consideration</w:t>
      </w:r>
      <w:r w:rsidRPr="00D22117">
        <w:rPr>
          <w:rFonts w:cstheme="minorHAnsi"/>
          <w:lang w:val="en-US"/>
        </w:rPr>
        <w:t xml:space="preserve"> for this window: structural agricultural investment fund for public interest benefits and a fund oriented to private investments in individual farms and firms. About 20 percent of the FNDA budget is allocated to this window.</w:t>
      </w:r>
    </w:p>
    <w:p w14:paraId="5DC2F603" w14:textId="405045C7" w:rsidR="00404FC2" w:rsidRDefault="00404FC2" w:rsidP="00F8592F">
      <w:pPr>
        <w:pStyle w:val="ListParagraph"/>
        <w:numPr>
          <w:ilvl w:val="1"/>
          <w:numId w:val="11"/>
        </w:numPr>
        <w:spacing w:before="120" w:after="120" w:line="240" w:lineRule="auto"/>
        <w:contextualSpacing w:val="0"/>
        <w:jc w:val="both"/>
        <w:rPr>
          <w:rFonts w:cstheme="minorHAnsi"/>
          <w:lang w:val="en-US"/>
        </w:rPr>
      </w:pPr>
      <w:r w:rsidRPr="00D22117">
        <w:rPr>
          <w:rFonts w:cstheme="minorHAnsi"/>
          <w:b/>
          <w:lang w:val="en-US"/>
        </w:rPr>
        <w:t>Window</w:t>
      </w:r>
      <w:r w:rsidR="00C702B4">
        <w:rPr>
          <w:rFonts w:cstheme="minorHAnsi"/>
          <w:b/>
          <w:lang w:val="en-US"/>
        </w:rPr>
        <w:t> </w:t>
      </w:r>
      <w:r w:rsidRPr="00D22117">
        <w:rPr>
          <w:rFonts w:cstheme="minorHAnsi"/>
          <w:b/>
          <w:lang w:val="en-US"/>
        </w:rPr>
        <w:t>2: Access to Nonfinancial Services.</w:t>
      </w:r>
      <w:r w:rsidRPr="00D22117">
        <w:rPr>
          <w:rFonts w:cstheme="minorHAnsi"/>
          <w:lang w:val="en-US"/>
        </w:rPr>
        <w:t xml:space="preserve"> It aims to support through grants, access of </w:t>
      </w:r>
      <w:r w:rsidRPr="00D22117">
        <w:rPr>
          <w:rFonts w:cstheme="minorHAnsi"/>
          <w:color w:val="222222"/>
          <w:lang w:val="en-US"/>
        </w:rPr>
        <w:t>agricultural</w:t>
      </w:r>
      <w:r w:rsidRPr="00D22117">
        <w:rPr>
          <w:rFonts w:cstheme="minorHAnsi"/>
          <w:lang w:val="en-US"/>
        </w:rPr>
        <w:t xml:space="preserve"> promoters/entrepreneurs and their organizations to nonfinancial services such as research, training, capacity building, institutional support, and technical assistance. Three categories of grants are under consideration: Applied Agricultural Research and Extension Fund, Capacity Building Fund, and Labeling/Marketing Support Funds. About 15 percent of the overall FNDA budget goes to Window</w:t>
      </w:r>
      <w:r w:rsidR="00C702B4">
        <w:rPr>
          <w:rFonts w:cstheme="minorHAnsi"/>
          <w:lang w:val="en-US"/>
        </w:rPr>
        <w:t> </w:t>
      </w:r>
      <w:r w:rsidRPr="00D22117">
        <w:rPr>
          <w:rFonts w:cstheme="minorHAnsi"/>
          <w:lang w:val="en-US"/>
        </w:rPr>
        <w:t>2.</w:t>
      </w:r>
    </w:p>
    <w:p w14:paraId="1B64AAEE" w14:textId="0CC0EB23" w:rsidR="00404FC2" w:rsidRDefault="00404FC2" w:rsidP="00F8592F">
      <w:pPr>
        <w:pStyle w:val="ListParagraph"/>
        <w:numPr>
          <w:ilvl w:val="1"/>
          <w:numId w:val="11"/>
        </w:numPr>
        <w:spacing w:before="120" w:after="120" w:line="240" w:lineRule="auto"/>
        <w:contextualSpacing w:val="0"/>
        <w:jc w:val="both"/>
        <w:rPr>
          <w:rFonts w:cstheme="minorHAnsi"/>
          <w:lang w:val="en-US"/>
        </w:rPr>
      </w:pPr>
      <w:r w:rsidRPr="00D22117">
        <w:rPr>
          <w:rFonts w:cstheme="minorHAnsi"/>
          <w:b/>
          <w:lang w:val="en-US"/>
        </w:rPr>
        <w:t>Window</w:t>
      </w:r>
      <w:r w:rsidR="00C702B4">
        <w:rPr>
          <w:rFonts w:cstheme="minorHAnsi"/>
          <w:b/>
          <w:lang w:val="en-US"/>
        </w:rPr>
        <w:t> </w:t>
      </w:r>
      <w:r w:rsidRPr="00D22117">
        <w:rPr>
          <w:rFonts w:cstheme="minorHAnsi"/>
          <w:b/>
          <w:lang w:val="en-US"/>
        </w:rPr>
        <w:t>3: Access to financial services.</w:t>
      </w:r>
      <w:r w:rsidRPr="00D22117">
        <w:rPr>
          <w:rFonts w:cstheme="minorHAnsi"/>
          <w:lang w:val="en-US"/>
        </w:rPr>
        <w:t xml:space="preserve"> The objective is to enable smallholders/POs and agricultural entrepreneurs to access loans from banks and MFIs on terms adapted to the specific needs and constraints of the agricultural sector. Three types of instruments are under consideration: Interbank Guarantee Fund for refinancing between financial institutions; partial guarantee fund for producers/POs and agricultural entrepreneurs to access credits; subsidies on </w:t>
      </w:r>
      <w:r w:rsidR="00C702B4">
        <w:rPr>
          <w:rFonts w:cstheme="minorHAnsi"/>
          <w:lang w:val="en-US"/>
        </w:rPr>
        <w:t xml:space="preserve">the </w:t>
      </w:r>
      <w:r w:rsidRPr="00D22117">
        <w:rPr>
          <w:rFonts w:cstheme="minorHAnsi"/>
          <w:lang w:val="en-US"/>
        </w:rPr>
        <w:t>interest rate charged to producers/POs and agricultural entrepreneurs. Window</w:t>
      </w:r>
      <w:r w:rsidR="00C702B4">
        <w:rPr>
          <w:rFonts w:cstheme="minorHAnsi"/>
          <w:lang w:val="en-US"/>
        </w:rPr>
        <w:t> </w:t>
      </w:r>
      <w:r w:rsidRPr="00D22117">
        <w:rPr>
          <w:rFonts w:cstheme="minorHAnsi"/>
          <w:lang w:val="en-US"/>
        </w:rPr>
        <w:t xml:space="preserve">3 will represent 55 percent of the overall FNDA budget. </w:t>
      </w:r>
    </w:p>
    <w:p w14:paraId="57A277BD" w14:textId="77777777" w:rsidR="00404FC2" w:rsidRPr="00F8592F" w:rsidRDefault="00404FC2" w:rsidP="00404FC2">
      <w:pPr>
        <w:pStyle w:val="Heading2"/>
        <w:rPr>
          <w:b/>
          <w:lang w:val="en-US"/>
        </w:rPr>
      </w:pPr>
      <w:bookmarkStart w:id="53" w:name="_Toc3975155"/>
      <w:r w:rsidRPr="00F8592F">
        <w:rPr>
          <w:b/>
          <w:lang w:val="en-US"/>
        </w:rPr>
        <w:t xml:space="preserve">4.2 Despite </w:t>
      </w:r>
      <w:r w:rsidR="0026735F" w:rsidRPr="00F8592F">
        <w:rPr>
          <w:b/>
          <w:lang w:val="en-US"/>
        </w:rPr>
        <w:t>such public</w:t>
      </w:r>
      <w:r w:rsidRPr="00F8592F">
        <w:rPr>
          <w:b/>
          <w:lang w:val="en-US"/>
        </w:rPr>
        <w:t xml:space="preserve"> supports, financial services remain a challenge in the agriculture sector</w:t>
      </w:r>
      <w:bookmarkEnd w:id="53"/>
    </w:p>
    <w:p w14:paraId="230C7CE0" w14:textId="7A5F630B" w:rsidR="00404FC2" w:rsidRPr="006E1DE3" w:rsidRDefault="00404FC2" w:rsidP="00F8592F">
      <w:pPr>
        <w:pStyle w:val="ListParagraph"/>
        <w:numPr>
          <w:ilvl w:val="0"/>
          <w:numId w:val="47"/>
        </w:numPr>
        <w:spacing w:after="240" w:line="240" w:lineRule="auto"/>
        <w:ind w:left="0" w:firstLine="0"/>
        <w:contextualSpacing w:val="0"/>
        <w:jc w:val="both"/>
        <w:rPr>
          <w:rFonts w:cstheme="minorHAnsi"/>
          <w:lang w:val="en-US"/>
        </w:rPr>
      </w:pPr>
      <w:r w:rsidRPr="006E1DE3">
        <w:rPr>
          <w:rFonts w:cstheme="minorHAnsi"/>
          <w:b/>
          <w:color w:val="222222"/>
          <w:lang w:val="en-US"/>
        </w:rPr>
        <w:t>Agricultural activities are marginally financed by the banking sector.</w:t>
      </w:r>
      <w:r w:rsidRPr="006E1DE3">
        <w:rPr>
          <w:rFonts w:cstheme="minorHAnsi"/>
          <w:color w:val="222222"/>
          <w:lang w:val="en-US"/>
        </w:rPr>
        <w:t xml:space="preserve"> Indeed, Beninese banks granted CFAF</w:t>
      </w:r>
      <w:r w:rsidR="00C702B4">
        <w:rPr>
          <w:rFonts w:cstheme="minorHAnsi"/>
          <w:color w:val="222222"/>
          <w:lang w:val="en-US"/>
        </w:rPr>
        <w:t> </w:t>
      </w:r>
      <w:r w:rsidRPr="006E1DE3">
        <w:rPr>
          <w:rFonts w:cstheme="minorHAnsi"/>
          <w:color w:val="222222"/>
          <w:lang w:val="en-US"/>
        </w:rPr>
        <w:t>13.5</w:t>
      </w:r>
      <w:r w:rsidR="00C702B4">
        <w:rPr>
          <w:rFonts w:cstheme="minorHAnsi"/>
          <w:color w:val="222222"/>
          <w:lang w:val="en-US"/>
        </w:rPr>
        <w:t> </w:t>
      </w:r>
      <w:r w:rsidRPr="006E1DE3">
        <w:rPr>
          <w:rFonts w:cstheme="minorHAnsi"/>
          <w:color w:val="222222"/>
          <w:lang w:val="en-US"/>
        </w:rPr>
        <w:t>billion (2.2 percent) to the agricultur</w:t>
      </w:r>
      <w:r>
        <w:rPr>
          <w:rFonts w:cstheme="minorHAnsi"/>
          <w:color w:val="222222"/>
          <w:lang w:val="en-US"/>
        </w:rPr>
        <w:t>al</w:t>
      </w:r>
      <w:r w:rsidRPr="006E1DE3">
        <w:rPr>
          <w:rFonts w:cstheme="minorHAnsi"/>
          <w:color w:val="222222"/>
          <w:lang w:val="en-US"/>
        </w:rPr>
        <w:t xml:space="preserve"> sector out of a total portfolio of CFAF</w:t>
      </w:r>
      <w:r w:rsidR="00C702B4">
        <w:rPr>
          <w:rFonts w:cstheme="minorHAnsi"/>
          <w:color w:val="222222"/>
          <w:lang w:val="en-US"/>
        </w:rPr>
        <w:t> </w:t>
      </w:r>
      <w:r w:rsidRPr="006E1DE3">
        <w:rPr>
          <w:rFonts w:cstheme="minorHAnsi"/>
          <w:color w:val="222222"/>
          <w:lang w:val="en-US"/>
        </w:rPr>
        <w:t>615.9</w:t>
      </w:r>
      <w:r w:rsidR="00C702B4">
        <w:rPr>
          <w:rFonts w:cstheme="minorHAnsi"/>
          <w:color w:val="222222"/>
          <w:lang w:val="en-US"/>
        </w:rPr>
        <w:t> </w:t>
      </w:r>
      <w:r w:rsidRPr="006E1DE3">
        <w:rPr>
          <w:rFonts w:cstheme="minorHAnsi"/>
          <w:color w:val="222222"/>
          <w:lang w:val="en-US"/>
        </w:rPr>
        <w:t>billion short-term credits and only CFAF</w:t>
      </w:r>
      <w:r w:rsidR="00C702B4">
        <w:rPr>
          <w:rFonts w:cstheme="minorHAnsi"/>
          <w:color w:val="222222"/>
          <w:lang w:val="en-US"/>
        </w:rPr>
        <w:t> </w:t>
      </w:r>
      <w:r w:rsidRPr="006E1DE3">
        <w:rPr>
          <w:rFonts w:cstheme="minorHAnsi"/>
          <w:color w:val="222222"/>
          <w:lang w:val="en-US"/>
        </w:rPr>
        <w:t>678</w:t>
      </w:r>
      <w:r w:rsidR="00C702B4">
        <w:rPr>
          <w:rFonts w:cstheme="minorHAnsi"/>
          <w:color w:val="222222"/>
          <w:lang w:val="en-US"/>
        </w:rPr>
        <w:t> </w:t>
      </w:r>
      <w:r w:rsidRPr="006E1DE3">
        <w:rPr>
          <w:rFonts w:cstheme="minorHAnsi"/>
          <w:color w:val="222222"/>
          <w:lang w:val="en-US"/>
        </w:rPr>
        <w:t xml:space="preserve">billion medium and long-term loans that represents 0.11 percent as of December 2017. In comparison, in the </w:t>
      </w:r>
      <w:r w:rsidRPr="00744657">
        <w:rPr>
          <w:rFonts w:cstheme="minorHAnsi"/>
          <w:color w:val="222222"/>
          <w:lang w:val="en-US"/>
        </w:rPr>
        <w:t>WA</w:t>
      </w:r>
      <w:r w:rsidRPr="00795897">
        <w:rPr>
          <w:rFonts w:cstheme="minorHAnsi"/>
          <w:color w:val="222222"/>
          <w:lang w:val="en-US"/>
        </w:rPr>
        <w:t>E</w:t>
      </w:r>
      <w:r w:rsidRPr="00744657">
        <w:rPr>
          <w:rFonts w:cstheme="minorHAnsi"/>
          <w:color w:val="222222"/>
          <w:lang w:val="en-US"/>
        </w:rPr>
        <w:t>MU</w:t>
      </w:r>
      <w:r w:rsidRPr="00795897">
        <w:rPr>
          <w:rFonts w:cstheme="minorHAnsi"/>
          <w:color w:val="222222"/>
          <w:lang w:val="en-US"/>
        </w:rPr>
        <w:t xml:space="preserve"> even</w:t>
      </w:r>
      <w:r w:rsidRPr="006E1DE3">
        <w:rPr>
          <w:rFonts w:cstheme="minorHAnsi"/>
          <w:color w:val="222222"/>
          <w:lang w:val="en-US"/>
        </w:rPr>
        <w:t xml:space="preserve"> though agriculture finance remains low, it is more significant with 4.65 percent of short-term loans and 3.2 percent of medium</w:t>
      </w:r>
      <w:r w:rsidR="00141BD7">
        <w:rPr>
          <w:rFonts w:cstheme="minorHAnsi"/>
          <w:color w:val="222222"/>
          <w:lang w:val="en-US"/>
        </w:rPr>
        <w:t>—</w:t>
      </w:r>
      <w:r w:rsidRPr="006E1DE3">
        <w:rPr>
          <w:rFonts w:cstheme="minorHAnsi"/>
          <w:color w:val="222222"/>
          <w:lang w:val="en-US"/>
        </w:rPr>
        <w:t>and long-term loans (</w:t>
      </w:r>
      <w:r w:rsidRPr="006E1DE3">
        <w:rPr>
          <w:rFonts w:cstheme="minorHAnsi"/>
          <w:lang w:val="en-US"/>
        </w:rPr>
        <w:t>BCEAO</w:t>
      </w:r>
      <w:r w:rsidR="00C702B4">
        <w:rPr>
          <w:rFonts w:cstheme="minorHAnsi"/>
          <w:lang w:val="en-US"/>
        </w:rPr>
        <w:t> </w:t>
      </w:r>
      <w:r w:rsidRPr="006E1DE3">
        <w:rPr>
          <w:rFonts w:cstheme="minorHAnsi"/>
          <w:lang w:val="en-US"/>
        </w:rPr>
        <w:t>2017).</w:t>
      </w:r>
    </w:p>
    <w:p w14:paraId="311F653C" w14:textId="77777777" w:rsidR="00404FC2" w:rsidRPr="006E1DE3" w:rsidRDefault="00404FC2" w:rsidP="00F8592F">
      <w:pPr>
        <w:pStyle w:val="ListParagraph"/>
        <w:numPr>
          <w:ilvl w:val="0"/>
          <w:numId w:val="47"/>
        </w:numPr>
        <w:spacing w:after="240" w:line="240" w:lineRule="auto"/>
        <w:ind w:left="0" w:firstLine="0"/>
        <w:contextualSpacing w:val="0"/>
        <w:jc w:val="both"/>
        <w:rPr>
          <w:rFonts w:cstheme="minorHAnsi"/>
          <w:lang w:val="en-US"/>
        </w:rPr>
      </w:pPr>
      <w:r w:rsidRPr="006E1DE3">
        <w:rPr>
          <w:rFonts w:cstheme="minorHAnsi"/>
          <w:b/>
          <w:color w:val="222222"/>
          <w:lang w:val="en-US"/>
        </w:rPr>
        <w:t xml:space="preserve">Apart from cotton, the banking sector is present to </w:t>
      </w:r>
      <w:r>
        <w:rPr>
          <w:rFonts w:cstheme="minorHAnsi"/>
          <w:b/>
          <w:color w:val="222222"/>
          <w:lang w:val="en-US"/>
        </w:rPr>
        <w:t xml:space="preserve">a </w:t>
      </w:r>
      <w:r w:rsidRPr="006E1DE3">
        <w:rPr>
          <w:rFonts w:cstheme="minorHAnsi"/>
          <w:b/>
          <w:color w:val="222222"/>
          <w:lang w:val="en-US"/>
        </w:rPr>
        <w:t>less</w:t>
      </w:r>
      <w:r>
        <w:rPr>
          <w:rFonts w:cstheme="minorHAnsi"/>
          <w:b/>
          <w:color w:val="222222"/>
          <w:lang w:val="en-US"/>
        </w:rPr>
        <w:t>er</w:t>
      </w:r>
      <w:r w:rsidRPr="006E1DE3">
        <w:rPr>
          <w:rFonts w:cstheme="minorHAnsi"/>
          <w:b/>
          <w:color w:val="222222"/>
          <w:lang w:val="en-US"/>
        </w:rPr>
        <w:t xml:space="preserve"> extent in the financing of the processing and commercialization of other export crop, notably cashew, pineapple, and shea</w:t>
      </w:r>
      <w:r w:rsidRPr="006E1DE3">
        <w:rPr>
          <w:rFonts w:cstheme="minorHAnsi"/>
          <w:color w:val="222222"/>
          <w:lang w:val="en-US"/>
        </w:rPr>
        <w:t xml:space="preserve">. The main banks in the agricultural sector (BOA, </w:t>
      </w:r>
      <w:proofErr w:type="spellStart"/>
      <w:r w:rsidRPr="006E1DE3">
        <w:rPr>
          <w:rFonts w:cstheme="minorHAnsi"/>
          <w:color w:val="222222"/>
          <w:lang w:val="en-US"/>
        </w:rPr>
        <w:t>Orabank</w:t>
      </w:r>
      <w:proofErr w:type="spellEnd"/>
      <w:r w:rsidRPr="006E1DE3">
        <w:rPr>
          <w:rFonts w:cstheme="minorHAnsi"/>
          <w:color w:val="222222"/>
          <w:lang w:val="en-US"/>
        </w:rPr>
        <w:t xml:space="preserve">, Diamond, and so on) do not directly finance production. Banks’ engagement in agricultural lending operations is only with formal producer groups and established </w:t>
      </w:r>
      <w:r w:rsidRPr="006E1DE3">
        <w:rPr>
          <w:rFonts w:ascii="Calibri" w:hAnsi="Calibri" w:cs="Calibri"/>
          <w:lang w:val="en-US"/>
        </w:rPr>
        <w:t>agribusinesses</w:t>
      </w:r>
      <w:r w:rsidRPr="006E1DE3">
        <w:rPr>
          <w:rFonts w:cstheme="minorHAnsi"/>
          <w:color w:val="222222"/>
          <w:lang w:val="en-US"/>
        </w:rPr>
        <w:t xml:space="preserve"> and under high collateralization conditions often involving a land title, credit guarantee fund, insurance for perishable crops, and cash deposit. They mainly offer lines of credit and documentary credits for export. In cash crops value chains, producers are the main clients who do not have access to bank credits.</w:t>
      </w:r>
    </w:p>
    <w:p w14:paraId="1C7B69B1" w14:textId="77777777" w:rsidR="00404FC2" w:rsidRPr="002D1A98" w:rsidRDefault="00404FC2" w:rsidP="00F8592F">
      <w:pPr>
        <w:pStyle w:val="ListParagraph"/>
        <w:numPr>
          <w:ilvl w:val="0"/>
          <w:numId w:val="47"/>
        </w:numPr>
        <w:spacing w:after="240" w:line="240" w:lineRule="auto"/>
        <w:ind w:left="0" w:firstLine="0"/>
        <w:contextualSpacing w:val="0"/>
        <w:jc w:val="both"/>
        <w:rPr>
          <w:lang w:val="en-US"/>
        </w:rPr>
      </w:pPr>
      <w:r w:rsidRPr="006E1DE3">
        <w:rPr>
          <w:rFonts w:cstheme="minorHAnsi"/>
          <w:b/>
          <w:color w:val="222222"/>
          <w:lang w:val="en-US"/>
        </w:rPr>
        <w:t xml:space="preserve">BOA through its affiliate </w:t>
      </w:r>
      <w:proofErr w:type="spellStart"/>
      <w:r w:rsidRPr="006E1DE3">
        <w:rPr>
          <w:rFonts w:cstheme="minorHAnsi"/>
          <w:b/>
          <w:color w:val="222222"/>
          <w:lang w:val="en-US"/>
        </w:rPr>
        <w:t>Equipbail</w:t>
      </w:r>
      <w:proofErr w:type="spellEnd"/>
      <w:r w:rsidRPr="006E1DE3">
        <w:rPr>
          <w:rFonts w:cstheme="minorHAnsi"/>
          <w:b/>
          <w:color w:val="222222"/>
          <w:lang w:val="en-US"/>
        </w:rPr>
        <w:t xml:space="preserve"> offers leasing on the Beninese market, but the agricultur</w:t>
      </w:r>
      <w:r>
        <w:rPr>
          <w:rFonts w:cstheme="minorHAnsi"/>
          <w:b/>
          <w:color w:val="222222"/>
          <w:lang w:val="en-US"/>
        </w:rPr>
        <w:t>al sector</w:t>
      </w:r>
      <w:r w:rsidRPr="006E1DE3">
        <w:rPr>
          <w:rFonts w:cstheme="minorHAnsi"/>
          <w:b/>
          <w:color w:val="222222"/>
          <w:lang w:val="en-US"/>
        </w:rPr>
        <w:t xml:space="preserve"> is not taking advantage of this innovative financing instrument</w:t>
      </w:r>
      <w:r w:rsidRPr="006E1DE3">
        <w:rPr>
          <w:rFonts w:cstheme="minorHAnsi"/>
          <w:color w:val="222222"/>
          <w:lang w:val="en-US"/>
        </w:rPr>
        <w:t xml:space="preserve">. Benin ratified the leasing law in March 2017. However, the adoption of this product by financial institutions and clients in the agricultural sector is low. </w:t>
      </w:r>
    </w:p>
    <w:p w14:paraId="45927C4C" w14:textId="77715D04" w:rsidR="00404FC2" w:rsidRPr="006E1DE3" w:rsidRDefault="00404FC2" w:rsidP="00F8592F">
      <w:pPr>
        <w:pStyle w:val="ListParagraph"/>
        <w:numPr>
          <w:ilvl w:val="0"/>
          <w:numId w:val="47"/>
        </w:numPr>
        <w:spacing w:after="240" w:line="240" w:lineRule="auto"/>
        <w:ind w:left="0" w:firstLine="0"/>
        <w:contextualSpacing w:val="0"/>
        <w:jc w:val="both"/>
        <w:rPr>
          <w:lang w:val="en-US"/>
        </w:rPr>
      </w:pPr>
      <w:r w:rsidRPr="006E1DE3">
        <w:rPr>
          <w:rFonts w:cstheme="minorHAnsi"/>
          <w:b/>
          <w:bCs/>
          <w:lang w:val="en-US"/>
        </w:rPr>
        <w:t>The agricultur</w:t>
      </w:r>
      <w:r>
        <w:rPr>
          <w:rFonts w:cstheme="minorHAnsi"/>
          <w:b/>
          <w:bCs/>
          <w:lang w:val="en-US"/>
        </w:rPr>
        <w:t>al</w:t>
      </w:r>
      <w:r w:rsidRPr="006E1DE3">
        <w:rPr>
          <w:rFonts w:cstheme="minorHAnsi"/>
          <w:b/>
          <w:bCs/>
          <w:lang w:val="en-US"/>
        </w:rPr>
        <w:t xml:space="preserve"> sector accounts for about 15 percent of the sector loans portfolio that represents CFAF</w:t>
      </w:r>
      <w:r w:rsidR="00C702B4">
        <w:rPr>
          <w:rFonts w:cstheme="minorHAnsi"/>
          <w:b/>
          <w:bCs/>
          <w:lang w:val="en-US"/>
        </w:rPr>
        <w:t> </w:t>
      </w:r>
      <w:r w:rsidRPr="006E1DE3">
        <w:rPr>
          <w:b/>
          <w:lang w:val="en-US"/>
        </w:rPr>
        <w:t>16</w:t>
      </w:r>
      <w:r w:rsidR="00C702B4">
        <w:rPr>
          <w:b/>
          <w:lang w:val="en-US"/>
        </w:rPr>
        <w:t> </w:t>
      </w:r>
      <w:r w:rsidRPr="006E1DE3">
        <w:rPr>
          <w:b/>
          <w:lang w:val="en-US"/>
        </w:rPr>
        <w:t>billion.</w:t>
      </w:r>
      <w:r w:rsidRPr="006E1DE3">
        <w:rPr>
          <w:lang w:val="en-US"/>
        </w:rPr>
        <w:t xml:space="preserve"> </w:t>
      </w:r>
      <w:r w:rsidRPr="006E1DE3">
        <w:rPr>
          <w:rFonts w:cstheme="minorHAnsi"/>
          <w:bCs/>
          <w:lang w:val="en-US"/>
        </w:rPr>
        <w:t xml:space="preserve">The MFIs’ </w:t>
      </w:r>
      <w:r w:rsidRPr="006E1DE3">
        <w:rPr>
          <w:rFonts w:cstheme="minorHAnsi"/>
          <w:color w:val="222222"/>
          <w:lang w:val="en-US"/>
        </w:rPr>
        <w:t>association</w:t>
      </w:r>
      <w:r w:rsidRPr="006E1DE3">
        <w:rPr>
          <w:rFonts w:cstheme="minorHAnsi"/>
          <w:bCs/>
          <w:lang w:val="en-US"/>
        </w:rPr>
        <w:t xml:space="preserve"> considers the share of </w:t>
      </w:r>
      <w:r w:rsidR="002425E2">
        <w:rPr>
          <w:rFonts w:cstheme="minorHAnsi"/>
          <w:bCs/>
          <w:lang w:val="en-US"/>
        </w:rPr>
        <w:t xml:space="preserve">the </w:t>
      </w:r>
      <w:r w:rsidRPr="006E1DE3">
        <w:rPr>
          <w:rFonts w:cstheme="minorHAnsi"/>
          <w:bCs/>
          <w:lang w:val="en-US"/>
        </w:rPr>
        <w:t>loan portfolio dedicated to agriculture higher</w:t>
      </w:r>
      <w:r w:rsidRPr="006E1DE3">
        <w:rPr>
          <w:rFonts w:cstheme="minorHAnsi"/>
          <w:lang w:val="en-US"/>
        </w:rPr>
        <w:t xml:space="preserve">. Indeed, </w:t>
      </w:r>
      <w:r w:rsidRPr="006E1DE3">
        <w:rPr>
          <w:rFonts w:cstheme="minorHAnsi"/>
          <w:bCs/>
          <w:lang w:val="en-US"/>
        </w:rPr>
        <w:t xml:space="preserve">the association recognizes that loan registration per sector is done by loan officers and at some </w:t>
      </w:r>
      <w:r>
        <w:rPr>
          <w:rFonts w:ascii="Calibri" w:hAnsi="Calibri" w:cs="Calibri"/>
          <w:lang w:val="en-US"/>
        </w:rPr>
        <w:t>extent</w:t>
      </w:r>
      <w:r w:rsidRPr="006E1DE3">
        <w:rPr>
          <w:rFonts w:cstheme="minorHAnsi"/>
          <w:bCs/>
          <w:lang w:val="en-US"/>
        </w:rPr>
        <w:t xml:space="preserve"> with limited </w:t>
      </w:r>
      <w:r>
        <w:rPr>
          <w:rFonts w:cstheme="minorHAnsi"/>
          <w:bCs/>
          <w:lang w:val="en-US"/>
        </w:rPr>
        <w:t>reference to</w:t>
      </w:r>
      <w:r w:rsidRPr="006E1DE3">
        <w:rPr>
          <w:rFonts w:cstheme="minorHAnsi"/>
          <w:bCs/>
          <w:lang w:val="en-US"/>
        </w:rPr>
        <w:t xml:space="preserve"> the different economic sector</w:t>
      </w:r>
      <w:r>
        <w:rPr>
          <w:rFonts w:cstheme="minorHAnsi"/>
          <w:bCs/>
          <w:lang w:val="en-US"/>
        </w:rPr>
        <w:t>s</w:t>
      </w:r>
      <w:r w:rsidRPr="006E1DE3">
        <w:rPr>
          <w:rFonts w:cstheme="minorHAnsi"/>
          <w:bCs/>
          <w:lang w:val="en-US"/>
        </w:rPr>
        <w:t xml:space="preserve"> funded. </w:t>
      </w:r>
    </w:p>
    <w:p w14:paraId="1FB75703" w14:textId="77777777" w:rsidR="00404FC2" w:rsidRPr="00404FC2" w:rsidRDefault="00404FC2" w:rsidP="00F8592F">
      <w:pPr>
        <w:pStyle w:val="ListParagraph"/>
        <w:numPr>
          <w:ilvl w:val="0"/>
          <w:numId w:val="47"/>
        </w:numPr>
        <w:spacing w:after="240" w:line="240" w:lineRule="auto"/>
        <w:ind w:left="0" w:firstLine="0"/>
        <w:contextualSpacing w:val="0"/>
        <w:jc w:val="both"/>
        <w:rPr>
          <w:rFonts w:ascii="GillSansStd-Light" w:hAnsi="GillSansStd-Light" w:cs="GillSansStd-Light"/>
          <w:color w:val="1A1A1A"/>
          <w:sz w:val="20"/>
          <w:szCs w:val="20"/>
          <w:lang w:val="en-US"/>
        </w:rPr>
      </w:pPr>
      <w:r w:rsidRPr="006E1DE3">
        <w:rPr>
          <w:b/>
          <w:lang w:val="en-US"/>
        </w:rPr>
        <w:t>Financial cooperatives remain leaders in providing agriculture loans.</w:t>
      </w:r>
      <w:r w:rsidRPr="006E1DE3">
        <w:rPr>
          <w:lang w:val="en-US"/>
        </w:rPr>
        <w:t xml:space="preserve"> Financial cooperatives </w:t>
      </w:r>
      <w:r w:rsidRPr="006E1DE3">
        <w:rPr>
          <w:rFonts w:cstheme="minorHAnsi"/>
          <w:lang w:val="en-US"/>
        </w:rPr>
        <w:t xml:space="preserve">represent </w:t>
      </w:r>
      <w:r w:rsidRPr="006E1DE3">
        <w:rPr>
          <w:rFonts w:cstheme="minorHAnsi"/>
          <w:color w:val="222222"/>
          <w:lang w:val="en-US"/>
        </w:rPr>
        <w:t xml:space="preserve">76 percent of the MFIs listed in Benin and 62 percent of the total points of service and 71 percent of the clientele. They provide short-term loans for the production directly to producers and POs as well as medium-term loans (up to 3 years) for equipment. </w:t>
      </w:r>
      <w:r w:rsidRPr="006E1DE3">
        <w:rPr>
          <w:rFonts w:cstheme="minorHAnsi"/>
          <w:bCs/>
          <w:lang w:val="en-US"/>
        </w:rPr>
        <w:t xml:space="preserve">FECECAM, the largest MFI in Benin, had a growing agriculture lending portfolio that stood at 30 percent in 2016, 23 percent in 2015, and 17 percent in 2014. </w:t>
      </w:r>
      <w:r w:rsidRPr="006E1DE3">
        <w:rPr>
          <w:rFonts w:cstheme="minorHAnsi"/>
          <w:color w:val="222222"/>
          <w:lang w:val="en-US"/>
        </w:rPr>
        <w:t xml:space="preserve">The remaining MFIs in the sector </w:t>
      </w:r>
      <w:r>
        <w:rPr>
          <w:rFonts w:cstheme="minorHAnsi"/>
          <w:color w:val="222222"/>
          <w:lang w:val="en-US"/>
        </w:rPr>
        <w:t xml:space="preserve">would </w:t>
      </w:r>
      <w:r w:rsidRPr="006E1DE3">
        <w:rPr>
          <w:rFonts w:cstheme="minorHAnsi"/>
          <w:color w:val="222222"/>
          <w:lang w:val="en-US"/>
        </w:rPr>
        <w:t xml:space="preserve">rather provide loans for income-generating activities, particularly petty trade. </w:t>
      </w:r>
    </w:p>
    <w:p w14:paraId="5791DB0A" w14:textId="77777777" w:rsidR="00404FC2" w:rsidRPr="00F8592F" w:rsidRDefault="00404FC2" w:rsidP="00404FC2">
      <w:pPr>
        <w:pStyle w:val="Heading3"/>
        <w:rPr>
          <w:b/>
          <w:lang w:val="en-US"/>
        </w:rPr>
      </w:pPr>
      <w:bookmarkStart w:id="54" w:name="_Toc3975156"/>
      <w:r w:rsidRPr="00F8592F">
        <w:rPr>
          <w:b/>
          <w:lang w:val="en-US"/>
        </w:rPr>
        <w:t xml:space="preserve">4.2.1 </w:t>
      </w:r>
      <w:r w:rsidRPr="00F8592F">
        <w:rPr>
          <w:rFonts w:cstheme="minorHAnsi"/>
          <w:b/>
          <w:lang w:val="en-US"/>
        </w:rPr>
        <w:t>Binding constraints hampering access of stakeholders to financial services</w:t>
      </w:r>
      <w:bookmarkEnd w:id="54"/>
      <w:r w:rsidRPr="00F8592F">
        <w:rPr>
          <w:rFonts w:cstheme="minorHAnsi"/>
          <w:b/>
          <w:lang w:val="en-US"/>
        </w:rPr>
        <w:t xml:space="preserve"> </w:t>
      </w:r>
    </w:p>
    <w:p w14:paraId="118CFD61" w14:textId="17B0A5D9" w:rsidR="00404FC2" w:rsidRPr="000D79DB" w:rsidRDefault="00404FC2" w:rsidP="00F8592F">
      <w:pPr>
        <w:pStyle w:val="ListParagraph"/>
        <w:numPr>
          <w:ilvl w:val="0"/>
          <w:numId w:val="47"/>
        </w:numPr>
        <w:spacing w:after="240" w:line="240" w:lineRule="auto"/>
        <w:ind w:left="0" w:firstLine="0"/>
        <w:contextualSpacing w:val="0"/>
        <w:jc w:val="both"/>
        <w:rPr>
          <w:rFonts w:asciiTheme="majorHAnsi" w:hAnsiTheme="majorHAnsi" w:cstheme="majorHAnsi"/>
          <w:color w:val="2E74B5" w:themeColor="accent1" w:themeShade="BF"/>
          <w:sz w:val="16"/>
          <w:szCs w:val="16"/>
          <w:lang w:val="en-US"/>
        </w:rPr>
      </w:pPr>
      <w:r w:rsidRPr="000D79DB">
        <w:rPr>
          <w:rFonts w:cstheme="minorHAnsi"/>
          <w:b/>
          <w:color w:val="222222"/>
          <w:lang w:val="en-US"/>
        </w:rPr>
        <w:t>The exclusion of the formal financial system of 65 percent (</w:t>
      </w:r>
      <w:proofErr w:type="spellStart"/>
      <w:r w:rsidRPr="000D79DB">
        <w:rPr>
          <w:rFonts w:cstheme="minorHAnsi"/>
          <w:b/>
          <w:color w:val="222222"/>
          <w:lang w:val="en-US"/>
        </w:rPr>
        <w:t>Findex</w:t>
      </w:r>
      <w:proofErr w:type="spellEnd"/>
      <w:r w:rsidR="00C702B4">
        <w:rPr>
          <w:rFonts w:cstheme="minorHAnsi"/>
          <w:b/>
          <w:color w:val="222222"/>
          <w:lang w:val="en-US"/>
        </w:rPr>
        <w:t> </w:t>
      </w:r>
      <w:r w:rsidRPr="000D79DB">
        <w:rPr>
          <w:rFonts w:cstheme="minorHAnsi"/>
          <w:b/>
          <w:color w:val="222222"/>
          <w:lang w:val="en-US"/>
        </w:rPr>
        <w:t>2017) of adults ages</w:t>
      </w:r>
      <w:r w:rsidR="00C702B4">
        <w:rPr>
          <w:rFonts w:cstheme="minorHAnsi"/>
          <w:b/>
          <w:color w:val="222222"/>
          <w:lang w:val="en-US"/>
        </w:rPr>
        <w:t> </w:t>
      </w:r>
      <w:r w:rsidRPr="000D79DB">
        <w:rPr>
          <w:rFonts w:cstheme="minorHAnsi"/>
          <w:b/>
          <w:color w:val="222222"/>
          <w:lang w:val="en-US"/>
        </w:rPr>
        <w:t>15 and above living in rural areas where agriculture is the main oc</w:t>
      </w:r>
      <w:r>
        <w:rPr>
          <w:rFonts w:cstheme="minorHAnsi"/>
          <w:b/>
          <w:color w:val="222222"/>
          <w:lang w:val="en-US"/>
        </w:rPr>
        <w:t>cupation contributes to limit</w:t>
      </w:r>
      <w:r w:rsidR="002425E2">
        <w:rPr>
          <w:rFonts w:cstheme="minorHAnsi"/>
          <w:b/>
          <w:color w:val="222222"/>
          <w:lang w:val="en-US"/>
        </w:rPr>
        <w:t>ing</w:t>
      </w:r>
      <w:r w:rsidRPr="000D79DB">
        <w:rPr>
          <w:rFonts w:cstheme="minorHAnsi"/>
          <w:b/>
          <w:color w:val="222222"/>
          <w:lang w:val="en-US"/>
        </w:rPr>
        <w:t xml:space="preserve"> </w:t>
      </w:r>
      <w:r>
        <w:rPr>
          <w:rFonts w:cstheme="minorHAnsi"/>
          <w:b/>
          <w:color w:val="222222"/>
          <w:lang w:val="en-US"/>
        </w:rPr>
        <w:t xml:space="preserve">access to </w:t>
      </w:r>
      <w:r w:rsidRPr="000D79DB">
        <w:rPr>
          <w:rFonts w:cstheme="minorHAnsi"/>
          <w:b/>
          <w:color w:val="222222"/>
          <w:lang w:val="en-US"/>
        </w:rPr>
        <w:t>financial services provide by the private sector</w:t>
      </w:r>
      <w:r w:rsidRPr="000D79DB">
        <w:rPr>
          <w:rFonts w:cstheme="minorHAnsi"/>
          <w:color w:val="222222"/>
          <w:lang w:val="en-US"/>
        </w:rPr>
        <w:t xml:space="preserve">. </w:t>
      </w:r>
      <w:r>
        <w:rPr>
          <w:rFonts w:cstheme="minorHAnsi"/>
          <w:color w:val="222222"/>
          <w:lang w:val="en-US"/>
        </w:rPr>
        <w:t xml:space="preserve">Beninese population particularly in rural areas </w:t>
      </w:r>
      <w:r w:rsidRPr="000D79DB">
        <w:rPr>
          <w:rFonts w:cstheme="minorHAnsi"/>
          <w:color w:val="222222"/>
          <w:lang w:val="en-US"/>
        </w:rPr>
        <w:t>resort to credit</w:t>
      </w:r>
      <w:r>
        <w:rPr>
          <w:rFonts w:cstheme="minorHAnsi"/>
          <w:color w:val="222222"/>
          <w:lang w:val="en-US"/>
        </w:rPr>
        <w:t xml:space="preserve"> and savings</w:t>
      </w:r>
      <w:r w:rsidRPr="000D79DB">
        <w:rPr>
          <w:rFonts w:cstheme="minorHAnsi"/>
          <w:color w:val="222222"/>
          <w:lang w:val="en-US"/>
        </w:rPr>
        <w:t xml:space="preserve"> with 46 percent of adults over 15 having borrowed money and 47.5 percent saving money. However, very few </w:t>
      </w:r>
      <w:r w:rsidR="00F8592F" w:rsidRPr="000D79DB">
        <w:rPr>
          <w:rFonts w:cstheme="minorHAnsi"/>
          <w:color w:val="222222"/>
          <w:lang w:val="en-US"/>
        </w:rPr>
        <w:t>deals</w:t>
      </w:r>
      <w:r w:rsidRPr="000D79DB">
        <w:rPr>
          <w:rFonts w:cstheme="minorHAnsi"/>
          <w:color w:val="222222"/>
          <w:lang w:val="en-US"/>
        </w:rPr>
        <w:t xml:space="preserve"> with formal financial institutions</w:t>
      </w:r>
      <w:r>
        <w:rPr>
          <w:rFonts w:cstheme="minorHAnsi"/>
          <w:color w:val="222222"/>
          <w:lang w:val="en-US"/>
        </w:rPr>
        <w:t xml:space="preserve"> and rely on t</w:t>
      </w:r>
      <w:r w:rsidR="002425E2">
        <w:rPr>
          <w:rFonts w:cstheme="minorHAnsi"/>
          <w:color w:val="222222"/>
          <w:lang w:val="en-US"/>
        </w:rPr>
        <w:t>he t</w:t>
      </w:r>
      <w:r>
        <w:rPr>
          <w:rFonts w:cstheme="minorHAnsi"/>
          <w:color w:val="222222"/>
          <w:lang w:val="en-US"/>
        </w:rPr>
        <w:t>ontine mainly</w:t>
      </w:r>
      <w:r w:rsidRPr="000D79DB">
        <w:rPr>
          <w:rFonts w:cstheme="minorHAnsi"/>
          <w:color w:val="222222"/>
          <w:lang w:val="en-US"/>
        </w:rPr>
        <w:t xml:space="preserve">. In fact, only 29% have an account in a financial institution, with 8.8 percent having saved in these institutions and 12 percent borrowing.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404FC2" w:rsidRPr="008A6E7B" w14:paraId="231CD060" w14:textId="77777777" w:rsidTr="002646AC">
        <w:tc>
          <w:tcPr>
            <w:tcW w:w="9350" w:type="dxa"/>
          </w:tcPr>
          <w:p w14:paraId="68E1378B" w14:textId="73D5FBAA" w:rsidR="00404FC2" w:rsidRPr="006506A8" w:rsidRDefault="00404FC2" w:rsidP="002646AC">
            <w:pPr>
              <w:pStyle w:val="Caption"/>
              <w:keepNext/>
              <w:keepLines/>
              <w:spacing w:before="0"/>
              <w:rPr>
                <w:b/>
              </w:rPr>
            </w:pPr>
            <w:r w:rsidRPr="006506A8">
              <w:rPr>
                <w:b/>
              </w:rPr>
              <w:t>Figure</w:t>
            </w:r>
            <w:r w:rsidR="00C702B4" w:rsidRPr="006506A8">
              <w:rPr>
                <w:b/>
              </w:rPr>
              <w:t> </w:t>
            </w:r>
            <w:r w:rsidRPr="006506A8">
              <w:rPr>
                <w:b/>
              </w:rPr>
              <w:t>4.1: Use of financial products in Benin by region</w:t>
            </w:r>
          </w:p>
        </w:tc>
      </w:tr>
      <w:tr w:rsidR="00404FC2" w:rsidRPr="006E1DE3" w14:paraId="3A38F3EC" w14:textId="77777777" w:rsidTr="002646AC">
        <w:tc>
          <w:tcPr>
            <w:tcW w:w="9350" w:type="dxa"/>
          </w:tcPr>
          <w:p w14:paraId="2372B68A" w14:textId="77777777" w:rsidR="00404FC2" w:rsidRPr="006E1DE3" w:rsidRDefault="00404FC2" w:rsidP="002646AC">
            <w:pPr>
              <w:keepNext/>
              <w:keepLines/>
              <w:autoSpaceDE w:val="0"/>
              <w:autoSpaceDN w:val="0"/>
              <w:adjustRightInd w:val="0"/>
              <w:jc w:val="both"/>
            </w:pPr>
            <w:r w:rsidRPr="006E1DE3">
              <w:rPr>
                <w:rFonts w:cstheme="minorHAnsi"/>
                <w:b/>
                <w:bCs/>
                <w:noProof/>
                <w:lang w:eastAsia="fr-FR"/>
              </w:rPr>
              <w:drawing>
                <wp:inline distT="0" distB="0" distL="0" distR="0" wp14:anchorId="7C7AB213" wp14:editId="11615790">
                  <wp:extent cx="6284595" cy="2496848"/>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t="13478"/>
                          <a:stretch/>
                        </pic:blipFill>
                        <pic:spPr bwMode="auto">
                          <a:xfrm>
                            <a:off x="0" y="0"/>
                            <a:ext cx="6291601" cy="2499631"/>
                          </a:xfrm>
                          <a:prstGeom prst="rect">
                            <a:avLst/>
                          </a:prstGeom>
                          <a:noFill/>
                          <a:ln>
                            <a:noFill/>
                          </a:ln>
                          <a:extLst>
                            <a:ext uri="{53640926-AAD7-44D8-BBD7-CCE9431645EC}">
                              <a14:shadowObscured xmlns:a14="http://schemas.microsoft.com/office/drawing/2010/main"/>
                            </a:ext>
                          </a:extLst>
                        </pic:spPr>
                      </pic:pic>
                    </a:graphicData>
                  </a:graphic>
                </wp:inline>
              </w:drawing>
            </w:r>
          </w:p>
          <w:p w14:paraId="02D18070" w14:textId="77777777" w:rsidR="00404FC2" w:rsidRPr="006E1DE3" w:rsidRDefault="00404FC2" w:rsidP="002646AC">
            <w:pPr>
              <w:keepNext/>
              <w:keepLines/>
              <w:autoSpaceDE w:val="0"/>
              <w:autoSpaceDN w:val="0"/>
              <w:adjustRightInd w:val="0"/>
              <w:jc w:val="both"/>
              <w:rPr>
                <w:rFonts w:cstheme="minorHAnsi"/>
                <w:bCs/>
                <w:sz w:val="16"/>
                <w:szCs w:val="16"/>
              </w:rPr>
            </w:pPr>
          </w:p>
        </w:tc>
      </w:tr>
      <w:tr w:rsidR="00404FC2" w:rsidRPr="008A6E7B" w14:paraId="31D222E2" w14:textId="77777777" w:rsidTr="002646AC">
        <w:tc>
          <w:tcPr>
            <w:tcW w:w="9350" w:type="dxa"/>
          </w:tcPr>
          <w:p w14:paraId="35F27729" w14:textId="60EB71AE" w:rsidR="00404FC2" w:rsidRPr="003D2501" w:rsidRDefault="00404FC2" w:rsidP="002646AC">
            <w:pPr>
              <w:keepNext/>
              <w:keepLines/>
              <w:autoSpaceDE w:val="0"/>
              <w:autoSpaceDN w:val="0"/>
              <w:adjustRightInd w:val="0"/>
              <w:rPr>
                <w:rFonts w:asciiTheme="majorHAnsi" w:hAnsiTheme="majorHAnsi" w:cstheme="majorHAnsi"/>
              </w:rPr>
            </w:pPr>
            <w:r w:rsidRPr="003D2501">
              <w:rPr>
                <w:rFonts w:asciiTheme="majorHAnsi" w:hAnsiTheme="majorHAnsi" w:cstheme="majorHAnsi"/>
                <w:bCs/>
                <w:i/>
                <w:color w:val="2E74B5" w:themeColor="accent1" w:themeShade="BF"/>
                <w:szCs w:val="16"/>
              </w:rPr>
              <w:t>Source</w:t>
            </w:r>
            <w:r w:rsidRPr="003D2501">
              <w:rPr>
                <w:rFonts w:asciiTheme="majorHAnsi" w:hAnsiTheme="majorHAnsi" w:cstheme="majorHAnsi"/>
                <w:bCs/>
                <w:color w:val="2E74B5" w:themeColor="accent1" w:themeShade="BF"/>
                <w:szCs w:val="16"/>
              </w:rPr>
              <w:t>: World Bank Group</w:t>
            </w:r>
            <w:r w:rsidR="00C702B4">
              <w:rPr>
                <w:rFonts w:asciiTheme="majorHAnsi" w:hAnsiTheme="majorHAnsi" w:cstheme="majorHAnsi"/>
                <w:bCs/>
                <w:color w:val="2E74B5" w:themeColor="accent1" w:themeShade="BF"/>
                <w:szCs w:val="16"/>
              </w:rPr>
              <w:t> </w:t>
            </w:r>
            <w:r w:rsidRPr="003D2501">
              <w:rPr>
                <w:rFonts w:asciiTheme="majorHAnsi" w:hAnsiTheme="majorHAnsi" w:cstheme="majorHAnsi"/>
                <w:bCs/>
                <w:color w:val="2E74B5" w:themeColor="accent1" w:themeShade="BF"/>
                <w:szCs w:val="16"/>
              </w:rPr>
              <w:t>2017b</w:t>
            </w:r>
            <w:r w:rsidR="00141BD7">
              <w:rPr>
                <w:rFonts w:asciiTheme="majorHAnsi" w:hAnsiTheme="majorHAnsi" w:cstheme="majorHAnsi"/>
                <w:bCs/>
                <w:color w:val="2E74B5" w:themeColor="accent1" w:themeShade="BF"/>
                <w:szCs w:val="16"/>
              </w:rPr>
              <w:t>—</w:t>
            </w:r>
            <w:r w:rsidRPr="003D2501">
              <w:rPr>
                <w:rFonts w:asciiTheme="majorHAnsi" w:hAnsiTheme="majorHAnsi" w:cstheme="majorHAnsi"/>
                <w:bCs/>
                <w:color w:val="2E74B5" w:themeColor="accent1" w:themeShade="BF"/>
                <w:szCs w:val="16"/>
              </w:rPr>
              <w:t>Poverty Global Practice.</w:t>
            </w:r>
          </w:p>
        </w:tc>
      </w:tr>
    </w:tbl>
    <w:p w14:paraId="6590FA69" w14:textId="77777777" w:rsidR="00404FC2" w:rsidRPr="000D79DB" w:rsidRDefault="00404FC2" w:rsidP="00404FC2">
      <w:pPr>
        <w:pStyle w:val="ListParagraph"/>
        <w:autoSpaceDE w:val="0"/>
        <w:autoSpaceDN w:val="0"/>
        <w:adjustRightInd w:val="0"/>
        <w:spacing w:after="0" w:line="240" w:lineRule="auto"/>
        <w:ind w:left="0"/>
        <w:contextualSpacing w:val="0"/>
        <w:jc w:val="both"/>
        <w:rPr>
          <w:rFonts w:asciiTheme="majorHAnsi" w:hAnsiTheme="majorHAnsi" w:cstheme="majorHAnsi"/>
          <w:color w:val="2E74B5" w:themeColor="accent1" w:themeShade="BF"/>
          <w:sz w:val="16"/>
          <w:szCs w:val="16"/>
          <w:lang w:val="en-US"/>
        </w:rPr>
      </w:pPr>
    </w:p>
    <w:p w14:paraId="05E384D6" w14:textId="77777777" w:rsidR="00404FC2" w:rsidRPr="000D79DB" w:rsidRDefault="00404FC2" w:rsidP="00404FC2">
      <w:pPr>
        <w:pStyle w:val="ListParagraph"/>
        <w:autoSpaceDE w:val="0"/>
        <w:autoSpaceDN w:val="0"/>
        <w:adjustRightInd w:val="0"/>
        <w:spacing w:after="0" w:line="240" w:lineRule="auto"/>
        <w:ind w:left="0"/>
        <w:contextualSpacing w:val="0"/>
        <w:jc w:val="both"/>
        <w:rPr>
          <w:rFonts w:asciiTheme="majorHAnsi" w:hAnsiTheme="majorHAnsi" w:cstheme="majorHAnsi"/>
          <w:color w:val="2E74B5" w:themeColor="accent1" w:themeShade="BF"/>
          <w:sz w:val="16"/>
          <w:szCs w:val="16"/>
          <w:lang w:val="en-US"/>
        </w:rPr>
      </w:pPr>
    </w:p>
    <w:p w14:paraId="046BAE6F" w14:textId="43751360" w:rsidR="00404FC2" w:rsidRPr="006E1DE3" w:rsidRDefault="00404FC2" w:rsidP="006506A8">
      <w:pPr>
        <w:pStyle w:val="ListParagraph"/>
        <w:numPr>
          <w:ilvl w:val="0"/>
          <w:numId w:val="47"/>
        </w:numPr>
        <w:spacing w:after="240" w:line="240" w:lineRule="auto"/>
        <w:ind w:left="0" w:firstLine="0"/>
        <w:contextualSpacing w:val="0"/>
        <w:jc w:val="both"/>
        <w:rPr>
          <w:rFonts w:cstheme="minorHAnsi"/>
          <w:lang w:val="en-US"/>
        </w:rPr>
      </w:pPr>
      <w:r>
        <w:rPr>
          <w:rFonts w:cstheme="minorHAnsi"/>
          <w:b/>
          <w:color w:val="222222"/>
          <w:lang w:val="en-US"/>
        </w:rPr>
        <w:t>The low level</w:t>
      </w:r>
      <w:r w:rsidRPr="006E1DE3">
        <w:rPr>
          <w:rFonts w:cstheme="minorHAnsi"/>
          <w:b/>
          <w:color w:val="222222"/>
          <w:lang w:val="en-US"/>
        </w:rPr>
        <w:t xml:space="preserve"> of financial education (and information) of rural populations contribute to hindering their inclusion.</w:t>
      </w:r>
      <w:r w:rsidRPr="006E1DE3">
        <w:rPr>
          <w:rFonts w:cstheme="minorHAnsi"/>
          <w:color w:val="222222"/>
          <w:lang w:val="en-US"/>
        </w:rPr>
        <w:t xml:space="preserve"> </w:t>
      </w:r>
      <w:r w:rsidRPr="006E1DE3">
        <w:rPr>
          <w:rFonts w:cstheme="minorHAnsi"/>
          <w:color w:val="2E121F"/>
          <w:lang w:val="en-US"/>
        </w:rPr>
        <w:t xml:space="preserve">Beninese speak many languages and 70 </w:t>
      </w:r>
      <w:r w:rsidRPr="006E1DE3">
        <w:rPr>
          <w:rFonts w:ascii="Calibri" w:hAnsi="Calibri" w:cs="Calibri"/>
          <w:lang w:val="en-US"/>
        </w:rPr>
        <w:t>percent</w:t>
      </w:r>
      <w:r w:rsidRPr="006E1DE3">
        <w:rPr>
          <w:rFonts w:cstheme="minorHAnsi"/>
          <w:color w:val="2E121F"/>
          <w:lang w:val="en-US"/>
        </w:rPr>
        <w:t xml:space="preserve"> </w:t>
      </w:r>
      <w:r w:rsidRPr="006E1DE3">
        <w:rPr>
          <w:rFonts w:cstheme="minorHAnsi"/>
          <w:color w:val="222222"/>
          <w:lang w:val="en-US"/>
        </w:rPr>
        <w:t>do</w:t>
      </w:r>
      <w:r w:rsidRPr="006E1DE3">
        <w:rPr>
          <w:rFonts w:cstheme="minorHAnsi"/>
          <w:color w:val="2E121F"/>
          <w:lang w:val="en-US"/>
        </w:rPr>
        <w:t xml:space="preserve"> not read French (</w:t>
      </w:r>
      <w:r w:rsidRPr="006E1DE3">
        <w:rPr>
          <w:rFonts w:cstheme="minorHAnsi"/>
          <w:color w:val="222222"/>
          <w:lang w:val="en-US"/>
        </w:rPr>
        <w:t>Smart Campaign</w:t>
      </w:r>
      <w:r w:rsidR="00C702B4">
        <w:rPr>
          <w:rFonts w:cstheme="minorHAnsi"/>
          <w:color w:val="222222"/>
          <w:lang w:val="en-US"/>
        </w:rPr>
        <w:t> </w:t>
      </w:r>
      <w:r w:rsidRPr="006E1DE3">
        <w:rPr>
          <w:rFonts w:cstheme="minorHAnsi"/>
          <w:color w:val="222222"/>
          <w:lang w:val="en-US"/>
        </w:rPr>
        <w:t>2015)</w:t>
      </w:r>
      <w:r w:rsidRPr="006E1DE3">
        <w:rPr>
          <w:rFonts w:cstheme="minorHAnsi"/>
          <w:color w:val="2E121F"/>
          <w:lang w:val="en-US"/>
        </w:rPr>
        <w:t xml:space="preserve">. However, most </w:t>
      </w:r>
      <w:r w:rsidRPr="006E1DE3">
        <w:rPr>
          <w:rFonts w:cstheme="minorHAnsi"/>
          <w:color w:val="222222"/>
          <w:lang w:val="en-US"/>
        </w:rPr>
        <w:t xml:space="preserve">financial institutions (banks and MFIs) have their documentation in French. They rely on verbal explanation done generally at the credit disbursement. A survey conducted by Smart Campaign (2015) revealed that Beninese </w:t>
      </w:r>
      <w:r w:rsidRPr="006E1DE3">
        <w:rPr>
          <w:rFonts w:cstheme="minorHAnsi"/>
          <w:bCs/>
          <w:lang w:val="en-US"/>
        </w:rPr>
        <w:t>clients lack basic information about the terms and conditions of financial products</w:t>
      </w:r>
      <w:r w:rsidRPr="006E1DE3">
        <w:rPr>
          <w:rFonts w:cstheme="minorHAnsi"/>
          <w:color w:val="222222"/>
          <w:lang w:val="en-US"/>
        </w:rPr>
        <w:t>.</w:t>
      </w:r>
    </w:p>
    <w:p w14:paraId="320F7DA4" w14:textId="1A492A77" w:rsidR="00404FC2" w:rsidRPr="00A213A8" w:rsidRDefault="00404FC2" w:rsidP="006506A8">
      <w:pPr>
        <w:pStyle w:val="ListParagraph"/>
        <w:numPr>
          <w:ilvl w:val="0"/>
          <w:numId w:val="47"/>
        </w:numPr>
        <w:spacing w:after="240" w:line="240" w:lineRule="auto"/>
        <w:ind w:left="0" w:firstLine="0"/>
        <w:contextualSpacing w:val="0"/>
        <w:jc w:val="both"/>
        <w:rPr>
          <w:rFonts w:cstheme="minorHAnsi"/>
          <w:lang w:val="en-US"/>
        </w:rPr>
      </w:pPr>
      <w:r w:rsidRPr="00A213A8">
        <w:rPr>
          <w:rFonts w:cstheme="minorHAnsi"/>
          <w:b/>
          <w:color w:val="222222"/>
          <w:lang w:val="en-US"/>
        </w:rPr>
        <w:t xml:space="preserve">The high level of informality in the agricultural </w:t>
      </w:r>
      <w:r w:rsidRPr="0026735F">
        <w:rPr>
          <w:rFonts w:cstheme="minorHAnsi"/>
          <w:b/>
          <w:color w:val="222222"/>
          <w:lang w:val="en-US"/>
        </w:rPr>
        <w:t>sector</w:t>
      </w:r>
      <w:r w:rsidR="0026735F">
        <w:rPr>
          <w:rFonts w:cstheme="minorHAnsi"/>
          <w:b/>
          <w:color w:val="222222"/>
          <w:lang w:val="en-US"/>
        </w:rPr>
        <w:t xml:space="preserve"> hampers access to formal financial services</w:t>
      </w:r>
      <w:r w:rsidRPr="00A213A8">
        <w:rPr>
          <w:rFonts w:cstheme="minorHAnsi"/>
          <w:color w:val="222222"/>
          <w:lang w:val="en-US"/>
        </w:rPr>
        <w:t>. At a firm level, the degree of formality is assessed according to their internal process (bookkeeping method) and their legal and institutional status (registration with the administrative authorities, affiliation to the social security register, and the company</w:t>
      </w:r>
      <w:r w:rsidR="00141BD7">
        <w:rPr>
          <w:rFonts w:cstheme="minorHAnsi"/>
          <w:color w:val="222222"/>
          <w:lang w:val="en-US"/>
        </w:rPr>
        <w:t>’</w:t>
      </w:r>
      <w:r w:rsidRPr="00A213A8">
        <w:rPr>
          <w:rFonts w:cstheme="minorHAnsi"/>
          <w:color w:val="222222"/>
          <w:lang w:val="en-US"/>
        </w:rPr>
        <w:t xml:space="preserve">s statute). Informality is the main characteristic of agricultural enterprises with 66 percent of them not having a commercial register number, 88 percent not having a </w:t>
      </w:r>
      <w:r w:rsidRPr="00A213A8">
        <w:rPr>
          <w:rFonts w:cstheme="minorHAnsi"/>
          <w:lang w:val="en-US"/>
        </w:rPr>
        <w:t xml:space="preserve">National institute of </w:t>
      </w:r>
      <w:r w:rsidRPr="00A213A8">
        <w:rPr>
          <w:rFonts w:ascii="Calibri" w:hAnsi="Calibri" w:cs="Calibri"/>
          <w:lang w:val="en-US"/>
        </w:rPr>
        <w:t>Statistic</w:t>
      </w:r>
      <w:r w:rsidRPr="00A213A8">
        <w:rPr>
          <w:rFonts w:cstheme="minorHAnsi"/>
          <w:lang w:val="en-US"/>
        </w:rPr>
        <w:t xml:space="preserve"> and Economic Analysis</w:t>
      </w:r>
      <w:r w:rsidRPr="00A213A8">
        <w:rPr>
          <w:rFonts w:cstheme="minorHAnsi"/>
          <w:color w:val="222222"/>
          <w:lang w:val="en-US"/>
        </w:rPr>
        <w:t xml:space="preserve"> (INSAE) number, and 32 percent not keeping formal accounts. In Benin, one</w:t>
      </w:r>
      <w:r w:rsidR="002425E2">
        <w:rPr>
          <w:rFonts w:cstheme="minorHAnsi"/>
          <w:color w:val="222222"/>
          <w:lang w:val="en-US"/>
        </w:rPr>
        <w:t xml:space="preserve"> </w:t>
      </w:r>
      <w:r w:rsidRPr="00A213A8">
        <w:rPr>
          <w:rFonts w:cstheme="minorHAnsi"/>
          <w:color w:val="222222"/>
          <w:lang w:val="en-US"/>
        </w:rPr>
        <w:t xml:space="preserve">third of industrial enterprises do not have a commercial register and INSAE </w:t>
      </w:r>
      <w:r w:rsidRPr="00A213A8">
        <w:rPr>
          <w:rFonts w:ascii="Calibri" w:hAnsi="Calibri" w:cs="Calibri"/>
          <w:lang w:val="en-US"/>
        </w:rPr>
        <w:t>numbers</w:t>
      </w:r>
      <w:r w:rsidRPr="00A213A8">
        <w:rPr>
          <w:rFonts w:cstheme="minorHAnsi"/>
          <w:color w:val="222222"/>
          <w:lang w:val="en-US"/>
        </w:rPr>
        <w:t>. In addition, only 25 percent of industrial enterprises in Benin use a formal written accounting system (balance sheet and operating account).</w:t>
      </w:r>
    </w:p>
    <w:p w14:paraId="1753C197" w14:textId="03EEE8E8" w:rsidR="00404FC2" w:rsidRPr="006E1DE3" w:rsidRDefault="00404FC2" w:rsidP="006506A8">
      <w:pPr>
        <w:pStyle w:val="ListParagraph"/>
        <w:numPr>
          <w:ilvl w:val="0"/>
          <w:numId w:val="47"/>
        </w:numPr>
        <w:spacing w:after="240" w:line="240" w:lineRule="auto"/>
        <w:ind w:left="0" w:firstLine="0"/>
        <w:contextualSpacing w:val="0"/>
        <w:jc w:val="both"/>
        <w:rPr>
          <w:rFonts w:cstheme="minorHAnsi"/>
          <w:lang w:val="en-US"/>
        </w:rPr>
      </w:pPr>
      <w:r w:rsidRPr="006E1DE3">
        <w:rPr>
          <w:rFonts w:cstheme="minorHAnsi"/>
          <w:b/>
          <w:color w:val="222222"/>
          <w:lang w:val="en-US"/>
        </w:rPr>
        <w:t>The lack of eligible collateral represents a major barrier for borrowers.</w:t>
      </w:r>
      <w:r w:rsidRPr="006E1DE3">
        <w:rPr>
          <w:rFonts w:cstheme="minorHAnsi"/>
          <w:color w:val="222222"/>
          <w:lang w:val="en-US"/>
        </w:rPr>
        <w:t xml:space="preserve"> Agricultural producers mainly have three types of collateral that may be eligible for financial institutions lending: land, equipment, and output of the production. In Benin, land remains a major problem. The rural land system is marked by a dualism in which the modern land tenure system and the customary law regime coexist. Thus, financial institutions are reluctant to </w:t>
      </w:r>
      <w:r>
        <w:rPr>
          <w:rFonts w:cstheme="minorHAnsi"/>
          <w:color w:val="222222"/>
          <w:lang w:val="en-US"/>
        </w:rPr>
        <w:t xml:space="preserve">accept </w:t>
      </w:r>
      <w:r w:rsidRPr="006E1DE3">
        <w:rPr>
          <w:rFonts w:cstheme="minorHAnsi"/>
          <w:color w:val="222222"/>
          <w:lang w:val="en-US"/>
        </w:rPr>
        <w:t>other types of documents other than land title</w:t>
      </w:r>
      <w:r>
        <w:rPr>
          <w:rFonts w:cstheme="minorHAnsi"/>
          <w:color w:val="222222"/>
          <w:lang w:val="en-US"/>
        </w:rPr>
        <w:t>s</w:t>
      </w:r>
      <w:r w:rsidRPr="006E1DE3">
        <w:rPr>
          <w:rFonts w:cstheme="minorHAnsi"/>
          <w:color w:val="222222"/>
          <w:lang w:val="en-US"/>
        </w:rPr>
        <w:t xml:space="preserve">. Cultural restrictions on access to land are even more important for women. The level of agricultural mechanization is low and the realization of equipment and machinery collateral in case </w:t>
      </w:r>
      <w:r w:rsidRPr="006E1DE3">
        <w:rPr>
          <w:rFonts w:ascii="Calibri" w:hAnsi="Calibri" w:cs="Calibri"/>
          <w:lang w:val="en-US"/>
        </w:rPr>
        <w:t>of</w:t>
      </w:r>
      <w:r w:rsidRPr="006E1DE3">
        <w:rPr>
          <w:rFonts w:cstheme="minorHAnsi"/>
          <w:color w:val="222222"/>
          <w:lang w:val="en-US"/>
        </w:rPr>
        <w:t xml:space="preserve"> defaul</w:t>
      </w:r>
      <w:r>
        <w:rPr>
          <w:rFonts w:cstheme="minorHAnsi"/>
          <w:color w:val="222222"/>
          <w:lang w:val="en-US"/>
        </w:rPr>
        <w:t xml:space="preserve">t is </w:t>
      </w:r>
      <w:r w:rsidRPr="006E1DE3">
        <w:rPr>
          <w:rFonts w:cstheme="minorHAnsi"/>
          <w:color w:val="222222"/>
          <w:lang w:val="en-US"/>
        </w:rPr>
        <w:t xml:space="preserve">difficult. Agricultural outputs can also be used as collateral like in </w:t>
      </w:r>
      <w:proofErr w:type="spellStart"/>
      <w:r w:rsidRPr="006E1DE3">
        <w:rPr>
          <w:rFonts w:cstheme="minorHAnsi"/>
          <w:color w:val="222222"/>
          <w:lang w:val="en-US"/>
        </w:rPr>
        <w:t>warrantage</w:t>
      </w:r>
      <w:proofErr w:type="spellEnd"/>
      <w:r w:rsidRPr="006E1DE3">
        <w:rPr>
          <w:rFonts w:cstheme="minorHAnsi"/>
          <w:color w:val="222222"/>
          <w:lang w:val="en-US"/>
        </w:rPr>
        <w:t xml:space="preserve">. However, MFIs are the ones resorting to this financing system. The country has no legal provisions in place for the </w:t>
      </w:r>
      <w:r w:rsidRPr="006E1DE3">
        <w:rPr>
          <w:rFonts w:ascii="Calibri" w:hAnsi="Calibri" w:cs="Calibri"/>
          <w:lang w:val="en-US"/>
        </w:rPr>
        <w:t>proper</w:t>
      </w:r>
      <w:r w:rsidRPr="006E1DE3">
        <w:rPr>
          <w:rFonts w:cstheme="minorHAnsi"/>
          <w:color w:val="222222"/>
          <w:lang w:val="en-US"/>
        </w:rPr>
        <w:t xml:space="preserve"> management and hygiene of agricultural warehouses. The only legal framework is related to food safety (Law No. 91-004) that has several decrees, some of which deal with the inspection and certification procedures for agricultural goods dedicated for export goods.</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404FC2" w:rsidRPr="008A6E7B" w14:paraId="73A5EB52" w14:textId="77777777" w:rsidTr="002646AC">
        <w:tc>
          <w:tcPr>
            <w:tcW w:w="5000" w:type="pct"/>
            <w:shd w:val="clear" w:color="auto" w:fill="D9D9D9" w:themeFill="background1" w:themeFillShade="D9"/>
          </w:tcPr>
          <w:p w14:paraId="03367C80" w14:textId="3885DADA" w:rsidR="00404FC2" w:rsidRPr="006506A8" w:rsidRDefault="00404FC2" w:rsidP="002646AC">
            <w:pPr>
              <w:pStyle w:val="ListParagraph"/>
              <w:keepNext/>
              <w:spacing w:before="60" w:after="60"/>
              <w:ind w:left="0"/>
              <w:contextualSpacing w:val="0"/>
              <w:jc w:val="center"/>
              <w:rPr>
                <w:rFonts w:asciiTheme="majorHAnsi" w:hAnsiTheme="majorHAnsi" w:cstheme="majorHAnsi"/>
                <w:b/>
                <w:color w:val="2E74B5" w:themeColor="accent1" w:themeShade="BF"/>
              </w:rPr>
            </w:pPr>
            <w:r w:rsidRPr="006506A8">
              <w:rPr>
                <w:rFonts w:asciiTheme="majorHAnsi" w:hAnsiTheme="majorHAnsi" w:cstheme="majorHAnsi"/>
                <w:b/>
                <w:color w:val="2E74B5" w:themeColor="accent1" w:themeShade="BF"/>
              </w:rPr>
              <w:t>Box</w:t>
            </w:r>
            <w:r w:rsidR="00C702B4" w:rsidRPr="006506A8">
              <w:rPr>
                <w:rFonts w:asciiTheme="majorHAnsi" w:hAnsiTheme="majorHAnsi" w:cstheme="majorHAnsi"/>
                <w:b/>
                <w:color w:val="2E74B5" w:themeColor="accent1" w:themeShade="BF"/>
              </w:rPr>
              <w:t> </w:t>
            </w:r>
            <w:r w:rsidRPr="006506A8">
              <w:rPr>
                <w:rFonts w:asciiTheme="majorHAnsi" w:hAnsiTheme="majorHAnsi" w:cstheme="majorHAnsi"/>
                <w:b/>
                <w:color w:val="2E74B5" w:themeColor="accent1" w:themeShade="BF"/>
              </w:rPr>
              <w:t>4.</w:t>
            </w:r>
            <w:r w:rsidRPr="006506A8">
              <w:rPr>
                <w:rFonts w:asciiTheme="majorHAnsi" w:hAnsiTheme="majorHAnsi" w:cstheme="majorHAnsi"/>
                <w:b/>
                <w:color w:val="2E74B5" w:themeColor="accent1" w:themeShade="BF"/>
              </w:rPr>
              <w:fldChar w:fldCharType="begin"/>
            </w:r>
            <w:r w:rsidRPr="006506A8">
              <w:rPr>
                <w:rFonts w:asciiTheme="majorHAnsi" w:hAnsiTheme="majorHAnsi" w:cstheme="majorHAnsi"/>
                <w:b/>
                <w:color w:val="2E74B5" w:themeColor="accent1" w:themeShade="BF"/>
              </w:rPr>
              <w:instrText xml:space="preserve"> SEQ Box_4. \* ARABIC </w:instrText>
            </w:r>
            <w:r w:rsidRPr="006506A8">
              <w:rPr>
                <w:rFonts w:asciiTheme="majorHAnsi" w:hAnsiTheme="majorHAnsi" w:cstheme="majorHAnsi"/>
                <w:b/>
                <w:color w:val="2E74B5" w:themeColor="accent1" w:themeShade="BF"/>
              </w:rPr>
              <w:fldChar w:fldCharType="separate"/>
            </w:r>
            <w:r w:rsidR="004C6E5F" w:rsidRPr="006506A8">
              <w:rPr>
                <w:rFonts w:asciiTheme="majorHAnsi" w:hAnsiTheme="majorHAnsi" w:cstheme="majorHAnsi"/>
                <w:b/>
                <w:noProof/>
                <w:color w:val="2E74B5" w:themeColor="accent1" w:themeShade="BF"/>
              </w:rPr>
              <w:t>1</w:t>
            </w:r>
            <w:r w:rsidRPr="006506A8">
              <w:rPr>
                <w:rFonts w:asciiTheme="majorHAnsi" w:hAnsiTheme="majorHAnsi" w:cstheme="majorHAnsi"/>
                <w:b/>
                <w:color w:val="2E74B5" w:themeColor="accent1" w:themeShade="BF"/>
              </w:rPr>
              <w:fldChar w:fldCharType="end"/>
            </w:r>
            <w:r w:rsidRPr="006506A8">
              <w:rPr>
                <w:rFonts w:asciiTheme="majorHAnsi" w:hAnsiTheme="majorHAnsi" w:cstheme="majorHAnsi"/>
                <w:b/>
                <w:color w:val="2E74B5" w:themeColor="accent1" w:themeShade="BF"/>
              </w:rPr>
              <w:t xml:space="preserve">: </w:t>
            </w:r>
            <w:proofErr w:type="spellStart"/>
            <w:r w:rsidRPr="006506A8">
              <w:rPr>
                <w:rFonts w:asciiTheme="majorHAnsi" w:hAnsiTheme="majorHAnsi" w:cstheme="majorHAnsi"/>
                <w:b/>
                <w:color w:val="2E74B5" w:themeColor="accent1" w:themeShade="BF"/>
              </w:rPr>
              <w:t>Warrantage</w:t>
            </w:r>
            <w:proofErr w:type="spellEnd"/>
            <w:r w:rsidRPr="006506A8">
              <w:rPr>
                <w:rFonts w:asciiTheme="majorHAnsi" w:hAnsiTheme="majorHAnsi" w:cstheme="majorHAnsi"/>
                <w:b/>
                <w:color w:val="2E74B5" w:themeColor="accent1" w:themeShade="BF"/>
              </w:rPr>
              <w:t xml:space="preserve"> </w:t>
            </w:r>
            <w:r w:rsidR="002425E2" w:rsidRPr="006506A8">
              <w:rPr>
                <w:rFonts w:asciiTheme="majorHAnsi" w:hAnsiTheme="majorHAnsi" w:cstheme="majorHAnsi"/>
                <w:b/>
                <w:color w:val="2E74B5" w:themeColor="accent1" w:themeShade="BF"/>
              </w:rPr>
              <w:t>F</w:t>
            </w:r>
            <w:r w:rsidRPr="006506A8">
              <w:rPr>
                <w:rFonts w:asciiTheme="majorHAnsi" w:hAnsiTheme="majorHAnsi" w:cstheme="majorHAnsi"/>
                <w:b/>
                <w:color w:val="2E74B5" w:themeColor="accent1" w:themeShade="BF"/>
              </w:rPr>
              <w:t xml:space="preserve">inancing </w:t>
            </w:r>
            <w:r w:rsidR="002425E2" w:rsidRPr="006506A8">
              <w:rPr>
                <w:rFonts w:asciiTheme="majorHAnsi" w:hAnsiTheme="majorHAnsi" w:cstheme="majorHAnsi"/>
                <w:b/>
                <w:color w:val="2E74B5" w:themeColor="accent1" w:themeShade="BF"/>
              </w:rPr>
              <w:t>S</w:t>
            </w:r>
            <w:r w:rsidRPr="006506A8">
              <w:rPr>
                <w:rFonts w:asciiTheme="majorHAnsi" w:hAnsiTheme="majorHAnsi" w:cstheme="majorHAnsi"/>
                <w:b/>
                <w:color w:val="2E74B5" w:themeColor="accent1" w:themeShade="BF"/>
              </w:rPr>
              <w:t>ystem</w:t>
            </w:r>
          </w:p>
          <w:p w14:paraId="5C52E848" w14:textId="0005338E" w:rsidR="00404FC2" w:rsidRPr="003D2501" w:rsidRDefault="00404FC2" w:rsidP="002646AC">
            <w:pPr>
              <w:keepNext/>
              <w:spacing w:after="60"/>
              <w:jc w:val="both"/>
              <w:rPr>
                <w:rFonts w:asciiTheme="minorHAnsi" w:hAnsiTheme="minorHAnsi" w:cstheme="minorHAnsi"/>
                <w:b/>
                <w:color w:val="222222"/>
                <w:sz w:val="22"/>
                <w:szCs w:val="22"/>
              </w:rPr>
            </w:pPr>
            <w:proofErr w:type="spellStart"/>
            <w:r w:rsidRPr="003D2501">
              <w:rPr>
                <w:rFonts w:asciiTheme="minorHAnsi" w:hAnsiTheme="minorHAnsi" w:cstheme="minorHAnsi"/>
              </w:rPr>
              <w:t>Warrantage</w:t>
            </w:r>
            <w:proofErr w:type="spellEnd"/>
            <w:r w:rsidRPr="003D2501">
              <w:rPr>
                <w:rFonts w:asciiTheme="minorHAnsi" w:hAnsiTheme="minorHAnsi" w:cstheme="minorHAnsi"/>
              </w:rPr>
              <w:t xml:space="preserve"> is a short-term credit system using the stock of agricultural products likely to increase in value at </w:t>
            </w:r>
            <w:proofErr w:type="gramStart"/>
            <w:r w:rsidRPr="003D2501">
              <w:rPr>
                <w:rFonts w:asciiTheme="minorHAnsi" w:hAnsiTheme="minorHAnsi" w:cstheme="minorHAnsi"/>
              </w:rPr>
              <w:t>fairly regular</w:t>
            </w:r>
            <w:proofErr w:type="gramEnd"/>
            <w:r w:rsidRPr="003D2501">
              <w:rPr>
                <w:rFonts w:asciiTheme="minorHAnsi" w:hAnsiTheme="minorHAnsi" w:cstheme="minorHAnsi"/>
              </w:rPr>
              <w:t xml:space="preserve"> intervals as collateral. In this financing system, members of a PO store part of their production in the storage facility at harvest for four to six months generally and obtain a loan from an MFI. The MFI verifies the quantity and quality of the products before granting loans. The credit amount is determined based on the market price at harvest and represents 70–80 percent of the value of the stock. The storage facility has a dual padlock management system: one lock for the </w:t>
            </w:r>
            <w:r w:rsidRPr="003D2501">
              <w:rPr>
                <w:rFonts w:cstheme="minorHAnsi"/>
              </w:rPr>
              <w:t>PO</w:t>
            </w:r>
            <w:r w:rsidRPr="003D2501">
              <w:rPr>
                <w:rFonts w:asciiTheme="minorHAnsi" w:hAnsiTheme="minorHAnsi" w:cstheme="minorHAnsi"/>
              </w:rPr>
              <w:t xml:space="preserve"> and the other one for the MFI. The producers remain owners of their stocks, and each bag is marked by the name of the producer. A committee composed of PO members is responsible for the storage facility hygiene and the operation management with the MFI. About four to six months later, the PO collects from producers the reimbursement of the credit and repays the loan to the MFI. The stock is released </w:t>
            </w:r>
            <w:r w:rsidR="006506A8" w:rsidRPr="003D2501">
              <w:rPr>
                <w:rFonts w:asciiTheme="minorHAnsi" w:hAnsiTheme="minorHAnsi" w:cstheme="minorHAnsi"/>
              </w:rPr>
              <w:t>afterward,</w:t>
            </w:r>
            <w:r w:rsidRPr="003D2501">
              <w:rPr>
                <w:rFonts w:asciiTheme="minorHAnsi" w:hAnsiTheme="minorHAnsi" w:cstheme="minorHAnsi"/>
              </w:rPr>
              <w:t xml:space="preserve"> and</w:t>
            </w:r>
            <w:r w:rsidR="002425E2">
              <w:rPr>
                <w:rFonts w:asciiTheme="minorHAnsi" w:hAnsiTheme="minorHAnsi" w:cstheme="minorHAnsi"/>
              </w:rPr>
              <w:t>, in the meantime,</w:t>
            </w:r>
            <w:r w:rsidRPr="003D2501">
              <w:rPr>
                <w:rFonts w:asciiTheme="minorHAnsi" w:hAnsiTheme="minorHAnsi" w:cstheme="minorHAnsi"/>
              </w:rPr>
              <w:t xml:space="preserve"> the value is likely to have increased. </w:t>
            </w:r>
            <w:proofErr w:type="spellStart"/>
            <w:r w:rsidRPr="003D2501">
              <w:rPr>
                <w:rFonts w:asciiTheme="minorHAnsi" w:hAnsiTheme="minorHAnsi" w:cstheme="minorHAnsi"/>
              </w:rPr>
              <w:t>Warrantage</w:t>
            </w:r>
            <w:proofErr w:type="spellEnd"/>
            <w:r w:rsidRPr="003D2501">
              <w:rPr>
                <w:rFonts w:asciiTheme="minorHAnsi" w:hAnsiTheme="minorHAnsi" w:cstheme="minorHAnsi"/>
              </w:rPr>
              <w:t xml:space="preserve"> is commonly implemented in Sub-Saharan countries (Niger, Mali, Burkina Faso, Madagascar, and Ethiopia).</w:t>
            </w:r>
          </w:p>
        </w:tc>
      </w:tr>
    </w:tbl>
    <w:p w14:paraId="3F419F7A" w14:textId="77777777" w:rsidR="00404FC2" w:rsidRPr="006E1DE3" w:rsidRDefault="00404FC2" w:rsidP="00404FC2">
      <w:pPr>
        <w:pStyle w:val="Caption"/>
        <w:spacing w:before="0" w:after="0"/>
        <w:rPr>
          <w:rFonts w:asciiTheme="minorHAnsi" w:hAnsiTheme="minorHAnsi" w:cstheme="minorHAnsi"/>
          <w:b/>
          <w:color w:val="222222"/>
          <w:sz w:val="22"/>
          <w:szCs w:val="22"/>
          <w:lang w:val="en-US"/>
        </w:rPr>
      </w:pPr>
    </w:p>
    <w:p w14:paraId="538FDA5E" w14:textId="608B622B" w:rsidR="00404FC2" w:rsidRPr="006E1DE3" w:rsidRDefault="00404FC2" w:rsidP="006506A8">
      <w:pPr>
        <w:pStyle w:val="ListParagraph"/>
        <w:numPr>
          <w:ilvl w:val="0"/>
          <w:numId w:val="47"/>
        </w:numPr>
        <w:spacing w:after="240" w:line="240" w:lineRule="auto"/>
        <w:ind w:left="0" w:firstLine="0"/>
        <w:contextualSpacing w:val="0"/>
        <w:jc w:val="both"/>
        <w:rPr>
          <w:rFonts w:cstheme="minorHAnsi"/>
          <w:lang w:val="en-US"/>
        </w:rPr>
      </w:pPr>
      <w:r w:rsidRPr="006E1DE3">
        <w:rPr>
          <w:rFonts w:cstheme="minorHAnsi"/>
          <w:b/>
          <w:lang w:val="en-US"/>
        </w:rPr>
        <w:t xml:space="preserve">Enterprises also face difficulties fulfilling the financial institutions’ collateral requirement. </w:t>
      </w:r>
      <w:r w:rsidRPr="006E1DE3">
        <w:rPr>
          <w:rFonts w:cstheme="minorHAnsi"/>
          <w:color w:val="222222"/>
          <w:lang w:val="en-US"/>
        </w:rPr>
        <w:t>RGE</w:t>
      </w:r>
      <w:r w:rsidRPr="006E1DE3">
        <w:rPr>
          <w:rFonts w:cstheme="minorHAnsi"/>
          <w:lang w:val="en-US"/>
        </w:rPr>
        <w:t>_</w:t>
      </w:r>
      <w:r w:rsidRPr="006E1DE3">
        <w:rPr>
          <w:rFonts w:cstheme="minorHAnsi"/>
          <w:color w:val="222222"/>
          <w:lang w:val="en-US"/>
        </w:rPr>
        <w:t>2 revealed that the lack of collateral is the leading cause of bank non-lending, cited by 40 percent of respondents (INSAE</w:t>
      </w:r>
      <w:r w:rsidR="00C702B4">
        <w:rPr>
          <w:rFonts w:cstheme="minorHAnsi"/>
          <w:color w:val="222222"/>
          <w:lang w:val="en-US"/>
        </w:rPr>
        <w:t> </w:t>
      </w:r>
      <w:r w:rsidRPr="006E1DE3">
        <w:rPr>
          <w:rFonts w:cstheme="minorHAnsi"/>
          <w:color w:val="222222"/>
          <w:lang w:val="en-US"/>
        </w:rPr>
        <w:t>2010). For small</w:t>
      </w:r>
      <w:r w:rsidRPr="006E1DE3">
        <w:rPr>
          <w:rFonts w:cstheme="minorHAnsi"/>
          <w:lang w:val="en-US"/>
        </w:rPr>
        <w:t xml:space="preserve"> enterprises, banks request up to 142 percent of the loan amount as collateral and up to 109 percent for medium and large enterprises. Thus, as per </w:t>
      </w:r>
      <w:r w:rsidRPr="00190E42">
        <w:rPr>
          <w:rFonts w:cstheme="minorHAnsi"/>
          <w:lang w:val="en-US"/>
        </w:rPr>
        <w:t>the World Bank (2016b)</w:t>
      </w:r>
      <w:r w:rsidRPr="00190E42">
        <w:rPr>
          <w:rFonts w:cstheme="minorHAnsi"/>
          <w:b/>
          <w:bCs/>
          <w:lang w:val="en-US"/>
        </w:rPr>
        <w:t xml:space="preserve">, </w:t>
      </w:r>
      <w:r w:rsidRPr="00190E42">
        <w:rPr>
          <w:rFonts w:cstheme="minorHAnsi"/>
          <w:lang w:val="en-US"/>
        </w:rPr>
        <w:t>about</w:t>
      </w:r>
      <w:r w:rsidRPr="006E1DE3">
        <w:rPr>
          <w:rFonts w:cstheme="minorHAnsi"/>
          <w:lang w:val="en-US"/>
        </w:rPr>
        <w:t xml:space="preserve"> 28 percent of enterprises in Benin reported having a checking or savings account as compared to 87 percent in Sub-Saharan Africa, and only 7 percent of enterprises have a loan or line of credit against an average of 23.1 percent for Sub-Saharan Africa</w:t>
      </w:r>
      <w:r>
        <w:rPr>
          <w:rFonts w:cstheme="minorHAnsi"/>
          <w:lang w:val="en-US"/>
        </w:rPr>
        <w:t xml:space="preserve"> (World Bank</w:t>
      </w:r>
      <w:r w:rsidR="00C702B4">
        <w:rPr>
          <w:rFonts w:cstheme="minorHAnsi"/>
          <w:lang w:val="en-US"/>
        </w:rPr>
        <w:t> </w:t>
      </w:r>
      <w:r>
        <w:rPr>
          <w:rFonts w:cstheme="minorHAnsi"/>
          <w:lang w:val="en-US"/>
        </w:rPr>
        <w:t>2016b)</w:t>
      </w:r>
      <w:r w:rsidRPr="006E1DE3">
        <w:rPr>
          <w:rFonts w:cstheme="minorHAnsi"/>
          <w:lang w:val="en-US"/>
        </w:rPr>
        <w:t xml:space="preserve">. This </w:t>
      </w:r>
      <w:r w:rsidRPr="006E1DE3">
        <w:rPr>
          <w:rFonts w:ascii="Calibri" w:hAnsi="Calibri" w:cs="Calibri"/>
          <w:lang w:val="en-US"/>
        </w:rPr>
        <w:t>situation</w:t>
      </w:r>
      <w:r w:rsidRPr="006E1DE3">
        <w:rPr>
          <w:rFonts w:cstheme="minorHAnsi"/>
          <w:lang w:val="en-US"/>
        </w:rPr>
        <w:t xml:space="preserve"> may be </w:t>
      </w:r>
      <w:r w:rsidRPr="006E1DE3">
        <w:rPr>
          <w:rFonts w:ascii="Calibri" w:hAnsi="Calibri" w:cs="Calibri"/>
          <w:lang w:val="en-US"/>
        </w:rPr>
        <w:t>perhaps</w:t>
      </w:r>
      <w:r w:rsidRPr="006E1DE3">
        <w:rPr>
          <w:rFonts w:cstheme="minorHAnsi"/>
          <w:lang w:val="en-US"/>
        </w:rPr>
        <w:t xml:space="preserve"> related to the lack of land tenure security for Beninese companies. About 65 percent of the enterprises surveyed do not know the land tenure of the parcel occupied by their company, and of those who know it, 80 percent do not have the land title. </w:t>
      </w:r>
    </w:p>
    <w:p w14:paraId="50B93A30" w14:textId="23DE3115" w:rsidR="00404FC2" w:rsidRPr="0026735F" w:rsidRDefault="00404FC2" w:rsidP="006506A8">
      <w:pPr>
        <w:pStyle w:val="ListParagraph"/>
        <w:numPr>
          <w:ilvl w:val="0"/>
          <w:numId w:val="47"/>
        </w:numPr>
        <w:spacing w:after="240" w:line="240" w:lineRule="auto"/>
        <w:ind w:left="0" w:firstLine="0"/>
        <w:contextualSpacing w:val="0"/>
        <w:jc w:val="both"/>
        <w:rPr>
          <w:rFonts w:cstheme="minorHAnsi"/>
          <w:color w:val="000000" w:themeColor="text1"/>
          <w:lang w:val="en-US"/>
        </w:rPr>
      </w:pPr>
      <w:r w:rsidRPr="006E1DE3">
        <w:rPr>
          <w:rFonts w:cstheme="minorHAnsi"/>
          <w:b/>
          <w:bCs/>
          <w:lang w:val="en-US"/>
        </w:rPr>
        <w:t xml:space="preserve">The lack of </w:t>
      </w:r>
      <w:r w:rsidR="000E1B61">
        <w:rPr>
          <w:rFonts w:cstheme="minorHAnsi"/>
          <w:b/>
          <w:bCs/>
          <w:lang w:val="en-US"/>
        </w:rPr>
        <w:t xml:space="preserve">good </w:t>
      </w:r>
      <w:r w:rsidRPr="006E1DE3">
        <w:rPr>
          <w:rFonts w:cstheme="minorHAnsi"/>
          <w:b/>
          <w:bCs/>
          <w:lang w:val="en-US"/>
        </w:rPr>
        <w:t>quality information/data on production systems and markets represents a barrier to access</w:t>
      </w:r>
      <w:r w:rsidR="000E1B61">
        <w:rPr>
          <w:rFonts w:cstheme="minorHAnsi"/>
          <w:b/>
          <w:bCs/>
          <w:lang w:val="en-US"/>
        </w:rPr>
        <w:t>ing</w:t>
      </w:r>
      <w:r w:rsidRPr="006E1DE3">
        <w:rPr>
          <w:rFonts w:cstheme="minorHAnsi"/>
          <w:b/>
          <w:bCs/>
          <w:lang w:val="en-US"/>
        </w:rPr>
        <w:t xml:space="preserve"> finance in the agricultur</w:t>
      </w:r>
      <w:r>
        <w:rPr>
          <w:rFonts w:cstheme="minorHAnsi"/>
          <w:b/>
          <w:bCs/>
          <w:lang w:val="en-US"/>
        </w:rPr>
        <w:t>al</w:t>
      </w:r>
      <w:r w:rsidRPr="006E1DE3">
        <w:rPr>
          <w:rFonts w:cstheme="minorHAnsi"/>
          <w:b/>
          <w:bCs/>
          <w:lang w:val="en-US"/>
        </w:rPr>
        <w:t xml:space="preserve"> sector.</w:t>
      </w:r>
      <w:r w:rsidRPr="006E1DE3">
        <w:rPr>
          <w:rFonts w:cstheme="minorHAnsi"/>
          <w:color w:val="222222"/>
          <w:lang w:val="en-US"/>
        </w:rPr>
        <w:t xml:space="preserve"> The decision to grant a credit and the collateral required depends on the ability of the financial institution to efficiently collect, use, and analyze the information/data available to properly assess the associated risk. </w:t>
      </w:r>
      <w:r w:rsidRPr="006E1DE3">
        <w:rPr>
          <w:rFonts w:cstheme="minorHAnsi"/>
          <w:lang w:val="en-US"/>
        </w:rPr>
        <w:t xml:space="preserve">It is difficult to obtain reliable statistics on </w:t>
      </w:r>
      <w:r w:rsidR="000E1B61">
        <w:rPr>
          <w:rFonts w:cstheme="minorHAnsi"/>
          <w:lang w:val="en-US"/>
        </w:rPr>
        <w:t>Benin’s</w:t>
      </w:r>
      <w:r w:rsidR="000E1B61" w:rsidRPr="006E1DE3">
        <w:rPr>
          <w:rFonts w:cstheme="minorHAnsi"/>
          <w:lang w:val="en-US"/>
        </w:rPr>
        <w:t xml:space="preserve"> </w:t>
      </w:r>
      <w:r w:rsidRPr="006E1DE3">
        <w:rPr>
          <w:rFonts w:cstheme="minorHAnsi"/>
          <w:lang w:val="en-US"/>
        </w:rPr>
        <w:t xml:space="preserve">agricultural sector, and when the data do exist, they lack key information on the </w:t>
      </w:r>
      <w:r w:rsidRPr="006E1DE3">
        <w:rPr>
          <w:rFonts w:ascii="Calibri" w:hAnsi="Calibri" w:cs="Calibri"/>
          <w:lang w:val="en-US"/>
        </w:rPr>
        <w:t>segmentation</w:t>
      </w:r>
      <w:r w:rsidRPr="006E1DE3">
        <w:rPr>
          <w:rFonts w:cstheme="minorHAnsi"/>
          <w:lang w:val="en-US"/>
        </w:rPr>
        <w:t xml:space="preserve"> of </w:t>
      </w:r>
      <w:r w:rsidRPr="006E1DE3">
        <w:rPr>
          <w:rFonts w:ascii="Calibri" w:hAnsi="Calibri" w:cs="Calibri"/>
          <w:lang w:val="en-US"/>
        </w:rPr>
        <w:t>the</w:t>
      </w:r>
      <w:r w:rsidRPr="006E1DE3">
        <w:rPr>
          <w:rFonts w:cstheme="minorHAnsi"/>
          <w:lang w:val="en-US"/>
        </w:rPr>
        <w:t xml:space="preserve"> rural population across farm size, crops produced, assets held, and so on. </w:t>
      </w:r>
      <w:r w:rsidRPr="006E1DE3">
        <w:rPr>
          <w:rFonts w:cstheme="minorHAnsi"/>
          <w:color w:val="222222"/>
          <w:lang w:val="en-US"/>
        </w:rPr>
        <w:t xml:space="preserve">Acknowledging the weaknesses of data, a National </w:t>
      </w:r>
      <w:r w:rsidRPr="006E1DE3">
        <w:rPr>
          <w:lang w:val="en-US"/>
        </w:rPr>
        <w:t>Platform of Agriculture Producers</w:t>
      </w:r>
      <w:r w:rsidRPr="006E1DE3">
        <w:rPr>
          <w:rFonts w:cstheme="minorHAnsi"/>
          <w:color w:val="222222"/>
          <w:lang w:val="en-US"/>
        </w:rPr>
        <w:t xml:space="preserve"> (PNOPPA) with the support of the Swiss Cooperation started a rural identity card project that aimed at defining a typology of farms</w:t>
      </w:r>
      <w:r>
        <w:rPr>
          <w:rFonts w:cstheme="minorHAnsi"/>
          <w:color w:val="222222"/>
          <w:lang w:val="en-US"/>
        </w:rPr>
        <w:t>.</w:t>
      </w:r>
    </w:p>
    <w:p w14:paraId="54E2A034" w14:textId="0CCF89CD" w:rsidR="00404FC2" w:rsidRPr="006506A8" w:rsidRDefault="00CC0E0B" w:rsidP="00CC0E0B">
      <w:pPr>
        <w:pStyle w:val="Heading3"/>
        <w:rPr>
          <w:b/>
          <w:lang w:val="en-US"/>
        </w:rPr>
      </w:pPr>
      <w:bookmarkStart w:id="55" w:name="_Toc3975157"/>
      <w:r w:rsidRPr="006506A8">
        <w:rPr>
          <w:b/>
          <w:lang w:val="en-US"/>
        </w:rPr>
        <w:t xml:space="preserve">4.2.2 Enduring constraints in the Supply of </w:t>
      </w:r>
      <w:r w:rsidR="0026735F" w:rsidRPr="006506A8">
        <w:rPr>
          <w:b/>
          <w:lang w:val="en-US"/>
        </w:rPr>
        <w:t xml:space="preserve">Agriculture Finance </w:t>
      </w:r>
      <w:r w:rsidR="000E1B61" w:rsidRPr="006506A8">
        <w:rPr>
          <w:b/>
          <w:lang w:val="en-US"/>
        </w:rPr>
        <w:t>L</w:t>
      </w:r>
      <w:r w:rsidR="0026735F" w:rsidRPr="006506A8">
        <w:rPr>
          <w:b/>
          <w:lang w:val="en-US"/>
        </w:rPr>
        <w:t>imiting its</w:t>
      </w:r>
      <w:r w:rsidRPr="006506A8">
        <w:rPr>
          <w:b/>
          <w:lang w:val="en-US"/>
        </w:rPr>
        <w:t xml:space="preserve"> </w:t>
      </w:r>
      <w:r w:rsidR="000E1B61" w:rsidRPr="006506A8">
        <w:rPr>
          <w:b/>
          <w:lang w:val="en-US"/>
        </w:rPr>
        <w:t>A</w:t>
      </w:r>
      <w:r w:rsidRPr="006506A8">
        <w:rPr>
          <w:b/>
          <w:lang w:val="en-US"/>
        </w:rPr>
        <w:t>ttractiveness</w:t>
      </w:r>
      <w:bookmarkEnd w:id="55"/>
    </w:p>
    <w:p w14:paraId="1528BF0A" w14:textId="77777777" w:rsidR="00CC0E0B" w:rsidRPr="006E1DE3" w:rsidRDefault="00CC0E0B" w:rsidP="006506A8">
      <w:pPr>
        <w:pStyle w:val="ListParagraph"/>
        <w:numPr>
          <w:ilvl w:val="0"/>
          <w:numId w:val="47"/>
        </w:numPr>
        <w:spacing w:after="240" w:line="240" w:lineRule="auto"/>
        <w:ind w:left="-90" w:firstLine="0"/>
        <w:contextualSpacing w:val="0"/>
        <w:jc w:val="both"/>
        <w:rPr>
          <w:rFonts w:cstheme="minorHAnsi"/>
          <w:b/>
          <w:color w:val="000000"/>
          <w:lang w:val="en-US"/>
        </w:rPr>
      </w:pPr>
      <w:r w:rsidRPr="006E1DE3">
        <w:rPr>
          <w:rFonts w:cstheme="minorHAnsi"/>
          <w:b/>
          <w:color w:val="222222"/>
          <w:lang w:val="en-US"/>
        </w:rPr>
        <w:t>Financial institutions face constraints that limit the attractiveness and development of financing for the agricultural sector:</w:t>
      </w:r>
      <w:r w:rsidRPr="006E1DE3">
        <w:rPr>
          <w:rFonts w:cstheme="minorHAnsi"/>
          <w:b/>
          <w:color w:val="000000"/>
          <w:lang w:val="en-US"/>
        </w:rPr>
        <w:t xml:space="preserve"> </w:t>
      </w:r>
    </w:p>
    <w:p w14:paraId="5735956F" w14:textId="3EC524F8" w:rsidR="00CC0E0B" w:rsidRPr="00CC0E0B" w:rsidRDefault="000E1B61" w:rsidP="006506A8">
      <w:pPr>
        <w:pStyle w:val="Default"/>
        <w:numPr>
          <w:ilvl w:val="0"/>
          <w:numId w:val="11"/>
        </w:numPr>
        <w:spacing w:before="120" w:after="120"/>
        <w:ind w:left="1195" w:hanging="475"/>
        <w:jc w:val="both"/>
        <w:rPr>
          <w:rFonts w:asciiTheme="minorHAnsi" w:hAnsiTheme="minorHAnsi" w:cstheme="minorHAnsi"/>
          <w:sz w:val="22"/>
          <w:szCs w:val="22"/>
          <w:lang w:val="en-US"/>
        </w:rPr>
      </w:pPr>
      <w:r>
        <w:rPr>
          <w:rFonts w:asciiTheme="minorHAnsi" w:hAnsiTheme="minorHAnsi" w:cstheme="minorHAnsi"/>
          <w:b/>
          <w:color w:val="222222"/>
          <w:sz w:val="22"/>
          <w:szCs w:val="22"/>
          <w:lang w:val="en-US"/>
        </w:rPr>
        <w:t>L</w:t>
      </w:r>
      <w:r w:rsidR="00CC0E0B" w:rsidRPr="00CC0E0B">
        <w:rPr>
          <w:rFonts w:asciiTheme="minorHAnsi" w:hAnsiTheme="minorHAnsi" w:cstheme="minorHAnsi"/>
          <w:b/>
          <w:color w:val="222222"/>
          <w:sz w:val="22"/>
          <w:szCs w:val="22"/>
          <w:lang w:val="en-US"/>
        </w:rPr>
        <w:t>ack of proximity:</w:t>
      </w:r>
      <w:r w:rsidR="00CC0E0B" w:rsidRPr="00CC0E0B">
        <w:rPr>
          <w:rFonts w:asciiTheme="minorHAnsi" w:hAnsiTheme="minorHAnsi" w:cstheme="minorHAnsi"/>
          <w:color w:val="222222"/>
          <w:sz w:val="22"/>
          <w:szCs w:val="22"/>
          <w:lang w:val="en-US"/>
        </w:rPr>
        <w:t xml:space="preserve"> Although the presence of banks on the territory has increased in recent years with 209 branches and 301 ATMs, they remain mainly located in urban centers and remote from production areas, with the density of 3.91 commercial branches per 100,000 adults</w:t>
      </w:r>
      <w:r w:rsidR="00CC0E0B" w:rsidRPr="00CC0E0B">
        <w:rPr>
          <w:rStyle w:val="FootnoteReference"/>
          <w:rFonts w:asciiTheme="minorHAnsi" w:hAnsiTheme="minorHAnsi" w:cstheme="minorHAnsi"/>
          <w:iCs/>
          <w:sz w:val="22"/>
          <w:szCs w:val="22"/>
          <w:lang w:val="en-US"/>
        </w:rPr>
        <w:footnoteReference w:id="21"/>
      </w:r>
      <w:r w:rsidR="00CC0E0B" w:rsidRPr="00CC0E0B">
        <w:rPr>
          <w:rFonts w:asciiTheme="minorHAnsi" w:hAnsiTheme="minorHAnsi" w:cstheme="minorHAnsi"/>
          <w:iCs/>
          <w:sz w:val="22"/>
          <w:szCs w:val="22"/>
          <w:lang w:val="en-US"/>
        </w:rPr>
        <w:t xml:space="preserve"> commercial bank branches</w:t>
      </w:r>
      <w:r w:rsidR="00C702B4">
        <w:rPr>
          <w:rFonts w:asciiTheme="minorHAnsi" w:hAnsiTheme="minorHAnsi" w:cstheme="minorHAnsi"/>
          <w:iCs/>
          <w:sz w:val="22"/>
          <w:szCs w:val="22"/>
          <w:lang w:val="en-US"/>
        </w:rPr>
        <w:t> </w:t>
      </w:r>
      <w:r w:rsidR="00CC0E0B" w:rsidRPr="00CC0E0B">
        <w:rPr>
          <w:rFonts w:asciiTheme="minorHAnsi" w:hAnsiTheme="minorHAnsi" w:cstheme="minorHAnsi"/>
          <w:iCs/>
          <w:sz w:val="22"/>
          <w:szCs w:val="22"/>
          <w:lang w:val="en-US"/>
        </w:rPr>
        <w:t xml:space="preserve">100,000 adults, and 10.48 MFIs branches per 100,000 adults. While more recent BCEAO data (Rapport Commission </w:t>
      </w:r>
      <w:proofErr w:type="spellStart"/>
      <w:r w:rsidR="00CC0E0B" w:rsidRPr="00CC0E0B">
        <w:rPr>
          <w:rFonts w:asciiTheme="minorHAnsi" w:hAnsiTheme="minorHAnsi" w:cstheme="minorHAnsi"/>
          <w:iCs/>
          <w:sz w:val="22"/>
          <w:szCs w:val="22"/>
          <w:lang w:val="en-US"/>
        </w:rPr>
        <w:t>Bancaire</w:t>
      </w:r>
      <w:proofErr w:type="spellEnd"/>
      <w:r w:rsidR="00C702B4">
        <w:rPr>
          <w:rFonts w:asciiTheme="minorHAnsi" w:hAnsiTheme="minorHAnsi" w:cstheme="minorHAnsi"/>
          <w:iCs/>
          <w:sz w:val="22"/>
          <w:szCs w:val="22"/>
          <w:lang w:val="en-US"/>
        </w:rPr>
        <w:t> </w:t>
      </w:r>
      <w:r w:rsidR="00CC0E0B" w:rsidRPr="00CC0E0B">
        <w:rPr>
          <w:rFonts w:asciiTheme="minorHAnsi" w:hAnsiTheme="minorHAnsi" w:cstheme="minorHAnsi"/>
          <w:iCs/>
          <w:sz w:val="22"/>
          <w:szCs w:val="22"/>
          <w:lang w:val="en-US"/>
        </w:rPr>
        <w:t xml:space="preserve">2015) shows progress for commercial bank branches, Benin still </w:t>
      </w:r>
      <w:proofErr w:type="gramStart"/>
      <w:r w:rsidR="00CC0E0B" w:rsidRPr="00CC0E0B">
        <w:rPr>
          <w:rFonts w:asciiTheme="minorHAnsi" w:hAnsiTheme="minorHAnsi" w:cstheme="minorHAnsi"/>
          <w:iCs/>
          <w:sz w:val="22"/>
          <w:szCs w:val="22"/>
          <w:lang w:val="en-US"/>
        </w:rPr>
        <w:t xml:space="preserve">lags </w:t>
      </w:r>
      <w:r w:rsidR="00025254">
        <w:rPr>
          <w:rFonts w:asciiTheme="minorHAnsi" w:hAnsiTheme="minorHAnsi" w:cstheme="minorHAnsi"/>
          <w:iCs/>
          <w:sz w:val="22"/>
          <w:szCs w:val="22"/>
          <w:lang w:val="en-US"/>
        </w:rPr>
        <w:t>behind</w:t>
      </w:r>
      <w:proofErr w:type="gramEnd"/>
      <w:r w:rsidR="00025254">
        <w:rPr>
          <w:rFonts w:asciiTheme="minorHAnsi" w:hAnsiTheme="minorHAnsi" w:cstheme="minorHAnsi"/>
          <w:iCs/>
          <w:sz w:val="22"/>
          <w:szCs w:val="22"/>
          <w:lang w:val="en-US"/>
        </w:rPr>
        <w:t xml:space="preserve"> most countries </w:t>
      </w:r>
      <w:r w:rsidR="00CC0E0B" w:rsidRPr="00CC0E0B">
        <w:rPr>
          <w:rFonts w:asciiTheme="minorHAnsi" w:hAnsiTheme="minorHAnsi" w:cstheme="minorHAnsi"/>
          <w:iCs/>
          <w:sz w:val="22"/>
          <w:szCs w:val="22"/>
          <w:lang w:val="en-US"/>
        </w:rPr>
        <w:t xml:space="preserve">in the zone with an </w:t>
      </w:r>
      <w:r w:rsidR="00CC0E0B" w:rsidRPr="00CC0E0B">
        <w:rPr>
          <w:rFonts w:asciiTheme="minorHAnsi" w:hAnsiTheme="minorHAnsi" w:cstheme="minorHAnsi"/>
          <w:color w:val="222222"/>
          <w:sz w:val="22"/>
          <w:szCs w:val="22"/>
          <w:lang w:val="en-US"/>
        </w:rPr>
        <w:t xml:space="preserve">average in Sub-Saharan Africa of 5.3 per 100,000 adults. </w:t>
      </w:r>
      <w:r w:rsidR="00025254">
        <w:rPr>
          <w:rFonts w:asciiTheme="minorHAnsi" w:hAnsiTheme="minorHAnsi" w:cstheme="minorHAnsi"/>
          <w:sz w:val="22"/>
          <w:szCs w:val="22"/>
          <w:lang w:val="en-US"/>
        </w:rPr>
        <w:t>T</w:t>
      </w:r>
      <w:r w:rsidR="00CC0E0B" w:rsidRPr="00CC0E0B">
        <w:rPr>
          <w:rFonts w:asciiTheme="minorHAnsi" w:hAnsiTheme="minorHAnsi" w:cstheme="minorHAnsi"/>
          <w:sz w:val="22"/>
          <w:szCs w:val="22"/>
          <w:lang w:val="en-US"/>
        </w:rPr>
        <w:t>ransaction costs are higher</w:t>
      </w:r>
      <w:r w:rsidR="00025254">
        <w:rPr>
          <w:rFonts w:asciiTheme="minorHAnsi" w:hAnsiTheme="minorHAnsi" w:cstheme="minorHAnsi"/>
          <w:sz w:val="22"/>
          <w:szCs w:val="22"/>
          <w:lang w:val="en-US"/>
        </w:rPr>
        <w:t xml:space="preserve"> </w:t>
      </w:r>
      <w:r w:rsidR="00025254" w:rsidRPr="00CC0E0B">
        <w:rPr>
          <w:rFonts w:asciiTheme="minorHAnsi" w:hAnsiTheme="minorHAnsi" w:cstheme="minorHAnsi"/>
          <w:sz w:val="22"/>
          <w:szCs w:val="22"/>
          <w:lang w:val="en-US"/>
        </w:rPr>
        <w:t>in rural areas</w:t>
      </w:r>
      <w:r w:rsidR="00CC0E0B" w:rsidRPr="00CC0E0B">
        <w:rPr>
          <w:rFonts w:asciiTheme="minorHAnsi" w:hAnsiTheme="minorHAnsi" w:cstheme="minorHAnsi"/>
          <w:sz w:val="22"/>
          <w:szCs w:val="22"/>
          <w:lang w:val="en-US"/>
        </w:rPr>
        <w:t xml:space="preserve"> than in urban areas </w:t>
      </w:r>
      <w:r w:rsidR="00025254">
        <w:rPr>
          <w:rFonts w:asciiTheme="minorHAnsi" w:hAnsiTheme="minorHAnsi" w:cstheme="minorHAnsi"/>
          <w:sz w:val="22"/>
          <w:szCs w:val="22"/>
          <w:lang w:val="en-US"/>
        </w:rPr>
        <w:t>for the population is</w:t>
      </w:r>
      <w:r w:rsidR="00025254" w:rsidRPr="00CC0E0B">
        <w:rPr>
          <w:rFonts w:asciiTheme="minorHAnsi" w:hAnsiTheme="minorHAnsi" w:cstheme="minorHAnsi"/>
          <w:sz w:val="22"/>
          <w:szCs w:val="22"/>
          <w:lang w:val="en-US"/>
        </w:rPr>
        <w:t xml:space="preserve"> </w:t>
      </w:r>
      <w:r w:rsidR="00CC0E0B" w:rsidRPr="00CC0E0B">
        <w:rPr>
          <w:rFonts w:asciiTheme="minorHAnsi" w:hAnsiTheme="minorHAnsi" w:cstheme="minorHAnsi"/>
          <w:sz w:val="22"/>
          <w:szCs w:val="22"/>
          <w:lang w:val="en-US"/>
        </w:rPr>
        <w:t>more dispersed population.</w:t>
      </w:r>
    </w:p>
    <w:p w14:paraId="3DB2A302" w14:textId="50467CE1" w:rsidR="00CC0E0B" w:rsidRPr="00CC0E0B" w:rsidRDefault="00CC0E0B" w:rsidP="006506A8">
      <w:pPr>
        <w:pStyle w:val="Default"/>
        <w:numPr>
          <w:ilvl w:val="0"/>
          <w:numId w:val="11"/>
        </w:numPr>
        <w:spacing w:before="120" w:after="120"/>
        <w:ind w:left="1195" w:hanging="475"/>
        <w:jc w:val="both"/>
        <w:rPr>
          <w:rFonts w:asciiTheme="minorHAnsi" w:hAnsiTheme="minorHAnsi" w:cstheme="minorHAnsi"/>
          <w:sz w:val="22"/>
          <w:szCs w:val="22"/>
          <w:lang w:val="en-US"/>
        </w:rPr>
      </w:pPr>
      <w:r w:rsidRPr="00CC0E0B">
        <w:rPr>
          <w:rFonts w:asciiTheme="minorHAnsi" w:hAnsiTheme="minorHAnsi" w:cstheme="minorHAnsi"/>
          <w:b/>
          <w:sz w:val="22"/>
          <w:szCs w:val="22"/>
          <w:lang w:val="en-US"/>
        </w:rPr>
        <w:t>The risk factors inherent in agriculture often inhibit financial institutions from lending:</w:t>
      </w:r>
      <w:r w:rsidRPr="00CC0E0B">
        <w:rPr>
          <w:rFonts w:asciiTheme="minorHAnsi" w:hAnsiTheme="minorHAnsi" w:cstheme="minorHAnsi"/>
          <w:sz w:val="22"/>
          <w:szCs w:val="22"/>
          <w:lang w:val="en-US"/>
        </w:rPr>
        <w:t xml:space="preserve"> Several kinds of risks and uncertainties exist in the sector: (a) yield risks due to weather, diseases, and insects; (b) market price risks due to local and global weather and market variations; (c) timing uncertainties due to farm-specific weather variations; (d) uncertainties in the timing of repairs and reinvestments; and (e) illness, accidents, and other </w:t>
      </w:r>
      <w:r w:rsidR="00141BD7">
        <w:rPr>
          <w:rFonts w:asciiTheme="minorHAnsi" w:hAnsiTheme="minorHAnsi" w:cstheme="minorHAnsi"/>
          <w:sz w:val="22"/>
          <w:szCs w:val="22"/>
          <w:lang w:val="en-US"/>
        </w:rPr>
        <w:t>life</w:t>
      </w:r>
      <w:r w:rsidR="00706F23">
        <w:rPr>
          <w:rFonts w:asciiTheme="minorHAnsi" w:hAnsiTheme="minorHAnsi" w:cstheme="minorHAnsi"/>
          <w:sz w:val="22"/>
          <w:szCs w:val="22"/>
          <w:lang w:val="en-US"/>
        </w:rPr>
        <w:t>-</w:t>
      </w:r>
      <w:r w:rsidR="00141BD7">
        <w:rPr>
          <w:rFonts w:asciiTheme="minorHAnsi" w:hAnsiTheme="minorHAnsi" w:cstheme="minorHAnsi"/>
          <w:sz w:val="22"/>
          <w:szCs w:val="22"/>
          <w:lang w:val="en-US"/>
        </w:rPr>
        <w:t>cycle</w:t>
      </w:r>
      <w:r w:rsidRPr="00CC0E0B">
        <w:rPr>
          <w:rFonts w:asciiTheme="minorHAnsi" w:hAnsiTheme="minorHAnsi" w:cstheme="minorHAnsi"/>
          <w:sz w:val="22"/>
          <w:szCs w:val="22"/>
          <w:lang w:val="en-US"/>
        </w:rPr>
        <w:t xml:space="preserve"> risks. Some recent analysis indicates that without adaptive measures such as enhanced crops and improved irrigation, agricultural production in Benin could decrease by 3–18 percent </w:t>
      </w:r>
      <w:r w:rsidR="000E1B61">
        <w:rPr>
          <w:rFonts w:asciiTheme="minorHAnsi" w:hAnsiTheme="minorHAnsi" w:cstheme="minorHAnsi"/>
          <w:sz w:val="22"/>
          <w:szCs w:val="22"/>
          <w:lang w:val="en-US"/>
        </w:rPr>
        <w:t>by</w:t>
      </w:r>
      <w:r w:rsidR="000E1B61" w:rsidRPr="00CC0E0B">
        <w:rPr>
          <w:rFonts w:asciiTheme="minorHAnsi" w:hAnsiTheme="minorHAnsi" w:cstheme="minorHAnsi"/>
          <w:sz w:val="22"/>
          <w:szCs w:val="22"/>
          <w:lang w:val="en-US"/>
        </w:rPr>
        <w:t xml:space="preserve"> </w:t>
      </w:r>
      <w:r w:rsidRPr="00CC0E0B">
        <w:rPr>
          <w:rFonts w:asciiTheme="minorHAnsi" w:hAnsiTheme="minorHAnsi" w:cstheme="minorHAnsi"/>
          <w:sz w:val="22"/>
          <w:szCs w:val="22"/>
          <w:lang w:val="en-US"/>
        </w:rPr>
        <w:t>2025.</w:t>
      </w:r>
      <w:r w:rsidRPr="00CC0E0B">
        <w:rPr>
          <w:rFonts w:asciiTheme="minorHAnsi" w:hAnsiTheme="minorHAnsi" w:cstheme="minorHAnsi"/>
          <w:sz w:val="22"/>
          <w:szCs w:val="22"/>
          <w:vertAlign w:val="superscript"/>
          <w:lang w:val="en-US"/>
        </w:rPr>
        <w:footnoteReference w:id="22"/>
      </w:r>
      <w:r w:rsidRPr="00CC0E0B">
        <w:rPr>
          <w:rFonts w:asciiTheme="minorHAnsi" w:hAnsiTheme="minorHAnsi" w:cstheme="minorHAnsi"/>
          <w:sz w:val="22"/>
          <w:szCs w:val="22"/>
          <w:lang w:val="en-US"/>
        </w:rPr>
        <w:t xml:space="preserve"> Market risks</w:t>
      </w:r>
      <w:r w:rsidR="000E1B61">
        <w:rPr>
          <w:rFonts w:asciiTheme="minorHAnsi" w:hAnsiTheme="minorHAnsi" w:cstheme="minorHAnsi"/>
          <w:sz w:val="22"/>
          <w:szCs w:val="22"/>
          <w:lang w:val="en-US"/>
        </w:rPr>
        <w:t xml:space="preserve">, and </w:t>
      </w:r>
      <w:proofErr w:type="gramStart"/>
      <w:r w:rsidR="000E1B61">
        <w:rPr>
          <w:rFonts w:asciiTheme="minorHAnsi" w:hAnsiTheme="minorHAnsi" w:cstheme="minorHAnsi"/>
          <w:sz w:val="22"/>
          <w:szCs w:val="22"/>
          <w:lang w:val="en-US"/>
        </w:rPr>
        <w:t>in particular</w:t>
      </w:r>
      <w:r w:rsidRPr="00CC0E0B">
        <w:rPr>
          <w:rFonts w:asciiTheme="minorHAnsi" w:hAnsiTheme="minorHAnsi" w:cstheme="minorHAnsi"/>
          <w:sz w:val="22"/>
          <w:szCs w:val="22"/>
          <w:lang w:val="en-US"/>
        </w:rPr>
        <w:t xml:space="preserve"> price</w:t>
      </w:r>
      <w:proofErr w:type="gramEnd"/>
      <w:r w:rsidRPr="00CC0E0B">
        <w:rPr>
          <w:rFonts w:asciiTheme="minorHAnsi" w:hAnsiTheme="minorHAnsi" w:cstheme="minorHAnsi"/>
          <w:sz w:val="22"/>
          <w:szCs w:val="22"/>
          <w:lang w:val="en-US"/>
        </w:rPr>
        <w:t xml:space="preserve"> volatility</w:t>
      </w:r>
      <w:r w:rsidR="000E1B61">
        <w:rPr>
          <w:rFonts w:asciiTheme="minorHAnsi" w:hAnsiTheme="minorHAnsi" w:cstheme="minorHAnsi"/>
          <w:sz w:val="22"/>
          <w:szCs w:val="22"/>
          <w:lang w:val="en-US"/>
        </w:rPr>
        <w:t>,</w:t>
      </w:r>
      <w:r w:rsidRPr="00CC0E0B">
        <w:rPr>
          <w:rFonts w:asciiTheme="minorHAnsi" w:hAnsiTheme="minorHAnsi" w:cstheme="minorHAnsi"/>
          <w:sz w:val="22"/>
          <w:szCs w:val="22"/>
          <w:lang w:val="en-US"/>
        </w:rPr>
        <w:t xml:space="preserve"> is a</w:t>
      </w:r>
      <w:r w:rsidR="000E1B61">
        <w:rPr>
          <w:rFonts w:asciiTheme="minorHAnsi" w:hAnsiTheme="minorHAnsi" w:cstheme="minorHAnsi"/>
          <w:sz w:val="22"/>
          <w:szCs w:val="22"/>
          <w:lang w:val="en-US"/>
        </w:rPr>
        <w:t xml:space="preserve"> </w:t>
      </w:r>
      <w:r w:rsidR="000E1B61" w:rsidRPr="00CC0E0B">
        <w:rPr>
          <w:rFonts w:asciiTheme="minorHAnsi" w:hAnsiTheme="minorHAnsi" w:cstheme="minorHAnsi"/>
          <w:sz w:val="22"/>
          <w:szCs w:val="22"/>
          <w:lang w:val="en-US"/>
        </w:rPr>
        <w:t>significant</w:t>
      </w:r>
      <w:r w:rsidRPr="00CC0E0B">
        <w:rPr>
          <w:rFonts w:asciiTheme="minorHAnsi" w:hAnsiTheme="minorHAnsi" w:cstheme="minorHAnsi"/>
          <w:sz w:val="22"/>
          <w:szCs w:val="22"/>
          <w:lang w:val="en-US"/>
        </w:rPr>
        <w:t xml:space="preserve"> risk affecting both food and cash crops and livestock</w:t>
      </w:r>
      <w:r w:rsidRPr="00CC0E0B">
        <w:rPr>
          <w:rFonts w:asciiTheme="minorHAnsi" w:hAnsiTheme="minorHAnsi" w:cstheme="minorHAnsi"/>
          <w:color w:val="000000" w:themeColor="text1"/>
          <w:sz w:val="22"/>
          <w:szCs w:val="22"/>
          <w:lang w:val="en-US"/>
        </w:rPr>
        <w:t xml:space="preserve">. </w:t>
      </w:r>
      <w:r w:rsidRPr="00CC0E0B">
        <w:rPr>
          <w:rFonts w:asciiTheme="minorHAnsi" w:hAnsiTheme="minorHAnsi" w:cstheme="minorHAnsi"/>
          <w:sz w:val="22"/>
          <w:szCs w:val="22"/>
          <w:lang w:val="en-US"/>
        </w:rPr>
        <w:t xml:space="preserve">Benin being largely dependent on trade with Nigeria, the exchange rate fluctuations between the franc and the naira could </w:t>
      </w:r>
      <w:r w:rsidR="000E1B61">
        <w:rPr>
          <w:rFonts w:asciiTheme="minorHAnsi" w:hAnsiTheme="minorHAnsi" w:cstheme="minorHAnsi"/>
          <w:sz w:val="22"/>
          <w:szCs w:val="22"/>
          <w:lang w:val="en-US"/>
        </w:rPr>
        <w:t>constitute a risk factor</w:t>
      </w:r>
      <w:r w:rsidRPr="00CC0E0B">
        <w:rPr>
          <w:rFonts w:asciiTheme="minorHAnsi" w:hAnsiTheme="minorHAnsi" w:cstheme="minorHAnsi"/>
          <w:sz w:val="22"/>
          <w:szCs w:val="22"/>
          <w:lang w:val="en-US"/>
        </w:rPr>
        <w:t xml:space="preserve">. </w:t>
      </w:r>
      <w:r w:rsidR="000E1B61">
        <w:rPr>
          <w:rFonts w:asciiTheme="minorHAnsi" w:hAnsiTheme="minorHAnsi" w:cstheme="minorHAnsi"/>
          <w:sz w:val="22"/>
          <w:szCs w:val="22"/>
          <w:lang w:val="en-US"/>
        </w:rPr>
        <w:t>On the</w:t>
      </w:r>
      <w:r w:rsidR="000E1B61" w:rsidRPr="00CC0E0B">
        <w:rPr>
          <w:rFonts w:asciiTheme="minorHAnsi" w:hAnsiTheme="minorHAnsi" w:cstheme="minorHAnsi"/>
          <w:sz w:val="22"/>
          <w:szCs w:val="22"/>
          <w:lang w:val="en-US"/>
        </w:rPr>
        <w:t xml:space="preserve"> </w:t>
      </w:r>
      <w:r w:rsidRPr="00CC0E0B">
        <w:rPr>
          <w:rFonts w:asciiTheme="minorHAnsi" w:hAnsiTheme="minorHAnsi" w:cstheme="minorHAnsi"/>
          <w:sz w:val="22"/>
          <w:szCs w:val="22"/>
          <w:lang w:val="en-US"/>
        </w:rPr>
        <w:t>Beninese market</w:t>
      </w:r>
      <w:r w:rsidR="000E1B61">
        <w:rPr>
          <w:rFonts w:asciiTheme="minorHAnsi" w:hAnsiTheme="minorHAnsi" w:cstheme="minorHAnsi"/>
          <w:sz w:val="22"/>
          <w:szCs w:val="22"/>
          <w:lang w:val="en-US"/>
        </w:rPr>
        <w:t>, the</w:t>
      </w:r>
      <w:r w:rsidR="000E1B61" w:rsidRPr="00CC0E0B">
        <w:rPr>
          <w:rFonts w:asciiTheme="minorHAnsi" w:hAnsiTheme="minorHAnsi" w:cstheme="minorHAnsi"/>
          <w:sz w:val="22"/>
          <w:szCs w:val="22"/>
          <w:lang w:val="en-US"/>
        </w:rPr>
        <w:t xml:space="preserve"> supply or risk management instruments</w:t>
      </w:r>
      <w:r w:rsidRPr="00CC0E0B">
        <w:rPr>
          <w:rFonts w:asciiTheme="minorHAnsi" w:hAnsiTheme="minorHAnsi" w:cstheme="minorHAnsi"/>
          <w:sz w:val="22"/>
          <w:szCs w:val="22"/>
          <w:lang w:val="en-US"/>
        </w:rPr>
        <w:t xml:space="preserve"> </w:t>
      </w:r>
      <w:r w:rsidR="000E1B61">
        <w:rPr>
          <w:rFonts w:asciiTheme="minorHAnsi" w:hAnsiTheme="minorHAnsi" w:cstheme="minorHAnsi"/>
          <w:sz w:val="22"/>
          <w:szCs w:val="22"/>
          <w:lang w:val="en-US"/>
        </w:rPr>
        <w:t>are</w:t>
      </w:r>
      <w:r w:rsidR="000E1B61" w:rsidRPr="00CC0E0B">
        <w:rPr>
          <w:rFonts w:asciiTheme="minorHAnsi" w:hAnsiTheme="minorHAnsi" w:cstheme="minorHAnsi"/>
          <w:sz w:val="22"/>
          <w:szCs w:val="22"/>
          <w:lang w:val="en-US"/>
        </w:rPr>
        <w:t xml:space="preserve"> </w:t>
      </w:r>
      <w:r w:rsidRPr="00CC0E0B">
        <w:rPr>
          <w:rFonts w:asciiTheme="minorHAnsi" w:hAnsiTheme="minorHAnsi" w:cstheme="minorHAnsi"/>
          <w:sz w:val="22"/>
          <w:szCs w:val="22"/>
          <w:lang w:val="en-US"/>
        </w:rPr>
        <w:t xml:space="preserve">limited. </w:t>
      </w:r>
      <w:r w:rsidR="000E1B61">
        <w:rPr>
          <w:rFonts w:asciiTheme="minorHAnsi" w:hAnsiTheme="minorHAnsi" w:cstheme="minorHAnsi"/>
          <w:sz w:val="22"/>
          <w:szCs w:val="22"/>
          <w:lang w:val="en-US"/>
        </w:rPr>
        <w:t xml:space="preserve">In the agricultural sector, </w:t>
      </w:r>
      <w:r w:rsidRPr="00CC0E0B">
        <w:rPr>
          <w:rFonts w:asciiTheme="minorHAnsi" w:hAnsiTheme="minorHAnsi" w:cstheme="minorHAnsi"/>
          <w:sz w:val="22"/>
          <w:szCs w:val="22"/>
          <w:lang w:val="en-US"/>
        </w:rPr>
        <w:t xml:space="preserve">insurance take-up is very low despite the presence of a national insurance company (AMAB) since 2007. The insurance market </w:t>
      </w:r>
      <w:r w:rsidRPr="00CC0E0B">
        <w:rPr>
          <w:rFonts w:asciiTheme="minorHAnsi" w:hAnsiTheme="minorHAnsi" w:cstheme="minorHAnsi"/>
          <w:color w:val="222222"/>
          <w:sz w:val="22"/>
          <w:szCs w:val="22"/>
          <w:lang w:val="en-US"/>
        </w:rPr>
        <w:t xml:space="preserve">represents only 0.7 percent of GDP, with no significant increase over the last five years. </w:t>
      </w:r>
      <w:r w:rsidRPr="00CC0E0B">
        <w:rPr>
          <w:rFonts w:asciiTheme="minorHAnsi" w:hAnsiTheme="minorHAnsi" w:cstheme="minorHAnsi"/>
          <w:sz w:val="22"/>
          <w:szCs w:val="22"/>
          <w:lang w:val="en-US"/>
        </w:rPr>
        <w:t xml:space="preserve">the culture of insurance as a risk coverage instrument remains low in the sector. Very few producers know AMAB and </w:t>
      </w:r>
      <w:r w:rsidR="0026735F" w:rsidRPr="00CC0E0B">
        <w:rPr>
          <w:rFonts w:asciiTheme="minorHAnsi" w:hAnsiTheme="minorHAnsi" w:cstheme="minorHAnsi"/>
          <w:sz w:val="22"/>
          <w:szCs w:val="22"/>
          <w:lang w:val="en-US"/>
        </w:rPr>
        <w:t>those aware judges</w:t>
      </w:r>
      <w:r w:rsidRPr="00CC0E0B">
        <w:rPr>
          <w:rFonts w:asciiTheme="minorHAnsi" w:hAnsiTheme="minorHAnsi" w:cstheme="minorHAnsi"/>
          <w:sz w:val="22"/>
          <w:szCs w:val="22"/>
          <w:lang w:val="en-US"/>
        </w:rPr>
        <w:t xml:space="preserve"> the premium expensive (on average 7.5–8.5 percent before tax according to the zone). The agriculture insurance premium in Benin is neither subsidized nor tax exempt as opposed to other countries such as Senegal or Cote d’Ivoire</w:t>
      </w:r>
      <w:r w:rsidRPr="00CC0E0B">
        <w:rPr>
          <w:rFonts w:asciiTheme="minorHAnsi" w:hAnsiTheme="minorHAnsi" w:cstheme="minorHAnsi"/>
          <w:color w:val="222222"/>
          <w:sz w:val="22"/>
          <w:szCs w:val="22"/>
          <w:lang w:val="en-US"/>
        </w:rPr>
        <w:t>. The risk facility of the government</w:t>
      </w:r>
      <w:r w:rsidR="000E1B61">
        <w:rPr>
          <w:rFonts w:asciiTheme="minorHAnsi" w:hAnsiTheme="minorHAnsi" w:cstheme="minorHAnsi"/>
          <w:color w:val="222222"/>
          <w:sz w:val="22"/>
          <w:szCs w:val="22"/>
          <w:lang w:val="en-US"/>
        </w:rPr>
        <w:t>,</w:t>
      </w:r>
      <w:r w:rsidRPr="00CC0E0B">
        <w:rPr>
          <w:rFonts w:asciiTheme="minorHAnsi" w:hAnsiTheme="minorHAnsi" w:cstheme="minorHAnsi"/>
          <w:color w:val="222222"/>
          <w:sz w:val="22"/>
          <w:szCs w:val="22"/>
          <w:lang w:val="en-US"/>
        </w:rPr>
        <w:t xml:space="preserve"> FONAGA, is considered by collaborating partners </w:t>
      </w:r>
      <w:r w:rsidRPr="00CC0E0B">
        <w:rPr>
          <w:rFonts w:asciiTheme="minorHAnsi" w:hAnsiTheme="minorHAnsi" w:cstheme="minorHAnsi"/>
          <w:sz w:val="22"/>
          <w:szCs w:val="22"/>
          <w:lang w:val="en-US"/>
        </w:rPr>
        <w:t xml:space="preserve">expensive and </w:t>
      </w:r>
      <w:r w:rsidR="00343428">
        <w:rPr>
          <w:rFonts w:asciiTheme="minorHAnsi" w:hAnsiTheme="minorHAnsi" w:cstheme="minorHAnsi"/>
          <w:sz w:val="22"/>
          <w:szCs w:val="22"/>
          <w:lang w:val="en-US"/>
        </w:rPr>
        <w:t xml:space="preserve">it </w:t>
      </w:r>
      <w:r w:rsidRPr="00CC0E0B">
        <w:rPr>
          <w:rFonts w:asciiTheme="minorHAnsi" w:hAnsiTheme="minorHAnsi" w:cstheme="minorHAnsi"/>
          <w:sz w:val="22"/>
          <w:szCs w:val="22"/>
          <w:lang w:val="en-US"/>
        </w:rPr>
        <w:t xml:space="preserve">have limited </w:t>
      </w:r>
      <w:proofErr w:type="gramStart"/>
      <w:r w:rsidR="00343428">
        <w:rPr>
          <w:rFonts w:asciiTheme="minorHAnsi" w:hAnsiTheme="minorHAnsi" w:cstheme="minorHAnsi"/>
          <w:b/>
          <w:sz w:val="22"/>
          <w:szCs w:val="22"/>
          <w:lang w:val="en-US"/>
        </w:rPr>
        <w:t xml:space="preserve">financial </w:t>
      </w:r>
      <w:r w:rsidR="00343428" w:rsidRPr="00CC0E0B">
        <w:rPr>
          <w:rFonts w:asciiTheme="minorHAnsi" w:hAnsiTheme="minorHAnsi" w:cstheme="minorHAnsi"/>
          <w:b/>
          <w:sz w:val="22"/>
          <w:szCs w:val="22"/>
          <w:lang w:val="en-US"/>
        </w:rPr>
        <w:t xml:space="preserve"> </w:t>
      </w:r>
      <w:r w:rsidRPr="00CC0E0B">
        <w:rPr>
          <w:rFonts w:asciiTheme="minorHAnsi" w:hAnsiTheme="minorHAnsi" w:cstheme="minorHAnsi"/>
          <w:b/>
          <w:sz w:val="22"/>
          <w:szCs w:val="22"/>
          <w:lang w:val="en-US"/>
        </w:rPr>
        <w:t>(</w:t>
      </w:r>
      <w:proofErr w:type="gramEnd"/>
      <w:r w:rsidRPr="00CC0E0B">
        <w:rPr>
          <w:rFonts w:asciiTheme="minorHAnsi" w:hAnsiTheme="minorHAnsi" w:cstheme="minorHAnsi"/>
          <w:b/>
          <w:sz w:val="22"/>
          <w:szCs w:val="22"/>
          <w:lang w:val="en-US"/>
        </w:rPr>
        <w:t>limited capital) and technical</w:t>
      </w:r>
      <w:r w:rsidR="00343428">
        <w:rPr>
          <w:rFonts w:asciiTheme="minorHAnsi" w:hAnsiTheme="minorHAnsi" w:cstheme="minorHAnsi"/>
          <w:b/>
          <w:sz w:val="22"/>
          <w:szCs w:val="22"/>
          <w:lang w:val="en-US"/>
        </w:rPr>
        <w:t xml:space="preserve"> capacities</w:t>
      </w:r>
      <w:r w:rsidRPr="00CC0E0B">
        <w:rPr>
          <w:rFonts w:asciiTheme="minorHAnsi" w:hAnsiTheme="minorHAnsi" w:cstheme="minorHAnsi"/>
          <w:b/>
          <w:sz w:val="22"/>
          <w:szCs w:val="22"/>
          <w:lang w:val="en-US"/>
        </w:rPr>
        <w:t>.</w:t>
      </w:r>
    </w:p>
    <w:p w14:paraId="09245BD9" w14:textId="3B31A0CD" w:rsidR="00CC0E0B" w:rsidRPr="00CC0E0B" w:rsidRDefault="00CC0E0B" w:rsidP="006506A8">
      <w:pPr>
        <w:pStyle w:val="ListParagraph"/>
        <w:numPr>
          <w:ilvl w:val="0"/>
          <w:numId w:val="11"/>
        </w:numPr>
        <w:autoSpaceDE w:val="0"/>
        <w:autoSpaceDN w:val="0"/>
        <w:adjustRightInd w:val="0"/>
        <w:spacing w:before="120" w:after="120" w:line="240" w:lineRule="auto"/>
        <w:ind w:left="1195" w:hanging="475"/>
        <w:contextualSpacing w:val="0"/>
        <w:jc w:val="both"/>
        <w:rPr>
          <w:rFonts w:cstheme="minorHAnsi"/>
          <w:lang w:val="en-US"/>
        </w:rPr>
      </w:pPr>
      <w:r w:rsidRPr="00CC0E0B">
        <w:rPr>
          <w:rFonts w:cstheme="minorHAnsi"/>
          <w:b/>
          <w:lang w:val="en-US"/>
        </w:rPr>
        <w:t>Limited</w:t>
      </w:r>
      <w:r w:rsidRPr="00CC0E0B">
        <w:rPr>
          <w:rFonts w:cstheme="minorHAnsi"/>
          <w:b/>
          <w:color w:val="37373D"/>
          <w:lang w:val="en-US"/>
        </w:rPr>
        <w:t xml:space="preserve"> </w:t>
      </w:r>
      <w:r w:rsidRPr="00CC0E0B">
        <w:rPr>
          <w:rFonts w:cstheme="minorHAnsi"/>
          <w:b/>
          <w:lang w:val="en-US"/>
        </w:rPr>
        <w:t>medium</w:t>
      </w:r>
      <w:r w:rsidR="00141BD7">
        <w:rPr>
          <w:rFonts w:cstheme="minorHAnsi"/>
          <w:b/>
          <w:lang w:val="en-US"/>
        </w:rPr>
        <w:t>—</w:t>
      </w:r>
      <w:r w:rsidRPr="00CC0E0B">
        <w:rPr>
          <w:rFonts w:cstheme="minorHAnsi"/>
          <w:b/>
          <w:lang w:val="en-US"/>
        </w:rPr>
        <w:t>to long-term financing:</w:t>
      </w:r>
      <w:r w:rsidRPr="00CC0E0B">
        <w:rPr>
          <w:rFonts w:cstheme="minorHAnsi"/>
          <w:lang w:val="en-US"/>
        </w:rPr>
        <w:t xml:space="preserve"> The portfolio of banks and MFIs is dominated by short-term loans (52 percent for banks and 65 percent for MFIs) due to the nature of resources they have. </w:t>
      </w:r>
      <w:r w:rsidRPr="00CC0E0B">
        <w:rPr>
          <w:rFonts w:cstheme="minorHAnsi"/>
          <w:color w:val="222222"/>
          <w:lang w:val="en-US"/>
        </w:rPr>
        <w:t xml:space="preserve">The savings collected are short term and therefore very volatile. </w:t>
      </w:r>
      <w:r w:rsidRPr="00CC0E0B">
        <w:rPr>
          <w:rFonts w:cstheme="minorHAnsi"/>
          <w:lang w:val="en-US"/>
        </w:rPr>
        <w:t>Large agricultural loans for investment are limited as financial institutions do not have adequate long-term deposits or other funding liabilities to finance the longer-term loan portfolios that larger farms and firms need.</w:t>
      </w:r>
    </w:p>
    <w:p w14:paraId="52E43852" w14:textId="77777777" w:rsidR="00CC0E0B" w:rsidRPr="00CC0E0B" w:rsidRDefault="00CC0E0B" w:rsidP="006506A8">
      <w:pPr>
        <w:pStyle w:val="Default"/>
        <w:numPr>
          <w:ilvl w:val="0"/>
          <w:numId w:val="11"/>
        </w:numPr>
        <w:spacing w:before="120" w:after="120"/>
        <w:ind w:left="1195" w:hanging="475"/>
        <w:jc w:val="both"/>
        <w:rPr>
          <w:rFonts w:asciiTheme="minorHAnsi" w:hAnsiTheme="minorHAnsi" w:cstheme="minorHAnsi"/>
          <w:sz w:val="22"/>
          <w:szCs w:val="22"/>
          <w:lang w:val="en-US"/>
        </w:rPr>
      </w:pPr>
      <w:r w:rsidRPr="00CC0E0B">
        <w:rPr>
          <w:rFonts w:asciiTheme="minorHAnsi" w:hAnsiTheme="minorHAnsi" w:cstheme="minorHAnsi"/>
          <w:b/>
          <w:color w:val="222222"/>
          <w:sz w:val="22"/>
          <w:szCs w:val="22"/>
          <w:lang w:val="en-US"/>
        </w:rPr>
        <w:t>Limited capacity of financial institutions staffs:</w:t>
      </w:r>
      <w:r w:rsidRPr="00CC0E0B">
        <w:rPr>
          <w:rFonts w:asciiTheme="minorHAnsi" w:hAnsiTheme="minorHAnsi" w:cstheme="minorHAnsi"/>
          <w:color w:val="222222"/>
          <w:sz w:val="22"/>
          <w:szCs w:val="22"/>
          <w:lang w:val="en-US"/>
        </w:rPr>
        <w:t xml:space="preserve"> Agriculture finance has its own specificities and financial institutions lack the capacity in the analysis of agricultural projects and associated risks. In fact, very few Beninese banks have specialized units in agricultural finance or in meso-finance in general. As a result, agricultural credit is analyzed and treated like a credit in any economic sector, with an offer based on analysis of collateral and unsuited to the agricultural calendar.</w:t>
      </w:r>
    </w:p>
    <w:p w14:paraId="18518D3D" w14:textId="21912285" w:rsidR="00CC0E0B" w:rsidRDefault="00CC0E0B" w:rsidP="006506A8">
      <w:pPr>
        <w:pStyle w:val="Default"/>
        <w:numPr>
          <w:ilvl w:val="0"/>
          <w:numId w:val="11"/>
        </w:numPr>
        <w:spacing w:before="120" w:after="120"/>
        <w:ind w:left="1195" w:hanging="475"/>
        <w:jc w:val="both"/>
        <w:rPr>
          <w:rFonts w:asciiTheme="minorHAnsi" w:hAnsiTheme="minorHAnsi" w:cstheme="minorHAnsi"/>
          <w:sz w:val="22"/>
          <w:szCs w:val="22"/>
          <w:lang w:val="en-US"/>
        </w:rPr>
      </w:pPr>
      <w:r w:rsidRPr="00CC0E0B">
        <w:rPr>
          <w:rFonts w:asciiTheme="minorHAnsi" w:hAnsiTheme="minorHAnsi" w:cstheme="minorHAnsi"/>
          <w:b/>
          <w:color w:val="222222"/>
          <w:sz w:val="22"/>
          <w:szCs w:val="22"/>
          <w:lang w:val="en-US"/>
        </w:rPr>
        <w:t xml:space="preserve">Lack of </w:t>
      </w:r>
      <w:r w:rsidRPr="00CC0E0B">
        <w:rPr>
          <w:rFonts w:asciiTheme="minorHAnsi" w:hAnsiTheme="minorHAnsi" w:cstheme="minorHAnsi"/>
          <w:b/>
          <w:bCs/>
          <w:sz w:val="22"/>
          <w:szCs w:val="22"/>
          <w:lang w:val="en-US"/>
        </w:rPr>
        <w:t xml:space="preserve">bankable projects in agriculture: </w:t>
      </w:r>
      <w:r w:rsidRPr="00CC0E0B">
        <w:rPr>
          <w:rFonts w:asciiTheme="minorHAnsi" w:hAnsiTheme="minorHAnsi" w:cstheme="minorHAnsi"/>
          <w:sz w:val="22"/>
          <w:szCs w:val="22"/>
          <w:lang w:val="en-US"/>
        </w:rPr>
        <w:t xml:space="preserve">Many banks face difficulties in getting bankable projects based on identified market needs. In financial terms, a bankable project would usually refer to a project that banks are willing to finance since there will be a </w:t>
      </w:r>
      <w:r w:rsidRPr="00CC0E0B">
        <w:rPr>
          <w:rFonts w:asciiTheme="minorHAnsi" w:hAnsiTheme="minorHAnsi" w:cstheme="minorHAnsi"/>
          <w:iCs/>
          <w:sz w:val="22"/>
          <w:szCs w:val="22"/>
          <w:lang w:val="en-US"/>
        </w:rPr>
        <w:t>return</w:t>
      </w:r>
      <w:r w:rsidRPr="00CC0E0B">
        <w:rPr>
          <w:rFonts w:asciiTheme="minorHAnsi" w:hAnsiTheme="minorHAnsi" w:cstheme="minorHAnsi"/>
          <w:sz w:val="22"/>
          <w:szCs w:val="22"/>
          <w:lang w:val="en-US"/>
        </w:rPr>
        <w:t xml:space="preserve"> on investment. </w:t>
      </w:r>
      <w:r w:rsidR="00025254">
        <w:rPr>
          <w:rFonts w:asciiTheme="minorHAnsi" w:hAnsiTheme="minorHAnsi" w:cstheme="minorHAnsi"/>
          <w:sz w:val="22"/>
          <w:szCs w:val="22"/>
          <w:lang w:val="en-US"/>
        </w:rPr>
        <w:t>P</w:t>
      </w:r>
      <w:r w:rsidRPr="00CC0E0B">
        <w:rPr>
          <w:rFonts w:asciiTheme="minorHAnsi" w:hAnsiTheme="minorHAnsi" w:cstheme="minorHAnsi"/>
          <w:sz w:val="22"/>
          <w:szCs w:val="22"/>
          <w:lang w:val="en-US"/>
        </w:rPr>
        <w:t>roject promoters</w:t>
      </w:r>
      <w:r w:rsidR="00025254">
        <w:rPr>
          <w:rFonts w:asciiTheme="minorHAnsi" w:hAnsiTheme="minorHAnsi" w:cstheme="minorHAnsi"/>
          <w:sz w:val="22"/>
          <w:szCs w:val="22"/>
          <w:lang w:val="en-US"/>
        </w:rPr>
        <w:t xml:space="preserve"> often</w:t>
      </w:r>
      <w:r w:rsidRPr="00CC0E0B">
        <w:rPr>
          <w:rFonts w:asciiTheme="minorHAnsi" w:hAnsiTheme="minorHAnsi" w:cstheme="minorHAnsi"/>
          <w:sz w:val="22"/>
          <w:szCs w:val="22"/>
          <w:lang w:val="en-US"/>
        </w:rPr>
        <w:t xml:space="preserve"> lack the capacity to put together complete and sound business proposals. </w:t>
      </w:r>
      <w:r w:rsidR="002E1C85">
        <w:rPr>
          <w:rFonts w:asciiTheme="minorHAnsi" w:hAnsiTheme="minorHAnsi" w:cstheme="minorHAnsi"/>
          <w:sz w:val="22"/>
          <w:szCs w:val="22"/>
          <w:lang w:val="en-US"/>
        </w:rPr>
        <w:t>A</w:t>
      </w:r>
      <w:r w:rsidRPr="00CC0E0B">
        <w:rPr>
          <w:rFonts w:asciiTheme="minorHAnsi" w:hAnsiTheme="minorHAnsi" w:cstheme="minorHAnsi"/>
          <w:sz w:val="22"/>
          <w:szCs w:val="22"/>
          <w:lang w:val="en-US"/>
        </w:rPr>
        <w:t xml:space="preserve"> substantial number of financing requests are not granted.</w:t>
      </w:r>
    </w:p>
    <w:p w14:paraId="0BA422C6" w14:textId="57E60F0C" w:rsidR="00CC0E0B" w:rsidRPr="006506A8" w:rsidRDefault="00CC0E0B" w:rsidP="00CC0E0B">
      <w:pPr>
        <w:pStyle w:val="Heading2"/>
        <w:rPr>
          <w:b/>
          <w:lang w:val="en-US"/>
        </w:rPr>
      </w:pPr>
      <w:bookmarkStart w:id="56" w:name="_Toc3975158"/>
      <w:r w:rsidRPr="006506A8">
        <w:rPr>
          <w:b/>
          <w:lang w:val="en-US"/>
        </w:rPr>
        <w:t>4.3 Opportunities are emerging</w:t>
      </w:r>
      <w:bookmarkEnd w:id="56"/>
      <w:r w:rsidRPr="006506A8">
        <w:rPr>
          <w:b/>
          <w:lang w:val="en-US"/>
        </w:rPr>
        <w:t xml:space="preserve"> </w:t>
      </w:r>
    </w:p>
    <w:p w14:paraId="32D6AF97" w14:textId="79BDC242" w:rsidR="00CC0E0B" w:rsidRPr="006E1DE3" w:rsidRDefault="00CC0E0B" w:rsidP="006506A8">
      <w:pPr>
        <w:pStyle w:val="ListParagraph"/>
        <w:numPr>
          <w:ilvl w:val="0"/>
          <w:numId w:val="47"/>
        </w:numPr>
        <w:spacing w:after="240" w:line="240" w:lineRule="auto"/>
        <w:ind w:left="0" w:firstLine="0"/>
        <w:contextualSpacing w:val="0"/>
        <w:jc w:val="both"/>
        <w:rPr>
          <w:rFonts w:cstheme="minorHAnsi"/>
          <w:lang w:val="en-US"/>
        </w:rPr>
      </w:pPr>
      <w:r>
        <w:rPr>
          <w:rFonts w:cstheme="minorHAnsi"/>
          <w:b/>
          <w:bCs/>
          <w:lang w:val="en-US"/>
        </w:rPr>
        <w:t>V</w:t>
      </w:r>
      <w:r w:rsidRPr="006E1DE3">
        <w:rPr>
          <w:rFonts w:cstheme="minorHAnsi"/>
          <w:b/>
          <w:bCs/>
          <w:lang w:val="en-US"/>
        </w:rPr>
        <w:t>alue chain financing</w:t>
      </w:r>
      <w:r w:rsidRPr="006E1DE3">
        <w:rPr>
          <w:rFonts w:cstheme="minorHAnsi"/>
          <w:b/>
          <w:color w:val="222222"/>
          <w:lang w:val="en-US"/>
        </w:rPr>
        <w:t xml:space="preserve"> </w:t>
      </w:r>
      <w:r w:rsidR="00A019FD">
        <w:rPr>
          <w:rFonts w:cstheme="minorHAnsi"/>
          <w:b/>
          <w:color w:val="222222"/>
          <w:lang w:val="en-US"/>
        </w:rPr>
        <w:t xml:space="preserve">are </w:t>
      </w:r>
      <w:r w:rsidRPr="006E1DE3">
        <w:rPr>
          <w:rFonts w:cstheme="minorHAnsi"/>
          <w:b/>
          <w:color w:val="222222"/>
          <w:lang w:val="en-US"/>
        </w:rPr>
        <w:t>connecting producers to the market.</w:t>
      </w:r>
      <w:r w:rsidRPr="006E1DE3">
        <w:rPr>
          <w:rFonts w:cstheme="minorHAnsi"/>
          <w:color w:val="222222"/>
          <w:lang w:val="en-US"/>
        </w:rPr>
        <w:t xml:space="preserve"> In Benin, such experiences are promoted by producer associations as well as development partners such as </w:t>
      </w:r>
      <w:r>
        <w:rPr>
          <w:rFonts w:cstheme="minorHAnsi"/>
          <w:color w:val="222222"/>
          <w:lang w:val="en-US"/>
        </w:rPr>
        <w:t xml:space="preserve">the </w:t>
      </w:r>
      <w:r w:rsidRPr="006E1DE3">
        <w:rPr>
          <w:rFonts w:cstheme="minorHAnsi"/>
          <w:lang w:val="en-US"/>
        </w:rPr>
        <w:t>German Agency for International Cooperation (</w:t>
      </w:r>
      <w:r w:rsidRPr="006E1DE3">
        <w:rPr>
          <w:rFonts w:eastAsia="Avenir-Book" w:cstheme="minorHAnsi"/>
          <w:i/>
          <w:lang w:val="en-US"/>
        </w:rPr>
        <w:t xml:space="preserve">Deutsche Gesellschaft fur </w:t>
      </w:r>
      <w:proofErr w:type="spellStart"/>
      <w:r w:rsidRPr="006E1DE3">
        <w:rPr>
          <w:rFonts w:eastAsia="Avenir-Book" w:cstheme="minorHAnsi"/>
          <w:i/>
          <w:lang w:val="en-US"/>
        </w:rPr>
        <w:t>Internationale</w:t>
      </w:r>
      <w:proofErr w:type="spellEnd"/>
      <w:r w:rsidRPr="006E1DE3">
        <w:rPr>
          <w:rFonts w:eastAsia="Avenir-Book" w:cstheme="minorHAnsi"/>
          <w:i/>
          <w:lang w:val="en-US"/>
        </w:rPr>
        <w:t xml:space="preserve"> </w:t>
      </w:r>
      <w:proofErr w:type="spellStart"/>
      <w:r w:rsidRPr="006E1DE3">
        <w:rPr>
          <w:rFonts w:eastAsia="Avenir-Book" w:cstheme="minorHAnsi"/>
          <w:i/>
          <w:lang w:val="en-US"/>
        </w:rPr>
        <w:t>Zusammenarbeit</w:t>
      </w:r>
      <w:proofErr w:type="spellEnd"/>
      <w:r w:rsidRPr="006E1DE3">
        <w:rPr>
          <w:rFonts w:eastAsia="Avenir-Book" w:cstheme="minorHAnsi"/>
          <w:i/>
          <w:lang w:val="en-US"/>
        </w:rPr>
        <w:t xml:space="preserve">, </w:t>
      </w:r>
      <w:r w:rsidRPr="006E1DE3">
        <w:rPr>
          <w:rFonts w:cstheme="minorHAnsi"/>
          <w:color w:val="222222"/>
          <w:lang w:val="en-US"/>
        </w:rPr>
        <w:t xml:space="preserve">GIZ), IFDC, and </w:t>
      </w:r>
      <w:r w:rsidRPr="006E1DE3">
        <w:rPr>
          <w:rFonts w:cstheme="minorHAnsi"/>
          <w:lang w:val="en-US"/>
        </w:rPr>
        <w:t>Belgium Technical Cooperation</w:t>
      </w:r>
      <w:r w:rsidRPr="006E1DE3">
        <w:rPr>
          <w:rFonts w:cstheme="minorHAnsi"/>
          <w:color w:val="222222"/>
          <w:lang w:val="en-US"/>
        </w:rPr>
        <w:t xml:space="preserve"> (CTB) in value chains other than cotton. A small number of agreements have taken root in the pineapple sector, where exporters provide inputs and technical assistance to producers in return for the promise of delivery of their future crops. In </w:t>
      </w:r>
      <w:r w:rsidRPr="006E1DE3">
        <w:rPr>
          <w:rFonts w:ascii="Calibri" w:hAnsi="Calibri" w:cs="Calibri"/>
          <w:lang w:val="en-US"/>
        </w:rPr>
        <w:t>the</w:t>
      </w:r>
      <w:r w:rsidRPr="006E1DE3">
        <w:rPr>
          <w:rFonts w:cstheme="minorHAnsi"/>
          <w:color w:val="222222"/>
          <w:lang w:val="en-US"/>
        </w:rPr>
        <w:t xml:space="preserve"> shea sector, the company </w:t>
      </w:r>
      <w:proofErr w:type="spellStart"/>
      <w:r w:rsidRPr="006E1DE3">
        <w:rPr>
          <w:rFonts w:cstheme="minorHAnsi"/>
          <w:color w:val="222222"/>
          <w:lang w:val="en-US"/>
        </w:rPr>
        <w:t>Fludor</w:t>
      </w:r>
      <w:proofErr w:type="spellEnd"/>
      <w:r w:rsidRPr="006E1DE3">
        <w:rPr>
          <w:rFonts w:cstheme="minorHAnsi"/>
          <w:color w:val="222222"/>
          <w:lang w:val="en-US"/>
        </w:rPr>
        <w:t>-SA provides pre</w:t>
      </w:r>
      <w:r w:rsidR="00C702B4">
        <w:rPr>
          <w:rFonts w:cstheme="minorHAnsi"/>
          <w:color w:val="222222"/>
          <w:lang w:val="en-US"/>
        </w:rPr>
        <w:t>-</w:t>
      </w:r>
      <w:r w:rsidRPr="006E1DE3">
        <w:rPr>
          <w:rFonts w:cstheme="minorHAnsi"/>
          <w:color w:val="222222"/>
          <w:lang w:val="en-US"/>
        </w:rPr>
        <w:t xml:space="preserve">financing and buys the almonds from the association of shea collectors. This type of integration increases the efficiency of the chain and plays an important role in helping small producers access inputs and training. </w:t>
      </w:r>
    </w:p>
    <w:p w14:paraId="711B0D64" w14:textId="444062E5" w:rsidR="00CC0E0B" w:rsidRPr="006E1DE3" w:rsidRDefault="00CC0E0B" w:rsidP="006506A8">
      <w:pPr>
        <w:pStyle w:val="ListParagraph"/>
        <w:numPr>
          <w:ilvl w:val="0"/>
          <w:numId w:val="47"/>
        </w:numPr>
        <w:spacing w:after="240" w:line="240" w:lineRule="auto"/>
        <w:ind w:left="0" w:firstLine="0"/>
        <w:contextualSpacing w:val="0"/>
        <w:jc w:val="both"/>
        <w:rPr>
          <w:rFonts w:ascii="Arial" w:hAnsi="Arial" w:cs="Arial"/>
          <w:color w:val="222222"/>
          <w:lang w:val="en-US"/>
        </w:rPr>
      </w:pPr>
      <w:r w:rsidRPr="006E1DE3">
        <w:rPr>
          <w:rFonts w:cstheme="minorHAnsi"/>
          <w:b/>
          <w:color w:val="222222"/>
          <w:lang w:val="en-US"/>
        </w:rPr>
        <w:t>Banks are increasingly interested in these models to</w:t>
      </w:r>
      <w:r w:rsidRPr="006E1DE3">
        <w:rPr>
          <w:rFonts w:cstheme="minorHAnsi"/>
          <w:b/>
          <w:lang w:val="en-US"/>
        </w:rPr>
        <w:t xml:space="preserve"> gear </w:t>
      </w:r>
      <w:r w:rsidRPr="006E1DE3">
        <w:rPr>
          <w:rFonts w:cstheme="minorHAnsi"/>
          <w:b/>
          <w:color w:val="222222"/>
          <w:lang w:val="en-US"/>
        </w:rPr>
        <w:t>credit in the agricultural sector</w:t>
      </w:r>
      <w:r w:rsidRPr="006E1DE3">
        <w:rPr>
          <w:rFonts w:cstheme="minorHAnsi"/>
          <w:color w:val="222222"/>
          <w:lang w:val="en-US"/>
        </w:rPr>
        <w:t xml:space="preserve">. This credit scheme via aggregators having the ability to manage and market final or semifinal products creates the conditions for producers to have the means of production, produce in quantity, and sell at one negotiated price. The financial institution deals with aggregators that are the </w:t>
      </w:r>
      <w:r w:rsidR="00141BD7">
        <w:rPr>
          <w:rFonts w:cstheme="minorHAnsi"/>
          <w:color w:val="222222"/>
          <w:lang w:val="en-US"/>
        </w:rPr>
        <w:t>“</w:t>
      </w:r>
      <w:r w:rsidRPr="006E1DE3">
        <w:rPr>
          <w:rFonts w:cstheme="minorHAnsi"/>
          <w:color w:val="222222"/>
          <w:lang w:val="en-US"/>
        </w:rPr>
        <w:t>locomotives</w:t>
      </w:r>
      <w:r w:rsidR="00141BD7">
        <w:rPr>
          <w:rFonts w:cstheme="minorHAnsi"/>
          <w:color w:val="222222"/>
          <w:lang w:val="en-US"/>
        </w:rPr>
        <w:t>”</w:t>
      </w:r>
      <w:r w:rsidRPr="006E1DE3">
        <w:rPr>
          <w:rFonts w:cstheme="minorHAnsi"/>
          <w:color w:val="222222"/>
          <w:lang w:val="en-US"/>
        </w:rPr>
        <w:t xml:space="preserve"> draining the entire chain of value added. These aggregators are generally professionally manage</w:t>
      </w:r>
      <w:r>
        <w:rPr>
          <w:rFonts w:cstheme="minorHAnsi"/>
          <w:color w:val="222222"/>
          <w:lang w:val="en-US"/>
        </w:rPr>
        <w:t>d</w:t>
      </w:r>
      <w:r w:rsidRPr="006E1DE3">
        <w:rPr>
          <w:rFonts w:cstheme="minorHAnsi"/>
          <w:color w:val="222222"/>
          <w:lang w:val="en-US"/>
        </w:rPr>
        <w:t xml:space="preserve"> and have </w:t>
      </w:r>
      <w:proofErr w:type="gramStart"/>
      <w:r w:rsidRPr="006E1DE3">
        <w:rPr>
          <w:rFonts w:cstheme="minorHAnsi"/>
          <w:color w:val="222222"/>
          <w:lang w:val="en-US"/>
        </w:rPr>
        <w:t>sufficient</w:t>
      </w:r>
      <w:proofErr w:type="gramEnd"/>
      <w:r w:rsidRPr="006E1DE3">
        <w:rPr>
          <w:rFonts w:cstheme="minorHAnsi"/>
          <w:color w:val="222222"/>
          <w:lang w:val="en-US"/>
        </w:rPr>
        <w:t xml:space="preserve"> collateral contributing to attract</w:t>
      </w:r>
      <w:r w:rsidR="002425E2">
        <w:rPr>
          <w:rFonts w:cstheme="minorHAnsi"/>
          <w:color w:val="222222"/>
          <w:lang w:val="en-US"/>
        </w:rPr>
        <w:t>ing</w:t>
      </w:r>
      <w:r w:rsidRPr="006E1DE3">
        <w:rPr>
          <w:rFonts w:cstheme="minorHAnsi"/>
          <w:color w:val="222222"/>
          <w:lang w:val="en-US"/>
        </w:rPr>
        <w:t xml:space="preserve"> private financial institutions.</w:t>
      </w:r>
    </w:p>
    <w:p w14:paraId="35DDB7DB" w14:textId="45EF5AB9" w:rsidR="00CC0E0B" w:rsidRPr="0026735F" w:rsidRDefault="00CC0E0B" w:rsidP="006506A8">
      <w:pPr>
        <w:pStyle w:val="ListParagraph"/>
        <w:numPr>
          <w:ilvl w:val="0"/>
          <w:numId w:val="47"/>
        </w:numPr>
        <w:spacing w:after="240" w:line="240" w:lineRule="auto"/>
        <w:ind w:left="0" w:firstLine="0"/>
        <w:contextualSpacing w:val="0"/>
        <w:jc w:val="both"/>
        <w:rPr>
          <w:rFonts w:cstheme="minorHAnsi"/>
          <w:color w:val="1A1A1A"/>
          <w:lang w:val="en-US"/>
        </w:rPr>
      </w:pPr>
      <w:r>
        <w:rPr>
          <w:rFonts w:cstheme="minorHAnsi"/>
          <w:b/>
          <w:color w:val="222222"/>
          <w:lang w:val="en-US"/>
        </w:rPr>
        <w:t xml:space="preserve">A private </w:t>
      </w:r>
      <w:r w:rsidRPr="006E1DE3">
        <w:rPr>
          <w:rFonts w:cstheme="minorHAnsi"/>
          <w:b/>
          <w:color w:val="222222"/>
          <w:lang w:val="en-US"/>
        </w:rPr>
        <w:t>institution</w:t>
      </w:r>
      <w:r>
        <w:rPr>
          <w:rFonts w:cstheme="minorHAnsi"/>
          <w:b/>
          <w:color w:val="222222"/>
          <w:lang w:val="en-US"/>
        </w:rPr>
        <w:t>, FINAGRO facilitating</w:t>
      </w:r>
      <w:r w:rsidRPr="006E1DE3">
        <w:rPr>
          <w:rFonts w:cstheme="minorHAnsi"/>
          <w:b/>
          <w:color w:val="222222"/>
          <w:lang w:val="en-US"/>
        </w:rPr>
        <w:t xml:space="preserve"> agribusiness access to loans through the provision of guarantees for short-, medium-, and long-term loans</w:t>
      </w:r>
      <w:r>
        <w:rPr>
          <w:rFonts w:cstheme="minorHAnsi"/>
          <w:b/>
          <w:color w:val="222222"/>
          <w:lang w:val="en-US"/>
        </w:rPr>
        <w:t xml:space="preserve"> is encouraging</w:t>
      </w:r>
      <w:r w:rsidRPr="006E1DE3">
        <w:rPr>
          <w:rFonts w:cstheme="minorHAnsi"/>
          <w:b/>
          <w:color w:val="222222"/>
          <w:lang w:val="en-US"/>
        </w:rPr>
        <w:t>.</w:t>
      </w:r>
      <w:r w:rsidRPr="006E1DE3">
        <w:rPr>
          <w:rFonts w:cstheme="minorHAnsi"/>
          <w:color w:val="222222"/>
          <w:lang w:val="en-US"/>
        </w:rPr>
        <w:t xml:space="preserve"> FINAGRO offers loan guarantees to small and medium </w:t>
      </w:r>
      <w:proofErr w:type="spellStart"/>
      <w:r w:rsidRPr="006E1DE3">
        <w:rPr>
          <w:rFonts w:cstheme="minorHAnsi"/>
          <w:color w:val="222222"/>
          <w:lang w:val="en-US"/>
        </w:rPr>
        <w:t>agro</w:t>
      </w:r>
      <w:proofErr w:type="spellEnd"/>
      <w:r w:rsidRPr="006E1DE3">
        <w:rPr>
          <w:rFonts w:cstheme="minorHAnsi"/>
          <w:color w:val="222222"/>
          <w:lang w:val="en-US"/>
        </w:rPr>
        <w:t xml:space="preserve">-enterprises, cooperatives, and other professional agricultural organizations. These agricultural enterprises must have a project with funding needs </w:t>
      </w:r>
      <w:r w:rsidR="00706F23">
        <w:rPr>
          <w:rFonts w:cstheme="minorHAnsi"/>
          <w:color w:val="222222"/>
          <w:lang w:val="en-US"/>
        </w:rPr>
        <w:t>for</w:t>
      </w:r>
      <w:r w:rsidRPr="006E1DE3">
        <w:rPr>
          <w:rFonts w:cstheme="minorHAnsi"/>
          <w:color w:val="222222"/>
          <w:lang w:val="en-US"/>
        </w:rPr>
        <w:t xml:space="preserve"> at least CFAF</w:t>
      </w:r>
      <w:r w:rsidR="00C702B4">
        <w:rPr>
          <w:rFonts w:cstheme="minorHAnsi"/>
          <w:color w:val="222222"/>
          <w:lang w:val="en-US"/>
        </w:rPr>
        <w:t> </w:t>
      </w:r>
      <w:r w:rsidRPr="006E1DE3">
        <w:rPr>
          <w:rFonts w:cstheme="minorHAnsi"/>
          <w:color w:val="222222"/>
          <w:lang w:val="en-US"/>
        </w:rPr>
        <w:t>5</w:t>
      </w:r>
      <w:r w:rsidR="00C702B4">
        <w:rPr>
          <w:rFonts w:cstheme="minorHAnsi"/>
          <w:color w:val="222222"/>
          <w:lang w:val="en-US"/>
        </w:rPr>
        <w:t> </w:t>
      </w:r>
      <w:r w:rsidRPr="006E1DE3">
        <w:rPr>
          <w:rFonts w:cstheme="minorHAnsi"/>
          <w:color w:val="222222"/>
          <w:lang w:val="en-US"/>
        </w:rPr>
        <w:t xml:space="preserve">million and must pay a certain number of commissions to FINAGRO. </w:t>
      </w:r>
      <w:r w:rsidRPr="006E1DE3">
        <w:rPr>
          <w:rFonts w:ascii="Calibri" w:hAnsi="Calibri" w:cs="Calibri"/>
          <w:lang w:val="en-US"/>
        </w:rPr>
        <w:t>The</w:t>
      </w:r>
      <w:r w:rsidRPr="006E1DE3">
        <w:rPr>
          <w:rFonts w:cstheme="minorHAnsi"/>
          <w:color w:val="222222"/>
          <w:lang w:val="en-US"/>
        </w:rPr>
        <w:t xml:space="preserve"> guarantee provided by FINAGRO varies from 50 </w:t>
      </w:r>
      <w:r>
        <w:rPr>
          <w:rFonts w:cstheme="minorHAnsi"/>
          <w:color w:val="222222"/>
          <w:lang w:val="en-US"/>
        </w:rPr>
        <w:t xml:space="preserve">percent </w:t>
      </w:r>
      <w:r w:rsidRPr="006E1DE3">
        <w:rPr>
          <w:rFonts w:cstheme="minorHAnsi"/>
          <w:color w:val="222222"/>
          <w:lang w:val="en-US"/>
        </w:rPr>
        <w:t>to 80</w:t>
      </w:r>
      <w:r>
        <w:rPr>
          <w:rFonts w:cstheme="minorHAnsi"/>
          <w:color w:val="222222"/>
          <w:lang w:val="en-US"/>
        </w:rPr>
        <w:t xml:space="preserve"> percent </w:t>
      </w:r>
      <w:r w:rsidRPr="006E1DE3">
        <w:rPr>
          <w:rFonts w:cstheme="minorHAnsi"/>
          <w:color w:val="222222"/>
          <w:lang w:val="en-US"/>
        </w:rPr>
        <w:t>of the risk. FINAGRO also offers business development services to agribusiness</w:t>
      </w:r>
      <w:r w:rsidR="00706F23">
        <w:rPr>
          <w:rFonts w:cstheme="minorHAnsi"/>
          <w:color w:val="222222"/>
          <w:lang w:val="en-US"/>
        </w:rPr>
        <w:t>es</w:t>
      </w:r>
      <w:r w:rsidRPr="006E1DE3">
        <w:rPr>
          <w:rFonts w:cstheme="minorHAnsi"/>
          <w:color w:val="222222"/>
          <w:lang w:val="en-US"/>
        </w:rPr>
        <w:t>. On the supply side, FINAGRO offers financial institutions expertise on the analysis/assessment of agricultural project, the technical follow-up of the project financed by banks, studies on the various agricultural sectors, and the training of bank staff</w:t>
      </w:r>
      <w:r w:rsidR="002425E2">
        <w:rPr>
          <w:rFonts w:cstheme="minorHAnsi"/>
          <w:color w:val="222222"/>
          <w:lang w:val="en-US"/>
        </w:rPr>
        <w:t>s</w:t>
      </w:r>
      <w:r w:rsidRPr="006E1DE3">
        <w:rPr>
          <w:rFonts w:cstheme="minorHAnsi"/>
          <w:color w:val="222222"/>
          <w:lang w:val="en-US"/>
        </w:rPr>
        <w:t xml:space="preserve"> in agricultural finance. FINAGRO has also started working with some MFIs, in collaboration with the Consortium Alafia. </w:t>
      </w:r>
      <w:r w:rsidRPr="006E1DE3">
        <w:rPr>
          <w:rFonts w:cstheme="minorHAnsi"/>
          <w:lang w:val="en-US"/>
        </w:rPr>
        <w:t xml:space="preserve">The World Bank-financed Agricultural Diversification Project (PADA) </w:t>
      </w:r>
      <w:r w:rsidRPr="006E1DE3">
        <w:rPr>
          <w:rFonts w:cstheme="minorHAnsi"/>
          <w:color w:val="222222"/>
          <w:lang w:val="en-US"/>
        </w:rPr>
        <w:t>set up a guarantee fund in collaboration with FINAGRO as the technical operator and ORABANK BENIN as the financial intermediary.</w:t>
      </w:r>
      <w:r w:rsidRPr="00540C8B">
        <w:rPr>
          <w:rFonts w:cstheme="minorHAnsi"/>
          <w:b/>
          <w:color w:val="222222"/>
          <w:lang w:val="en-US"/>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CC0E0B" w:rsidRPr="008A6E7B" w14:paraId="39F00D21" w14:textId="77777777" w:rsidTr="002646AC">
        <w:tc>
          <w:tcPr>
            <w:tcW w:w="9350" w:type="dxa"/>
            <w:shd w:val="clear" w:color="auto" w:fill="D9D9D9" w:themeFill="background1" w:themeFillShade="D9"/>
          </w:tcPr>
          <w:p w14:paraId="5B369152" w14:textId="450BB75D" w:rsidR="00CC0E0B" w:rsidRPr="006506A8" w:rsidRDefault="00CC0E0B" w:rsidP="002646AC">
            <w:pPr>
              <w:shd w:val="clear" w:color="auto" w:fill="D9D9D9" w:themeFill="background1" w:themeFillShade="D9"/>
              <w:spacing w:before="60" w:after="60"/>
              <w:jc w:val="center"/>
              <w:rPr>
                <w:rFonts w:asciiTheme="majorHAnsi" w:hAnsiTheme="majorHAnsi" w:cstheme="majorHAnsi"/>
                <w:b/>
                <w:color w:val="2E74B5" w:themeColor="accent1" w:themeShade="BF"/>
              </w:rPr>
            </w:pPr>
            <w:r w:rsidRPr="006506A8">
              <w:rPr>
                <w:rFonts w:asciiTheme="majorHAnsi" w:hAnsiTheme="majorHAnsi" w:cstheme="majorHAnsi"/>
                <w:b/>
                <w:color w:val="2E74B5" w:themeColor="accent1" w:themeShade="BF"/>
              </w:rPr>
              <w:t>Box</w:t>
            </w:r>
            <w:r w:rsidR="00C702B4" w:rsidRPr="006506A8">
              <w:rPr>
                <w:rFonts w:asciiTheme="majorHAnsi" w:hAnsiTheme="majorHAnsi" w:cstheme="majorHAnsi"/>
                <w:b/>
                <w:color w:val="2E74B5" w:themeColor="accent1" w:themeShade="BF"/>
              </w:rPr>
              <w:t> </w:t>
            </w:r>
            <w:r w:rsidRPr="006506A8">
              <w:rPr>
                <w:rFonts w:asciiTheme="majorHAnsi" w:hAnsiTheme="majorHAnsi" w:cstheme="majorHAnsi"/>
                <w:b/>
                <w:color w:val="2E74B5" w:themeColor="accent1" w:themeShade="BF"/>
              </w:rPr>
              <w:t>4.</w:t>
            </w:r>
            <w:r w:rsidRPr="006506A8">
              <w:rPr>
                <w:rFonts w:asciiTheme="majorHAnsi" w:hAnsiTheme="majorHAnsi" w:cstheme="majorHAnsi"/>
                <w:b/>
                <w:color w:val="2E74B5" w:themeColor="accent1" w:themeShade="BF"/>
              </w:rPr>
              <w:fldChar w:fldCharType="begin"/>
            </w:r>
            <w:r w:rsidRPr="006506A8">
              <w:rPr>
                <w:rFonts w:asciiTheme="majorHAnsi" w:hAnsiTheme="majorHAnsi" w:cstheme="majorHAnsi"/>
                <w:b/>
                <w:color w:val="2E74B5" w:themeColor="accent1" w:themeShade="BF"/>
              </w:rPr>
              <w:instrText xml:space="preserve"> SEQ Box_4. \* ARABIC </w:instrText>
            </w:r>
            <w:r w:rsidRPr="006506A8">
              <w:rPr>
                <w:rFonts w:asciiTheme="majorHAnsi" w:hAnsiTheme="majorHAnsi" w:cstheme="majorHAnsi"/>
                <w:b/>
                <w:color w:val="2E74B5" w:themeColor="accent1" w:themeShade="BF"/>
              </w:rPr>
              <w:fldChar w:fldCharType="separate"/>
            </w:r>
            <w:r w:rsidR="004C6E5F" w:rsidRPr="006506A8">
              <w:rPr>
                <w:rFonts w:asciiTheme="majorHAnsi" w:hAnsiTheme="majorHAnsi" w:cstheme="majorHAnsi"/>
                <w:b/>
                <w:noProof/>
                <w:color w:val="2E74B5" w:themeColor="accent1" w:themeShade="BF"/>
              </w:rPr>
              <w:t>2</w:t>
            </w:r>
            <w:r w:rsidRPr="006506A8">
              <w:rPr>
                <w:rFonts w:asciiTheme="majorHAnsi" w:hAnsiTheme="majorHAnsi" w:cstheme="majorHAnsi"/>
                <w:b/>
                <w:color w:val="2E74B5" w:themeColor="accent1" w:themeShade="BF"/>
              </w:rPr>
              <w:fldChar w:fldCharType="end"/>
            </w:r>
            <w:r w:rsidRPr="006506A8">
              <w:rPr>
                <w:rFonts w:asciiTheme="majorHAnsi" w:hAnsiTheme="majorHAnsi" w:cstheme="majorHAnsi"/>
                <w:b/>
                <w:color w:val="2E74B5" w:themeColor="accent1" w:themeShade="BF"/>
              </w:rPr>
              <w:t xml:space="preserve">: Guarantee </w:t>
            </w:r>
            <w:r w:rsidR="002425E2" w:rsidRPr="006506A8">
              <w:rPr>
                <w:rFonts w:asciiTheme="majorHAnsi" w:hAnsiTheme="majorHAnsi" w:cstheme="majorHAnsi"/>
                <w:b/>
                <w:color w:val="2E74B5" w:themeColor="accent1" w:themeShade="BF"/>
              </w:rPr>
              <w:t>S</w:t>
            </w:r>
            <w:r w:rsidRPr="006506A8">
              <w:rPr>
                <w:rFonts w:asciiTheme="majorHAnsi" w:hAnsiTheme="majorHAnsi" w:cstheme="majorHAnsi"/>
                <w:b/>
                <w:color w:val="2E74B5" w:themeColor="accent1" w:themeShade="BF"/>
              </w:rPr>
              <w:t>cheme of PADA</w:t>
            </w:r>
          </w:p>
          <w:p w14:paraId="5771EF93" w14:textId="656E40E8" w:rsidR="00CC0E0B" w:rsidRPr="003D2501" w:rsidRDefault="00CC0E0B" w:rsidP="002646AC">
            <w:pPr>
              <w:shd w:val="clear" w:color="auto" w:fill="D9D9D9" w:themeFill="background1" w:themeFillShade="D9"/>
              <w:spacing w:after="60"/>
              <w:jc w:val="both"/>
              <w:rPr>
                <w:rFonts w:asciiTheme="minorHAnsi" w:hAnsiTheme="minorHAnsi" w:cstheme="minorHAnsi"/>
                <w:color w:val="222222"/>
              </w:rPr>
            </w:pPr>
            <w:r w:rsidRPr="003D2501">
              <w:rPr>
                <w:rFonts w:asciiTheme="minorHAnsi" w:hAnsiTheme="minorHAnsi" w:cstheme="minorHAnsi"/>
                <w:color w:val="222222"/>
              </w:rPr>
              <w:t>PADA set up a guarantee scheme to facilitate access to credit for the agricultural enterprises and professional/interprofessional organizations involved in the value chains supported by the project. A partnership agreement was signed with ORABANK BENIN for 15 months with a capital for the guarantee of CFAF</w:t>
            </w:r>
            <w:r w:rsidR="00C702B4">
              <w:rPr>
                <w:rFonts w:asciiTheme="minorHAnsi" w:hAnsiTheme="minorHAnsi" w:cstheme="minorHAnsi"/>
                <w:color w:val="222222"/>
              </w:rPr>
              <w:t> </w:t>
            </w:r>
            <w:r w:rsidRPr="003D2501">
              <w:rPr>
                <w:rFonts w:asciiTheme="minorHAnsi" w:hAnsiTheme="minorHAnsi" w:cstheme="minorHAnsi"/>
                <w:color w:val="222222"/>
              </w:rPr>
              <w:t>500</w:t>
            </w:r>
            <w:r w:rsidR="00C702B4">
              <w:rPr>
                <w:rFonts w:asciiTheme="minorHAnsi" w:hAnsiTheme="minorHAnsi" w:cstheme="minorHAnsi"/>
                <w:color w:val="222222"/>
              </w:rPr>
              <w:t> </w:t>
            </w:r>
            <w:r w:rsidRPr="003D2501">
              <w:rPr>
                <w:rFonts w:asciiTheme="minorHAnsi" w:hAnsiTheme="minorHAnsi" w:cstheme="minorHAnsi"/>
                <w:color w:val="222222"/>
              </w:rPr>
              <w:t>million with a leverage effect of two domiciled in a special account opened in the books of ORABANK BENIN and remunerated at 2 percent per year for balances exceeding CFAF</w:t>
            </w:r>
            <w:r w:rsidR="00C702B4">
              <w:rPr>
                <w:rFonts w:asciiTheme="minorHAnsi" w:hAnsiTheme="minorHAnsi" w:cstheme="minorHAnsi"/>
                <w:color w:val="222222"/>
              </w:rPr>
              <w:t> </w:t>
            </w:r>
            <w:r w:rsidRPr="003D2501">
              <w:rPr>
                <w:rFonts w:asciiTheme="minorHAnsi" w:hAnsiTheme="minorHAnsi" w:cstheme="minorHAnsi"/>
                <w:color w:val="222222"/>
              </w:rPr>
              <w:t>100</w:t>
            </w:r>
            <w:r w:rsidR="00C702B4">
              <w:rPr>
                <w:rFonts w:asciiTheme="minorHAnsi" w:hAnsiTheme="minorHAnsi" w:cstheme="minorHAnsi"/>
                <w:color w:val="222222"/>
              </w:rPr>
              <w:t> </w:t>
            </w:r>
            <w:r w:rsidRPr="003D2501">
              <w:rPr>
                <w:rFonts w:asciiTheme="minorHAnsi" w:hAnsiTheme="minorHAnsi" w:cstheme="minorHAnsi"/>
                <w:color w:val="222222"/>
              </w:rPr>
              <w:t>million and 1 percent on downstream commissions. The guarantee fund excludes defaults arising from natural disasters. This guarantee system became effective in April 2016. It covers loans up to a maximum of CFAF</w:t>
            </w:r>
            <w:r w:rsidR="00C702B4">
              <w:rPr>
                <w:rFonts w:asciiTheme="minorHAnsi" w:hAnsiTheme="minorHAnsi" w:cstheme="minorHAnsi"/>
                <w:color w:val="222222"/>
              </w:rPr>
              <w:t> </w:t>
            </w:r>
            <w:r w:rsidRPr="003D2501">
              <w:rPr>
                <w:rFonts w:asciiTheme="minorHAnsi" w:hAnsiTheme="minorHAnsi" w:cstheme="minorHAnsi"/>
                <w:color w:val="222222"/>
              </w:rPr>
              <w:t>50</w:t>
            </w:r>
            <w:r w:rsidR="00C702B4">
              <w:rPr>
                <w:rFonts w:asciiTheme="minorHAnsi" w:hAnsiTheme="minorHAnsi" w:cstheme="minorHAnsi"/>
                <w:color w:val="222222"/>
              </w:rPr>
              <w:t> </w:t>
            </w:r>
            <w:r w:rsidRPr="003D2501">
              <w:rPr>
                <w:rFonts w:asciiTheme="minorHAnsi" w:hAnsiTheme="minorHAnsi" w:cstheme="minorHAnsi"/>
                <w:color w:val="222222"/>
              </w:rPr>
              <w:t xml:space="preserve">million for a maximum maturity period of five years and </w:t>
            </w:r>
            <w:r w:rsidR="007221A5" w:rsidRPr="003D2501">
              <w:rPr>
                <w:rFonts w:asciiTheme="minorHAnsi" w:hAnsiTheme="minorHAnsi" w:cstheme="minorHAnsi"/>
                <w:color w:val="222222"/>
              </w:rPr>
              <w:t>interest rates</w:t>
            </w:r>
            <w:r w:rsidRPr="003D2501">
              <w:rPr>
                <w:rFonts w:asciiTheme="minorHAnsi" w:hAnsiTheme="minorHAnsi" w:cstheme="minorHAnsi"/>
                <w:color w:val="222222"/>
              </w:rPr>
              <w:t xml:space="preserve"> of 12 percent per year for investment loans and 10 percent for operating loans. </w:t>
            </w:r>
            <w:r w:rsidR="007221A5">
              <w:rPr>
                <w:rFonts w:asciiTheme="minorHAnsi" w:hAnsiTheme="minorHAnsi" w:cstheme="minorHAnsi"/>
                <w:color w:val="222222"/>
              </w:rPr>
              <w:t>One</w:t>
            </w:r>
            <w:r w:rsidRPr="003D2501">
              <w:rPr>
                <w:rFonts w:asciiTheme="minorHAnsi" w:hAnsiTheme="minorHAnsi" w:cstheme="minorHAnsi"/>
                <w:color w:val="222222"/>
              </w:rPr>
              <w:t xml:space="preserve"> year after implementation</w:t>
            </w:r>
            <w:r w:rsidR="007221A5">
              <w:rPr>
                <w:rFonts w:asciiTheme="minorHAnsi" w:hAnsiTheme="minorHAnsi" w:cstheme="minorHAnsi"/>
                <w:color w:val="222222"/>
              </w:rPr>
              <w:t>,</w:t>
            </w:r>
            <w:r w:rsidRPr="003D2501">
              <w:rPr>
                <w:rFonts w:asciiTheme="minorHAnsi" w:hAnsiTheme="minorHAnsi" w:cstheme="minorHAnsi"/>
                <w:color w:val="222222"/>
              </w:rPr>
              <w:t xml:space="preserve"> in April 2017, 47 loan applications prior reviewed by the PIU and FINAGRO had been submitted to ORABANK, of which 16 were rejected and only 3 were approved and disbursed. The loan granting process of ORABANK is considered by beneficiaries as an overly long mechanism.</w:t>
            </w:r>
          </w:p>
          <w:p w14:paraId="4900ACC0" w14:textId="77777777" w:rsidR="00CC0E0B" w:rsidRPr="003D2501" w:rsidRDefault="00CC0E0B" w:rsidP="002646AC">
            <w:pPr>
              <w:keepNext/>
              <w:shd w:val="clear" w:color="auto" w:fill="D9D9D9" w:themeFill="background1" w:themeFillShade="D9"/>
              <w:spacing w:after="60"/>
              <w:jc w:val="both"/>
              <w:rPr>
                <w:rFonts w:asciiTheme="majorHAnsi" w:hAnsiTheme="majorHAnsi" w:cstheme="majorHAnsi"/>
                <w:color w:val="1A1A1A"/>
              </w:rPr>
            </w:pPr>
            <w:r w:rsidRPr="003D2501">
              <w:rPr>
                <w:rFonts w:asciiTheme="majorHAnsi" w:hAnsiTheme="majorHAnsi" w:cstheme="majorHAnsi"/>
                <w:i/>
                <w:color w:val="2E74B5" w:themeColor="accent1" w:themeShade="BF"/>
              </w:rPr>
              <w:t>Source</w:t>
            </w:r>
            <w:r w:rsidRPr="003D2501">
              <w:rPr>
                <w:rFonts w:asciiTheme="majorHAnsi" w:hAnsiTheme="majorHAnsi" w:cstheme="majorHAnsi"/>
                <w:color w:val="2E74B5" w:themeColor="accent1" w:themeShade="BF"/>
              </w:rPr>
              <w:t xml:space="preserve">: PADA website (consulted December 2017) http://www.procad.org/pada/public/actu.php?actu=246. </w:t>
            </w:r>
          </w:p>
        </w:tc>
      </w:tr>
    </w:tbl>
    <w:p w14:paraId="49347A7D" w14:textId="77777777" w:rsidR="00CC0E0B" w:rsidRPr="000042C2" w:rsidRDefault="00CC0E0B" w:rsidP="00CC0E0B">
      <w:pPr>
        <w:pStyle w:val="ListParagraph"/>
        <w:spacing w:after="240" w:line="240" w:lineRule="auto"/>
        <w:ind w:left="0"/>
        <w:contextualSpacing w:val="0"/>
        <w:jc w:val="both"/>
        <w:rPr>
          <w:rFonts w:cstheme="minorHAnsi"/>
          <w:lang w:val="en-US"/>
        </w:rPr>
      </w:pPr>
    </w:p>
    <w:p w14:paraId="7D4BDC88" w14:textId="77777777" w:rsidR="00CC0E0B" w:rsidRPr="006E1DE3" w:rsidRDefault="00CC0E0B" w:rsidP="006506A8">
      <w:pPr>
        <w:pStyle w:val="ListParagraph"/>
        <w:numPr>
          <w:ilvl w:val="0"/>
          <w:numId w:val="47"/>
        </w:numPr>
        <w:spacing w:after="240" w:line="240" w:lineRule="auto"/>
        <w:ind w:left="0" w:firstLine="0"/>
        <w:contextualSpacing w:val="0"/>
        <w:jc w:val="both"/>
        <w:rPr>
          <w:rFonts w:cstheme="minorHAnsi"/>
          <w:lang w:val="en-US"/>
        </w:rPr>
      </w:pPr>
      <w:r>
        <w:rPr>
          <w:rFonts w:cstheme="minorHAnsi"/>
          <w:b/>
          <w:bCs/>
          <w:lang w:val="en-US"/>
        </w:rPr>
        <w:t xml:space="preserve">Agriculture insurance started receiving support from development partners. </w:t>
      </w:r>
      <w:r w:rsidR="0026735F" w:rsidRPr="0026735F">
        <w:rPr>
          <w:rFonts w:cstheme="minorHAnsi"/>
          <w:bCs/>
          <w:lang w:val="en-US"/>
        </w:rPr>
        <w:t xml:space="preserve">The </w:t>
      </w:r>
      <w:r w:rsidRPr="0026735F">
        <w:rPr>
          <w:rFonts w:cstheme="minorHAnsi"/>
          <w:lang w:val="en-US"/>
        </w:rPr>
        <w:t>PSDSA</w:t>
      </w:r>
      <w:r w:rsidRPr="001C339E">
        <w:rPr>
          <w:rFonts w:cstheme="minorHAnsi"/>
          <w:lang w:val="en-US"/>
        </w:rPr>
        <w:t xml:space="preserve"> recognizes the need to develop agriculture insurance mechanisms.</w:t>
      </w:r>
      <w:r>
        <w:rPr>
          <w:rFonts w:cstheme="minorHAnsi"/>
          <w:b/>
          <w:lang w:val="en-US"/>
        </w:rPr>
        <w:t xml:space="preserve"> </w:t>
      </w:r>
      <w:r w:rsidRPr="006E1DE3">
        <w:rPr>
          <w:rFonts w:cstheme="minorHAnsi"/>
          <w:color w:val="222222"/>
          <w:lang w:val="en-US"/>
        </w:rPr>
        <w:t>The Global Index Insurance Facility (GIIF) of the World Bank Group supported the introduction of index</w:t>
      </w:r>
      <w:r>
        <w:rPr>
          <w:rFonts w:cstheme="minorHAnsi"/>
          <w:color w:val="222222"/>
          <w:lang w:val="en-US"/>
        </w:rPr>
        <w:t>-</w:t>
      </w:r>
      <w:r w:rsidRPr="006E1DE3">
        <w:rPr>
          <w:rFonts w:cstheme="minorHAnsi"/>
          <w:color w:val="222222"/>
          <w:lang w:val="en-US"/>
        </w:rPr>
        <w:t xml:space="preserve">based insurance in </w:t>
      </w:r>
      <w:r w:rsidRPr="00795897">
        <w:rPr>
          <w:rFonts w:cstheme="minorHAnsi"/>
          <w:color w:val="222222"/>
          <w:lang w:val="en-US"/>
        </w:rPr>
        <w:t>Benin</w:t>
      </w:r>
      <w:r w:rsidRPr="00795897">
        <w:rPr>
          <w:rFonts w:cstheme="minorHAnsi"/>
          <w:lang w:val="en-US"/>
        </w:rPr>
        <w:t xml:space="preserve">. </w:t>
      </w:r>
      <w:r w:rsidRPr="00744657">
        <w:rPr>
          <w:rFonts w:cstheme="minorHAnsi"/>
          <w:lang w:val="en-US"/>
        </w:rPr>
        <w:t>BOAD</w:t>
      </w:r>
      <w:r w:rsidRPr="00795897">
        <w:rPr>
          <w:rFonts w:cstheme="minorHAnsi"/>
          <w:lang w:val="en-US"/>
        </w:rPr>
        <w:t xml:space="preserve"> </w:t>
      </w:r>
      <w:r>
        <w:rPr>
          <w:rFonts w:cstheme="minorHAnsi"/>
          <w:lang w:val="en-US"/>
        </w:rPr>
        <w:t xml:space="preserve">is </w:t>
      </w:r>
      <w:r w:rsidRPr="00795897">
        <w:rPr>
          <w:rFonts w:cstheme="minorHAnsi"/>
          <w:lang w:val="en-US"/>
        </w:rPr>
        <w:t>support</w:t>
      </w:r>
      <w:r>
        <w:rPr>
          <w:rFonts w:cstheme="minorHAnsi"/>
          <w:lang w:val="en-US"/>
        </w:rPr>
        <w:t>ing via AMAB</w:t>
      </w:r>
      <w:r w:rsidRPr="006E1DE3">
        <w:rPr>
          <w:rFonts w:cstheme="minorHAnsi"/>
          <w:lang w:val="en-US"/>
        </w:rPr>
        <w:t xml:space="preserve"> the development of index insurance for cotton and rice with an objective to insure 100,000 farmers. </w:t>
      </w:r>
    </w:p>
    <w:tbl>
      <w:tblPr>
        <w:tblStyle w:val="TableGrid"/>
        <w:tblW w:w="0" w:type="auto"/>
        <w:shd w:val="clear" w:color="auto" w:fill="D9D9D9" w:themeFill="background1" w:themeFillShade="D9"/>
        <w:tblLook w:val="04A0" w:firstRow="1" w:lastRow="0" w:firstColumn="1" w:lastColumn="0" w:noHBand="0" w:noVBand="1"/>
      </w:tblPr>
      <w:tblGrid>
        <w:gridCol w:w="9350"/>
      </w:tblGrid>
      <w:tr w:rsidR="00CC0E0B" w:rsidRPr="008A6E7B" w14:paraId="4EC430F7" w14:textId="77777777" w:rsidTr="002646AC">
        <w:tc>
          <w:tcPr>
            <w:tcW w:w="9350" w:type="dxa"/>
            <w:shd w:val="clear" w:color="auto" w:fill="D9D9D9" w:themeFill="background1" w:themeFillShade="D9"/>
          </w:tcPr>
          <w:p w14:paraId="6258466A" w14:textId="51BCE9F5" w:rsidR="00CC0E0B" w:rsidRPr="006506A8" w:rsidRDefault="00CC0E0B" w:rsidP="002646AC">
            <w:pPr>
              <w:keepNext/>
              <w:spacing w:before="60" w:after="60"/>
              <w:jc w:val="center"/>
              <w:rPr>
                <w:rFonts w:asciiTheme="majorHAnsi" w:hAnsiTheme="majorHAnsi" w:cstheme="majorHAnsi"/>
                <w:b/>
                <w:color w:val="2E74B5" w:themeColor="accent1" w:themeShade="BF"/>
              </w:rPr>
            </w:pPr>
            <w:r w:rsidRPr="006506A8">
              <w:rPr>
                <w:rFonts w:asciiTheme="majorHAnsi" w:hAnsiTheme="majorHAnsi" w:cstheme="majorHAnsi"/>
                <w:b/>
                <w:color w:val="2E74B5" w:themeColor="accent1" w:themeShade="BF"/>
              </w:rPr>
              <w:t>Box</w:t>
            </w:r>
            <w:r w:rsidR="00C702B4" w:rsidRPr="006506A8">
              <w:rPr>
                <w:rFonts w:asciiTheme="majorHAnsi" w:hAnsiTheme="majorHAnsi" w:cstheme="majorHAnsi"/>
                <w:b/>
                <w:color w:val="2E74B5" w:themeColor="accent1" w:themeShade="BF"/>
              </w:rPr>
              <w:t> </w:t>
            </w:r>
            <w:r w:rsidRPr="006506A8">
              <w:rPr>
                <w:rFonts w:asciiTheme="majorHAnsi" w:hAnsiTheme="majorHAnsi" w:cstheme="majorHAnsi"/>
                <w:b/>
                <w:color w:val="2E74B5" w:themeColor="accent1" w:themeShade="BF"/>
              </w:rPr>
              <w:t>4.</w:t>
            </w:r>
            <w:r w:rsidRPr="006506A8">
              <w:rPr>
                <w:rFonts w:asciiTheme="majorHAnsi" w:hAnsiTheme="majorHAnsi" w:cstheme="majorHAnsi"/>
                <w:b/>
                <w:color w:val="2E74B5" w:themeColor="accent1" w:themeShade="BF"/>
              </w:rPr>
              <w:fldChar w:fldCharType="begin"/>
            </w:r>
            <w:r w:rsidRPr="006506A8">
              <w:rPr>
                <w:rFonts w:asciiTheme="majorHAnsi" w:hAnsiTheme="majorHAnsi" w:cstheme="majorHAnsi"/>
                <w:b/>
                <w:color w:val="2E74B5" w:themeColor="accent1" w:themeShade="BF"/>
              </w:rPr>
              <w:instrText xml:space="preserve"> SEQ Box_4. \* ARABIC </w:instrText>
            </w:r>
            <w:r w:rsidRPr="006506A8">
              <w:rPr>
                <w:rFonts w:asciiTheme="majorHAnsi" w:hAnsiTheme="majorHAnsi" w:cstheme="majorHAnsi"/>
                <w:b/>
                <w:color w:val="2E74B5" w:themeColor="accent1" w:themeShade="BF"/>
              </w:rPr>
              <w:fldChar w:fldCharType="separate"/>
            </w:r>
            <w:r w:rsidR="004C6E5F" w:rsidRPr="006506A8">
              <w:rPr>
                <w:rFonts w:asciiTheme="majorHAnsi" w:hAnsiTheme="majorHAnsi" w:cstheme="majorHAnsi"/>
                <w:b/>
                <w:noProof/>
                <w:color w:val="2E74B5" w:themeColor="accent1" w:themeShade="BF"/>
              </w:rPr>
              <w:t>3</w:t>
            </w:r>
            <w:r w:rsidRPr="006506A8">
              <w:rPr>
                <w:rFonts w:asciiTheme="majorHAnsi" w:hAnsiTheme="majorHAnsi" w:cstheme="majorHAnsi"/>
                <w:b/>
                <w:color w:val="2E74B5" w:themeColor="accent1" w:themeShade="BF"/>
              </w:rPr>
              <w:fldChar w:fldCharType="end"/>
            </w:r>
            <w:r w:rsidRPr="006506A8">
              <w:rPr>
                <w:rFonts w:asciiTheme="majorHAnsi" w:hAnsiTheme="majorHAnsi" w:cstheme="majorHAnsi"/>
                <w:b/>
                <w:color w:val="2E74B5" w:themeColor="accent1" w:themeShade="BF"/>
              </w:rPr>
              <w:t>: GIIF intervention in Benin</w:t>
            </w:r>
          </w:p>
          <w:p w14:paraId="6F9237D5" w14:textId="77777777" w:rsidR="00CC0E0B" w:rsidRPr="003D2501" w:rsidRDefault="00CC0E0B" w:rsidP="002646AC">
            <w:pPr>
              <w:keepNext/>
              <w:autoSpaceDE w:val="0"/>
              <w:autoSpaceDN w:val="0"/>
              <w:adjustRightInd w:val="0"/>
              <w:spacing w:after="60"/>
              <w:jc w:val="both"/>
              <w:rPr>
                <w:rFonts w:asciiTheme="minorHAnsi" w:eastAsia="HelveticaNeueLTStd-LtCn" w:hAnsiTheme="minorHAnsi" w:cstheme="minorHAnsi"/>
              </w:rPr>
            </w:pPr>
            <w:r w:rsidRPr="003D2501">
              <w:rPr>
                <w:rFonts w:asciiTheme="minorHAnsi" w:eastAsia="HelveticaNeueLTStd-LtCn" w:hAnsiTheme="minorHAnsi" w:cstheme="minorHAnsi"/>
              </w:rPr>
              <w:t>As a multi-donor trust fund, GIIF’s objective is to expand the use of index insurance as a risk management tool in agriculture production, food security, and disaster risk reduction, because it helps farmers and households reduce their risks and protect their assets and livelihoods.</w:t>
            </w:r>
          </w:p>
          <w:p w14:paraId="5774D2B9" w14:textId="77777777" w:rsidR="00CC0E0B" w:rsidRPr="003D2501" w:rsidRDefault="00CC0E0B" w:rsidP="002646AC">
            <w:pPr>
              <w:keepNext/>
              <w:autoSpaceDE w:val="0"/>
              <w:autoSpaceDN w:val="0"/>
              <w:adjustRightInd w:val="0"/>
              <w:spacing w:after="60"/>
              <w:jc w:val="both"/>
              <w:rPr>
                <w:rFonts w:asciiTheme="minorHAnsi" w:eastAsia="HelveticaNeueLTStd-LtCn" w:hAnsiTheme="minorHAnsi" w:cstheme="minorHAnsi"/>
              </w:rPr>
            </w:pPr>
            <w:r w:rsidRPr="003D2501">
              <w:rPr>
                <w:rFonts w:asciiTheme="minorHAnsi" w:eastAsia="HelveticaNeueLTStd-LtCn" w:hAnsiTheme="minorHAnsi" w:cstheme="minorHAnsi"/>
              </w:rPr>
              <w:t xml:space="preserve">Index insurance is an innovative approach to insurance provision that pays out benefits </w:t>
            </w:r>
            <w:proofErr w:type="gramStart"/>
            <w:r w:rsidRPr="003D2501">
              <w:rPr>
                <w:rFonts w:asciiTheme="minorHAnsi" w:eastAsia="HelveticaNeueLTStd-LtCn" w:hAnsiTheme="minorHAnsi" w:cstheme="minorHAnsi"/>
              </w:rPr>
              <w:t>on the basis of</w:t>
            </w:r>
            <w:proofErr w:type="gramEnd"/>
            <w:r w:rsidRPr="003D2501">
              <w:rPr>
                <w:rFonts w:asciiTheme="minorHAnsi" w:eastAsia="HelveticaNeueLTStd-LtCn" w:hAnsiTheme="minorHAnsi" w:cstheme="minorHAnsi"/>
              </w:rPr>
              <w:t xml:space="preserve"> a predetermined index (that is, rainfall level) for loss of assets and investments resulting from weather and catastrophic events, without requiring the traditional services of insurance claims assessors. Before the start of the insurance period, a statistical index is developed that measures deviations from normal for parameters such as rainfall, crop yield, temperature, and so on.</w:t>
            </w:r>
          </w:p>
          <w:p w14:paraId="37C4F639" w14:textId="77777777" w:rsidR="00CC0E0B" w:rsidRPr="003D2501" w:rsidRDefault="00CC0E0B" w:rsidP="002646AC">
            <w:pPr>
              <w:keepNext/>
              <w:autoSpaceDE w:val="0"/>
              <w:autoSpaceDN w:val="0"/>
              <w:adjustRightInd w:val="0"/>
              <w:spacing w:after="60"/>
              <w:jc w:val="both"/>
              <w:rPr>
                <w:rFonts w:asciiTheme="minorHAnsi" w:eastAsia="HelveticaNeueLTStd-LtCn" w:hAnsiTheme="minorHAnsi" w:cstheme="minorHAnsi"/>
              </w:rPr>
            </w:pPr>
            <w:r w:rsidRPr="003D2501">
              <w:rPr>
                <w:rFonts w:asciiTheme="minorHAnsi" w:eastAsia="HelveticaNeueLTStd-LtCn" w:hAnsiTheme="minorHAnsi" w:cstheme="minorHAnsi"/>
              </w:rPr>
              <w:t xml:space="preserve">In Benin, GIIF has worked on creating an enabling legal and regulatory environment with AMAB, which requested support from the GIIF World Bank team to design and implement index-based insurance as well as to provide AMAB with capacity building. In 2012, the existing regulatory instruments were revised to include micro and agriculture index insurance, followed by a national workshop organized by the Benin regulatory authority. Five awareness and training workshops were also subsequently provided to producers, microfinance institutions, and AMAB staff on product features, product management and sales techniques, and claims management process. In December 2017, AMAB participated in a regional training organized by GIIF in Senegal on designing and pricing index insurance products. </w:t>
            </w:r>
          </w:p>
          <w:p w14:paraId="1A26BB95" w14:textId="77777777" w:rsidR="00CC0E0B" w:rsidRPr="003D2501" w:rsidRDefault="00CC0E0B" w:rsidP="002646AC">
            <w:pPr>
              <w:keepNext/>
              <w:autoSpaceDE w:val="0"/>
              <w:autoSpaceDN w:val="0"/>
              <w:adjustRightInd w:val="0"/>
              <w:spacing w:after="60"/>
              <w:jc w:val="both"/>
              <w:rPr>
                <w:rFonts w:asciiTheme="minorHAnsi" w:hAnsiTheme="minorHAnsi" w:cstheme="minorHAnsi"/>
              </w:rPr>
            </w:pPr>
            <w:r w:rsidRPr="003D2501">
              <w:rPr>
                <w:rFonts w:asciiTheme="minorHAnsi" w:eastAsia="HelveticaNeueLTStd-LtCn" w:hAnsiTheme="minorHAnsi" w:cstheme="minorHAnsi"/>
              </w:rPr>
              <w:t xml:space="preserve">GIIF (2015) limited its intervention in Benin, as the role and </w:t>
            </w:r>
            <w:r w:rsidRPr="003D2501">
              <w:rPr>
                <w:rFonts w:asciiTheme="minorHAnsi" w:hAnsiTheme="minorHAnsi" w:cstheme="minorHAnsi"/>
              </w:rPr>
              <w:t xml:space="preserve">anchorage of AMAB in state-supported agricultural programs was not </w:t>
            </w:r>
            <w:r w:rsidRPr="003D2501">
              <w:rPr>
                <w:rFonts w:asciiTheme="minorHAnsi" w:eastAsia="HelveticaNeueLTStd-LtCn" w:hAnsiTheme="minorHAnsi" w:cstheme="minorHAnsi"/>
              </w:rPr>
              <w:t>clearly</w:t>
            </w:r>
            <w:r w:rsidRPr="003D2501">
              <w:rPr>
                <w:rFonts w:asciiTheme="minorHAnsi" w:hAnsiTheme="minorHAnsi" w:cstheme="minorHAnsi"/>
              </w:rPr>
              <w:t xml:space="preserve"> defined. </w:t>
            </w:r>
          </w:p>
          <w:p w14:paraId="5AF6F28F" w14:textId="77777777" w:rsidR="00CC0E0B" w:rsidRPr="003D2501" w:rsidRDefault="00CC0E0B" w:rsidP="002646AC">
            <w:pPr>
              <w:keepNext/>
              <w:spacing w:after="60"/>
              <w:rPr>
                <w:rFonts w:asciiTheme="minorHAnsi" w:hAnsiTheme="minorHAnsi" w:cstheme="minorHAnsi"/>
              </w:rPr>
            </w:pPr>
            <w:r w:rsidRPr="003D2501">
              <w:rPr>
                <w:rFonts w:asciiTheme="majorHAnsi" w:hAnsiTheme="majorHAnsi" w:cstheme="majorHAnsi"/>
                <w:i/>
                <w:color w:val="2E74B5" w:themeColor="accent1" w:themeShade="BF"/>
              </w:rPr>
              <w:t>Source</w:t>
            </w:r>
            <w:r w:rsidRPr="003D2501">
              <w:rPr>
                <w:rFonts w:asciiTheme="majorHAnsi" w:hAnsiTheme="majorHAnsi" w:cstheme="majorHAnsi"/>
                <w:color w:val="2E74B5" w:themeColor="accent1" w:themeShade="BF"/>
              </w:rPr>
              <w:t xml:space="preserve">: World Bank Group. 2016a. </w:t>
            </w:r>
          </w:p>
        </w:tc>
      </w:tr>
    </w:tbl>
    <w:p w14:paraId="615139AD" w14:textId="57684880" w:rsidR="00794EAB" w:rsidRPr="000C6AA0" w:rsidRDefault="00CC0E0B" w:rsidP="00BB166B">
      <w:pPr>
        <w:pStyle w:val="ListParagraph"/>
        <w:numPr>
          <w:ilvl w:val="0"/>
          <w:numId w:val="47"/>
        </w:numPr>
        <w:spacing w:before="120" w:after="120" w:line="240" w:lineRule="auto"/>
        <w:ind w:left="0" w:firstLine="0"/>
        <w:contextualSpacing w:val="0"/>
        <w:rPr>
          <w:lang w:val="en-US"/>
        </w:rPr>
      </w:pPr>
      <w:r>
        <w:rPr>
          <w:lang w:val="en-US"/>
        </w:rPr>
        <w:t xml:space="preserve">Based on these emerging opportunities and constraints identified in this review, the following recommendation </w:t>
      </w:r>
      <w:r w:rsidR="000C6AA0">
        <w:rPr>
          <w:lang w:val="en-US"/>
        </w:rPr>
        <w:t xml:space="preserve">are suggested </w:t>
      </w:r>
      <w:r w:rsidR="0026735F">
        <w:rPr>
          <w:lang w:val="en-US"/>
        </w:rPr>
        <w:t>to</w:t>
      </w:r>
      <w:r w:rsidR="000C6AA0">
        <w:rPr>
          <w:lang w:val="en-US"/>
        </w:rPr>
        <w:t xml:space="preserve"> crowd</w:t>
      </w:r>
      <w:r w:rsidR="00141BD7">
        <w:rPr>
          <w:lang w:val="en-US"/>
        </w:rPr>
        <w:t xml:space="preserve"> </w:t>
      </w:r>
      <w:r w:rsidR="000C6AA0">
        <w:rPr>
          <w:lang w:val="en-US"/>
        </w:rPr>
        <w:t xml:space="preserve">in more private sector financing in the agriculture sector: </w:t>
      </w:r>
      <w:bookmarkStart w:id="57" w:name="_Toc511157658"/>
      <w:bookmarkStart w:id="58" w:name="_Toc519781978"/>
    </w:p>
    <w:bookmarkEnd w:id="57"/>
    <w:bookmarkEnd w:id="58"/>
    <w:p w14:paraId="041E9252" w14:textId="77777777" w:rsidR="00005D46" w:rsidRPr="006E1DE3" w:rsidRDefault="00005D46" w:rsidP="006506A8">
      <w:pPr>
        <w:pStyle w:val="ListParagraph"/>
        <w:numPr>
          <w:ilvl w:val="0"/>
          <w:numId w:val="38"/>
        </w:numPr>
        <w:autoSpaceDE w:val="0"/>
        <w:autoSpaceDN w:val="0"/>
        <w:adjustRightInd w:val="0"/>
        <w:spacing w:before="120" w:after="120" w:line="240" w:lineRule="auto"/>
        <w:ind w:left="1080"/>
        <w:contextualSpacing w:val="0"/>
        <w:jc w:val="both"/>
        <w:rPr>
          <w:rFonts w:cstheme="minorHAnsi"/>
          <w:b/>
          <w:sz w:val="16"/>
          <w:szCs w:val="16"/>
          <w:lang w:val="en-US"/>
        </w:rPr>
      </w:pPr>
      <w:r w:rsidRPr="00795897">
        <w:rPr>
          <w:rFonts w:cstheme="minorHAnsi"/>
          <w:b/>
          <w:lang w:val="en-US"/>
        </w:rPr>
        <w:t xml:space="preserve">Improve risk management </w:t>
      </w:r>
      <w:r w:rsidR="000C6AA0">
        <w:rPr>
          <w:rFonts w:cstheme="minorHAnsi"/>
          <w:b/>
          <w:lang w:val="en-US"/>
        </w:rPr>
        <w:t xml:space="preserve">in </w:t>
      </w:r>
      <w:r w:rsidRPr="006E1DE3">
        <w:rPr>
          <w:rFonts w:cstheme="minorHAnsi"/>
          <w:b/>
          <w:lang w:val="en-US"/>
        </w:rPr>
        <w:t>agriculture finance with risk and credit enhancement</w:t>
      </w:r>
      <w:r w:rsidR="000C6AA0">
        <w:rPr>
          <w:rFonts w:cstheme="minorHAnsi"/>
          <w:b/>
          <w:lang w:val="en-US"/>
        </w:rPr>
        <w:t xml:space="preserve"> instrument</w:t>
      </w:r>
      <w:r w:rsidRPr="006E1DE3">
        <w:rPr>
          <w:rFonts w:cstheme="minorHAnsi"/>
          <w:b/>
          <w:lang w:val="en-US"/>
        </w:rPr>
        <w:t xml:space="preserve"> such as agriculture insurance and </w:t>
      </w:r>
      <w:r w:rsidR="000C6AA0">
        <w:rPr>
          <w:rFonts w:cstheme="minorHAnsi"/>
          <w:b/>
          <w:lang w:val="en-US"/>
        </w:rPr>
        <w:t xml:space="preserve">partial portfolio credit guarantee (PPCG): </w:t>
      </w:r>
    </w:p>
    <w:p w14:paraId="23DFF98E" w14:textId="56B230F0" w:rsidR="0026735F" w:rsidRPr="00C22402" w:rsidRDefault="0026735F" w:rsidP="006506A8">
      <w:pPr>
        <w:pStyle w:val="ListParagraph"/>
        <w:numPr>
          <w:ilvl w:val="2"/>
          <w:numId w:val="7"/>
        </w:numPr>
        <w:spacing w:before="120" w:after="120" w:line="240" w:lineRule="auto"/>
        <w:ind w:left="1555" w:hanging="475"/>
        <w:contextualSpacing w:val="0"/>
        <w:jc w:val="both"/>
        <w:rPr>
          <w:rFonts w:cstheme="minorHAnsi"/>
          <w:b/>
          <w:sz w:val="16"/>
          <w:szCs w:val="16"/>
          <w:lang w:val="en-US"/>
        </w:rPr>
      </w:pPr>
      <w:r w:rsidRPr="000C6AA0">
        <w:rPr>
          <w:rFonts w:cstheme="minorHAnsi"/>
          <w:b/>
          <w:lang w:val="en-US"/>
        </w:rPr>
        <w:t>Develop and implement a dedicated partial portfolio credit guarantee</w:t>
      </w:r>
      <w:r>
        <w:rPr>
          <w:rFonts w:cstheme="minorHAnsi"/>
          <w:b/>
          <w:lang w:val="en-US"/>
        </w:rPr>
        <w:t xml:space="preserve"> (PPCG)</w:t>
      </w:r>
      <w:r w:rsidRPr="000C6AA0">
        <w:rPr>
          <w:rFonts w:cstheme="minorHAnsi"/>
          <w:b/>
          <w:lang w:val="en-US"/>
        </w:rPr>
        <w:t xml:space="preserve"> for agriculture sector</w:t>
      </w:r>
      <w:r>
        <w:rPr>
          <w:rFonts w:cstheme="minorHAnsi"/>
          <w:b/>
          <w:lang w:val="en-US"/>
        </w:rPr>
        <w:t xml:space="preserve"> offer to both banks and MFIs</w:t>
      </w:r>
      <w:r w:rsidRPr="000C6AA0">
        <w:rPr>
          <w:rFonts w:cstheme="minorHAnsi"/>
          <w:b/>
          <w:lang w:val="en-US"/>
        </w:rPr>
        <w:t xml:space="preserve"> to</w:t>
      </w:r>
      <w:r>
        <w:rPr>
          <w:rFonts w:cstheme="minorHAnsi"/>
          <w:lang w:val="en-US"/>
        </w:rPr>
        <w:t xml:space="preserve"> </w:t>
      </w:r>
      <w:r w:rsidRPr="006E1DE3">
        <w:rPr>
          <w:rFonts w:cstheme="minorHAnsi"/>
          <w:b/>
          <w:lang w:val="en-US"/>
        </w:rPr>
        <w:t>enhance agriculture finance development</w:t>
      </w:r>
      <w:r w:rsidRPr="006E1DE3">
        <w:rPr>
          <w:rFonts w:cstheme="minorHAnsi"/>
          <w:lang w:val="en-US"/>
        </w:rPr>
        <w:t xml:space="preserve">. </w:t>
      </w:r>
      <w:r>
        <w:rPr>
          <w:rFonts w:cstheme="minorHAnsi"/>
          <w:lang w:val="en-US"/>
        </w:rPr>
        <w:t>Credit guarantees</w:t>
      </w:r>
      <w:r w:rsidRPr="006E1DE3">
        <w:rPr>
          <w:rFonts w:cstheme="minorHAnsi"/>
          <w:lang w:val="en-US"/>
        </w:rPr>
        <w:t xml:space="preserve"> aim to absorb part of the default risk of the borrower and by providing this level of comfort, financial institutions would increase credit supply to credit constrained firms and farmers. </w:t>
      </w:r>
      <w:r>
        <w:rPr>
          <w:rFonts w:cstheme="minorHAnsi"/>
          <w:lang w:val="en-US"/>
        </w:rPr>
        <w:t xml:space="preserve">They </w:t>
      </w:r>
      <w:r w:rsidRPr="006E1DE3">
        <w:rPr>
          <w:rFonts w:cstheme="minorHAnsi"/>
          <w:lang w:val="en-US"/>
        </w:rPr>
        <w:t xml:space="preserve">can be assigned to each loan (individual) or can cover a portfolio of loans for the targeted group of beneficiaries. </w:t>
      </w:r>
      <w:r>
        <w:rPr>
          <w:rFonts w:cstheme="minorHAnsi"/>
          <w:lang w:val="en-US"/>
        </w:rPr>
        <w:t xml:space="preserve">The portfolio coverage is recommended and offer to bank as well as MFIs. This is suggestion aims to encounter the challenges </w:t>
      </w:r>
      <w:r w:rsidRPr="00C22402">
        <w:rPr>
          <w:rFonts w:cstheme="minorHAnsi"/>
          <w:lang w:val="en-US"/>
        </w:rPr>
        <w:t>of existing guarantees schemes (analysis of the credit request at two levels: by the guarantee fund and the lending bank, long processing time, mainly offered through banks).</w:t>
      </w:r>
      <w:r>
        <w:rPr>
          <w:rFonts w:cstheme="minorHAnsi"/>
          <w:b/>
          <w:lang w:val="en-US"/>
        </w:rPr>
        <w:t xml:space="preserve"> </w:t>
      </w:r>
      <w:r w:rsidRPr="006E1DE3">
        <w:rPr>
          <w:rFonts w:cstheme="minorHAnsi"/>
          <w:lang w:val="en-US"/>
        </w:rPr>
        <w:t xml:space="preserve">The PPCG is based on the principle of symmetrical automaticity </w:t>
      </w:r>
      <w:r>
        <w:rPr>
          <w:rFonts w:cstheme="minorHAnsi"/>
          <w:lang w:val="en-US"/>
        </w:rPr>
        <w:t xml:space="preserve">under which all credits respecting </w:t>
      </w:r>
      <w:r w:rsidRPr="006E1DE3">
        <w:rPr>
          <w:rFonts w:cstheme="minorHAnsi"/>
          <w:lang w:val="en-US"/>
        </w:rPr>
        <w:t>predefined eligibility criteria</w:t>
      </w:r>
      <w:r>
        <w:rPr>
          <w:rFonts w:cstheme="minorHAnsi"/>
          <w:lang w:val="en-US"/>
        </w:rPr>
        <w:t xml:space="preserve"> agreed are automatically cover </w:t>
      </w:r>
      <w:r w:rsidRPr="006E1DE3">
        <w:rPr>
          <w:rFonts w:cstheme="minorHAnsi"/>
          <w:lang w:val="en-US"/>
        </w:rPr>
        <w:t>without carr</w:t>
      </w:r>
      <w:r>
        <w:rPr>
          <w:rFonts w:cstheme="minorHAnsi"/>
          <w:lang w:val="en-US"/>
        </w:rPr>
        <w:t>ying</w:t>
      </w:r>
      <w:r w:rsidRPr="006E1DE3">
        <w:rPr>
          <w:rFonts w:cstheme="minorHAnsi"/>
          <w:lang w:val="en-US"/>
        </w:rPr>
        <w:t xml:space="preserve"> out an analysis of the quality of the risk of the credit application. The definition of eligibility criteria brings flexibility to the PPCG. As such, it would be possible for the government to define criteria </w:t>
      </w:r>
      <w:proofErr w:type="gramStart"/>
      <w:r w:rsidRPr="006E1DE3">
        <w:rPr>
          <w:rFonts w:cstheme="minorHAnsi"/>
          <w:lang w:val="en-US"/>
        </w:rPr>
        <w:t>taking into account</w:t>
      </w:r>
      <w:proofErr w:type="gramEnd"/>
      <w:r w:rsidRPr="006E1DE3">
        <w:rPr>
          <w:rFonts w:cstheme="minorHAnsi"/>
          <w:lang w:val="en-US"/>
        </w:rPr>
        <w:t xml:space="preserve"> their priorities in supporting producers and MSMEs. The role of women in Benin</w:t>
      </w:r>
      <w:r w:rsidR="00141BD7">
        <w:rPr>
          <w:rFonts w:cstheme="minorHAnsi"/>
          <w:lang w:val="en-US"/>
        </w:rPr>
        <w:t>’</w:t>
      </w:r>
      <w:r w:rsidRPr="006E1DE3">
        <w:rPr>
          <w:rFonts w:cstheme="minorHAnsi"/>
          <w:lang w:val="en-US"/>
        </w:rPr>
        <w:t xml:space="preserve">s agricultural sector is important, and any meaningful initiative to support agricultural development must explicitly </w:t>
      </w:r>
      <w:proofErr w:type="gramStart"/>
      <w:r w:rsidRPr="006E1DE3">
        <w:rPr>
          <w:rFonts w:cstheme="minorHAnsi"/>
          <w:lang w:val="en-US"/>
        </w:rPr>
        <w:t>take into account</w:t>
      </w:r>
      <w:proofErr w:type="gramEnd"/>
      <w:r w:rsidRPr="006E1DE3">
        <w:rPr>
          <w:rFonts w:cstheme="minorHAnsi"/>
          <w:lang w:val="en-US"/>
        </w:rPr>
        <w:t xml:space="preserve"> gender specificities related to the multiple problems of collateral women face to access to credit. Eligible criteria </w:t>
      </w:r>
      <w:r>
        <w:rPr>
          <w:rFonts w:cstheme="minorHAnsi"/>
          <w:lang w:val="en-US"/>
        </w:rPr>
        <w:t xml:space="preserve">for the PPCG </w:t>
      </w:r>
      <w:r w:rsidRPr="006E1DE3">
        <w:rPr>
          <w:rFonts w:cstheme="minorHAnsi"/>
          <w:lang w:val="en-US"/>
        </w:rPr>
        <w:t xml:space="preserve">could be gender sensitive. </w:t>
      </w:r>
      <w:r w:rsidRPr="00C22402">
        <w:rPr>
          <w:rFonts w:cstheme="minorHAnsi"/>
          <w:b/>
          <w:lang w:val="en-US"/>
        </w:rPr>
        <w:t xml:space="preserve">To </w:t>
      </w:r>
      <w:r w:rsidRPr="00C22402">
        <w:rPr>
          <w:rFonts w:cstheme="minorHAnsi"/>
          <w:lang w:val="en-US"/>
        </w:rPr>
        <w:t>operationalize</w:t>
      </w:r>
      <w:r w:rsidRPr="00C22402">
        <w:rPr>
          <w:rFonts w:cstheme="minorHAnsi"/>
          <w:b/>
          <w:lang w:val="en-US"/>
        </w:rPr>
        <w:t xml:space="preserve"> such PPCG in Benin, the following are</w:t>
      </w:r>
      <w:r>
        <w:rPr>
          <w:rFonts w:cstheme="minorHAnsi"/>
          <w:b/>
          <w:lang w:val="en-US"/>
        </w:rPr>
        <w:t xml:space="preserve"> suggested</w:t>
      </w:r>
      <w:r w:rsidRPr="00C22402">
        <w:rPr>
          <w:rFonts w:cstheme="minorHAnsi"/>
          <w:b/>
          <w:lang w:val="en-US"/>
        </w:rPr>
        <w:t>:</w:t>
      </w:r>
    </w:p>
    <w:p w14:paraId="6275850A" w14:textId="2B890B4F" w:rsidR="0026735F" w:rsidRPr="004000AC" w:rsidRDefault="0026735F" w:rsidP="00BB166B">
      <w:pPr>
        <w:pStyle w:val="ListParagraph"/>
        <w:numPr>
          <w:ilvl w:val="4"/>
          <w:numId w:val="18"/>
        </w:numPr>
        <w:spacing w:before="120" w:after="120" w:line="240" w:lineRule="auto"/>
        <w:ind w:left="2160"/>
        <w:contextualSpacing w:val="0"/>
        <w:jc w:val="both"/>
        <w:rPr>
          <w:rFonts w:cstheme="minorHAnsi"/>
          <w:sz w:val="16"/>
          <w:szCs w:val="16"/>
          <w:lang w:val="en-US"/>
        </w:rPr>
      </w:pPr>
      <w:r w:rsidRPr="006E1DE3">
        <w:rPr>
          <w:rFonts w:cstheme="minorHAnsi"/>
          <w:b/>
          <w:lang w:val="en-US"/>
        </w:rPr>
        <w:t xml:space="preserve">The creation of an </w:t>
      </w:r>
      <w:r w:rsidR="00141BD7">
        <w:rPr>
          <w:rFonts w:cstheme="minorHAnsi"/>
          <w:b/>
          <w:lang w:val="en-US"/>
        </w:rPr>
        <w:t>“</w:t>
      </w:r>
      <w:r w:rsidRPr="006E1DE3">
        <w:rPr>
          <w:rFonts w:cstheme="minorHAnsi"/>
          <w:b/>
          <w:lang w:val="en-US"/>
        </w:rPr>
        <w:t>agriculture</w:t>
      </w:r>
      <w:r w:rsidR="00141BD7">
        <w:rPr>
          <w:rFonts w:cstheme="minorHAnsi"/>
          <w:b/>
          <w:lang w:val="en-US"/>
        </w:rPr>
        <w:t>”</w:t>
      </w:r>
      <w:r w:rsidRPr="006E1DE3">
        <w:rPr>
          <w:rFonts w:cstheme="minorHAnsi"/>
          <w:b/>
          <w:lang w:val="en-US"/>
        </w:rPr>
        <w:t xml:space="preserve"> window within one of the existing Guarantee schemes (FONAGA, FINAGRO)</w:t>
      </w:r>
      <w:r w:rsidRPr="006E1DE3">
        <w:rPr>
          <w:rFonts w:cstheme="minorHAnsi"/>
          <w:lang w:val="en-US"/>
        </w:rPr>
        <w:t xml:space="preserve">. It will be necessary first to conduct a thorough analysis of the capacities of these structures </w:t>
      </w:r>
      <w:proofErr w:type="gramStart"/>
      <w:r w:rsidRPr="006E1DE3">
        <w:rPr>
          <w:rFonts w:cstheme="minorHAnsi"/>
          <w:lang w:val="en-US"/>
        </w:rPr>
        <w:t>on the basis of</w:t>
      </w:r>
      <w:proofErr w:type="gramEnd"/>
      <w:r w:rsidRPr="006E1DE3">
        <w:rPr>
          <w:rFonts w:cstheme="minorHAnsi"/>
          <w:lang w:val="en-US"/>
        </w:rPr>
        <w:t xml:space="preserve"> sustainability, efficiency</w:t>
      </w:r>
      <w:r>
        <w:rPr>
          <w:rFonts w:cstheme="minorHAnsi"/>
          <w:lang w:val="en-US"/>
        </w:rPr>
        <w:t>,</w:t>
      </w:r>
      <w:r w:rsidRPr="006E1DE3">
        <w:rPr>
          <w:rFonts w:cstheme="minorHAnsi"/>
          <w:lang w:val="en-US"/>
        </w:rPr>
        <w:t xml:space="preserve"> and credibility conditions </w:t>
      </w:r>
      <w:r w:rsidRPr="004000AC">
        <w:rPr>
          <w:rFonts w:cstheme="minorHAnsi"/>
          <w:lang w:val="en-US"/>
        </w:rPr>
        <w:t>to select a managing structure for the PPCG.</w:t>
      </w:r>
    </w:p>
    <w:p w14:paraId="517DC346" w14:textId="667664ED" w:rsidR="0026735F" w:rsidRPr="004000AC" w:rsidRDefault="0026735F" w:rsidP="00BB166B">
      <w:pPr>
        <w:pStyle w:val="ListParagraph"/>
        <w:numPr>
          <w:ilvl w:val="4"/>
          <w:numId w:val="18"/>
        </w:numPr>
        <w:spacing w:before="120" w:after="120" w:line="240" w:lineRule="auto"/>
        <w:ind w:left="2160"/>
        <w:contextualSpacing w:val="0"/>
        <w:jc w:val="both"/>
        <w:rPr>
          <w:rFonts w:cstheme="minorHAnsi"/>
          <w:sz w:val="16"/>
          <w:szCs w:val="16"/>
          <w:lang w:val="en-US"/>
        </w:rPr>
      </w:pPr>
      <w:r w:rsidRPr="004000AC">
        <w:rPr>
          <w:rFonts w:cstheme="minorHAnsi"/>
          <w:b/>
          <w:lang w:val="en-US"/>
        </w:rPr>
        <w:t xml:space="preserve">For a guarantee fund to cover its management costs, a minimum capital of </w:t>
      </w:r>
      <w:r w:rsidR="00141BD7">
        <w:rPr>
          <w:rFonts w:cstheme="minorHAnsi"/>
          <w:b/>
          <w:lang w:val="en-US"/>
        </w:rPr>
        <w:t>U.S.</w:t>
      </w:r>
      <w:r w:rsidRPr="004000AC">
        <w:rPr>
          <w:rFonts w:cstheme="minorHAnsi"/>
          <w:b/>
          <w:lang w:val="en-US"/>
        </w:rPr>
        <w:t>$5</w:t>
      </w:r>
      <w:r w:rsidR="00C702B4">
        <w:rPr>
          <w:rFonts w:cstheme="minorHAnsi"/>
          <w:b/>
          <w:lang w:val="en-US"/>
        </w:rPr>
        <w:t> </w:t>
      </w:r>
      <w:r w:rsidRPr="004000AC">
        <w:rPr>
          <w:rFonts w:cstheme="minorHAnsi"/>
          <w:b/>
          <w:lang w:val="en-US"/>
        </w:rPr>
        <w:t>million is required</w:t>
      </w:r>
      <w:r>
        <w:rPr>
          <w:rFonts w:cstheme="minorHAnsi"/>
          <w:b/>
          <w:lang w:val="en-US"/>
        </w:rPr>
        <w:t>,</w:t>
      </w:r>
      <w:r w:rsidRPr="004000AC">
        <w:rPr>
          <w:rFonts w:cstheme="minorHAnsi"/>
          <w:b/>
          <w:lang w:val="en-US"/>
        </w:rPr>
        <w:t xml:space="preserve"> which will provide guarantee</w:t>
      </w:r>
      <w:r w:rsidR="002425E2">
        <w:rPr>
          <w:rFonts w:cstheme="minorHAnsi"/>
          <w:b/>
          <w:lang w:val="en-US"/>
        </w:rPr>
        <w:t>s</w:t>
      </w:r>
      <w:r w:rsidRPr="004000AC">
        <w:rPr>
          <w:rFonts w:cstheme="minorHAnsi"/>
          <w:b/>
          <w:lang w:val="en-US"/>
        </w:rPr>
        <w:t xml:space="preserve"> for a maximum outstanding loans portfolio of </w:t>
      </w:r>
      <w:r w:rsidR="00141BD7">
        <w:rPr>
          <w:rFonts w:cstheme="minorHAnsi"/>
          <w:b/>
          <w:lang w:val="en-US"/>
        </w:rPr>
        <w:t>U.S.</w:t>
      </w:r>
      <w:r w:rsidRPr="004000AC">
        <w:rPr>
          <w:rFonts w:cstheme="minorHAnsi"/>
          <w:b/>
          <w:lang w:val="en-US"/>
        </w:rPr>
        <w:t>$20</w:t>
      </w:r>
      <w:r w:rsidRPr="004000AC">
        <w:rPr>
          <w:rStyle w:val="FootnoteReference"/>
          <w:rFonts w:cstheme="minorHAnsi"/>
          <w:b/>
          <w:lang w:val="en-US"/>
        </w:rPr>
        <w:footnoteReference w:id="23"/>
      </w:r>
      <w:r w:rsidR="00C702B4">
        <w:rPr>
          <w:rFonts w:cstheme="minorHAnsi"/>
          <w:b/>
          <w:lang w:val="en-US"/>
        </w:rPr>
        <w:t> </w:t>
      </w:r>
      <w:r w:rsidRPr="004000AC">
        <w:rPr>
          <w:rFonts w:cstheme="minorHAnsi"/>
          <w:b/>
          <w:lang w:val="en-US"/>
        </w:rPr>
        <w:t>million</w:t>
      </w:r>
      <w:r w:rsidRPr="004000AC">
        <w:rPr>
          <w:rFonts w:cstheme="minorHAnsi"/>
          <w:lang w:val="en-US"/>
        </w:rPr>
        <w:t>. This calculation is based on the following assumptions; however, it is important to note that a detailed assessment of the PPCG volume in Benin will require an analysis of the potential demand for credit for each value chain.</w:t>
      </w:r>
    </w:p>
    <w:p w14:paraId="60B92AD2" w14:textId="670AC185" w:rsidR="0026735F" w:rsidRPr="004000AC" w:rsidRDefault="0026735F" w:rsidP="00BB166B">
      <w:pPr>
        <w:pStyle w:val="ListParagraph"/>
        <w:numPr>
          <w:ilvl w:val="5"/>
          <w:numId w:val="7"/>
        </w:numPr>
        <w:spacing w:before="120" w:after="120" w:line="240" w:lineRule="auto"/>
        <w:ind w:left="2520" w:hanging="360"/>
        <w:contextualSpacing w:val="0"/>
        <w:jc w:val="both"/>
        <w:rPr>
          <w:rFonts w:cstheme="minorHAnsi"/>
          <w:sz w:val="16"/>
          <w:szCs w:val="16"/>
          <w:lang w:val="en-US"/>
        </w:rPr>
      </w:pPr>
      <w:r w:rsidRPr="004000AC">
        <w:rPr>
          <w:rFonts w:cstheme="minorHAnsi"/>
          <w:lang w:val="en-US"/>
        </w:rPr>
        <w:t xml:space="preserve">Minimum management costs: </w:t>
      </w:r>
      <w:r w:rsidR="00141BD7">
        <w:rPr>
          <w:rFonts w:cstheme="minorHAnsi"/>
          <w:lang w:val="en-US"/>
        </w:rPr>
        <w:t>U.S.</w:t>
      </w:r>
      <w:r w:rsidRPr="004000AC">
        <w:rPr>
          <w:rFonts w:cstheme="minorHAnsi"/>
          <w:lang w:val="en-US"/>
        </w:rPr>
        <w:t>$300 000</w:t>
      </w:r>
    </w:p>
    <w:p w14:paraId="3AACA4B0" w14:textId="22AEFAF6" w:rsidR="0026735F" w:rsidRPr="006E1DE3" w:rsidRDefault="0026735F" w:rsidP="00BB166B">
      <w:pPr>
        <w:pStyle w:val="ListParagraph"/>
        <w:numPr>
          <w:ilvl w:val="5"/>
          <w:numId w:val="7"/>
        </w:numPr>
        <w:spacing w:before="120" w:after="120" w:line="240" w:lineRule="auto"/>
        <w:ind w:left="2520" w:hanging="360"/>
        <w:contextualSpacing w:val="0"/>
        <w:jc w:val="both"/>
        <w:rPr>
          <w:rFonts w:cstheme="minorHAnsi"/>
          <w:sz w:val="16"/>
          <w:szCs w:val="16"/>
          <w:lang w:val="en-US"/>
        </w:rPr>
      </w:pPr>
      <w:r w:rsidRPr="006E1DE3">
        <w:rPr>
          <w:rFonts w:cstheme="minorHAnsi"/>
          <w:lang w:val="en-US"/>
        </w:rPr>
        <w:t xml:space="preserve">Fees charged to participating financial institutions as a percentage of the credit amount: </w:t>
      </w:r>
      <w:r w:rsidR="002425E2">
        <w:rPr>
          <w:rFonts w:cstheme="minorHAnsi"/>
          <w:lang w:val="en-US"/>
        </w:rPr>
        <w:t>at least</w:t>
      </w:r>
      <w:r w:rsidRPr="006E1DE3">
        <w:rPr>
          <w:rFonts w:cstheme="minorHAnsi"/>
          <w:lang w:val="en-US"/>
        </w:rPr>
        <w:t xml:space="preserve"> 1.5 percent</w:t>
      </w:r>
    </w:p>
    <w:p w14:paraId="0C36CB15" w14:textId="77777777" w:rsidR="0026735F" w:rsidRPr="006E1DE3" w:rsidRDefault="0026735F" w:rsidP="00BB166B">
      <w:pPr>
        <w:pStyle w:val="ListParagraph"/>
        <w:numPr>
          <w:ilvl w:val="5"/>
          <w:numId w:val="7"/>
        </w:numPr>
        <w:spacing w:before="120" w:after="120" w:line="240" w:lineRule="auto"/>
        <w:ind w:left="2520" w:hanging="360"/>
        <w:contextualSpacing w:val="0"/>
        <w:jc w:val="both"/>
        <w:rPr>
          <w:rFonts w:cstheme="minorHAnsi"/>
          <w:sz w:val="16"/>
          <w:szCs w:val="16"/>
          <w:lang w:val="en-US"/>
        </w:rPr>
      </w:pPr>
      <w:r w:rsidRPr="006E1DE3">
        <w:rPr>
          <w:rFonts w:cstheme="minorHAnsi"/>
          <w:lang w:val="en-US"/>
        </w:rPr>
        <w:t>Leverage effect of the guarantee: maximum 4</w:t>
      </w:r>
    </w:p>
    <w:p w14:paraId="2D19A19F" w14:textId="2DDE7B92" w:rsidR="0026735F" w:rsidRPr="006E1DE3" w:rsidRDefault="0026735F" w:rsidP="00BB166B">
      <w:pPr>
        <w:pStyle w:val="ListParagraph"/>
        <w:numPr>
          <w:ilvl w:val="3"/>
          <w:numId w:val="17"/>
        </w:numPr>
        <w:spacing w:before="120" w:after="120" w:line="240" w:lineRule="auto"/>
        <w:ind w:left="1800"/>
        <w:contextualSpacing w:val="0"/>
        <w:jc w:val="both"/>
        <w:rPr>
          <w:rFonts w:cstheme="minorHAnsi"/>
          <w:b/>
          <w:sz w:val="16"/>
          <w:szCs w:val="16"/>
          <w:lang w:val="en-US"/>
        </w:rPr>
      </w:pPr>
      <w:r w:rsidRPr="006E1DE3">
        <w:rPr>
          <w:rFonts w:cstheme="minorHAnsi"/>
          <w:b/>
          <w:lang w:val="en-US"/>
        </w:rPr>
        <w:t xml:space="preserve">The success of PCG is the accompaniment with technical </w:t>
      </w:r>
      <w:r w:rsidRPr="00C22402">
        <w:rPr>
          <w:rFonts w:cstheme="minorHAnsi"/>
          <w:b/>
          <w:lang w:val="en-US"/>
        </w:rPr>
        <w:t>assistance</w:t>
      </w:r>
      <w:r w:rsidRPr="006E1DE3">
        <w:rPr>
          <w:rFonts w:cstheme="minorHAnsi"/>
          <w:b/>
          <w:lang w:val="en-US"/>
        </w:rPr>
        <w:t xml:space="preserve"> for the managing structure of the PPCG and for the participating financial institutions (banks and MFIs).</w:t>
      </w:r>
    </w:p>
    <w:p w14:paraId="4B5A250E" w14:textId="77777777" w:rsidR="0026735F" w:rsidRPr="006E1DE3" w:rsidRDefault="0026735F" w:rsidP="00BB166B">
      <w:pPr>
        <w:pStyle w:val="ListParagraph"/>
        <w:numPr>
          <w:ilvl w:val="5"/>
          <w:numId w:val="7"/>
        </w:numPr>
        <w:spacing w:before="120" w:after="120" w:line="240" w:lineRule="auto"/>
        <w:ind w:left="2520" w:hanging="360"/>
        <w:contextualSpacing w:val="0"/>
        <w:jc w:val="both"/>
        <w:rPr>
          <w:rFonts w:cstheme="minorHAnsi"/>
          <w:sz w:val="16"/>
          <w:szCs w:val="16"/>
          <w:lang w:val="en-US"/>
        </w:rPr>
      </w:pPr>
      <w:r w:rsidRPr="006E1DE3">
        <w:rPr>
          <w:rFonts w:cstheme="minorHAnsi"/>
          <w:lang w:val="en-US"/>
        </w:rPr>
        <w:t xml:space="preserve">A technical assistance to help launch the PPCG and to train the managing structure staff capacities on the management of such guarantee. </w:t>
      </w:r>
    </w:p>
    <w:p w14:paraId="5C4C7130" w14:textId="77777777" w:rsidR="0026735F" w:rsidRPr="006E1DE3" w:rsidRDefault="0026735F" w:rsidP="00BB166B">
      <w:pPr>
        <w:pStyle w:val="ListParagraph"/>
        <w:numPr>
          <w:ilvl w:val="5"/>
          <w:numId w:val="7"/>
        </w:numPr>
        <w:spacing w:before="120" w:after="120" w:line="240" w:lineRule="auto"/>
        <w:ind w:left="2520" w:hanging="360"/>
        <w:contextualSpacing w:val="0"/>
        <w:jc w:val="both"/>
        <w:rPr>
          <w:rFonts w:cstheme="minorHAnsi"/>
          <w:sz w:val="16"/>
          <w:szCs w:val="16"/>
          <w:lang w:val="en-US"/>
        </w:rPr>
      </w:pPr>
      <w:r w:rsidRPr="006E1DE3">
        <w:rPr>
          <w:rFonts w:cstheme="minorHAnsi"/>
          <w:lang w:val="en-US"/>
        </w:rPr>
        <w:t>Technical assistance to banks and MFIs using the PPCG.</w:t>
      </w:r>
    </w:p>
    <w:tbl>
      <w:tblPr>
        <w:tblStyle w:val="TableGrid"/>
        <w:tblW w:w="5000" w:type="pct"/>
        <w:shd w:val="clear" w:color="auto" w:fill="D9D9D9" w:themeFill="background1" w:themeFillShade="D9"/>
        <w:tblLook w:val="04A0" w:firstRow="1" w:lastRow="0" w:firstColumn="1" w:lastColumn="0" w:noHBand="0" w:noVBand="1"/>
      </w:tblPr>
      <w:tblGrid>
        <w:gridCol w:w="9576"/>
      </w:tblGrid>
      <w:tr w:rsidR="0026735F" w:rsidRPr="006E1DE3" w14:paraId="11D6CB46" w14:textId="77777777" w:rsidTr="00077E91">
        <w:tc>
          <w:tcPr>
            <w:tcW w:w="5000" w:type="pct"/>
            <w:shd w:val="clear" w:color="auto" w:fill="D9D9D9" w:themeFill="background1" w:themeFillShade="D9"/>
          </w:tcPr>
          <w:p w14:paraId="7B9F15E0" w14:textId="4B375F76" w:rsidR="0026735F" w:rsidRPr="006506A8" w:rsidRDefault="0026735F" w:rsidP="00077E91">
            <w:pPr>
              <w:pStyle w:val="ListParagraph"/>
              <w:spacing w:before="60" w:after="60"/>
              <w:ind w:left="0"/>
              <w:contextualSpacing w:val="0"/>
              <w:jc w:val="center"/>
              <w:rPr>
                <w:rFonts w:asciiTheme="majorHAnsi" w:hAnsiTheme="majorHAnsi" w:cstheme="majorHAnsi"/>
                <w:b/>
                <w:color w:val="2E74B5" w:themeColor="accent1" w:themeShade="BF"/>
              </w:rPr>
            </w:pPr>
            <w:r w:rsidRPr="006506A8">
              <w:rPr>
                <w:rFonts w:asciiTheme="majorHAnsi" w:hAnsiTheme="majorHAnsi" w:cstheme="majorHAnsi"/>
                <w:b/>
                <w:color w:val="2E74B5" w:themeColor="accent1" w:themeShade="BF"/>
              </w:rPr>
              <w:t>Box</w:t>
            </w:r>
            <w:r w:rsidR="00C702B4" w:rsidRPr="006506A8">
              <w:rPr>
                <w:rFonts w:asciiTheme="majorHAnsi" w:hAnsiTheme="majorHAnsi" w:cstheme="majorHAnsi"/>
                <w:b/>
                <w:color w:val="2E74B5" w:themeColor="accent1" w:themeShade="BF"/>
              </w:rPr>
              <w:t> </w:t>
            </w:r>
            <w:r w:rsidRPr="006506A8">
              <w:rPr>
                <w:rFonts w:asciiTheme="majorHAnsi" w:hAnsiTheme="majorHAnsi" w:cstheme="majorHAnsi"/>
                <w:b/>
                <w:color w:val="2E74B5" w:themeColor="accent1" w:themeShade="BF"/>
              </w:rPr>
              <w:t>4.</w:t>
            </w:r>
            <w:r w:rsidRPr="006506A8">
              <w:rPr>
                <w:rFonts w:asciiTheme="majorHAnsi" w:hAnsiTheme="majorHAnsi" w:cstheme="majorHAnsi"/>
                <w:b/>
                <w:color w:val="2E74B5" w:themeColor="accent1" w:themeShade="BF"/>
              </w:rPr>
              <w:fldChar w:fldCharType="begin"/>
            </w:r>
            <w:r w:rsidRPr="006506A8">
              <w:rPr>
                <w:rFonts w:asciiTheme="majorHAnsi" w:hAnsiTheme="majorHAnsi" w:cstheme="majorHAnsi"/>
                <w:b/>
                <w:color w:val="2E74B5" w:themeColor="accent1" w:themeShade="BF"/>
              </w:rPr>
              <w:instrText xml:space="preserve"> SEQ Box_4. \* ARABIC </w:instrText>
            </w:r>
            <w:r w:rsidRPr="006506A8">
              <w:rPr>
                <w:rFonts w:asciiTheme="majorHAnsi" w:hAnsiTheme="majorHAnsi" w:cstheme="majorHAnsi"/>
                <w:b/>
                <w:color w:val="2E74B5" w:themeColor="accent1" w:themeShade="BF"/>
              </w:rPr>
              <w:fldChar w:fldCharType="separate"/>
            </w:r>
            <w:r w:rsidR="004C6E5F" w:rsidRPr="006506A8">
              <w:rPr>
                <w:rFonts w:asciiTheme="majorHAnsi" w:hAnsiTheme="majorHAnsi" w:cstheme="majorHAnsi"/>
                <w:b/>
                <w:noProof/>
                <w:color w:val="2E74B5" w:themeColor="accent1" w:themeShade="BF"/>
              </w:rPr>
              <w:t>4</w:t>
            </w:r>
            <w:r w:rsidRPr="006506A8">
              <w:rPr>
                <w:rFonts w:asciiTheme="majorHAnsi" w:hAnsiTheme="majorHAnsi" w:cstheme="majorHAnsi"/>
                <w:b/>
                <w:color w:val="2E74B5" w:themeColor="accent1" w:themeShade="BF"/>
              </w:rPr>
              <w:fldChar w:fldCharType="end"/>
            </w:r>
            <w:r w:rsidRPr="006506A8">
              <w:rPr>
                <w:rFonts w:asciiTheme="majorHAnsi" w:hAnsiTheme="majorHAnsi" w:cstheme="majorHAnsi"/>
                <w:b/>
                <w:color w:val="2E74B5" w:themeColor="accent1" w:themeShade="BF"/>
              </w:rPr>
              <w:t>: PPCG in Madagascar</w:t>
            </w:r>
          </w:p>
          <w:p w14:paraId="2117319B" w14:textId="56B0538D" w:rsidR="0026735F" w:rsidRPr="006E1DE3" w:rsidRDefault="0026735F" w:rsidP="00077E91">
            <w:pPr>
              <w:keepNext/>
              <w:jc w:val="both"/>
              <w:rPr>
                <w:rFonts w:asciiTheme="minorHAnsi" w:hAnsiTheme="minorHAnsi" w:cstheme="minorHAnsi"/>
              </w:rPr>
            </w:pPr>
            <w:r w:rsidRPr="006E1DE3">
              <w:rPr>
                <w:rFonts w:asciiTheme="minorHAnsi" w:hAnsiTheme="minorHAnsi" w:cstheme="minorHAnsi"/>
              </w:rPr>
              <w:t xml:space="preserve">The Government of Madagascar with the support of the World Bank set up in 2014 a PPCG for SMEs. Eight financial institutions participated in this scheme (six banks and two MFIs). At the end of 2017, loans guaranteed since the launch </w:t>
            </w:r>
            <w:r w:rsidR="002425E2">
              <w:rPr>
                <w:rFonts w:asciiTheme="minorHAnsi" w:hAnsiTheme="minorHAnsi" w:cstheme="minorHAnsi"/>
              </w:rPr>
              <w:t>represented in total</w:t>
            </w:r>
            <w:r w:rsidRPr="006E1DE3">
              <w:rPr>
                <w:rFonts w:asciiTheme="minorHAnsi" w:hAnsiTheme="minorHAnsi" w:cstheme="minorHAnsi"/>
              </w:rPr>
              <w:t xml:space="preserve"> </w:t>
            </w:r>
            <w:r w:rsidR="00141BD7">
              <w:rPr>
                <w:rFonts w:asciiTheme="minorHAnsi" w:hAnsiTheme="minorHAnsi" w:cstheme="minorHAnsi"/>
              </w:rPr>
              <w:t>U.S.</w:t>
            </w:r>
            <w:r w:rsidRPr="006E1DE3">
              <w:rPr>
                <w:rFonts w:asciiTheme="minorHAnsi" w:hAnsiTheme="minorHAnsi" w:cstheme="minorHAnsi"/>
              </w:rPr>
              <w:t>$46</w:t>
            </w:r>
            <w:r w:rsidR="00C702B4">
              <w:rPr>
                <w:rFonts w:asciiTheme="minorHAnsi" w:hAnsiTheme="minorHAnsi" w:cstheme="minorHAnsi"/>
              </w:rPr>
              <w:t> </w:t>
            </w:r>
            <w:r w:rsidRPr="006E1DE3">
              <w:rPr>
                <w:rFonts w:asciiTheme="minorHAnsi" w:hAnsiTheme="minorHAnsi" w:cstheme="minorHAnsi"/>
              </w:rPr>
              <w:t xml:space="preserve">million. The outstanding </w:t>
            </w:r>
            <w:r w:rsidR="00A53E0A" w:rsidRPr="006E1DE3">
              <w:rPr>
                <w:rFonts w:asciiTheme="minorHAnsi" w:hAnsiTheme="minorHAnsi" w:cstheme="minorHAnsi"/>
              </w:rPr>
              <w:t>credits to SMEs in the guarantee in March 2018 were</w:t>
            </w:r>
            <w:r w:rsidRPr="006E1DE3">
              <w:rPr>
                <w:rFonts w:asciiTheme="minorHAnsi" w:hAnsiTheme="minorHAnsi" w:cstheme="minorHAnsi"/>
              </w:rPr>
              <w:t xml:space="preserve"> </w:t>
            </w:r>
            <w:r w:rsidR="00141BD7">
              <w:rPr>
                <w:rFonts w:asciiTheme="minorHAnsi" w:hAnsiTheme="minorHAnsi" w:cstheme="minorHAnsi"/>
              </w:rPr>
              <w:t>U.S.</w:t>
            </w:r>
            <w:r w:rsidRPr="006E1DE3">
              <w:rPr>
                <w:rFonts w:asciiTheme="minorHAnsi" w:hAnsiTheme="minorHAnsi" w:cstheme="minorHAnsi"/>
              </w:rPr>
              <w:t>$26.5</w:t>
            </w:r>
            <w:r w:rsidR="00C702B4">
              <w:rPr>
                <w:rFonts w:asciiTheme="minorHAnsi" w:hAnsiTheme="minorHAnsi" w:cstheme="minorHAnsi"/>
              </w:rPr>
              <w:t> </w:t>
            </w:r>
            <w:r w:rsidRPr="006E1DE3">
              <w:rPr>
                <w:rFonts w:asciiTheme="minorHAnsi" w:hAnsiTheme="minorHAnsi" w:cstheme="minorHAnsi"/>
              </w:rPr>
              <w:t xml:space="preserve">million for 2,065 credits. In early 2018, a new window under the PPCG dedicated to agricultural credits to farmers and </w:t>
            </w:r>
            <w:proofErr w:type="spellStart"/>
            <w:r w:rsidRPr="006E1DE3">
              <w:rPr>
                <w:rFonts w:asciiTheme="minorHAnsi" w:hAnsiTheme="minorHAnsi" w:cstheme="minorHAnsi"/>
              </w:rPr>
              <w:t>agri</w:t>
            </w:r>
            <w:proofErr w:type="spellEnd"/>
            <w:r w:rsidRPr="006E1DE3">
              <w:rPr>
                <w:rFonts w:asciiTheme="minorHAnsi" w:hAnsiTheme="minorHAnsi" w:cstheme="minorHAnsi"/>
              </w:rPr>
              <w:t xml:space="preserve">-SMEs was started. The outstanding agricultural credits in the guarantee in March 2018 (2 months of activity) amounted to </w:t>
            </w:r>
            <w:r w:rsidR="00141BD7">
              <w:rPr>
                <w:rFonts w:asciiTheme="minorHAnsi" w:hAnsiTheme="minorHAnsi" w:cstheme="minorHAnsi"/>
              </w:rPr>
              <w:t>U.S.</w:t>
            </w:r>
            <w:r w:rsidRPr="006E1DE3">
              <w:rPr>
                <w:rFonts w:asciiTheme="minorHAnsi" w:hAnsiTheme="minorHAnsi" w:cstheme="minorHAnsi"/>
              </w:rPr>
              <w:t>$1.4</w:t>
            </w:r>
            <w:r w:rsidR="00C702B4">
              <w:rPr>
                <w:rFonts w:asciiTheme="minorHAnsi" w:hAnsiTheme="minorHAnsi" w:cstheme="minorHAnsi"/>
              </w:rPr>
              <w:t> </w:t>
            </w:r>
            <w:r w:rsidRPr="006E1DE3">
              <w:rPr>
                <w:rFonts w:asciiTheme="minorHAnsi" w:hAnsiTheme="minorHAnsi" w:cstheme="minorHAnsi"/>
              </w:rPr>
              <w:t xml:space="preserve">million for 370 credits. </w:t>
            </w:r>
            <w:r w:rsidRPr="006E1DE3">
              <w:rPr>
                <w:rFonts w:asciiTheme="minorHAnsi" w:hAnsiTheme="minorHAnsi" w:cstheme="minorHAnsi"/>
                <w:color w:val="222222"/>
              </w:rPr>
              <w:t>In Madagascar, there are two guarantee schemes (a national guarantee fund and a private). The PPCG is managed by a private guarantee structure.</w:t>
            </w:r>
          </w:p>
        </w:tc>
      </w:tr>
    </w:tbl>
    <w:p w14:paraId="6CCD99A2" w14:textId="77777777" w:rsidR="00005D46" w:rsidRPr="006E1DE3" w:rsidRDefault="000C6AA0" w:rsidP="00BB166B">
      <w:pPr>
        <w:pStyle w:val="ListParagraph"/>
        <w:numPr>
          <w:ilvl w:val="2"/>
          <w:numId w:val="7"/>
        </w:numPr>
        <w:spacing w:before="120" w:after="120" w:line="240" w:lineRule="auto"/>
        <w:ind w:left="1555" w:hanging="475"/>
        <w:contextualSpacing w:val="0"/>
        <w:jc w:val="both"/>
        <w:rPr>
          <w:rFonts w:cstheme="minorHAnsi"/>
          <w:b/>
          <w:sz w:val="16"/>
          <w:szCs w:val="16"/>
          <w:lang w:val="en-US"/>
        </w:rPr>
      </w:pPr>
      <w:r>
        <w:rPr>
          <w:rFonts w:cstheme="minorHAnsi"/>
          <w:b/>
          <w:lang w:val="en-US"/>
        </w:rPr>
        <w:t>P</w:t>
      </w:r>
      <w:r w:rsidRPr="006E1DE3">
        <w:rPr>
          <w:rFonts w:cstheme="minorHAnsi"/>
          <w:b/>
          <w:lang w:val="en-US"/>
        </w:rPr>
        <w:t xml:space="preserve">romote the adoption of agriculture insurance </w:t>
      </w:r>
      <w:r>
        <w:rPr>
          <w:rFonts w:cstheme="minorHAnsi"/>
          <w:b/>
          <w:lang w:val="en-US"/>
        </w:rPr>
        <w:t>as the country h</w:t>
      </w:r>
      <w:r w:rsidR="00005D46" w:rsidRPr="006E1DE3">
        <w:rPr>
          <w:rFonts w:cstheme="minorHAnsi"/>
          <w:b/>
          <w:lang w:val="en-US"/>
        </w:rPr>
        <w:t>as</w:t>
      </w:r>
      <w:r>
        <w:rPr>
          <w:rFonts w:cstheme="minorHAnsi"/>
          <w:b/>
          <w:lang w:val="en-US"/>
        </w:rPr>
        <w:t xml:space="preserve"> already a dedicated insurance company offering agriculture insurance products </w:t>
      </w:r>
      <w:r w:rsidR="00005D46" w:rsidRPr="006E1DE3">
        <w:rPr>
          <w:rFonts w:cstheme="minorHAnsi"/>
          <w:lang w:val="en-US"/>
        </w:rPr>
        <w:t>with the following actions:</w:t>
      </w:r>
    </w:p>
    <w:p w14:paraId="268BD636" w14:textId="77777777" w:rsidR="00005D46" w:rsidRPr="006E1DE3" w:rsidRDefault="00005D46" w:rsidP="00BB166B">
      <w:pPr>
        <w:pStyle w:val="ListParagraph"/>
        <w:numPr>
          <w:ilvl w:val="3"/>
          <w:numId w:val="17"/>
        </w:numPr>
        <w:spacing w:before="120" w:after="120" w:line="240" w:lineRule="auto"/>
        <w:ind w:left="1800"/>
        <w:contextualSpacing w:val="0"/>
        <w:jc w:val="both"/>
        <w:rPr>
          <w:rFonts w:cstheme="minorHAnsi"/>
          <w:sz w:val="16"/>
          <w:szCs w:val="16"/>
          <w:lang w:val="en-US"/>
        </w:rPr>
      </w:pPr>
      <w:r w:rsidRPr="006E1DE3">
        <w:rPr>
          <w:rFonts w:cstheme="minorHAnsi"/>
          <w:lang w:val="en-US"/>
        </w:rPr>
        <w:t>Strengthen the capacity of AMAB to diversify its supply of insurance pro</w:t>
      </w:r>
      <w:r w:rsidR="0026735F">
        <w:rPr>
          <w:rFonts w:cstheme="minorHAnsi"/>
          <w:lang w:val="en-US"/>
        </w:rPr>
        <w:t>ducts</w:t>
      </w:r>
      <w:r w:rsidRPr="006E1DE3">
        <w:rPr>
          <w:rFonts w:cstheme="minorHAnsi"/>
          <w:lang w:val="en-US"/>
        </w:rPr>
        <w:t xml:space="preserve"> and conduct a feasibility study on developing index insurance products on strategic crops</w:t>
      </w:r>
      <w:r w:rsidR="000C6AA0">
        <w:rPr>
          <w:rFonts w:cstheme="minorHAnsi"/>
          <w:lang w:val="en-US"/>
        </w:rPr>
        <w:t xml:space="preserve"> and livestock</w:t>
      </w:r>
      <w:r w:rsidRPr="006E1DE3">
        <w:rPr>
          <w:rFonts w:cstheme="minorHAnsi"/>
          <w:lang w:val="en-US"/>
        </w:rPr>
        <w:t xml:space="preserve"> other than cotton.</w:t>
      </w:r>
    </w:p>
    <w:p w14:paraId="5DA5A0EB" w14:textId="77777777" w:rsidR="00005D46" w:rsidRPr="006E1DE3" w:rsidRDefault="00005D46" w:rsidP="00BB166B">
      <w:pPr>
        <w:pStyle w:val="ListParagraph"/>
        <w:numPr>
          <w:ilvl w:val="3"/>
          <w:numId w:val="17"/>
        </w:numPr>
        <w:spacing w:before="120" w:after="120" w:line="240" w:lineRule="auto"/>
        <w:ind w:left="1800"/>
        <w:contextualSpacing w:val="0"/>
        <w:jc w:val="both"/>
        <w:rPr>
          <w:rFonts w:cstheme="minorHAnsi"/>
          <w:sz w:val="16"/>
          <w:szCs w:val="16"/>
          <w:lang w:val="en-US"/>
        </w:rPr>
      </w:pPr>
      <w:r w:rsidRPr="006E1DE3">
        <w:rPr>
          <w:rFonts w:cstheme="minorHAnsi"/>
          <w:lang w:val="en-US"/>
        </w:rPr>
        <w:t>Strengthen the capacities of the regulator of the insurance sector, Insurance Directorate, on agricultural insurance including innovations such as index insurance.</w:t>
      </w:r>
    </w:p>
    <w:p w14:paraId="361B4644" w14:textId="45821ED7" w:rsidR="00005D46" w:rsidRPr="006E1DE3" w:rsidRDefault="00005D46" w:rsidP="00BB166B">
      <w:pPr>
        <w:pStyle w:val="ListParagraph"/>
        <w:numPr>
          <w:ilvl w:val="3"/>
          <w:numId w:val="17"/>
        </w:numPr>
        <w:spacing w:before="120" w:after="120" w:line="240" w:lineRule="auto"/>
        <w:ind w:left="1800"/>
        <w:contextualSpacing w:val="0"/>
        <w:jc w:val="both"/>
        <w:rPr>
          <w:rFonts w:cstheme="minorHAnsi"/>
          <w:sz w:val="16"/>
          <w:szCs w:val="16"/>
          <w:lang w:val="en-US"/>
        </w:rPr>
      </w:pPr>
      <w:r w:rsidRPr="006E1DE3">
        <w:rPr>
          <w:rFonts w:cstheme="minorHAnsi"/>
          <w:lang w:val="en-US"/>
        </w:rPr>
        <w:t xml:space="preserve">Link insurance products to credits granted by financial institutions to producers </w:t>
      </w:r>
      <w:r w:rsidR="000C6AA0">
        <w:rPr>
          <w:rFonts w:cstheme="minorHAnsi"/>
          <w:lang w:val="en-US"/>
        </w:rPr>
        <w:t xml:space="preserve">using </w:t>
      </w:r>
      <w:r w:rsidRPr="006E1DE3">
        <w:rPr>
          <w:rFonts w:cstheme="minorHAnsi"/>
          <w:lang w:val="en-US"/>
        </w:rPr>
        <w:t>government</w:t>
      </w:r>
      <w:r w:rsidR="00141BD7">
        <w:rPr>
          <w:rFonts w:cstheme="minorHAnsi"/>
          <w:lang w:val="en-US"/>
        </w:rPr>
        <w:t>’</w:t>
      </w:r>
      <w:r w:rsidRPr="006E1DE3">
        <w:rPr>
          <w:rFonts w:cstheme="minorHAnsi"/>
          <w:lang w:val="en-US"/>
        </w:rPr>
        <w:t>s f</w:t>
      </w:r>
      <w:r w:rsidR="000C6AA0">
        <w:rPr>
          <w:rFonts w:cstheme="minorHAnsi"/>
          <w:lang w:val="en-US"/>
        </w:rPr>
        <w:t>acilitation to credit</w:t>
      </w:r>
      <w:r w:rsidRPr="006E1DE3">
        <w:rPr>
          <w:rFonts w:cstheme="minorHAnsi"/>
          <w:lang w:val="en-US"/>
        </w:rPr>
        <w:t xml:space="preserve"> instruments such as </w:t>
      </w:r>
      <w:r w:rsidRPr="00744657">
        <w:rPr>
          <w:rFonts w:cstheme="minorHAnsi"/>
          <w:lang w:val="en-US"/>
        </w:rPr>
        <w:t>FAARF</w:t>
      </w:r>
      <w:r w:rsidR="000C6AA0">
        <w:rPr>
          <w:rFonts w:cstheme="minorHAnsi"/>
          <w:lang w:val="en-US"/>
        </w:rPr>
        <w:t>, FNDA</w:t>
      </w:r>
      <w:r w:rsidRPr="006E1DE3">
        <w:rPr>
          <w:rFonts w:cstheme="minorHAnsi"/>
          <w:lang w:val="en-US"/>
        </w:rPr>
        <w:t xml:space="preserve">. </w:t>
      </w:r>
    </w:p>
    <w:p w14:paraId="4F6371F3" w14:textId="77777777" w:rsidR="00005D46" w:rsidRPr="006E1DE3" w:rsidRDefault="00005D46" w:rsidP="00BB166B">
      <w:pPr>
        <w:pStyle w:val="ListParagraph"/>
        <w:numPr>
          <w:ilvl w:val="3"/>
          <w:numId w:val="17"/>
        </w:numPr>
        <w:spacing w:before="120" w:after="120" w:line="240" w:lineRule="auto"/>
        <w:ind w:left="1800"/>
        <w:contextualSpacing w:val="0"/>
        <w:jc w:val="both"/>
        <w:rPr>
          <w:rFonts w:cstheme="minorHAnsi"/>
          <w:sz w:val="16"/>
          <w:szCs w:val="16"/>
          <w:lang w:val="en-US"/>
        </w:rPr>
      </w:pPr>
      <w:r w:rsidRPr="006E1DE3">
        <w:rPr>
          <w:rFonts w:cstheme="minorHAnsi"/>
          <w:lang w:val="en-US"/>
        </w:rPr>
        <w:t>Support the adoption of insurance by producers through incentives measures to make it affordable</w:t>
      </w:r>
      <w:r w:rsidR="000C6AA0">
        <w:rPr>
          <w:rFonts w:cstheme="minorHAnsi"/>
          <w:lang w:val="en-US"/>
        </w:rPr>
        <w:t xml:space="preserve"> such as VAT exemption and premium subsidies</w:t>
      </w:r>
      <w:r w:rsidRPr="006E1DE3">
        <w:rPr>
          <w:rFonts w:cstheme="minorHAnsi"/>
          <w:lang w:val="en-US"/>
        </w:rPr>
        <w:t>. Countries in the WAEMU zone have implemented measures such as subsidies and VAT exemptions on agricultural insurance premiums. In Senegal, the government subsidizes agricultural insurance premiums at 50 percent and exempts it from VAT. In Cote d’Ivoire, the government opts for VAT exemption on agricultural insurance premiums.</w:t>
      </w:r>
    </w:p>
    <w:p w14:paraId="3517498D" w14:textId="2BE5F70C" w:rsidR="006360AB" w:rsidRDefault="006360AB" w:rsidP="00BB166B">
      <w:pPr>
        <w:pStyle w:val="ListParagraph"/>
        <w:numPr>
          <w:ilvl w:val="2"/>
          <w:numId w:val="7"/>
        </w:numPr>
        <w:spacing w:before="120" w:after="120" w:line="240" w:lineRule="auto"/>
        <w:ind w:left="1555" w:hanging="475"/>
        <w:contextualSpacing w:val="0"/>
        <w:jc w:val="both"/>
        <w:rPr>
          <w:rFonts w:cstheme="minorHAnsi"/>
          <w:lang w:val="en-US"/>
        </w:rPr>
      </w:pPr>
      <w:r w:rsidRPr="006E1DE3">
        <w:rPr>
          <w:rFonts w:cstheme="minorHAnsi"/>
          <w:b/>
          <w:lang w:val="en-US"/>
        </w:rPr>
        <w:t>Conduct a readiness assessment for the W</w:t>
      </w:r>
      <w:r>
        <w:rPr>
          <w:rFonts w:cstheme="minorHAnsi"/>
          <w:b/>
          <w:lang w:val="en-US"/>
        </w:rPr>
        <w:t xml:space="preserve">arehouse </w:t>
      </w:r>
      <w:r w:rsidRPr="006E1DE3">
        <w:rPr>
          <w:rFonts w:cstheme="minorHAnsi"/>
          <w:b/>
          <w:lang w:val="en-US"/>
        </w:rPr>
        <w:t>R</w:t>
      </w:r>
      <w:r>
        <w:rPr>
          <w:rFonts w:cstheme="minorHAnsi"/>
          <w:b/>
          <w:lang w:val="en-US"/>
        </w:rPr>
        <w:t>eceipt Finance</w:t>
      </w:r>
      <w:r w:rsidRPr="006E1DE3">
        <w:rPr>
          <w:rFonts w:cstheme="minorHAnsi"/>
          <w:lang w:val="en-US"/>
        </w:rPr>
        <w:t xml:space="preserve">. Benin has a variety of ecosystems and microclimates that allow for a diversity of productions. However, commodity-backed financing is nascent with </w:t>
      </w:r>
      <w:proofErr w:type="spellStart"/>
      <w:r w:rsidRPr="006E1DE3">
        <w:rPr>
          <w:rFonts w:cstheme="minorHAnsi"/>
          <w:lang w:val="en-US"/>
        </w:rPr>
        <w:t>warrantage</w:t>
      </w:r>
      <w:proofErr w:type="spellEnd"/>
      <w:r w:rsidRPr="006E1DE3">
        <w:rPr>
          <w:rFonts w:cstheme="minorHAnsi"/>
          <w:lang w:val="en-US"/>
        </w:rPr>
        <w:t xml:space="preserve"> offered by few MFIs</w:t>
      </w:r>
      <w:r>
        <w:rPr>
          <w:rFonts w:cstheme="minorHAnsi"/>
          <w:lang w:val="en-US"/>
        </w:rPr>
        <w:t xml:space="preserve">. </w:t>
      </w:r>
      <w:r w:rsidRPr="006360AB">
        <w:rPr>
          <w:rFonts w:cstheme="minorHAnsi"/>
          <w:lang w:val="en-US"/>
        </w:rPr>
        <w:t>The readiness assessments will assess the commodities likely to be used; the potential users of the system, warehousing industry, financial institutions, institutional capabilities, and the financial viability of a WRS</w:t>
      </w:r>
      <w:r>
        <w:rPr>
          <w:rFonts w:cstheme="minorHAnsi"/>
          <w:lang w:val="en-US"/>
        </w:rPr>
        <w:t>.</w:t>
      </w:r>
    </w:p>
    <w:p w14:paraId="596D6AA2" w14:textId="77777777" w:rsidR="00005D46" w:rsidRPr="00795897" w:rsidRDefault="00005D46" w:rsidP="00BB166B">
      <w:pPr>
        <w:pStyle w:val="ListParagraph"/>
        <w:numPr>
          <w:ilvl w:val="0"/>
          <w:numId w:val="38"/>
        </w:numPr>
        <w:autoSpaceDE w:val="0"/>
        <w:autoSpaceDN w:val="0"/>
        <w:adjustRightInd w:val="0"/>
        <w:spacing w:before="120" w:after="120" w:line="240" w:lineRule="auto"/>
        <w:ind w:left="1080"/>
        <w:contextualSpacing w:val="0"/>
        <w:jc w:val="both"/>
        <w:rPr>
          <w:rFonts w:cstheme="minorHAnsi"/>
          <w:lang w:val="en-US"/>
        </w:rPr>
      </w:pPr>
      <w:r w:rsidRPr="00795897">
        <w:rPr>
          <w:rFonts w:cstheme="minorHAnsi"/>
          <w:b/>
          <w:color w:val="222222"/>
          <w:lang w:val="en-US"/>
        </w:rPr>
        <w:t xml:space="preserve">Strengthen the offer of agriculture finance by MFIs and banks and set up the conditions for its sustainable </w:t>
      </w:r>
      <w:r w:rsidRPr="00795897">
        <w:rPr>
          <w:rFonts w:cstheme="minorHAnsi"/>
          <w:b/>
          <w:lang w:val="en-US"/>
        </w:rPr>
        <w:t>expansion</w:t>
      </w:r>
      <w:r w:rsidRPr="00795897">
        <w:rPr>
          <w:rFonts w:cstheme="minorHAnsi"/>
          <w:color w:val="222222"/>
          <w:lang w:val="en-US"/>
        </w:rPr>
        <w:t>:</w:t>
      </w:r>
    </w:p>
    <w:p w14:paraId="55A09C78" w14:textId="30435224" w:rsidR="006360AB" w:rsidRPr="006E1DE3" w:rsidRDefault="006360AB" w:rsidP="00BB166B">
      <w:pPr>
        <w:pStyle w:val="ListParagraph"/>
        <w:numPr>
          <w:ilvl w:val="2"/>
          <w:numId w:val="7"/>
        </w:numPr>
        <w:spacing w:before="120" w:after="120" w:line="240" w:lineRule="auto"/>
        <w:ind w:left="1555" w:hanging="475"/>
        <w:contextualSpacing w:val="0"/>
        <w:jc w:val="both"/>
        <w:rPr>
          <w:rFonts w:cstheme="minorHAnsi"/>
          <w:lang w:val="en-US"/>
        </w:rPr>
      </w:pPr>
      <w:r w:rsidRPr="00D15051">
        <w:rPr>
          <w:rFonts w:cstheme="minorHAnsi"/>
          <w:b/>
          <w:lang w:val="en-US"/>
        </w:rPr>
        <w:t>Strengthen</w:t>
      </w:r>
      <w:r w:rsidRPr="006E1DE3">
        <w:rPr>
          <w:rFonts w:cstheme="minorHAnsi"/>
          <w:b/>
          <w:color w:val="222222"/>
          <w:lang w:val="en-US"/>
        </w:rPr>
        <w:t xml:space="preserve"> the capacity of financial institutions (MFIs and banks) in all actions and procedures to supply agricultural credit.</w:t>
      </w:r>
      <w:r w:rsidRPr="006E1DE3">
        <w:rPr>
          <w:rFonts w:cstheme="minorHAnsi"/>
          <w:color w:val="222222"/>
          <w:lang w:val="en-US"/>
        </w:rPr>
        <w:t xml:space="preserve"> It would be key to strengthening the skills of the financial institutions’ staff on agricultural lending techniques to improve and sustain the products offered</w:t>
      </w:r>
      <w:r w:rsidR="0026735F">
        <w:rPr>
          <w:rFonts w:cstheme="minorHAnsi"/>
          <w:color w:val="222222"/>
          <w:lang w:val="en-US"/>
        </w:rPr>
        <w:t xml:space="preserve"> by leveraging digital solution emerging in the market</w:t>
      </w:r>
      <w:r w:rsidRPr="006E1DE3">
        <w:rPr>
          <w:rFonts w:cstheme="minorHAnsi"/>
          <w:color w:val="222222"/>
          <w:lang w:val="en-US"/>
        </w:rPr>
        <w:t>. Some synergies can be put in place for this action with agricultural projects supported by development partners.</w:t>
      </w:r>
    </w:p>
    <w:p w14:paraId="0D9F9CB6" w14:textId="7709152A" w:rsidR="00005D46" w:rsidRPr="006E1DE3" w:rsidRDefault="00005D46" w:rsidP="00BB166B">
      <w:pPr>
        <w:pStyle w:val="ListParagraph"/>
        <w:numPr>
          <w:ilvl w:val="2"/>
          <w:numId w:val="7"/>
        </w:numPr>
        <w:spacing w:before="120" w:after="120" w:line="240" w:lineRule="auto"/>
        <w:ind w:left="1555" w:hanging="475"/>
        <w:contextualSpacing w:val="0"/>
        <w:jc w:val="both"/>
        <w:rPr>
          <w:rFonts w:cstheme="minorHAnsi"/>
          <w:lang w:val="en-US"/>
        </w:rPr>
      </w:pPr>
      <w:r w:rsidRPr="00795897">
        <w:rPr>
          <w:rFonts w:cstheme="minorHAnsi"/>
          <w:b/>
          <w:lang w:val="en-US"/>
        </w:rPr>
        <w:t>Despite</w:t>
      </w:r>
      <w:r w:rsidRPr="00795897">
        <w:rPr>
          <w:rFonts w:cstheme="minorHAnsi"/>
          <w:b/>
          <w:color w:val="222222"/>
          <w:lang w:val="en-US"/>
        </w:rPr>
        <w:t xml:space="preserve"> the significant challenges faced by MFIs in Benin, they provide an average of CFAF</w:t>
      </w:r>
      <w:r w:rsidR="00C702B4">
        <w:rPr>
          <w:rFonts w:cstheme="minorHAnsi"/>
          <w:b/>
          <w:color w:val="222222"/>
          <w:lang w:val="en-US"/>
        </w:rPr>
        <w:t> </w:t>
      </w:r>
      <w:r w:rsidRPr="00795897">
        <w:rPr>
          <w:rFonts w:cstheme="minorHAnsi"/>
          <w:b/>
          <w:color w:val="222222"/>
          <w:lang w:val="en-US"/>
        </w:rPr>
        <w:t>16</w:t>
      </w:r>
      <w:r w:rsidR="00C702B4">
        <w:rPr>
          <w:rFonts w:cstheme="minorHAnsi"/>
          <w:b/>
          <w:color w:val="222222"/>
          <w:lang w:val="en-US"/>
        </w:rPr>
        <w:t> </w:t>
      </w:r>
      <w:r w:rsidRPr="00795897">
        <w:rPr>
          <w:rFonts w:cstheme="minorHAnsi"/>
          <w:b/>
          <w:color w:val="222222"/>
          <w:lang w:val="en-US"/>
        </w:rPr>
        <w:t>billion financing to the agricultural sector (see Chapter</w:t>
      </w:r>
      <w:r w:rsidR="00C702B4">
        <w:rPr>
          <w:rFonts w:cstheme="minorHAnsi"/>
          <w:b/>
          <w:color w:val="222222"/>
          <w:lang w:val="en-US"/>
        </w:rPr>
        <w:t> </w:t>
      </w:r>
      <w:r w:rsidRPr="00795897">
        <w:rPr>
          <w:rFonts w:cstheme="minorHAnsi"/>
          <w:b/>
          <w:color w:val="222222"/>
          <w:lang w:val="en-US"/>
        </w:rPr>
        <w:t>2). Improving the microfinance sector is a prerequisite for the development of agricultural finance</w:t>
      </w:r>
      <w:r w:rsidRPr="00795897">
        <w:rPr>
          <w:rFonts w:cstheme="minorHAnsi"/>
          <w:color w:val="222222"/>
          <w:lang w:val="en-US"/>
        </w:rPr>
        <w:t>, as the poor performance of</w:t>
      </w:r>
      <w:r w:rsidRPr="006E1DE3">
        <w:rPr>
          <w:rFonts w:cstheme="minorHAnsi"/>
          <w:color w:val="222222"/>
          <w:lang w:val="en-US"/>
        </w:rPr>
        <w:t xml:space="preserve"> many MFIs limits their ability to provide sustainable financial services in general and </w:t>
      </w:r>
      <w:proofErr w:type="gramStart"/>
      <w:r w:rsidRPr="006E1DE3">
        <w:rPr>
          <w:rFonts w:cstheme="minorHAnsi"/>
          <w:color w:val="222222"/>
          <w:lang w:val="en-US"/>
        </w:rPr>
        <w:t>agriculture in particular</w:t>
      </w:r>
      <w:proofErr w:type="gramEnd"/>
      <w:r w:rsidRPr="006E1DE3">
        <w:rPr>
          <w:rFonts w:cstheme="minorHAnsi"/>
          <w:color w:val="222222"/>
          <w:lang w:val="en-US"/>
        </w:rPr>
        <w:t>.</w:t>
      </w:r>
    </w:p>
    <w:p w14:paraId="3F4BA1EC" w14:textId="21951742" w:rsidR="00005D46" w:rsidRPr="00795897" w:rsidRDefault="00005D46" w:rsidP="00BB166B">
      <w:pPr>
        <w:pStyle w:val="ListParagraph"/>
        <w:numPr>
          <w:ilvl w:val="0"/>
          <w:numId w:val="38"/>
        </w:numPr>
        <w:autoSpaceDE w:val="0"/>
        <w:autoSpaceDN w:val="0"/>
        <w:adjustRightInd w:val="0"/>
        <w:spacing w:before="120" w:after="120" w:line="240" w:lineRule="auto"/>
        <w:ind w:left="1080"/>
        <w:contextualSpacing w:val="0"/>
        <w:jc w:val="both"/>
        <w:rPr>
          <w:rFonts w:cstheme="minorHAnsi"/>
          <w:lang w:val="en-US"/>
        </w:rPr>
      </w:pPr>
      <w:r w:rsidRPr="00795897">
        <w:rPr>
          <w:rFonts w:cstheme="minorHAnsi"/>
          <w:b/>
          <w:color w:val="222222"/>
          <w:lang w:val="en-US"/>
        </w:rPr>
        <w:t>Strengthen the demand (</w:t>
      </w:r>
      <w:r w:rsidRPr="00795897">
        <w:rPr>
          <w:rFonts w:cstheme="minorHAnsi"/>
          <w:b/>
          <w:lang w:val="en-US"/>
        </w:rPr>
        <w:t>producers</w:t>
      </w:r>
      <w:r w:rsidRPr="00795897">
        <w:rPr>
          <w:rFonts w:cstheme="minorHAnsi"/>
          <w:b/>
          <w:color w:val="222222"/>
          <w:lang w:val="en-US"/>
        </w:rPr>
        <w:t>/</w:t>
      </w:r>
      <w:proofErr w:type="spellStart"/>
      <w:r w:rsidRPr="00795897">
        <w:rPr>
          <w:rFonts w:cstheme="minorHAnsi"/>
          <w:b/>
          <w:color w:val="222222"/>
          <w:lang w:val="en-US"/>
        </w:rPr>
        <w:t>agri</w:t>
      </w:r>
      <w:proofErr w:type="spellEnd"/>
      <w:r w:rsidRPr="00795897">
        <w:rPr>
          <w:rFonts w:cstheme="minorHAnsi"/>
          <w:b/>
          <w:color w:val="222222"/>
          <w:lang w:val="en-US"/>
        </w:rPr>
        <w:t>-MSMEs) for agriculture finance</w:t>
      </w:r>
      <w:r w:rsidRPr="00795897">
        <w:rPr>
          <w:rFonts w:cstheme="minorHAnsi"/>
          <w:color w:val="222222"/>
          <w:lang w:val="en-US"/>
        </w:rPr>
        <w:t>. Thus</w:t>
      </w:r>
      <w:r w:rsidR="006360AB">
        <w:rPr>
          <w:rFonts w:cstheme="minorHAnsi"/>
          <w:color w:val="222222"/>
          <w:lang w:val="en-US"/>
        </w:rPr>
        <w:t>,</w:t>
      </w:r>
      <w:r w:rsidRPr="00795897">
        <w:rPr>
          <w:rFonts w:cstheme="minorHAnsi"/>
          <w:color w:val="222222"/>
          <w:lang w:val="en-US"/>
        </w:rPr>
        <w:t xml:space="preserve"> </w:t>
      </w:r>
      <w:r w:rsidR="007221A5">
        <w:rPr>
          <w:rFonts w:cstheme="minorHAnsi"/>
          <w:color w:val="222222"/>
          <w:lang w:val="en-US"/>
        </w:rPr>
        <w:t>it is suggested to</w:t>
      </w:r>
      <w:r w:rsidRPr="00795897">
        <w:rPr>
          <w:rFonts w:cstheme="minorHAnsi"/>
          <w:color w:val="222222"/>
          <w:lang w:val="en-US"/>
        </w:rPr>
        <w:t xml:space="preserve">: </w:t>
      </w:r>
    </w:p>
    <w:p w14:paraId="538FB03A" w14:textId="77777777" w:rsidR="00005D46" w:rsidRPr="006E1DE3" w:rsidRDefault="00005D46" w:rsidP="00BB166B">
      <w:pPr>
        <w:pStyle w:val="ListParagraph"/>
        <w:numPr>
          <w:ilvl w:val="2"/>
          <w:numId w:val="7"/>
        </w:numPr>
        <w:spacing w:before="120" w:after="120" w:line="240" w:lineRule="auto"/>
        <w:ind w:left="1555" w:hanging="475"/>
        <w:contextualSpacing w:val="0"/>
        <w:jc w:val="both"/>
        <w:rPr>
          <w:rFonts w:cstheme="minorHAnsi"/>
          <w:lang w:val="en-US"/>
        </w:rPr>
      </w:pPr>
      <w:r w:rsidRPr="00795897">
        <w:rPr>
          <w:rFonts w:cstheme="minorHAnsi"/>
          <w:b/>
          <w:lang w:val="en-US"/>
        </w:rPr>
        <w:t>Improve</w:t>
      </w:r>
      <w:r w:rsidRPr="00795897">
        <w:rPr>
          <w:rFonts w:cstheme="minorHAnsi"/>
          <w:b/>
          <w:color w:val="222222"/>
          <w:lang w:val="en-US"/>
        </w:rPr>
        <w:t xml:space="preserve"> the professionalization</w:t>
      </w:r>
      <w:r w:rsidRPr="006E1DE3">
        <w:rPr>
          <w:rFonts w:cstheme="minorHAnsi"/>
          <w:b/>
          <w:color w:val="222222"/>
          <w:lang w:val="en-US"/>
        </w:rPr>
        <w:t xml:space="preserve"> of agricultural cooperatives and facilitate access (cooperative and their members) to formal financial services</w:t>
      </w:r>
      <w:r w:rsidRPr="006E1DE3">
        <w:rPr>
          <w:rFonts w:cstheme="minorHAnsi"/>
          <w:color w:val="222222"/>
          <w:lang w:val="en-US"/>
        </w:rPr>
        <w:t xml:space="preserve"> through:</w:t>
      </w:r>
    </w:p>
    <w:p w14:paraId="4A688493" w14:textId="677EEA06" w:rsidR="00005D46" w:rsidRPr="006E1DE3" w:rsidRDefault="00005D46" w:rsidP="00BB166B">
      <w:pPr>
        <w:pStyle w:val="ListParagraph"/>
        <w:numPr>
          <w:ilvl w:val="3"/>
          <w:numId w:val="17"/>
        </w:numPr>
        <w:spacing w:before="120" w:after="120" w:line="240" w:lineRule="auto"/>
        <w:ind w:left="1800"/>
        <w:contextualSpacing w:val="0"/>
        <w:jc w:val="both"/>
        <w:rPr>
          <w:rFonts w:cstheme="minorHAnsi"/>
          <w:lang w:val="en-US"/>
        </w:rPr>
      </w:pPr>
      <w:r w:rsidRPr="006E1DE3">
        <w:rPr>
          <w:rFonts w:cstheme="minorHAnsi"/>
          <w:b/>
          <w:color w:val="222222"/>
          <w:lang w:val="en-US"/>
        </w:rPr>
        <w:t xml:space="preserve">A deeper analysis </w:t>
      </w:r>
      <w:r w:rsidR="007221A5">
        <w:rPr>
          <w:rFonts w:cstheme="minorHAnsi"/>
          <w:b/>
          <w:color w:val="222222"/>
          <w:lang w:val="en-US"/>
        </w:rPr>
        <w:t>of</w:t>
      </w:r>
      <w:r w:rsidR="007221A5" w:rsidRPr="006E1DE3">
        <w:rPr>
          <w:rFonts w:cstheme="minorHAnsi"/>
          <w:b/>
          <w:color w:val="222222"/>
          <w:lang w:val="en-US"/>
        </w:rPr>
        <w:t xml:space="preserve"> </w:t>
      </w:r>
      <w:r w:rsidRPr="006E1DE3">
        <w:rPr>
          <w:rFonts w:cstheme="minorHAnsi"/>
          <w:b/>
          <w:color w:val="222222"/>
          <w:lang w:val="en-US"/>
        </w:rPr>
        <w:t xml:space="preserve">the </w:t>
      </w:r>
      <w:r w:rsidR="007221A5">
        <w:rPr>
          <w:rFonts w:cstheme="minorHAnsi"/>
          <w:b/>
          <w:color w:val="222222"/>
          <w:lang w:val="en-US"/>
        </w:rPr>
        <w:t>set up</w:t>
      </w:r>
      <w:r w:rsidR="007221A5" w:rsidRPr="006E1DE3">
        <w:rPr>
          <w:rFonts w:cstheme="minorHAnsi"/>
          <w:b/>
          <w:color w:val="222222"/>
          <w:lang w:val="en-US"/>
        </w:rPr>
        <w:t xml:space="preserve"> </w:t>
      </w:r>
      <w:r w:rsidRPr="006E1DE3">
        <w:rPr>
          <w:rFonts w:cstheme="minorHAnsi"/>
          <w:b/>
          <w:color w:val="222222"/>
          <w:lang w:val="en-US"/>
        </w:rPr>
        <w:t>and institutional health of producer cooperatives</w:t>
      </w:r>
      <w:r w:rsidRPr="006E1DE3">
        <w:rPr>
          <w:rFonts w:cstheme="minorHAnsi"/>
          <w:color w:val="222222"/>
          <w:lang w:val="en-US"/>
        </w:rPr>
        <w:t>.</w:t>
      </w:r>
    </w:p>
    <w:p w14:paraId="26B2DDA3" w14:textId="77777777" w:rsidR="00005D46" w:rsidRPr="006E1DE3" w:rsidRDefault="00005D46" w:rsidP="00BB166B">
      <w:pPr>
        <w:pStyle w:val="ListParagraph"/>
        <w:numPr>
          <w:ilvl w:val="3"/>
          <w:numId w:val="17"/>
        </w:numPr>
        <w:spacing w:before="120" w:after="120" w:line="240" w:lineRule="auto"/>
        <w:ind w:left="1800"/>
        <w:contextualSpacing w:val="0"/>
        <w:jc w:val="both"/>
        <w:rPr>
          <w:rFonts w:cstheme="minorHAnsi"/>
          <w:lang w:val="en-US"/>
        </w:rPr>
      </w:pPr>
      <w:r w:rsidRPr="006E1DE3">
        <w:rPr>
          <w:rFonts w:cstheme="minorHAnsi"/>
          <w:b/>
          <w:color w:val="222222"/>
          <w:lang w:val="en-US"/>
        </w:rPr>
        <w:t>Establishment of a rating system for agricultural cooperatives</w:t>
      </w:r>
      <w:r w:rsidRPr="006E1DE3">
        <w:rPr>
          <w:rFonts w:cstheme="minorHAnsi"/>
          <w:color w:val="222222"/>
          <w:lang w:val="en-US"/>
        </w:rPr>
        <w:t xml:space="preserve">. According to the rating of a cooperative, technical assistance to build capacity </w:t>
      </w:r>
      <w:r w:rsidRPr="00D15051">
        <w:rPr>
          <w:rFonts w:cstheme="minorHAnsi"/>
          <w:lang w:val="en-US"/>
        </w:rPr>
        <w:t>could</w:t>
      </w:r>
      <w:r w:rsidRPr="006E1DE3">
        <w:rPr>
          <w:rFonts w:cstheme="minorHAnsi"/>
          <w:color w:val="222222"/>
          <w:lang w:val="en-US"/>
        </w:rPr>
        <w:t xml:space="preserve"> be provided.</w:t>
      </w:r>
    </w:p>
    <w:p w14:paraId="36ED6EB6" w14:textId="0AE4D74D" w:rsidR="00005D46" w:rsidRPr="006E1DE3" w:rsidRDefault="00005D46" w:rsidP="00BB166B">
      <w:pPr>
        <w:pStyle w:val="ListParagraph"/>
        <w:numPr>
          <w:ilvl w:val="3"/>
          <w:numId w:val="17"/>
        </w:numPr>
        <w:spacing w:before="120" w:after="120" w:line="240" w:lineRule="auto"/>
        <w:ind w:left="1800"/>
        <w:contextualSpacing w:val="0"/>
        <w:jc w:val="both"/>
        <w:rPr>
          <w:rFonts w:cstheme="minorHAnsi"/>
          <w:lang w:val="en-US"/>
        </w:rPr>
      </w:pPr>
      <w:r w:rsidRPr="006E1DE3">
        <w:rPr>
          <w:rFonts w:cstheme="minorHAnsi"/>
          <w:b/>
          <w:color w:val="222222"/>
          <w:lang w:val="en-US"/>
        </w:rPr>
        <w:t>Development of a targeted financial education campaign for agricultural stakeholders</w:t>
      </w:r>
      <w:r w:rsidRPr="006E1DE3">
        <w:rPr>
          <w:rFonts w:cstheme="minorHAnsi"/>
          <w:color w:val="222222"/>
          <w:lang w:val="en-US"/>
        </w:rPr>
        <w:t xml:space="preserve">. Given the literacy </w:t>
      </w:r>
      <w:r w:rsidRPr="00005D46">
        <w:rPr>
          <w:rFonts w:cstheme="minorHAnsi"/>
          <w:color w:val="222222"/>
          <w:lang w:val="en-US"/>
        </w:rPr>
        <w:t>level (see Chapter</w:t>
      </w:r>
      <w:r w:rsidR="00C702B4">
        <w:rPr>
          <w:rFonts w:cstheme="minorHAnsi"/>
          <w:color w:val="222222"/>
          <w:lang w:val="en-US"/>
        </w:rPr>
        <w:t> </w:t>
      </w:r>
      <w:r w:rsidRPr="00005D46">
        <w:rPr>
          <w:rFonts w:cstheme="minorHAnsi"/>
          <w:color w:val="222222"/>
          <w:lang w:val="en-US"/>
        </w:rPr>
        <w:t xml:space="preserve">2), it is recommended that the tools of this campaign be in local language and </w:t>
      </w:r>
      <w:r w:rsidRPr="00D15051">
        <w:rPr>
          <w:rFonts w:cstheme="minorHAnsi"/>
          <w:lang w:val="en-US"/>
        </w:rPr>
        <w:t>developed</w:t>
      </w:r>
      <w:r w:rsidRPr="00005D46">
        <w:rPr>
          <w:rFonts w:cstheme="minorHAnsi"/>
          <w:color w:val="222222"/>
          <w:lang w:val="en-US"/>
        </w:rPr>
        <w:t xml:space="preserve"> in the DIFAE, the professional</w:t>
      </w:r>
      <w:r w:rsidRPr="006E1DE3">
        <w:rPr>
          <w:rFonts w:cstheme="minorHAnsi"/>
          <w:color w:val="222222"/>
          <w:lang w:val="en-US"/>
        </w:rPr>
        <w:t xml:space="preserve"> associations of banks and MFIs.</w:t>
      </w:r>
    </w:p>
    <w:p w14:paraId="4DBD144F" w14:textId="77777777" w:rsidR="00005D46" w:rsidRPr="006E1DE3" w:rsidRDefault="00005D46" w:rsidP="00BB166B">
      <w:pPr>
        <w:pStyle w:val="ListParagraph"/>
        <w:numPr>
          <w:ilvl w:val="3"/>
          <w:numId w:val="17"/>
        </w:numPr>
        <w:spacing w:before="120" w:after="120" w:line="240" w:lineRule="auto"/>
        <w:ind w:left="1800"/>
        <w:contextualSpacing w:val="0"/>
        <w:jc w:val="both"/>
        <w:rPr>
          <w:rFonts w:cstheme="minorHAnsi"/>
          <w:lang w:val="en-US"/>
        </w:rPr>
      </w:pPr>
      <w:r w:rsidRPr="006E1DE3">
        <w:rPr>
          <w:rFonts w:eastAsia="Times New Roman" w:cstheme="minorHAnsi"/>
          <w:b/>
          <w:bCs/>
          <w:lang w:val="en-US" w:eastAsia="fr-CA"/>
        </w:rPr>
        <w:t xml:space="preserve">Targeted technical support to enhance the capacity of emerging farmers and agricultural MSMEs is required to strengthen and increase the effective demand for agricultural finance. </w:t>
      </w:r>
      <w:r w:rsidRPr="006E1DE3">
        <w:rPr>
          <w:rFonts w:eastAsia="Times New Roman" w:cstheme="minorHAnsi"/>
          <w:lang w:val="en-US" w:eastAsia="fr-CA"/>
        </w:rPr>
        <w:t xml:space="preserve">A binding constraint to developing robust agricultural banking systems is the lack of effective demand. </w:t>
      </w:r>
      <w:r w:rsidRPr="00D15051">
        <w:rPr>
          <w:rFonts w:cstheme="minorHAnsi"/>
          <w:lang w:val="en-US"/>
        </w:rPr>
        <w:t>Business</w:t>
      </w:r>
      <w:r w:rsidRPr="006E1DE3">
        <w:rPr>
          <w:rFonts w:eastAsia="Times New Roman" w:cstheme="minorHAnsi"/>
          <w:lang w:val="en-US" w:eastAsia="fr-CA"/>
        </w:rPr>
        <w:t xml:space="preserve"> development services for agriculture enterprises will be particularly important for the country to achieve its value chain and </w:t>
      </w:r>
      <w:proofErr w:type="spellStart"/>
      <w:r w:rsidRPr="006E1DE3">
        <w:rPr>
          <w:rFonts w:eastAsia="Times New Roman" w:cstheme="minorHAnsi"/>
          <w:lang w:val="en-US" w:eastAsia="fr-CA"/>
        </w:rPr>
        <w:t>agro</w:t>
      </w:r>
      <w:proofErr w:type="spellEnd"/>
      <w:r w:rsidRPr="006E1DE3">
        <w:rPr>
          <w:rFonts w:eastAsia="Times New Roman" w:cstheme="minorHAnsi"/>
          <w:lang w:val="en-US" w:eastAsia="fr-CA"/>
        </w:rPr>
        <w:t xml:space="preserve">-industrial development objectives. Structures such as FINAGRO and the </w:t>
      </w:r>
      <w:r w:rsidRPr="006E1DE3">
        <w:rPr>
          <w:rFonts w:cs="Arial"/>
          <w:lang w:val="en-US"/>
        </w:rPr>
        <w:t>Center for the Promotion and Assistance of Small and Medium Enterprises</w:t>
      </w:r>
      <w:r w:rsidRPr="006E1DE3">
        <w:rPr>
          <w:rFonts w:eastAsia="Times New Roman" w:cstheme="minorHAnsi"/>
          <w:lang w:val="en-US" w:eastAsia="fr-CA"/>
        </w:rPr>
        <w:t xml:space="preserve"> (CEFEPE) could be envisaged for such services.</w:t>
      </w:r>
    </w:p>
    <w:p w14:paraId="69C0EC85" w14:textId="77777777" w:rsidR="00D128C6" w:rsidRPr="00124DA6" w:rsidRDefault="00D128C6" w:rsidP="00D128C6">
      <w:pPr>
        <w:pStyle w:val="ListParagraph"/>
        <w:autoSpaceDE w:val="0"/>
        <w:autoSpaceDN w:val="0"/>
        <w:adjustRightInd w:val="0"/>
        <w:spacing w:after="0" w:line="240" w:lineRule="auto"/>
        <w:ind w:left="2880"/>
        <w:jc w:val="both"/>
        <w:rPr>
          <w:rFonts w:eastAsia="Times New Roman" w:cstheme="minorHAnsi"/>
          <w:b/>
          <w:bCs/>
          <w:lang w:val="en-US" w:eastAsia="fr-CA"/>
        </w:rPr>
      </w:pPr>
      <w:r w:rsidRPr="00124DA6">
        <w:rPr>
          <w:rFonts w:eastAsia="Times New Roman" w:cstheme="minorHAnsi"/>
          <w:b/>
          <w:bCs/>
          <w:lang w:val="en-US" w:eastAsia="fr-CA"/>
        </w:rPr>
        <w:br w:type="page"/>
      </w:r>
    </w:p>
    <w:p w14:paraId="293E91A5" w14:textId="77777777" w:rsidR="00D128C6" w:rsidRPr="00FF734E" w:rsidRDefault="00D128C6" w:rsidP="00D128C6">
      <w:pPr>
        <w:pStyle w:val="Heading2"/>
        <w:rPr>
          <w:rFonts w:eastAsia="Times New Roman"/>
          <w:b/>
          <w:lang w:val="en-US" w:eastAsia="fr-CA"/>
        </w:rPr>
      </w:pPr>
      <w:bookmarkStart w:id="59" w:name="_Toc3975159"/>
      <w:r w:rsidRPr="00FF734E">
        <w:rPr>
          <w:rFonts w:eastAsia="Times New Roman"/>
          <w:b/>
          <w:lang w:val="en-US" w:eastAsia="fr-CA"/>
        </w:rPr>
        <w:t xml:space="preserve">4.8 </w:t>
      </w:r>
      <w:r w:rsidR="00604D7B" w:rsidRPr="00FF734E">
        <w:rPr>
          <w:rFonts w:eastAsia="Times New Roman"/>
          <w:b/>
          <w:lang w:val="en-US" w:eastAsia="fr-CA"/>
        </w:rPr>
        <w:t>Annex</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9576"/>
      </w:tblGrid>
      <w:tr w:rsidR="00D128C6" w:rsidRPr="008A6E7B" w14:paraId="50182EA8" w14:textId="77777777" w:rsidTr="006E1DE3">
        <w:tc>
          <w:tcPr>
            <w:tcW w:w="5000" w:type="pct"/>
            <w:shd w:val="clear" w:color="auto" w:fill="D9D9D9" w:themeFill="background1" w:themeFillShade="D9"/>
          </w:tcPr>
          <w:p w14:paraId="60662CEC" w14:textId="77777777" w:rsidR="00D128C6" w:rsidRPr="00FF734E" w:rsidRDefault="00D128C6" w:rsidP="006E1DE3">
            <w:pPr>
              <w:spacing w:before="60" w:after="60" w:line="240" w:lineRule="auto"/>
              <w:jc w:val="center"/>
              <w:rPr>
                <w:rFonts w:asciiTheme="majorHAnsi" w:hAnsiTheme="majorHAnsi" w:cstheme="majorHAnsi"/>
                <w:b/>
                <w:color w:val="2E74B5" w:themeColor="accent1" w:themeShade="BF"/>
                <w:sz w:val="20"/>
                <w:lang w:val="en-US"/>
              </w:rPr>
            </w:pPr>
            <w:r w:rsidRPr="00FF734E">
              <w:rPr>
                <w:rFonts w:asciiTheme="majorHAnsi" w:hAnsiTheme="majorHAnsi" w:cstheme="majorHAnsi"/>
                <w:b/>
                <w:color w:val="2E74B5" w:themeColor="accent1" w:themeShade="BF"/>
                <w:sz w:val="20"/>
                <w:lang w:val="en-US"/>
              </w:rPr>
              <w:t>Box. 4.5 Credit Guarantee Scheme Principles</w:t>
            </w:r>
          </w:p>
          <w:p w14:paraId="4AD64C99" w14:textId="082466C3"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1: </w:t>
            </w:r>
            <w:r w:rsidRPr="00124DA6">
              <w:rPr>
                <w:rFonts w:cstheme="minorHAnsi"/>
                <w:sz w:val="20"/>
                <w:lang w:val="en-US"/>
              </w:rPr>
              <w:t xml:space="preserve">The CGS should be established as an independent legal entity </w:t>
            </w:r>
            <w:proofErr w:type="gramStart"/>
            <w:r w:rsidRPr="00124DA6">
              <w:rPr>
                <w:rFonts w:cstheme="minorHAnsi"/>
                <w:sz w:val="20"/>
                <w:lang w:val="en-US"/>
              </w:rPr>
              <w:t>on the basis of</w:t>
            </w:r>
            <w:proofErr w:type="gramEnd"/>
            <w:r w:rsidRPr="00124DA6">
              <w:rPr>
                <w:rFonts w:cstheme="minorHAnsi"/>
                <w:sz w:val="20"/>
                <w:lang w:val="en-US"/>
              </w:rPr>
              <w:t xml:space="preserve"> sound and clearly defined legal and regulatory framework to support the effective implementation of the CGS’ operations and the achievement of its policy objectives.</w:t>
            </w:r>
          </w:p>
          <w:p w14:paraId="1A4574E2" w14:textId="77870CBF"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2: </w:t>
            </w:r>
            <w:r w:rsidRPr="00124DA6">
              <w:rPr>
                <w:rFonts w:cstheme="minorHAnsi"/>
                <w:sz w:val="20"/>
                <w:lang w:val="en-US"/>
              </w:rPr>
              <w:t>The CGS should have adequate funding to achieve its policy objectives, and the sources of funding, including any reliance on explicit and implicit subsidies, should be transparent and publicly disclosed.</w:t>
            </w:r>
          </w:p>
          <w:p w14:paraId="75A1B9C5" w14:textId="1300E749"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3: </w:t>
            </w:r>
            <w:r w:rsidRPr="00124DA6">
              <w:rPr>
                <w:rFonts w:cstheme="minorHAnsi"/>
                <w:sz w:val="20"/>
                <w:lang w:val="en-US"/>
              </w:rPr>
              <w:t>The legal and regulatory framework should promote mixed ownership of the CGS, ensuring equitable treatment of minority shareholders.</w:t>
            </w:r>
          </w:p>
          <w:p w14:paraId="5860B932" w14:textId="24B5A494"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4: </w:t>
            </w:r>
            <w:r w:rsidRPr="00124DA6">
              <w:rPr>
                <w:rFonts w:cstheme="minorHAnsi"/>
                <w:sz w:val="20"/>
                <w:lang w:val="en-US"/>
              </w:rPr>
              <w:t xml:space="preserve">The CGS should be independently and effectively supervised </w:t>
            </w:r>
            <w:proofErr w:type="gramStart"/>
            <w:r w:rsidRPr="00124DA6">
              <w:rPr>
                <w:rFonts w:cstheme="minorHAnsi"/>
                <w:sz w:val="20"/>
                <w:lang w:val="en-US"/>
              </w:rPr>
              <w:t>on the basis of</w:t>
            </w:r>
            <w:proofErr w:type="gramEnd"/>
            <w:r w:rsidRPr="00124DA6">
              <w:rPr>
                <w:rFonts w:cstheme="minorHAnsi"/>
                <w:sz w:val="20"/>
                <w:lang w:val="en-US"/>
              </w:rPr>
              <w:t xml:space="preserve"> risk-proportionate regulation scaled by products and service offered.</w:t>
            </w:r>
          </w:p>
          <w:p w14:paraId="11AD8C1B" w14:textId="67777910"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5: </w:t>
            </w:r>
            <w:r w:rsidRPr="00124DA6">
              <w:rPr>
                <w:rFonts w:cstheme="minorHAnsi"/>
                <w:sz w:val="20"/>
                <w:lang w:val="en-US"/>
              </w:rPr>
              <w:t>The CGS should have a clearly defined mandate supported by strategies and operational goals consistent with policy objectives.</w:t>
            </w:r>
          </w:p>
          <w:p w14:paraId="49E4B296" w14:textId="6D6C3699"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6; </w:t>
            </w:r>
            <w:r w:rsidRPr="00124DA6">
              <w:rPr>
                <w:rFonts w:cstheme="minorHAnsi"/>
                <w:sz w:val="20"/>
                <w:lang w:val="en-US"/>
              </w:rPr>
              <w:t>The CGS should have a sound corporate governance structure with an independent and competent board of directors appointed according to clearly defined criteria.</w:t>
            </w:r>
          </w:p>
          <w:p w14:paraId="65A408F8" w14:textId="6B7778FA" w:rsidR="00D128C6" w:rsidRPr="00124DA6" w:rsidRDefault="00D128C6" w:rsidP="006E1DE3">
            <w:pPr>
              <w:spacing w:after="60" w:line="240" w:lineRule="auto"/>
              <w:jc w:val="both"/>
              <w:rPr>
                <w:rFonts w:cstheme="minorHAnsi"/>
                <w:b/>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7: </w:t>
            </w:r>
            <w:r w:rsidRPr="00124DA6">
              <w:rPr>
                <w:rFonts w:cstheme="minorHAnsi"/>
                <w:sz w:val="20"/>
                <w:lang w:val="en-US"/>
              </w:rPr>
              <w:t>The CGS should have a sound internal control framework to safeguard the integrity and efficiency of its governance and operations.</w:t>
            </w:r>
          </w:p>
          <w:p w14:paraId="60F9022F" w14:textId="6168F027"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8: </w:t>
            </w:r>
            <w:r w:rsidRPr="00124DA6">
              <w:rPr>
                <w:rFonts w:cstheme="minorHAnsi"/>
                <w:sz w:val="20"/>
                <w:lang w:val="en-US"/>
              </w:rPr>
              <w:t>The CGS should have an effective and comprehensive enterprise risk management framework that identifies, assesses, and manages the risks related to CGS operations.</w:t>
            </w:r>
          </w:p>
          <w:p w14:paraId="4BD5BB16" w14:textId="11D1E036"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9: </w:t>
            </w:r>
            <w:r w:rsidRPr="00124DA6">
              <w:rPr>
                <w:rFonts w:cstheme="minorHAnsi"/>
                <w:sz w:val="20"/>
                <w:lang w:val="en-US"/>
              </w:rPr>
              <w:t>The CGS should adopt clearly defined and transparent eligibility and qualifications criteria for SMEs, lenders, and credit instruments.</w:t>
            </w:r>
          </w:p>
          <w:p w14:paraId="6177180D" w14:textId="3B933B81" w:rsidR="00D128C6" w:rsidRPr="00124DA6" w:rsidRDefault="00D128C6" w:rsidP="006E1DE3">
            <w:pPr>
              <w:spacing w:after="60" w:line="240" w:lineRule="auto"/>
              <w:jc w:val="both"/>
              <w:rPr>
                <w:rFonts w:cstheme="minorHAnsi"/>
                <w:b/>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10: </w:t>
            </w:r>
            <w:r w:rsidRPr="00124DA6">
              <w:rPr>
                <w:rFonts w:cstheme="minorHAnsi"/>
                <w:sz w:val="20"/>
                <w:lang w:val="en-US"/>
              </w:rPr>
              <w:t xml:space="preserve">The CGS’s guarantee delivery approach should appropriately reflect a trade-off between outreach, additionality, and financial sustainability, </w:t>
            </w:r>
            <w:proofErr w:type="gramStart"/>
            <w:r w:rsidRPr="00124DA6">
              <w:rPr>
                <w:rFonts w:cstheme="minorHAnsi"/>
                <w:sz w:val="20"/>
                <w:lang w:val="en-US"/>
              </w:rPr>
              <w:t>taking into account</w:t>
            </w:r>
            <w:proofErr w:type="gramEnd"/>
            <w:r w:rsidRPr="00124DA6">
              <w:rPr>
                <w:rFonts w:cstheme="minorHAnsi"/>
                <w:sz w:val="20"/>
                <w:lang w:val="en-US"/>
              </w:rPr>
              <w:t xml:space="preserve"> the level of financial sector development of the country.</w:t>
            </w:r>
          </w:p>
          <w:p w14:paraId="30E29B7E" w14:textId="1A5E8D12" w:rsidR="00D128C6" w:rsidRPr="00124DA6" w:rsidRDefault="00D128C6" w:rsidP="006E1DE3">
            <w:pPr>
              <w:spacing w:after="60" w:line="240" w:lineRule="auto"/>
              <w:jc w:val="both"/>
              <w:rPr>
                <w:rFonts w:cstheme="minorHAnsi"/>
                <w:b/>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11: </w:t>
            </w:r>
            <w:r w:rsidRPr="00124DA6">
              <w:rPr>
                <w:rFonts w:cstheme="minorHAnsi"/>
                <w:sz w:val="20"/>
                <w:lang w:val="en-US"/>
              </w:rPr>
              <w:t xml:space="preserve">The guarantee issued by the CGS should be partial, thus providing the right incentive for SME borrowers and lenders and should be designed to ensure compliance with the relevant prudential requirements from lenders, </w:t>
            </w:r>
            <w:proofErr w:type="gramStart"/>
            <w:r w:rsidRPr="00124DA6">
              <w:rPr>
                <w:rFonts w:cstheme="minorHAnsi"/>
                <w:sz w:val="20"/>
                <w:lang w:val="en-US"/>
              </w:rPr>
              <w:t>in particular with</w:t>
            </w:r>
            <w:proofErr w:type="gramEnd"/>
            <w:r w:rsidRPr="00124DA6">
              <w:rPr>
                <w:rFonts w:cstheme="minorHAnsi"/>
                <w:sz w:val="20"/>
                <w:lang w:val="en-US"/>
              </w:rPr>
              <w:t xml:space="preserve"> capital requirements for credit risk.</w:t>
            </w:r>
          </w:p>
          <w:p w14:paraId="0073F26A" w14:textId="3856B0C6"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12: </w:t>
            </w:r>
            <w:r w:rsidRPr="00124DA6">
              <w:rPr>
                <w:rFonts w:cstheme="minorHAnsi"/>
                <w:sz w:val="20"/>
                <w:lang w:val="en-US"/>
              </w:rPr>
              <w:t>The CGS should adopt a transparent and consistent risk-based pricing policy to ensure that the guarantee program is financially sustainable and effective for both SMEs and lenders.</w:t>
            </w:r>
          </w:p>
          <w:p w14:paraId="7B27847A" w14:textId="70C86F79" w:rsidR="00D128C6" w:rsidRPr="00124DA6" w:rsidRDefault="00D128C6" w:rsidP="006E1DE3">
            <w:pPr>
              <w:spacing w:after="60" w:line="240" w:lineRule="auto"/>
              <w:jc w:val="both"/>
              <w:rPr>
                <w:rFonts w:cstheme="minorHAnsi"/>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13: </w:t>
            </w:r>
            <w:r w:rsidRPr="00124DA6">
              <w:rPr>
                <w:rFonts w:cstheme="minorHAnsi"/>
                <w:sz w:val="20"/>
                <w:lang w:val="en-US"/>
              </w:rPr>
              <w:t>The claim management process should be efficient, clearly documented. and transparent providing incentives for loan loss recovery and should align with the home country’s legal and regulatory framework.</w:t>
            </w:r>
          </w:p>
          <w:p w14:paraId="36123076" w14:textId="5469631A" w:rsidR="00D128C6" w:rsidRPr="00124DA6" w:rsidRDefault="00D128C6" w:rsidP="006E1DE3">
            <w:pPr>
              <w:spacing w:after="60" w:line="240" w:lineRule="auto"/>
              <w:jc w:val="both"/>
              <w:rPr>
                <w:rFonts w:cstheme="minorHAnsi"/>
                <w:b/>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14: </w:t>
            </w:r>
            <w:r w:rsidRPr="00124DA6">
              <w:rPr>
                <w:rFonts w:cstheme="minorHAnsi"/>
                <w:sz w:val="20"/>
                <w:lang w:val="en-US"/>
              </w:rPr>
              <w:t>The CGS should be subject to rigorous financial reporting requirements and should have its external financial statements audited externally.</w:t>
            </w:r>
          </w:p>
          <w:p w14:paraId="72D9F2B6" w14:textId="6A0BB6E2" w:rsidR="00D128C6" w:rsidRPr="00124DA6" w:rsidRDefault="00D128C6" w:rsidP="006E1DE3">
            <w:pPr>
              <w:spacing w:after="60" w:line="240" w:lineRule="auto"/>
              <w:jc w:val="both"/>
              <w:rPr>
                <w:rFonts w:cstheme="minorHAnsi"/>
                <w:b/>
                <w:sz w:val="20"/>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15: </w:t>
            </w:r>
            <w:r w:rsidRPr="00124DA6">
              <w:rPr>
                <w:rFonts w:cstheme="minorHAnsi"/>
                <w:sz w:val="20"/>
                <w:lang w:val="en-US"/>
              </w:rPr>
              <w:t>The CGS should periodically and publicly disclose nonfinancial information related to its operations.</w:t>
            </w:r>
          </w:p>
          <w:p w14:paraId="2E4113C6" w14:textId="5E73DF28" w:rsidR="00D128C6" w:rsidRPr="00124DA6" w:rsidRDefault="00D128C6" w:rsidP="006E1DE3">
            <w:pPr>
              <w:spacing w:after="60" w:line="240" w:lineRule="auto"/>
              <w:jc w:val="both"/>
              <w:rPr>
                <w:rFonts w:cstheme="minorHAnsi"/>
                <w:i/>
                <w:lang w:val="en-US"/>
              </w:rPr>
            </w:pPr>
            <w:r w:rsidRPr="00124DA6">
              <w:rPr>
                <w:rFonts w:cstheme="minorHAnsi"/>
                <w:b/>
                <w:sz w:val="20"/>
                <w:lang w:val="en-US"/>
              </w:rPr>
              <w:t>Principle</w:t>
            </w:r>
            <w:r w:rsidR="00C702B4">
              <w:rPr>
                <w:rFonts w:cstheme="minorHAnsi"/>
                <w:b/>
                <w:sz w:val="20"/>
                <w:lang w:val="en-US"/>
              </w:rPr>
              <w:t> </w:t>
            </w:r>
            <w:r w:rsidRPr="00124DA6">
              <w:rPr>
                <w:rFonts w:cstheme="minorHAnsi"/>
                <w:b/>
                <w:sz w:val="20"/>
                <w:lang w:val="en-US"/>
              </w:rPr>
              <w:t xml:space="preserve">16: </w:t>
            </w:r>
            <w:r w:rsidRPr="00124DA6">
              <w:rPr>
                <w:rFonts w:cstheme="minorHAnsi"/>
                <w:sz w:val="20"/>
                <w:lang w:val="en-US"/>
              </w:rPr>
              <w:t>The performance of the CGS—</w:t>
            </w:r>
            <w:proofErr w:type="gramStart"/>
            <w:r w:rsidRPr="00124DA6">
              <w:rPr>
                <w:rFonts w:cstheme="minorHAnsi"/>
                <w:sz w:val="20"/>
                <w:lang w:val="en-US"/>
              </w:rPr>
              <w:t>in particular outreach</w:t>
            </w:r>
            <w:proofErr w:type="gramEnd"/>
            <w:r w:rsidRPr="00124DA6">
              <w:rPr>
                <w:rFonts w:cstheme="minorHAnsi"/>
                <w:sz w:val="20"/>
                <w:lang w:val="en-US"/>
              </w:rPr>
              <w:t>, additionality, and financial sustainability—should be systematically and periodically evaluated and the findings from the evaluation should be publicly disclosed</w:t>
            </w:r>
          </w:p>
          <w:p w14:paraId="11A05CE3" w14:textId="1E44E051" w:rsidR="00D128C6" w:rsidRPr="00124DA6" w:rsidRDefault="00D128C6" w:rsidP="006E1DE3">
            <w:pPr>
              <w:spacing w:after="60" w:line="240" w:lineRule="auto"/>
              <w:rPr>
                <w:rFonts w:cstheme="minorHAnsi"/>
                <w:i/>
                <w:lang w:val="en-US"/>
              </w:rPr>
            </w:pPr>
            <w:bookmarkStart w:id="60" w:name="_Hlk520399192"/>
            <w:r w:rsidRPr="00124DA6">
              <w:rPr>
                <w:rFonts w:asciiTheme="majorHAnsi" w:hAnsiTheme="majorHAnsi" w:cstheme="majorHAnsi"/>
                <w:i/>
                <w:color w:val="2E74B5" w:themeColor="accent1" w:themeShade="BF"/>
                <w:sz w:val="20"/>
                <w:lang w:val="en-US"/>
              </w:rPr>
              <w:t>Source</w:t>
            </w:r>
            <w:r w:rsidRPr="00124DA6">
              <w:rPr>
                <w:rFonts w:asciiTheme="majorHAnsi" w:hAnsiTheme="majorHAnsi" w:cstheme="majorHAnsi"/>
                <w:color w:val="2E74B5" w:themeColor="accent1" w:themeShade="BF"/>
                <w:sz w:val="20"/>
                <w:lang w:val="en-US"/>
              </w:rPr>
              <w:t>: World Bank Group</w:t>
            </w:r>
            <w:r w:rsidR="00C702B4">
              <w:rPr>
                <w:rFonts w:asciiTheme="majorHAnsi" w:hAnsiTheme="majorHAnsi" w:cstheme="majorHAnsi"/>
                <w:color w:val="2E74B5" w:themeColor="accent1" w:themeShade="BF"/>
                <w:sz w:val="20"/>
                <w:lang w:val="en-US"/>
              </w:rPr>
              <w:t> </w:t>
            </w:r>
            <w:r w:rsidRPr="00124DA6">
              <w:rPr>
                <w:rFonts w:asciiTheme="majorHAnsi" w:hAnsiTheme="majorHAnsi" w:cstheme="majorHAnsi"/>
                <w:color w:val="2E74B5" w:themeColor="accent1" w:themeShade="BF"/>
                <w:sz w:val="20"/>
                <w:lang w:val="en-US"/>
              </w:rPr>
              <w:t>2016b.</w:t>
            </w:r>
            <w:bookmarkEnd w:id="60"/>
          </w:p>
        </w:tc>
      </w:tr>
    </w:tbl>
    <w:p w14:paraId="4AC2B3BB" w14:textId="77777777" w:rsidR="00D128C6" w:rsidRPr="00124DA6" w:rsidRDefault="00D128C6" w:rsidP="00D128C6">
      <w:pPr>
        <w:rPr>
          <w:lang w:val="en-US" w:eastAsia="fr-CA"/>
        </w:rPr>
      </w:pPr>
    </w:p>
    <w:p w14:paraId="2A75D877" w14:textId="77777777" w:rsidR="00D128C6" w:rsidRPr="00124DA6" w:rsidRDefault="00D128C6" w:rsidP="00D128C6">
      <w:pPr>
        <w:rPr>
          <w:lang w:val="en-US" w:eastAsia="fr-CA"/>
        </w:rPr>
      </w:pPr>
    </w:p>
    <w:p w14:paraId="05FE044E" w14:textId="77777777" w:rsidR="0052720D" w:rsidRPr="00124DA6" w:rsidRDefault="0052720D" w:rsidP="00EA37B9">
      <w:pPr>
        <w:autoSpaceDE w:val="0"/>
        <w:autoSpaceDN w:val="0"/>
        <w:adjustRightInd w:val="0"/>
        <w:spacing w:after="0" w:line="240" w:lineRule="auto"/>
        <w:rPr>
          <w:rFonts w:cstheme="minorHAnsi"/>
          <w:sz w:val="16"/>
          <w:szCs w:val="16"/>
          <w:lang w:val="en-US"/>
        </w:rPr>
      </w:pPr>
    </w:p>
    <w:bookmarkEnd w:id="27"/>
    <w:p w14:paraId="7CF7EB37" w14:textId="77777777" w:rsidR="00D6254C" w:rsidRPr="00124DA6" w:rsidRDefault="00D6254C" w:rsidP="00C127F0">
      <w:pPr>
        <w:pStyle w:val="FootnoteText"/>
        <w:spacing w:line="360" w:lineRule="auto"/>
        <w:rPr>
          <w:rFonts w:cstheme="minorHAnsi"/>
          <w:sz w:val="22"/>
          <w:szCs w:val="22"/>
          <w:lang w:val="en-US"/>
        </w:rPr>
      </w:pPr>
      <w:r w:rsidRPr="00124DA6">
        <w:rPr>
          <w:rFonts w:cstheme="minorHAnsi"/>
          <w:sz w:val="22"/>
          <w:szCs w:val="22"/>
          <w:lang w:val="en-US"/>
        </w:rPr>
        <w:br w:type="page"/>
      </w:r>
    </w:p>
    <w:p w14:paraId="4E0796BD" w14:textId="77777777" w:rsidR="00D6254C" w:rsidRPr="00FF734E" w:rsidRDefault="00D6254C" w:rsidP="00D6254C">
      <w:pPr>
        <w:pStyle w:val="Heading1"/>
        <w:rPr>
          <w:b/>
          <w:lang w:val="fr-FR"/>
        </w:rPr>
      </w:pPr>
      <w:bookmarkStart w:id="61" w:name="_Toc3975160"/>
      <w:proofErr w:type="spellStart"/>
      <w:r w:rsidRPr="00FF734E">
        <w:rPr>
          <w:b/>
          <w:lang w:val="fr-FR"/>
        </w:rPr>
        <w:t>References</w:t>
      </w:r>
      <w:bookmarkEnd w:id="61"/>
      <w:proofErr w:type="spellEnd"/>
    </w:p>
    <w:p w14:paraId="142EB0F2" w14:textId="340A779C" w:rsidR="00D7283E" w:rsidRPr="003D7AF5" w:rsidRDefault="00D7283E" w:rsidP="00FF734E">
      <w:pPr>
        <w:autoSpaceDE w:val="0"/>
        <w:autoSpaceDN w:val="0"/>
        <w:adjustRightInd w:val="0"/>
        <w:spacing w:before="120" w:after="120" w:line="240" w:lineRule="auto"/>
        <w:ind w:left="720" w:hanging="720"/>
        <w:rPr>
          <w:rFonts w:cstheme="minorHAnsi"/>
          <w:bCs/>
        </w:rPr>
      </w:pPr>
      <w:r w:rsidRPr="003D7AF5">
        <w:rPr>
          <w:rFonts w:cstheme="minorHAnsi"/>
        </w:rPr>
        <w:t xml:space="preserve">Agriprofocus.2016. Document de synthèse </w:t>
      </w:r>
      <w:r w:rsidRPr="003D7AF5">
        <w:rPr>
          <w:rFonts w:cstheme="minorHAnsi"/>
          <w:bCs/>
        </w:rPr>
        <w:t xml:space="preserve">3e </w:t>
      </w:r>
      <w:r w:rsidR="00141BD7" w:rsidRPr="003D7AF5">
        <w:rPr>
          <w:rFonts w:cstheme="minorHAnsi"/>
          <w:bCs/>
        </w:rPr>
        <w:t>É</w:t>
      </w:r>
      <w:r w:rsidRPr="003D7AF5">
        <w:rPr>
          <w:rFonts w:cstheme="minorHAnsi"/>
          <w:bCs/>
        </w:rPr>
        <w:t>DITION DU SALON AGRI-FINANCE «</w:t>
      </w:r>
      <w:r w:rsidR="00141BD7" w:rsidRPr="003D7AF5">
        <w:rPr>
          <w:rFonts w:cstheme="minorHAnsi"/>
          <w:bCs/>
        </w:rPr>
        <w:t> </w:t>
      </w:r>
      <w:r w:rsidRPr="003D7AF5">
        <w:rPr>
          <w:rFonts w:cstheme="minorHAnsi"/>
          <w:bCs/>
        </w:rPr>
        <w:t>Investir dans les projets agricoles durables</w:t>
      </w:r>
      <w:r w:rsidR="00141BD7" w:rsidRPr="003D7AF5">
        <w:rPr>
          <w:rFonts w:cstheme="minorHAnsi"/>
          <w:bCs/>
        </w:rPr>
        <w:t> </w:t>
      </w:r>
      <w:r w:rsidRPr="003D7AF5">
        <w:rPr>
          <w:rFonts w:cstheme="minorHAnsi"/>
          <w:bCs/>
        </w:rPr>
        <w:t>: levier de développement de l’économie béninoise</w:t>
      </w:r>
    </w:p>
    <w:p w14:paraId="5E46F70C" w14:textId="77777777" w:rsidR="00D7283E" w:rsidRPr="003D7AF5" w:rsidRDefault="00D7283E" w:rsidP="00FF734E">
      <w:pPr>
        <w:pStyle w:val="ListParagraph"/>
        <w:tabs>
          <w:tab w:val="left" w:pos="5895"/>
        </w:tabs>
        <w:spacing w:before="120" w:after="120" w:line="240" w:lineRule="auto"/>
        <w:ind w:hanging="720"/>
        <w:contextualSpacing w:val="0"/>
        <w:rPr>
          <w:rFonts w:cstheme="minorHAnsi"/>
          <w:lang w:val="en-US"/>
        </w:rPr>
      </w:pPr>
      <w:r w:rsidRPr="003D7AF5">
        <w:rPr>
          <w:rFonts w:cstheme="minorHAnsi"/>
          <w:lang w:val="en-US"/>
        </w:rPr>
        <w:t xml:space="preserve">Anderson, J., and Robert Christen. 2013. </w:t>
      </w:r>
      <w:r w:rsidRPr="003D7AF5">
        <w:rPr>
          <w:rFonts w:cstheme="minorHAnsi"/>
          <w:i/>
          <w:lang w:val="en-US"/>
        </w:rPr>
        <w:t>CGAP Focus Note: Segmentation of Smallholder Households.</w:t>
      </w:r>
    </w:p>
    <w:p w14:paraId="63807DF8" w14:textId="77777777" w:rsidR="00D7283E" w:rsidRPr="003D7AF5" w:rsidRDefault="00D7283E" w:rsidP="00FF734E">
      <w:pPr>
        <w:autoSpaceDE w:val="0"/>
        <w:autoSpaceDN w:val="0"/>
        <w:adjustRightInd w:val="0"/>
        <w:spacing w:before="120" w:after="120" w:line="240" w:lineRule="auto"/>
        <w:ind w:left="720" w:hanging="720"/>
        <w:rPr>
          <w:rFonts w:cstheme="minorHAnsi"/>
        </w:rPr>
      </w:pPr>
      <w:r w:rsidRPr="003D7AF5">
        <w:rPr>
          <w:rFonts w:cstheme="minorHAnsi"/>
        </w:rPr>
        <w:t>ANSSFD (</w:t>
      </w:r>
      <w:r w:rsidRPr="003D7AF5">
        <w:rPr>
          <w:rFonts w:cstheme="minorHAnsi"/>
          <w:i/>
        </w:rPr>
        <w:t xml:space="preserve">Agence Nationale de supervision des </w:t>
      </w:r>
      <w:proofErr w:type="spellStart"/>
      <w:r w:rsidRPr="003D7AF5">
        <w:rPr>
          <w:rFonts w:cstheme="minorHAnsi"/>
          <w:i/>
        </w:rPr>
        <w:t>SFDs</w:t>
      </w:r>
      <w:proofErr w:type="spellEnd"/>
      <w:r w:rsidRPr="003D7AF5">
        <w:rPr>
          <w:rFonts w:cstheme="minorHAnsi"/>
          <w:i/>
        </w:rPr>
        <w:t xml:space="preserve"> du Bénin)</w:t>
      </w:r>
      <w:r w:rsidRPr="003D7AF5">
        <w:rPr>
          <w:rFonts w:cstheme="minorHAnsi"/>
        </w:rPr>
        <w:t>. 2017. Note Trimestrielle de la conjoncture de la Microfinance</w:t>
      </w:r>
    </w:p>
    <w:p w14:paraId="536D818A" w14:textId="77777777" w:rsidR="00D7283E" w:rsidRPr="003D7AF5" w:rsidRDefault="00D7283E" w:rsidP="00FF734E">
      <w:pPr>
        <w:autoSpaceDE w:val="0"/>
        <w:autoSpaceDN w:val="0"/>
        <w:adjustRightInd w:val="0"/>
        <w:spacing w:before="120" w:after="120" w:line="240" w:lineRule="auto"/>
        <w:ind w:left="720" w:hanging="720"/>
        <w:rPr>
          <w:rFonts w:cstheme="minorHAnsi"/>
        </w:rPr>
      </w:pPr>
      <w:bookmarkStart w:id="62" w:name="_Hlk520382781"/>
      <w:r w:rsidRPr="003D7AF5">
        <w:rPr>
          <w:rFonts w:cstheme="minorHAnsi"/>
          <w:lang w:val="en-US"/>
        </w:rPr>
        <w:t>BCEAO (</w:t>
      </w:r>
      <w:r w:rsidRPr="003D7AF5">
        <w:rPr>
          <w:lang w:val="en-US"/>
        </w:rPr>
        <w:t>Central Bank of West Africa States</w:t>
      </w:r>
      <w:r w:rsidRPr="003D7AF5">
        <w:rPr>
          <w:rFonts w:cstheme="minorHAnsi"/>
          <w:lang w:val="en-US"/>
        </w:rPr>
        <w:t xml:space="preserve">). </w:t>
      </w:r>
      <w:r w:rsidRPr="003D7AF5">
        <w:rPr>
          <w:rFonts w:cstheme="minorHAnsi"/>
        </w:rPr>
        <w:t>2017</w:t>
      </w:r>
      <w:bookmarkEnd w:id="62"/>
      <w:r w:rsidRPr="003D7AF5">
        <w:rPr>
          <w:rFonts w:cstheme="minorHAnsi"/>
        </w:rPr>
        <w:t xml:space="preserve">. Bulletin des statistiques sur la Microfinance </w:t>
      </w:r>
    </w:p>
    <w:p w14:paraId="2B0F5AEF" w14:textId="77777777" w:rsidR="00D7283E" w:rsidRPr="003D7AF5" w:rsidRDefault="00D7283E" w:rsidP="00FF734E">
      <w:pPr>
        <w:tabs>
          <w:tab w:val="left" w:pos="5895"/>
        </w:tabs>
        <w:spacing w:before="120" w:after="120" w:line="240" w:lineRule="auto"/>
        <w:ind w:left="720" w:hanging="720"/>
        <w:rPr>
          <w:rFonts w:cstheme="minorHAnsi"/>
        </w:rPr>
      </w:pPr>
      <w:r w:rsidRPr="003D7AF5">
        <w:rPr>
          <w:rFonts w:cstheme="minorHAnsi"/>
          <w:lang w:val="en-US"/>
        </w:rPr>
        <w:t xml:space="preserve">———. 2016. Annual Report of the WAMU Banking Commission. </w:t>
      </w:r>
      <w:hyperlink r:id="rId62" w:history="1">
        <w:r w:rsidRPr="003D7AF5">
          <w:rPr>
            <w:rStyle w:val="Hyperlink"/>
            <w:rFonts w:cstheme="minorHAnsi"/>
          </w:rPr>
          <w:t>https://www.bceao.int/IMG/pdf/rapport_annuel_com_ban_umoa_2016_internet.pdf</w:t>
        </w:r>
      </w:hyperlink>
    </w:p>
    <w:p w14:paraId="07204776" w14:textId="77777777" w:rsidR="00D7283E" w:rsidRPr="003D7AF5" w:rsidRDefault="00D7283E" w:rsidP="00FF734E">
      <w:pPr>
        <w:autoSpaceDE w:val="0"/>
        <w:autoSpaceDN w:val="0"/>
        <w:adjustRightInd w:val="0"/>
        <w:spacing w:before="120" w:after="120" w:line="240" w:lineRule="auto"/>
        <w:ind w:left="720" w:hanging="720"/>
        <w:rPr>
          <w:rFonts w:cstheme="minorHAnsi"/>
          <w:i/>
          <w:lang w:val="en-US"/>
        </w:rPr>
      </w:pPr>
      <w:r w:rsidRPr="003D7AF5">
        <w:rPr>
          <w:rFonts w:cstheme="minorHAnsi"/>
          <w:lang w:val="en-US"/>
        </w:rPr>
        <w:t>CGAP (</w:t>
      </w:r>
      <w:r w:rsidRPr="003D7AF5">
        <w:rPr>
          <w:lang w:val="en-US"/>
        </w:rPr>
        <w:t>Consultative Group of Assistance to the Poor)</w:t>
      </w:r>
      <w:r w:rsidRPr="003D7AF5">
        <w:rPr>
          <w:rFonts w:cstheme="minorHAnsi"/>
          <w:lang w:val="en-US"/>
        </w:rPr>
        <w:t xml:space="preserve">. 2014. </w:t>
      </w:r>
      <w:r w:rsidRPr="003D7AF5">
        <w:rPr>
          <w:rFonts w:cstheme="minorHAnsi"/>
          <w:i/>
          <w:lang w:val="en-US"/>
        </w:rPr>
        <w:t>Greenfield MFIs in Sub-Saharan Africa: A Business Model for Advancing Access to Finance.</w:t>
      </w:r>
    </w:p>
    <w:p w14:paraId="7C623C07" w14:textId="77777777" w:rsidR="00D7283E" w:rsidRPr="003D7AF5" w:rsidRDefault="00D7283E" w:rsidP="00FF734E">
      <w:pPr>
        <w:autoSpaceDE w:val="0"/>
        <w:autoSpaceDN w:val="0"/>
        <w:adjustRightInd w:val="0"/>
        <w:spacing w:before="120" w:after="120" w:line="240" w:lineRule="auto"/>
        <w:ind w:left="720" w:hanging="720"/>
        <w:rPr>
          <w:rFonts w:cstheme="minorHAnsi"/>
        </w:rPr>
      </w:pPr>
      <w:r w:rsidRPr="003D7AF5">
        <w:rPr>
          <w:rFonts w:cstheme="minorHAnsi"/>
        </w:rPr>
        <w:t>Commission Bancaire. 2016. Rapport Annuel 2016 UEMOA</w:t>
      </w:r>
    </w:p>
    <w:p w14:paraId="5FA5C14B" w14:textId="109B6255" w:rsidR="00D7283E" w:rsidRPr="003D7AF5" w:rsidRDefault="00D7283E" w:rsidP="00FF734E">
      <w:pPr>
        <w:autoSpaceDE w:val="0"/>
        <w:autoSpaceDN w:val="0"/>
        <w:adjustRightInd w:val="0"/>
        <w:spacing w:before="120" w:after="120" w:line="240" w:lineRule="auto"/>
        <w:ind w:left="720" w:hanging="720"/>
        <w:rPr>
          <w:rFonts w:cstheme="minorHAnsi"/>
        </w:rPr>
      </w:pPr>
      <w:r w:rsidRPr="003D7AF5">
        <w:rPr>
          <w:rFonts w:cstheme="minorHAnsi"/>
        </w:rPr>
        <w:t xml:space="preserve">Consortium </w:t>
      </w:r>
      <w:proofErr w:type="spellStart"/>
      <w:r w:rsidRPr="003D7AF5">
        <w:rPr>
          <w:rFonts w:cstheme="minorHAnsi"/>
        </w:rPr>
        <w:t>Alafia</w:t>
      </w:r>
      <w:proofErr w:type="spellEnd"/>
      <w:r w:rsidRPr="003D7AF5">
        <w:rPr>
          <w:rFonts w:cstheme="minorHAnsi"/>
        </w:rPr>
        <w:t>. 2017a. Rapport d’activité</w:t>
      </w:r>
      <w:r w:rsidR="00141BD7" w:rsidRPr="003D7AF5">
        <w:rPr>
          <w:rFonts w:cstheme="minorHAnsi"/>
        </w:rPr>
        <w:t> </w:t>
      </w:r>
      <w:r w:rsidRPr="003D7AF5">
        <w:rPr>
          <w:rFonts w:cstheme="minorHAnsi"/>
        </w:rPr>
        <w:t>2016</w:t>
      </w:r>
    </w:p>
    <w:p w14:paraId="74F531AF" w14:textId="77777777" w:rsidR="00D7283E" w:rsidRPr="003D7AF5" w:rsidRDefault="00D7283E" w:rsidP="00FF734E">
      <w:pPr>
        <w:autoSpaceDE w:val="0"/>
        <w:autoSpaceDN w:val="0"/>
        <w:adjustRightInd w:val="0"/>
        <w:spacing w:before="120" w:after="120" w:line="240" w:lineRule="auto"/>
        <w:ind w:left="720" w:hanging="720"/>
        <w:rPr>
          <w:rFonts w:cstheme="minorHAnsi"/>
        </w:rPr>
      </w:pPr>
      <w:bookmarkStart w:id="63" w:name="_Hlk520383690"/>
      <w:r w:rsidRPr="003D7AF5">
        <w:rPr>
          <w:rFonts w:cstheme="minorHAnsi"/>
        </w:rPr>
        <w:t>———. 2017</w:t>
      </w:r>
      <w:r w:rsidR="00141BD7" w:rsidRPr="003D7AF5">
        <w:rPr>
          <w:rFonts w:cstheme="minorHAnsi"/>
        </w:rPr>
        <w:t> </w:t>
      </w:r>
      <w:r w:rsidRPr="003D7AF5">
        <w:rPr>
          <w:rFonts w:cstheme="minorHAnsi"/>
        </w:rPr>
        <w:t>b</w:t>
      </w:r>
      <w:bookmarkEnd w:id="63"/>
      <w:r w:rsidRPr="003D7AF5">
        <w:rPr>
          <w:rFonts w:cstheme="minorHAnsi"/>
        </w:rPr>
        <w:t>. Rapport d’analyse des performances des SFD</w:t>
      </w:r>
    </w:p>
    <w:p w14:paraId="7D8005CD" w14:textId="77777777" w:rsidR="00D7283E" w:rsidRPr="00224A8F" w:rsidRDefault="00D7283E" w:rsidP="00FF734E">
      <w:pPr>
        <w:autoSpaceDE w:val="0"/>
        <w:autoSpaceDN w:val="0"/>
        <w:adjustRightInd w:val="0"/>
        <w:spacing w:before="120" w:after="120" w:line="240" w:lineRule="auto"/>
        <w:ind w:left="720" w:hanging="720"/>
        <w:rPr>
          <w:rStyle w:val="Hyperlink"/>
          <w:rFonts w:cstheme="minorHAnsi"/>
        </w:rPr>
      </w:pPr>
      <w:proofErr w:type="spellStart"/>
      <w:r w:rsidRPr="003D7AF5">
        <w:rPr>
          <w:rFonts w:cstheme="minorHAnsi"/>
          <w:lang w:val="en-US"/>
        </w:rPr>
        <w:t>Findex</w:t>
      </w:r>
      <w:proofErr w:type="spellEnd"/>
      <w:r w:rsidRPr="003D7AF5">
        <w:rPr>
          <w:rFonts w:cstheme="minorHAnsi"/>
          <w:lang w:val="en-US"/>
        </w:rPr>
        <w:t xml:space="preserve">. 2014. Benin Global </w:t>
      </w:r>
      <w:proofErr w:type="spellStart"/>
      <w:r w:rsidRPr="003D7AF5">
        <w:rPr>
          <w:rFonts w:cstheme="minorHAnsi"/>
          <w:lang w:val="en-US"/>
        </w:rPr>
        <w:t>Findex</w:t>
      </w:r>
      <w:proofErr w:type="spellEnd"/>
      <w:r w:rsidRPr="003D7AF5">
        <w:rPr>
          <w:rFonts w:cstheme="minorHAnsi"/>
          <w:lang w:val="en-US"/>
        </w:rPr>
        <w:t xml:space="preserve"> Resources. </w:t>
      </w:r>
      <w:hyperlink r:id="rId63" w:history="1">
        <w:r w:rsidRPr="00224A8F">
          <w:rPr>
            <w:rStyle w:val="Hyperlink"/>
            <w:rFonts w:cstheme="minorHAnsi"/>
          </w:rPr>
          <w:t>http://datatopics.worldbank.org/financialinclusion/country/benin</w:t>
        </w:r>
      </w:hyperlink>
    </w:p>
    <w:p w14:paraId="336B73CC" w14:textId="77777777" w:rsidR="00D7283E" w:rsidRPr="003D7AF5" w:rsidRDefault="00D7283E" w:rsidP="00FF734E">
      <w:pPr>
        <w:autoSpaceDE w:val="0"/>
        <w:autoSpaceDN w:val="0"/>
        <w:adjustRightInd w:val="0"/>
        <w:spacing w:before="120" w:after="120" w:line="240" w:lineRule="auto"/>
        <w:ind w:left="720" w:hanging="720"/>
        <w:rPr>
          <w:rFonts w:cstheme="minorHAnsi"/>
        </w:rPr>
      </w:pPr>
      <w:r w:rsidRPr="003D7AF5">
        <w:rPr>
          <w:rFonts w:cstheme="minorHAnsi"/>
        </w:rPr>
        <w:t>FNDA.2015. Présentation du FNDA</w:t>
      </w:r>
    </w:p>
    <w:p w14:paraId="3C46295C" w14:textId="77777777" w:rsidR="00D7283E" w:rsidRPr="003D7AF5" w:rsidRDefault="00D7283E" w:rsidP="00FF734E">
      <w:pPr>
        <w:autoSpaceDE w:val="0"/>
        <w:autoSpaceDN w:val="0"/>
        <w:adjustRightInd w:val="0"/>
        <w:spacing w:before="120" w:after="120" w:line="240" w:lineRule="auto"/>
        <w:ind w:left="720" w:hanging="720"/>
        <w:rPr>
          <w:rFonts w:cstheme="minorHAnsi"/>
        </w:rPr>
      </w:pPr>
      <w:r w:rsidRPr="003D7AF5">
        <w:rPr>
          <w:rFonts w:cstheme="minorHAnsi"/>
        </w:rPr>
        <w:t>FNM (</w:t>
      </w:r>
      <w:r w:rsidRPr="003D7AF5">
        <w:t>National Microfinance Funds)</w:t>
      </w:r>
      <w:r w:rsidRPr="003D7AF5">
        <w:rPr>
          <w:rFonts w:cstheme="minorHAnsi"/>
        </w:rPr>
        <w:t>. 2017. Présentation des interventions du FNM.</w:t>
      </w:r>
    </w:p>
    <w:p w14:paraId="6AAD7680" w14:textId="77777777" w:rsidR="00D7283E" w:rsidRPr="003D7AF5" w:rsidRDefault="00D7283E" w:rsidP="00FF734E">
      <w:pPr>
        <w:autoSpaceDE w:val="0"/>
        <w:autoSpaceDN w:val="0"/>
        <w:adjustRightInd w:val="0"/>
        <w:spacing w:before="120" w:after="120" w:line="240" w:lineRule="auto"/>
        <w:ind w:left="720" w:hanging="720"/>
        <w:rPr>
          <w:rFonts w:cstheme="minorHAnsi"/>
        </w:rPr>
      </w:pPr>
      <w:r w:rsidRPr="003D7AF5">
        <w:rPr>
          <w:rFonts w:cstheme="minorHAnsi"/>
        </w:rPr>
        <w:t>Huber, C. 2015. Rapport Due Diligence Faitière Des caisses d’Épargne et de Crédit Agricole Mutuel du Bénin</w:t>
      </w:r>
    </w:p>
    <w:p w14:paraId="1BA802AA" w14:textId="77777777" w:rsidR="00D7283E" w:rsidRPr="003D7AF5" w:rsidRDefault="00D7283E" w:rsidP="00FF734E">
      <w:pPr>
        <w:autoSpaceDE w:val="0"/>
        <w:autoSpaceDN w:val="0"/>
        <w:adjustRightInd w:val="0"/>
        <w:spacing w:before="120" w:after="120" w:line="240" w:lineRule="auto"/>
        <w:ind w:left="720" w:hanging="720"/>
        <w:rPr>
          <w:rFonts w:cstheme="minorHAnsi"/>
          <w:lang w:val="en-US"/>
        </w:rPr>
      </w:pPr>
      <w:r w:rsidRPr="003D7AF5">
        <w:rPr>
          <w:rFonts w:cstheme="minorHAnsi"/>
          <w:lang w:val="en-US"/>
        </w:rPr>
        <w:t xml:space="preserve">International Growth Center. 2017. </w:t>
      </w:r>
      <w:r w:rsidRPr="003D7AF5">
        <w:rPr>
          <w:rFonts w:cstheme="minorHAnsi"/>
          <w:i/>
          <w:lang w:val="en-US"/>
        </w:rPr>
        <w:t>Farmers’ Vulnerability to Climate Shocks in Benin.</w:t>
      </w:r>
    </w:p>
    <w:p w14:paraId="177AF865" w14:textId="77777777" w:rsidR="00D7283E" w:rsidRPr="003D7AF5" w:rsidRDefault="00D7283E" w:rsidP="00FF734E">
      <w:pPr>
        <w:autoSpaceDE w:val="0"/>
        <w:autoSpaceDN w:val="0"/>
        <w:adjustRightInd w:val="0"/>
        <w:spacing w:before="120" w:after="120" w:line="240" w:lineRule="auto"/>
        <w:ind w:left="720" w:hanging="720"/>
        <w:rPr>
          <w:rFonts w:cstheme="minorHAnsi"/>
          <w:lang w:val="en-US"/>
        </w:rPr>
      </w:pPr>
      <w:r w:rsidRPr="003D7AF5">
        <w:rPr>
          <w:rFonts w:cstheme="minorHAnsi"/>
          <w:lang w:val="en-US"/>
        </w:rPr>
        <w:t>IMF (</w:t>
      </w:r>
      <w:r w:rsidRPr="003D7AF5">
        <w:rPr>
          <w:lang w:val="en-US"/>
        </w:rPr>
        <w:t>International Monetary Fund</w:t>
      </w:r>
      <w:r w:rsidRPr="003D7AF5">
        <w:rPr>
          <w:rFonts w:cstheme="minorHAnsi"/>
          <w:lang w:val="en-US"/>
        </w:rPr>
        <w:t xml:space="preserve">). 2015. </w:t>
      </w:r>
      <w:r w:rsidRPr="003D7AF5">
        <w:rPr>
          <w:rFonts w:cstheme="minorHAnsi"/>
          <w:i/>
          <w:lang w:val="en-US"/>
        </w:rPr>
        <w:t>Selected Issues Benin.</w:t>
      </w:r>
    </w:p>
    <w:p w14:paraId="6397FCDA" w14:textId="77777777" w:rsidR="00D7283E" w:rsidRPr="003D7AF5" w:rsidRDefault="00D7283E" w:rsidP="00FF734E">
      <w:pPr>
        <w:autoSpaceDE w:val="0"/>
        <w:autoSpaceDN w:val="0"/>
        <w:adjustRightInd w:val="0"/>
        <w:spacing w:before="120" w:after="120" w:line="240" w:lineRule="auto"/>
        <w:ind w:left="720" w:hanging="720"/>
        <w:rPr>
          <w:rFonts w:cstheme="minorHAnsi"/>
          <w:lang w:val="en-US"/>
        </w:rPr>
      </w:pPr>
      <w:r w:rsidRPr="003D7AF5">
        <w:rPr>
          <w:rFonts w:cstheme="minorHAnsi"/>
          <w:lang w:val="en-US"/>
        </w:rPr>
        <w:t xml:space="preserve">——— 2016. </w:t>
      </w:r>
      <w:r w:rsidRPr="003D7AF5">
        <w:rPr>
          <w:rFonts w:cstheme="minorHAnsi"/>
          <w:i/>
          <w:lang w:val="en-US"/>
        </w:rPr>
        <w:t>Country Report No.16/7.</w:t>
      </w:r>
    </w:p>
    <w:p w14:paraId="58CC1FF2" w14:textId="5F9B4E16" w:rsidR="00D7283E" w:rsidRPr="003D7AF5" w:rsidRDefault="00D7283E" w:rsidP="00FF734E">
      <w:pPr>
        <w:autoSpaceDE w:val="0"/>
        <w:autoSpaceDN w:val="0"/>
        <w:adjustRightInd w:val="0"/>
        <w:spacing w:before="120" w:after="120" w:line="240" w:lineRule="auto"/>
        <w:ind w:left="720" w:hanging="720"/>
        <w:rPr>
          <w:rFonts w:cstheme="minorHAnsi"/>
          <w:lang w:val="en-US"/>
        </w:rPr>
      </w:pPr>
      <w:r w:rsidRPr="003D7AF5">
        <w:rPr>
          <w:rFonts w:cstheme="minorHAnsi"/>
          <w:lang w:val="en-US"/>
        </w:rPr>
        <w:t xml:space="preserve">———. 2017. </w:t>
      </w:r>
      <w:r w:rsidRPr="003D7AF5">
        <w:rPr>
          <w:rFonts w:cstheme="minorHAnsi"/>
          <w:i/>
          <w:lang w:val="en-US"/>
        </w:rPr>
        <w:t>Regional Economic Outlook</w:t>
      </w:r>
      <w:r w:rsidR="00141BD7" w:rsidRPr="003D7AF5">
        <w:rPr>
          <w:rFonts w:cstheme="minorHAnsi"/>
          <w:i/>
          <w:lang w:val="en-US"/>
        </w:rPr>
        <w:t>—</w:t>
      </w:r>
      <w:r w:rsidRPr="003D7AF5">
        <w:rPr>
          <w:rFonts w:cstheme="minorHAnsi"/>
          <w:i/>
          <w:lang w:val="en-US"/>
        </w:rPr>
        <w:t xml:space="preserve">Sub-Saharan Africa Restarting </w:t>
      </w:r>
      <w:proofErr w:type="spellStart"/>
      <w:r w:rsidRPr="003D7AF5">
        <w:rPr>
          <w:rFonts w:cstheme="minorHAnsi"/>
          <w:i/>
          <w:lang w:val="en-US"/>
        </w:rPr>
        <w:t>theGrowth</w:t>
      </w:r>
      <w:proofErr w:type="spellEnd"/>
      <w:r w:rsidRPr="003D7AF5">
        <w:rPr>
          <w:rFonts w:cstheme="minorHAnsi"/>
          <w:i/>
          <w:lang w:val="en-US"/>
        </w:rPr>
        <w:t xml:space="preserve"> Engine</w:t>
      </w:r>
      <w:r w:rsidRPr="003D7AF5">
        <w:rPr>
          <w:rFonts w:cstheme="minorHAnsi"/>
          <w:lang w:val="en-US"/>
        </w:rPr>
        <w:t>.</w:t>
      </w:r>
    </w:p>
    <w:p w14:paraId="29F25E35" w14:textId="77777777" w:rsidR="00D7283E" w:rsidRPr="003D7AF5" w:rsidRDefault="00D7283E" w:rsidP="00FF734E">
      <w:pPr>
        <w:autoSpaceDE w:val="0"/>
        <w:autoSpaceDN w:val="0"/>
        <w:adjustRightInd w:val="0"/>
        <w:spacing w:before="120" w:after="120" w:line="240" w:lineRule="auto"/>
        <w:ind w:left="720" w:hanging="720"/>
        <w:rPr>
          <w:rFonts w:cs="TrebuchetMS,Bold"/>
          <w:bCs/>
        </w:rPr>
      </w:pPr>
      <w:r w:rsidRPr="003D7AF5">
        <w:rPr>
          <w:rFonts w:cstheme="minorHAnsi"/>
          <w:bCs/>
        </w:rPr>
        <w:t>INSAE (Institut National de la Statistique et de l’Analyse Économique). 2010. Recensement général des entreprises</w:t>
      </w:r>
    </w:p>
    <w:p w14:paraId="5214E22E" w14:textId="640F79F5" w:rsidR="00D7283E" w:rsidRPr="003D7AF5" w:rsidRDefault="00D7283E" w:rsidP="00FF734E">
      <w:pPr>
        <w:autoSpaceDE w:val="0"/>
        <w:autoSpaceDN w:val="0"/>
        <w:adjustRightInd w:val="0"/>
        <w:spacing w:before="120" w:after="120" w:line="240" w:lineRule="auto"/>
        <w:ind w:left="720" w:hanging="720"/>
        <w:rPr>
          <w:rFonts w:cstheme="minorHAnsi"/>
        </w:rPr>
      </w:pPr>
      <w:r w:rsidRPr="003D7AF5">
        <w:rPr>
          <w:rFonts w:cstheme="minorHAnsi"/>
        </w:rPr>
        <w:t>Ministère Chargée de la Microfinance Benin. 2014. Document de Politique de Développement de la microfinance</w:t>
      </w:r>
      <w:r w:rsidR="00141BD7" w:rsidRPr="003D7AF5">
        <w:rPr>
          <w:rFonts w:cstheme="minorHAnsi"/>
        </w:rPr>
        <w:t> </w:t>
      </w:r>
      <w:r w:rsidRPr="003D7AF5">
        <w:rPr>
          <w:rFonts w:cstheme="minorHAnsi"/>
        </w:rPr>
        <w:t>2015-2018</w:t>
      </w:r>
    </w:p>
    <w:p w14:paraId="0635F121" w14:textId="77777777" w:rsidR="00D7283E" w:rsidRPr="003D7AF5" w:rsidRDefault="00D7283E" w:rsidP="00FF734E">
      <w:pPr>
        <w:autoSpaceDE w:val="0"/>
        <w:autoSpaceDN w:val="0"/>
        <w:adjustRightInd w:val="0"/>
        <w:spacing w:before="120" w:after="120" w:line="240" w:lineRule="auto"/>
        <w:ind w:left="720" w:hanging="720"/>
        <w:rPr>
          <w:rFonts w:cstheme="minorHAnsi"/>
          <w:bCs/>
        </w:rPr>
      </w:pPr>
      <w:r w:rsidRPr="003D7AF5">
        <w:rPr>
          <w:rFonts w:cstheme="minorHAnsi"/>
          <w:bCs/>
        </w:rPr>
        <w:t xml:space="preserve">Ministère de la Prospective, du Développement, de l’Evaluation des Politiques Publiques et de la Coordination de l’Action Gouvernementale. 2010. </w:t>
      </w:r>
      <w:proofErr w:type="spellStart"/>
      <w:r w:rsidRPr="003D7AF5">
        <w:rPr>
          <w:rFonts w:cstheme="minorHAnsi"/>
          <w:bCs/>
        </w:rPr>
        <w:t>Récensement</w:t>
      </w:r>
      <w:proofErr w:type="spellEnd"/>
      <w:r w:rsidRPr="003D7AF5">
        <w:rPr>
          <w:rFonts w:cstheme="minorHAnsi"/>
          <w:bCs/>
        </w:rPr>
        <w:t xml:space="preserve"> Général des Entreprises (RGE_2)</w:t>
      </w:r>
    </w:p>
    <w:p w14:paraId="5E704079" w14:textId="77777777" w:rsidR="00D7283E" w:rsidRPr="003D7AF5" w:rsidRDefault="00D7283E" w:rsidP="00FF734E">
      <w:pPr>
        <w:pStyle w:val="FootnoteText"/>
        <w:spacing w:before="120" w:after="120"/>
        <w:ind w:left="720" w:hanging="720"/>
        <w:rPr>
          <w:rFonts w:cstheme="minorHAnsi"/>
          <w:sz w:val="22"/>
          <w:szCs w:val="22"/>
        </w:rPr>
      </w:pPr>
      <w:r w:rsidRPr="0017127D">
        <w:rPr>
          <w:rFonts w:cstheme="minorHAnsi"/>
          <w:sz w:val="22"/>
          <w:szCs w:val="22"/>
        </w:rPr>
        <w:t xml:space="preserve">Ministry of Agriculture, </w:t>
      </w:r>
      <w:proofErr w:type="spellStart"/>
      <w:r w:rsidRPr="0017127D">
        <w:rPr>
          <w:rFonts w:cstheme="minorHAnsi"/>
          <w:sz w:val="22"/>
          <w:szCs w:val="22"/>
        </w:rPr>
        <w:t>Livestock</w:t>
      </w:r>
      <w:proofErr w:type="spellEnd"/>
      <w:r w:rsidRPr="0017127D">
        <w:rPr>
          <w:rFonts w:cstheme="minorHAnsi"/>
          <w:sz w:val="22"/>
          <w:szCs w:val="22"/>
        </w:rPr>
        <w:t xml:space="preserve">, and </w:t>
      </w:r>
      <w:proofErr w:type="spellStart"/>
      <w:r w:rsidRPr="0017127D">
        <w:rPr>
          <w:rFonts w:cstheme="minorHAnsi"/>
          <w:sz w:val="22"/>
          <w:szCs w:val="22"/>
        </w:rPr>
        <w:t>Fisheries</w:t>
      </w:r>
      <w:proofErr w:type="spellEnd"/>
      <w:r w:rsidRPr="0017127D">
        <w:rPr>
          <w:rFonts w:cstheme="minorHAnsi"/>
          <w:sz w:val="22"/>
          <w:szCs w:val="22"/>
        </w:rPr>
        <w:t xml:space="preserve">-Benin. </w:t>
      </w:r>
      <w:r w:rsidRPr="003D7AF5">
        <w:rPr>
          <w:rFonts w:cstheme="minorHAnsi"/>
          <w:sz w:val="22"/>
          <w:szCs w:val="22"/>
        </w:rPr>
        <w:t xml:space="preserve">2017a. Plan Stratégique de Développement du Secteur Agricole (PSDSA) 2025 </w:t>
      </w:r>
    </w:p>
    <w:p w14:paraId="136658B9" w14:textId="77777777" w:rsidR="00D7283E" w:rsidRPr="003D7AF5" w:rsidRDefault="00744657" w:rsidP="00FF734E">
      <w:pPr>
        <w:pStyle w:val="FootnoteText"/>
        <w:spacing w:before="120" w:after="120"/>
        <w:ind w:left="720" w:hanging="720"/>
        <w:rPr>
          <w:rFonts w:cstheme="minorHAnsi"/>
          <w:sz w:val="22"/>
          <w:szCs w:val="22"/>
        </w:rPr>
      </w:pPr>
      <w:r w:rsidRPr="003D7AF5">
        <w:rPr>
          <w:rFonts w:cstheme="minorHAnsi"/>
          <w:sz w:val="22"/>
          <w:szCs w:val="22"/>
        </w:rPr>
        <w:t xml:space="preserve">———. </w:t>
      </w:r>
      <w:r w:rsidR="00D7283E" w:rsidRPr="003D7AF5">
        <w:rPr>
          <w:rFonts w:cstheme="minorHAnsi"/>
          <w:sz w:val="22"/>
          <w:szCs w:val="22"/>
        </w:rPr>
        <w:t>2017</w:t>
      </w:r>
      <w:r w:rsidR="00141BD7" w:rsidRPr="003D7AF5">
        <w:rPr>
          <w:rFonts w:cstheme="minorHAnsi"/>
          <w:sz w:val="22"/>
          <w:szCs w:val="22"/>
        </w:rPr>
        <w:t> </w:t>
      </w:r>
      <w:r w:rsidR="00D7283E" w:rsidRPr="003D7AF5">
        <w:rPr>
          <w:rFonts w:cstheme="minorHAnsi"/>
          <w:sz w:val="22"/>
          <w:szCs w:val="22"/>
        </w:rPr>
        <w:t>b</w:t>
      </w:r>
      <w:r w:rsidRPr="003D7AF5">
        <w:rPr>
          <w:rFonts w:cstheme="minorHAnsi"/>
          <w:sz w:val="22"/>
          <w:szCs w:val="22"/>
        </w:rPr>
        <w:t>.</w:t>
      </w:r>
      <w:r w:rsidR="00D7283E" w:rsidRPr="003D7AF5">
        <w:rPr>
          <w:rFonts w:cstheme="minorHAnsi"/>
          <w:sz w:val="22"/>
          <w:szCs w:val="22"/>
        </w:rPr>
        <w:t xml:space="preserve"> Plan National d’Investissements Agricoles et de Sécurité Alimentaire et Nutritionnelle (PNIASAN) 2017 – 2021</w:t>
      </w:r>
    </w:p>
    <w:p w14:paraId="586660DC" w14:textId="1C73B0D9" w:rsidR="00D7283E" w:rsidRPr="003D7AF5" w:rsidRDefault="00D7283E" w:rsidP="00FF734E">
      <w:pPr>
        <w:pStyle w:val="Default"/>
        <w:spacing w:before="120" w:after="120"/>
        <w:ind w:left="720" w:hanging="720"/>
        <w:rPr>
          <w:rFonts w:asciiTheme="minorHAnsi" w:hAnsiTheme="minorHAnsi" w:cstheme="minorHAnsi"/>
          <w:color w:val="auto"/>
          <w:sz w:val="22"/>
          <w:szCs w:val="22"/>
        </w:rPr>
      </w:pPr>
      <w:r w:rsidRPr="003D7AF5">
        <w:rPr>
          <w:rFonts w:asciiTheme="minorHAnsi" w:hAnsiTheme="minorHAnsi" w:cstheme="minorHAnsi"/>
          <w:color w:val="auto"/>
          <w:sz w:val="22"/>
          <w:szCs w:val="22"/>
        </w:rPr>
        <w:t>ORABANK. 2016. Complément d’informations pour l’accès au crédit de ORABANK sous couvert du fonds de garantie du PADA</w:t>
      </w:r>
    </w:p>
    <w:p w14:paraId="6A9EC5D7" w14:textId="77777777" w:rsidR="00D7283E" w:rsidRPr="003D7AF5" w:rsidRDefault="00D7283E" w:rsidP="00FF734E">
      <w:pPr>
        <w:autoSpaceDE w:val="0"/>
        <w:autoSpaceDN w:val="0"/>
        <w:adjustRightInd w:val="0"/>
        <w:spacing w:before="120" w:after="120" w:line="240" w:lineRule="auto"/>
        <w:ind w:left="720" w:hanging="720"/>
        <w:rPr>
          <w:rFonts w:cstheme="minorHAnsi"/>
        </w:rPr>
      </w:pPr>
      <w:bookmarkStart w:id="64" w:name="_Hlk520301285"/>
      <w:r w:rsidRPr="003D7AF5">
        <w:rPr>
          <w:rFonts w:cstheme="minorHAnsi"/>
        </w:rPr>
        <w:t>PNUD. 2007.</w:t>
      </w:r>
      <w:bookmarkEnd w:id="64"/>
      <w:r w:rsidRPr="003D7AF5">
        <w:rPr>
          <w:rFonts w:cstheme="minorHAnsi"/>
        </w:rPr>
        <w:t xml:space="preserve"> Diagnostic Approfondi du secteur de la Microfinance au Benin </w:t>
      </w:r>
    </w:p>
    <w:p w14:paraId="6818B4DA" w14:textId="0C6B7C8A" w:rsidR="00D7283E" w:rsidRPr="003D7AF5" w:rsidRDefault="00D7283E" w:rsidP="00FF734E">
      <w:pPr>
        <w:autoSpaceDE w:val="0"/>
        <w:autoSpaceDN w:val="0"/>
        <w:adjustRightInd w:val="0"/>
        <w:spacing w:before="120" w:after="120" w:line="240" w:lineRule="auto"/>
        <w:ind w:left="720" w:hanging="720"/>
        <w:rPr>
          <w:rFonts w:cstheme="minorHAnsi"/>
          <w:lang w:val="en-US"/>
        </w:rPr>
      </w:pPr>
      <w:r w:rsidRPr="003D7AF5">
        <w:rPr>
          <w:rFonts w:cstheme="minorHAnsi"/>
        </w:rPr>
        <w:t xml:space="preserve">Riquet, C. and C. </w:t>
      </w:r>
      <w:proofErr w:type="spellStart"/>
      <w:r w:rsidRPr="003D7AF5">
        <w:rPr>
          <w:rFonts w:cstheme="minorHAnsi"/>
        </w:rPr>
        <w:t>Poursat</w:t>
      </w:r>
      <w:proofErr w:type="spellEnd"/>
      <w:r w:rsidRPr="003D7AF5">
        <w:rPr>
          <w:rFonts w:cstheme="minorHAnsi"/>
        </w:rPr>
        <w:t xml:space="preserve">. </w:t>
      </w:r>
      <w:r w:rsidRPr="003D7AF5">
        <w:rPr>
          <w:rFonts w:cstheme="minorHAnsi"/>
          <w:lang w:val="en-US"/>
        </w:rPr>
        <w:t xml:space="preserve">2013. </w:t>
      </w:r>
      <w:r w:rsidR="00141BD7" w:rsidRPr="003D7AF5">
        <w:rPr>
          <w:rFonts w:cstheme="minorHAnsi"/>
          <w:lang w:val="en-US"/>
        </w:rPr>
        <w:t>‘</w:t>
      </w:r>
      <w:r w:rsidRPr="003D7AF5">
        <w:rPr>
          <w:rFonts w:cstheme="minorHAnsi"/>
          <w:iCs/>
          <w:lang w:val="en-US"/>
        </w:rPr>
        <w:t>Managing Failing Deposit-Taking Institutions: Regulatory Experience from Africa.</w:t>
      </w:r>
      <w:r w:rsidR="00141BD7" w:rsidRPr="003D7AF5">
        <w:rPr>
          <w:rFonts w:cstheme="minorHAnsi"/>
          <w:iCs/>
          <w:lang w:val="en-US"/>
        </w:rPr>
        <w:t>’</w:t>
      </w:r>
      <w:r w:rsidRPr="003D7AF5">
        <w:rPr>
          <w:rFonts w:cstheme="minorHAnsi"/>
          <w:i/>
          <w:iCs/>
          <w:lang w:val="en-US"/>
        </w:rPr>
        <w:t xml:space="preserve"> </w:t>
      </w:r>
      <w:r w:rsidRPr="003D7AF5">
        <w:rPr>
          <w:rFonts w:cstheme="minorHAnsi"/>
          <w:i/>
          <w:lang w:val="en-US"/>
        </w:rPr>
        <w:t>CGAP Focus Note No.</w:t>
      </w:r>
      <w:r w:rsidR="00C702B4" w:rsidRPr="003D7AF5">
        <w:rPr>
          <w:rFonts w:cstheme="minorHAnsi"/>
          <w:i/>
          <w:lang w:val="en-US"/>
        </w:rPr>
        <w:t> </w:t>
      </w:r>
      <w:r w:rsidRPr="003D7AF5">
        <w:rPr>
          <w:rFonts w:cstheme="minorHAnsi"/>
          <w:i/>
          <w:lang w:val="en-US"/>
        </w:rPr>
        <w:t>91.</w:t>
      </w:r>
    </w:p>
    <w:p w14:paraId="16DEF0AE" w14:textId="77777777" w:rsidR="00D7283E" w:rsidRPr="003D7AF5" w:rsidRDefault="00D7283E" w:rsidP="00FF734E">
      <w:pPr>
        <w:autoSpaceDE w:val="0"/>
        <w:autoSpaceDN w:val="0"/>
        <w:adjustRightInd w:val="0"/>
        <w:spacing w:before="120" w:after="120" w:line="240" w:lineRule="auto"/>
        <w:ind w:left="720" w:hanging="720"/>
        <w:rPr>
          <w:rFonts w:cstheme="minorHAnsi"/>
          <w:i/>
          <w:lang w:val="en-US"/>
        </w:rPr>
      </w:pPr>
      <w:r w:rsidRPr="003D7AF5">
        <w:rPr>
          <w:rFonts w:cstheme="minorHAnsi"/>
          <w:lang w:val="en-US"/>
        </w:rPr>
        <w:t xml:space="preserve">Smart Campaign. 2015. </w:t>
      </w:r>
      <w:r w:rsidRPr="003D7AF5">
        <w:rPr>
          <w:rFonts w:cstheme="minorHAnsi"/>
          <w:i/>
          <w:lang w:val="en-US"/>
        </w:rPr>
        <w:t>Client Voices Benin Country Report.</w:t>
      </w:r>
    </w:p>
    <w:p w14:paraId="01C402C1" w14:textId="77777777" w:rsidR="00D7283E" w:rsidRPr="003D7AF5" w:rsidRDefault="00D7283E" w:rsidP="00FF734E">
      <w:pPr>
        <w:autoSpaceDE w:val="0"/>
        <w:autoSpaceDN w:val="0"/>
        <w:adjustRightInd w:val="0"/>
        <w:spacing w:before="120" w:after="120" w:line="240" w:lineRule="auto"/>
        <w:ind w:left="720" w:hanging="720"/>
        <w:rPr>
          <w:rFonts w:cstheme="minorHAnsi"/>
        </w:rPr>
      </w:pPr>
      <w:r w:rsidRPr="003D7AF5">
        <w:rPr>
          <w:rFonts w:cstheme="minorHAnsi"/>
        </w:rPr>
        <w:t xml:space="preserve">SNV-Benin. 2013. LA </w:t>
      </w:r>
      <w:proofErr w:type="spellStart"/>
      <w:r w:rsidRPr="003D7AF5">
        <w:rPr>
          <w:rFonts w:cstheme="minorHAnsi"/>
        </w:rPr>
        <w:t>FILIeRE</w:t>
      </w:r>
      <w:proofErr w:type="spellEnd"/>
      <w:r w:rsidRPr="003D7AF5">
        <w:rPr>
          <w:rFonts w:cstheme="minorHAnsi"/>
        </w:rPr>
        <w:t xml:space="preserve"> COTONTISSE SA TOILEAU </w:t>
      </w:r>
      <w:proofErr w:type="spellStart"/>
      <w:r w:rsidRPr="003D7AF5">
        <w:rPr>
          <w:rFonts w:cstheme="minorHAnsi"/>
        </w:rPr>
        <w:t>BeNIN</w:t>
      </w:r>
      <w:proofErr w:type="spellEnd"/>
    </w:p>
    <w:p w14:paraId="57AA5AC9" w14:textId="77777777" w:rsidR="00D7283E" w:rsidRPr="003D7AF5" w:rsidRDefault="00D7283E" w:rsidP="00FF734E">
      <w:pPr>
        <w:autoSpaceDE w:val="0"/>
        <w:autoSpaceDN w:val="0"/>
        <w:adjustRightInd w:val="0"/>
        <w:spacing w:before="120" w:after="120" w:line="240" w:lineRule="auto"/>
        <w:ind w:left="720" w:hanging="720"/>
        <w:rPr>
          <w:rFonts w:cstheme="minorHAnsi"/>
        </w:rPr>
      </w:pPr>
      <w:proofErr w:type="spellStart"/>
      <w:r w:rsidRPr="003D7AF5">
        <w:rPr>
          <w:rFonts w:cstheme="minorHAnsi"/>
        </w:rPr>
        <w:t>Sossa</w:t>
      </w:r>
      <w:proofErr w:type="spellEnd"/>
      <w:r w:rsidRPr="003D7AF5">
        <w:rPr>
          <w:rFonts w:cstheme="minorHAnsi"/>
        </w:rPr>
        <w:t>, T (2011) La Microfinance au Bénin</w:t>
      </w:r>
    </w:p>
    <w:p w14:paraId="3D69C576" w14:textId="12956C30" w:rsidR="00D7283E" w:rsidRPr="003D7AF5" w:rsidRDefault="00D7283E" w:rsidP="00FF734E">
      <w:pPr>
        <w:autoSpaceDE w:val="0"/>
        <w:autoSpaceDN w:val="0"/>
        <w:adjustRightInd w:val="0"/>
        <w:spacing w:before="120" w:after="120" w:line="240" w:lineRule="auto"/>
        <w:ind w:left="720" w:hanging="720"/>
        <w:rPr>
          <w:rFonts w:cstheme="minorHAnsi"/>
        </w:rPr>
      </w:pPr>
      <w:r w:rsidRPr="003D7AF5">
        <w:rPr>
          <w:rFonts w:cstheme="minorHAnsi"/>
        </w:rPr>
        <w:t xml:space="preserve">SOSSOU </w:t>
      </w:r>
      <w:proofErr w:type="spellStart"/>
      <w:r w:rsidRPr="003D7AF5">
        <w:rPr>
          <w:rFonts w:cstheme="minorHAnsi"/>
        </w:rPr>
        <w:t>Comlan</w:t>
      </w:r>
      <w:proofErr w:type="spellEnd"/>
      <w:r w:rsidRPr="003D7AF5">
        <w:rPr>
          <w:rFonts w:cstheme="minorHAnsi"/>
        </w:rPr>
        <w:t xml:space="preserve"> Hervé.2015. Le financement de l’agriculture au Bénin</w:t>
      </w:r>
      <w:r w:rsidR="00141BD7" w:rsidRPr="003D7AF5">
        <w:rPr>
          <w:rFonts w:cstheme="minorHAnsi"/>
        </w:rPr>
        <w:t> </w:t>
      </w:r>
      <w:r w:rsidRPr="003D7AF5">
        <w:rPr>
          <w:rFonts w:cstheme="minorHAnsi"/>
        </w:rPr>
        <w:t>: stratégies de gestion et d’adaptation des exploitations agricoles. (Thèse de doctorat en français). Belgique, Université de Liège-Gembloux Agro-Bio Tech. 181 pages, 31 tableaux, 47 figures, 1 carte.</w:t>
      </w:r>
    </w:p>
    <w:p w14:paraId="1DC914B0" w14:textId="77777777" w:rsidR="00D7283E" w:rsidRPr="003D7AF5" w:rsidRDefault="00D7283E" w:rsidP="00FF734E">
      <w:pPr>
        <w:spacing w:before="120" w:after="120" w:line="240" w:lineRule="auto"/>
        <w:ind w:left="720" w:hanging="720"/>
        <w:rPr>
          <w:rFonts w:cstheme="minorHAnsi"/>
          <w:i/>
          <w:lang w:val="en-US"/>
        </w:rPr>
      </w:pPr>
      <w:r w:rsidRPr="003D7AF5">
        <w:rPr>
          <w:rFonts w:cstheme="minorHAnsi"/>
          <w:lang w:val="en-US"/>
        </w:rPr>
        <w:t>UNCDF (</w:t>
      </w:r>
      <w:r w:rsidRPr="003D7AF5">
        <w:rPr>
          <w:lang w:val="en-US"/>
        </w:rPr>
        <w:t>United Nations Capital Development Fund)</w:t>
      </w:r>
      <w:r w:rsidRPr="003D7AF5">
        <w:rPr>
          <w:rFonts w:cstheme="minorHAnsi"/>
          <w:lang w:val="en-US"/>
        </w:rPr>
        <w:t xml:space="preserve">. 2017. </w:t>
      </w:r>
      <w:proofErr w:type="spellStart"/>
      <w:r w:rsidRPr="003D7AF5">
        <w:rPr>
          <w:rFonts w:cstheme="minorHAnsi"/>
          <w:i/>
          <w:lang w:val="en-US"/>
        </w:rPr>
        <w:t>MicroLead</w:t>
      </w:r>
      <w:proofErr w:type="spellEnd"/>
      <w:r w:rsidRPr="003D7AF5">
        <w:rPr>
          <w:rFonts w:cstheme="minorHAnsi"/>
          <w:i/>
          <w:lang w:val="en-US"/>
        </w:rPr>
        <w:t xml:space="preserve"> Handout VSLA.</w:t>
      </w:r>
    </w:p>
    <w:p w14:paraId="462B6F17" w14:textId="77777777" w:rsidR="00D7283E" w:rsidRPr="003D7AF5" w:rsidRDefault="00D7283E" w:rsidP="00FF734E">
      <w:pPr>
        <w:spacing w:before="120" w:after="120" w:line="240" w:lineRule="auto"/>
        <w:ind w:left="720" w:hanging="720"/>
        <w:rPr>
          <w:rFonts w:cstheme="minorHAnsi"/>
          <w:i/>
        </w:rPr>
      </w:pPr>
      <w:r w:rsidRPr="003D7AF5">
        <w:rPr>
          <w:rFonts w:cstheme="minorHAnsi"/>
          <w:lang w:val="en-US"/>
        </w:rPr>
        <w:t>UNDP (</w:t>
      </w:r>
      <w:r w:rsidRPr="003D7AF5">
        <w:rPr>
          <w:lang w:val="en-US"/>
        </w:rPr>
        <w:t xml:space="preserve">United Nations Development </w:t>
      </w:r>
      <w:proofErr w:type="spellStart"/>
      <w:r w:rsidRPr="003D7AF5">
        <w:rPr>
          <w:lang w:val="en-US"/>
        </w:rPr>
        <w:t>Programme</w:t>
      </w:r>
      <w:proofErr w:type="spellEnd"/>
      <w:r w:rsidRPr="003D7AF5">
        <w:rPr>
          <w:lang w:val="en-US"/>
        </w:rPr>
        <w:t>)</w:t>
      </w:r>
      <w:r w:rsidRPr="003D7AF5">
        <w:rPr>
          <w:rFonts w:cstheme="minorHAnsi"/>
          <w:lang w:val="en-US"/>
        </w:rPr>
        <w:t xml:space="preserve">. 2016. </w:t>
      </w:r>
      <w:r w:rsidRPr="003D7AF5">
        <w:rPr>
          <w:rFonts w:cstheme="minorHAnsi"/>
          <w:i/>
          <w:lang w:val="en-US"/>
        </w:rPr>
        <w:t>The Trends of Poverty in Benin over the Period 2007–2015.</w:t>
      </w:r>
      <w:r w:rsidRPr="003D7AF5">
        <w:rPr>
          <w:rFonts w:cstheme="minorHAnsi"/>
          <w:lang w:val="en-US"/>
        </w:rPr>
        <w:t xml:space="preserve"> </w:t>
      </w:r>
      <w:hyperlink r:id="rId64" w:history="1">
        <w:r w:rsidRPr="003D7AF5">
          <w:rPr>
            <w:rStyle w:val="Hyperlink"/>
            <w:rFonts w:cstheme="minorHAnsi"/>
            <w:color w:val="5B9BD5" w:themeColor="accent1"/>
          </w:rPr>
          <w:t>http://www.bj.undp.org/content/benin/fr/home/library/poverty/publication_335111/</w:t>
        </w:r>
      </w:hyperlink>
    </w:p>
    <w:p w14:paraId="0B51A651" w14:textId="09642DCE" w:rsidR="00D7283E" w:rsidRPr="003D7AF5" w:rsidRDefault="00D7283E" w:rsidP="00FF734E">
      <w:pPr>
        <w:pStyle w:val="Default"/>
        <w:spacing w:before="120" w:after="120"/>
        <w:ind w:left="720" w:hanging="720"/>
        <w:rPr>
          <w:rFonts w:asciiTheme="minorHAnsi" w:hAnsiTheme="minorHAnsi"/>
          <w:bCs/>
          <w:color w:val="auto"/>
          <w:sz w:val="22"/>
          <w:szCs w:val="22"/>
        </w:rPr>
      </w:pPr>
      <w:r w:rsidRPr="003D7AF5">
        <w:rPr>
          <w:rFonts w:asciiTheme="minorHAnsi" w:hAnsiTheme="minorHAnsi"/>
          <w:color w:val="auto"/>
          <w:sz w:val="22"/>
          <w:szCs w:val="22"/>
        </w:rPr>
        <w:t xml:space="preserve">Union Européenne. 2016. </w:t>
      </w:r>
      <w:r w:rsidRPr="003D7AF5">
        <w:rPr>
          <w:rFonts w:asciiTheme="minorHAnsi" w:hAnsiTheme="minorHAnsi"/>
          <w:bCs/>
          <w:color w:val="auto"/>
          <w:sz w:val="22"/>
          <w:szCs w:val="22"/>
        </w:rPr>
        <w:t>Programme d</w:t>
      </w:r>
      <w:r w:rsidR="00141BD7" w:rsidRPr="003D7AF5">
        <w:rPr>
          <w:rFonts w:asciiTheme="minorHAnsi" w:hAnsiTheme="minorHAnsi"/>
          <w:bCs/>
          <w:color w:val="auto"/>
          <w:sz w:val="22"/>
          <w:szCs w:val="22"/>
        </w:rPr>
        <w:t>’</w:t>
      </w:r>
      <w:r w:rsidRPr="003D7AF5">
        <w:rPr>
          <w:rFonts w:asciiTheme="minorHAnsi" w:hAnsiTheme="minorHAnsi"/>
          <w:bCs/>
          <w:color w:val="auto"/>
          <w:sz w:val="22"/>
          <w:szCs w:val="22"/>
        </w:rPr>
        <w:t>appui au développement durable du secteur Agricole</w:t>
      </w:r>
    </w:p>
    <w:p w14:paraId="5666268D" w14:textId="77777777" w:rsidR="00D7283E" w:rsidRPr="003D7AF5" w:rsidRDefault="00D7283E" w:rsidP="00FF734E">
      <w:pPr>
        <w:autoSpaceDE w:val="0"/>
        <w:autoSpaceDN w:val="0"/>
        <w:adjustRightInd w:val="0"/>
        <w:spacing w:before="120" w:after="120" w:line="240" w:lineRule="auto"/>
        <w:ind w:left="720" w:hanging="720"/>
        <w:rPr>
          <w:rFonts w:cstheme="minorHAnsi"/>
          <w:i/>
          <w:lang w:val="en-US"/>
        </w:rPr>
      </w:pPr>
      <w:r w:rsidRPr="003D7AF5">
        <w:rPr>
          <w:rFonts w:cstheme="minorHAnsi"/>
          <w:lang w:val="en-US"/>
        </w:rPr>
        <w:t>USAID (</w:t>
      </w:r>
      <w:r w:rsidRPr="003D7AF5">
        <w:rPr>
          <w:lang w:val="en-US"/>
        </w:rPr>
        <w:t>U.S. Agency for International Development</w:t>
      </w:r>
      <w:r w:rsidRPr="003D7AF5">
        <w:rPr>
          <w:rFonts w:ascii="Arial" w:hAnsi="Arial" w:cs="Arial"/>
          <w:color w:val="222222"/>
          <w:shd w:val="clear" w:color="auto" w:fill="FFFFFF"/>
          <w:lang w:val="en-US"/>
        </w:rPr>
        <w:t>)</w:t>
      </w:r>
      <w:r w:rsidRPr="003D7AF5">
        <w:rPr>
          <w:rFonts w:cstheme="minorHAnsi"/>
          <w:lang w:val="en-US"/>
        </w:rPr>
        <w:t>.</w:t>
      </w:r>
      <w:r w:rsidR="00C702B4" w:rsidRPr="003D7AF5">
        <w:rPr>
          <w:rFonts w:cstheme="minorHAnsi"/>
          <w:lang w:val="en-US"/>
        </w:rPr>
        <w:t xml:space="preserve"> </w:t>
      </w:r>
      <w:r w:rsidRPr="003D7AF5">
        <w:rPr>
          <w:rFonts w:cstheme="minorHAnsi"/>
          <w:lang w:val="en-US"/>
        </w:rPr>
        <w:t xml:space="preserve">2014. </w:t>
      </w:r>
      <w:r w:rsidRPr="003D7AF5">
        <w:rPr>
          <w:rFonts w:cstheme="minorHAnsi"/>
          <w:i/>
          <w:lang w:val="en-US"/>
        </w:rPr>
        <w:t>Benin Agribusiness Commercial Legal and Institutional Reform Assessment.</w:t>
      </w:r>
    </w:p>
    <w:p w14:paraId="27E1C0BF" w14:textId="77777777" w:rsidR="00D7283E" w:rsidRPr="003D7AF5" w:rsidRDefault="00D7283E" w:rsidP="00FF734E">
      <w:pPr>
        <w:spacing w:before="120" w:after="120" w:line="240" w:lineRule="auto"/>
        <w:ind w:left="720" w:hanging="720"/>
        <w:rPr>
          <w:i/>
          <w:lang w:val="en-US"/>
        </w:rPr>
      </w:pPr>
      <w:r w:rsidRPr="003D7AF5">
        <w:rPr>
          <w:lang w:val="en-US"/>
        </w:rPr>
        <w:t>Varangis, P., J. Saint-</w:t>
      </w:r>
      <w:proofErr w:type="spellStart"/>
      <w:r w:rsidRPr="003D7AF5">
        <w:rPr>
          <w:lang w:val="en-US"/>
        </w:rPr>
        <w:t>Geours</w:t>
      </w:r>
      <w:proofErr w:type="spellEnd"/>
      <w:r w:rsidRPr="003D7AF5">
        <w:rPr>
          <w:lang w:val="en-US"/>
        </w:rPr>
        <w:t xml:space="preserve">. 2016. </w:t>
      </w:r>
      <w:r w:rsidRPr="003D7AF5">
        <w:rPr>
          <w:i/>
          <w:lang w:val="en-US"/>
        </w:rPr>
        <w:t>Using Commodities as a Collateral for Finance (Commodity Backed Finance).</w:t>
      </w:r>
    </w:p>
    <w:p w14:paraId="1AAC2AD8" w14:textId="77777777" w:rsidR="00D7283E" w:rsidRPr="003D7AF5" w:rsidRDefault="00D7283E" w:rsidP="00FF734E">
      <w:pPr>
        <w:pStyle w:val="FootnoteText"/>
        <w:spacing w:before="120" w:after="120"/>
        <w:ind w:left="720" w:hanging="720"/>
        <w:rPr>
          <w:rFonts w:cstheme="minorHAnsi"/>
          <w:sz w:val="22"/>
          <w:szCs w:val="22"/>
        </w:rPr>
      </w:pPr>
      <w:r w:rsidRPr="003D7AF5">
        <w:rPr>
          <w:rFonts w:cstheme="minorHAnsi"/>
          <w:sz w:val="22"/>
          <w:szCs w:val="22"/>
        </w:rPr>
        <w:t>World Bank. 2016a. Notes de politiques pour la nouvelle Administration Béninoise.</w:t>
      </w:r>
    </w:p>
    <w:p w14:paraId="59F45092" w14:textId="633DEC6F" w:rsidR="00D7283E" w:rsidRPr="003D7AF5" w:rsidRDefault="00D7283E" w:rsidP="00FF734E">
      <w:pPr>
        <w:spacing w:before="120" w:after="120" w:line="240" w:lineRule="auto"/>
        <w:ind w:left="720" w:hanging="720"/>
        <w:rPr>
          <w:lang w:val="en-US"/>
        </w:rPr>
      </w:pPr>
      <w:r w:rsidRPr="003D7AF5">
        <w:rPr>
          <w:rFonts w:cstheme="minorHAnsi"/>
          <w:lang w:val="en-US"/>
        </w:rPr>
        <w:t>———. 2016</w:t>
      </w:r>
      <w:r w:rsidR="00141BD7" w:rsidRPr="003D7AF5">
        <w:rPr>
          <w:rFonts w:cstheme="minorHAnsi"/>
          <w:lang w:val="en-US"/>
        </w:rPr>
        <w:t> </w:t>
      </w:r>
      <w:r w:rsidRPr="003D7AF5">
        <w:rPr>
          <w:rFonts w:cstheme="minorHAnsi"/>
          <w:lang w:val="en-US"/>
        </w:rPr>
        <w:t xml:space="preserve">b. </w:t>
      </w:r>
      <w:r w:rsidRPr="003D7AF5">
        <w:rPr>
          <w:rFonts w:cstheme="minorHAnsi"/>
          <w:i/>
          <w:lang w:val="en-US"/>
        </w:rPr>
        <w:t>Enterprise Surveys Benin</w:t>
      </w:r>
      <w:r w:rsidR="00C702B4" w:rsidRPr="003D7AF5">
        <w:rPr>
          <w:rFonts w:cstheme="minorHAnsi"/>
          <w:i/>
          <w:lang w:val="en-US"/>
        </w:rPr>
        <w:t> </w:t>
      </w:r>
      <w:r w:rsidRPr="003D7AF5">
        <w:rPr>
          <w:rFonts w:cstheme="minorHAnsi"/>
          <w:i/>
          <w:lang w:val="en-US"/>
        </w:rPr>
        <w:t>2016 Country Profile</w:t>
      </w:r>
    </w:p>
    <w:p w14:paraId="0CC3E269" w14:textId="77777777" w:rsidR="00D7283E" w:rsidRPr="003D7AF5" w:rsidRDefault="00D7283E" w:rsidP="00FF734E">
      <w:pPr>
        <w:autoSpaceDE w:val="0"/>
        <w:autoSpaceDN w:val="0"/>
        <w:adjustRightInd w:val="0"/>
        <w:spacing w:before="120" w:after="120" w:line="240" w:lineRule="auto"/>
        <w:ind w:left="720" w:hanging="720"/>
        <w:rPr>
          <w:rFonts w:cstheme="minorHAnsi"/>
          <w:b/>
          <w:bCs/>
          <w:lang w:val="en-US"/>
        </w:rPr>
      </w:pPr>
      <w:r w:rsidRPr="003D7AF5">
        <w:rPr>
          <w:rFonts w:cstheme="minorHAnsi"/>
          <w:lang w:val="en-US"/>
        </w:rPr>
        <w:t xml:space="preserve">World Bank Group. 2004. </w:t>
      </w:r>
      <w:r w:rsidRPr="003D7AF5">
        <w:rPr>
          <w:rFonts w:cstheme="minorHAnsi"/>
          <w:i/>
          <w:lang w:val="en-US"/>
        </w:rPr>
        <w:t xml:space="preserve">Benin </w:t>
      </w:r>
      <w:r w:rsidRPr="003D7AF5">
        <w:rPr>
          <w:rFonts w:cstheme="minorHAnsi"/>
          <w:bCs/>
          <w:i/>
          <w:lang w:val="en-US"/>
        </w:rPr>
        <w:t>Implementation of the PARMEC Law for Regulation of Microfinance.</w:t>
      </w:r>
    </w:p>
    <w:p w14:paraId="51D182CD" w14:textId="0EFC930D" w:rsidR="00D7283E" w:rsidRPr="003D7AF5" w:rsidRDefault="00D7283E" w:rsidP="00FF734E">
      <w:pPr>
        <w:autoSpaceDE w:val="0"/>
        <w:autoSpaceDN w:val="0"/>
        <w:adjustRightInd w:val="0"/>
        <w:spacing w:before="120" w:after="120" w:line="240" w:lineRule="auto"/>
        <w:ind w:left="720" w:hanging="720"/>
        <w:rPr>
          <w:rFonts w:cstheme="minorHAnsi"/>
          <w:lang w:val="en-US"/>
        </w:rPr>
      </w:pPr>
      <w:r w:rsidRPr="003D7AF5">
        <w:rPr>
          <w:rFonts w:cstheme="minorHAnsi"/>
          <w:lang w:val="en-US"/>
        </w:rPr>
        <w:t xml:space="preserve">———. 2016a. </w:t>
      </w:r>
      <w:r w:rsidRPr="003D7AF5">
        <w:rPr>
          <w:rFonts w:cstheme="minorHAnsi"/>
          <w:i/>
          <w:lang w:val="en-US"/>
        </w:rPr>
        <w:t>Achievements in ACP Countries by Global Index Insurance Facility Phase</w:t>
      </w:r>
      <w:r w:rsidR="00C702B4" w:rsidRPr="003D7AF5">
        <w:rPr>
          <w:rFonts w:cstheme="minorHAnsi"/>
          <w:i/>
          <w:lang w:val="en-US"/>
        </w:rPr>
        <w:t> </w:t>
      </w:r>
      <w:r w:rsidRPr="003D7AF5">
        <w:rPr>
          <w:rFonts w:cstheme="minorHAnsi"/>
          <w:i/>
          <w:lang w:val="en-US"/>
        </w:rPr>
        <w:t>1 (2010</w:t>
      </w:r>
      <w:r w:rsidR="00706F23" w:rsidRPr="003D7AF5">
        <w:rPr>
          <w:rFonts w:cstheme="minorHAnsi"/>
          <w:i/>
          <w:lang w:val="en-US"/>
        </w:rPr>
        <w:t>–</w:t>
      </w:r>
      <w:r w:rsidRPr="003D7AF5">
        <w:rPr>
          <w:rFonts w:cstheme="minorHAnsi"/>
          <w:i/>
          <w:lang w:val="en-US"/>
        </w:rPr>
        <w:t>2015).</w:t>
      </w:r>
    </w:p>
    <w:p w14:paraId="6D93D633" w14:textId="77777777" w:rsidR="00D7283E" w:rsidRPr="003D7AF5" w:rsidRDefault="00D7283E" w:rsidP="00FF734E">
      <w:pPr>
        <w:spacing w:before="120" w:after="120" w:line="240" w:lineRule="auto"/>
        <w:ind w:left="720" w:hanging="720"/>
        <w:rPr>
          <w:rFonts w:cstheme="minorHAnsi"/>
          <w:i/>
          <w:lang w:val="en-US"/>
        </w:rPr>
      </w:pPr>
      <w:r w:rsidRPr="003D7AF5">
        <w:rPr>
          <w:rFonts w:cstheme="minorHAnsi"/>
          <w:lang w:val="en-US"/>
        </w:rPr>
        <w:t xml:space="preserve">———. 2016b, </w:t>
      </w:r>
      <w:r w:rsidRPr="003D7AF5">
        <w:rPr>
          <w:rFonts w:cstheme="minorHAnsi"/>
          <w:i/>
          <w:lang w:val="en-US"/>
        </w:rPr>
        <w:t>Assessing Implementation of the Principles for Public Credit Guarantees for SMEs</w:t>
      </w:r>
      <w:r w:rsidRPr="003D7AF5">
        <w:rPr>
          <w:rFonts w:cstheme="minorHAnsi"/>
          <w:lang w:val="en-US"/>
        </w:rPr>
        <w:t>.</w:t>
      </w:r>
    </w:p>
    <w:p w14:paraId="5B8D59A9" w14:textId="77777777" w:rsidR="00D7283E" w:rsidRPr="003D7AF5" w:rsidRDefault="00D7283E" w:rsidP="00FF734E">
      <w:pPr>
        <w:pStyle w:val="FootnoteText"/>
        <w:spacing w:before="120" w:after="120"/>
        <w:ind w:left="720" w:hanging="720"/>
        <w:rPr>
          <w:rFonts w:cstheme="minorHAnsi"/>
          <w:i/>
          <w:sz w:val="22"/>
          <w:szCs w:val="22"/>
          <w:lang w:val="en-US"/>
        </w:rPr>
      </w:pPr>
      <w:r w:rsidRPr="003D7AF5">
        <w:rPr>
          <w:rFonts w:cstheme="minorHAnsi"/>
          <w:sz w:val="22"/>
          <w:szCs w:val="22"/>
          <w:lang w:val="en-US"/>
        </w:rPr>
        <w:t xml:space="preserve">———. 2017a. </w:t>
      </w:r>
      <w:r w:rsidRPr="003D7AF5">
        <w:rPr>
          <w:rFonts w:cstheme="minorHAnsi"/>
          <w:i/>
          <w:sz w:val="22"/>
          <w:szCs w:val="22"/>
          <w:lang w:val="en-US"/>
        </w:rPr>
        <w:t>Benin SCD.</w:t>
      </w:r>
    </w:p>
    <w:p w14:paraId="58B5A167" w14:textId="0AA20735" w:rsidR="00D7283E" w:rsidRPr="003D7AF5" w:rsidRDefault="00D7283E" w:rsidP="00FF734E">
      <w:pPr>
        <w:pStyle w:val="FootnoteText"/>
        <w:spacing w:before="120" w:after="120"/>
        <w:ind w:left="720" w:hanging="720"/>
        <w:rPr>
          <w:rFonts w:cstheme="minorHAnsi"/>
          <w:i/>
          <w:sz w:val="22"/>
          <w:szCs w:val="22"/>
          <w:lang w:val="en-US"/>
        </w:rPr>
      </w:pPr>
      <w:r w:rsidRPr="003D7AF5">
        <w:rPr>
          <w:rFonts w:cstheme="minorHAnsi"/>
          <w:sz w:val="22"/>
          <w:szCs w:val="22"/>
          <w:lang w:val="en-US"/>
        </w:rPr>
        <w:t xml:space="preserve">———. 2017b. </w:t>
      </w:r>
      <w:r w:rsidRPr="003D7AF5">
        <w:rPr>
          <w:rFonts w:cstheme="minorHAnsi"/>
          <w:i/>
          <w:sz w:val="22"/>
          <w:szCs w:val="22"/>
          <w:lang w:val="en-US"/>
        </w:rPr>
        <w:t>Enabling the Business of Agriculture</w:t>
      </w:r>
      <w:r w:rsidR="00141BD7" w:rsidRPr="003D7AF5">
        <w:rPr>
          <w:rFonts w:cstheme="minorHAnsi"/>
          <w:i/>
          <w:sz w:val="22"/>
          <w:szCs w:val="22"/>
          <w:lang w:val="en-US"/>
        </w:rPr>
        <w:t>—</w:t>
      </w:r>
      <w:r w:rsidRPr="003D7AF5">
        <w:rPr>
          <w:rFonts w:cstheme="minorHAnsi"/>
          <w:i/>
          <w:sz w:val="22"/>
          <w:szCs w:val="22"/>
          <w:lang w:val="en-US"/>
        </w:rPr>
        <w:t xml:space="preserve">Country Profile </w:t>
      </w:r>
    </w:p>
    <w:p w14:paraId="4AFDD3AB" w14:textId="77777777" w:rsidR="00D7283E" w:rsidRPr="00124DA6" w:rsidRDefault="00D7283E" w:rsidP="00FF734E">
      <w:pPr>
        <w:spacing w:before="120" w:after="120" w:line="240" w:lineRule="auto"/>
        <w:ind w:left="720" w:hanging="720"/>
        <w:rPr>
          <w:rFonts w:cstheme="minorHAnsi"/>
          <w:i/>
          <w:lang w:val="en-US"/>
        </w:rPr>
      </w:pPr>
      <w:r w:rsidRPr="003D7AF5">
        <w:rPr>
          <w:rFonts w:cstheme="minorHAnsi"/>
          <w:lang w:val="en-US"/>
        </w:rPr>
        <w:t xml:space="preserve">———. 2018. </w:t>
      </w:r>
      <w:r w:rsidRPr="003D7AF5">
        <w:rPr>
          <w:rFonts w:cstheme="minorHAnsi"/>
          <w:i/>
          <w:lang w:val="en-US"/>
        </w:rPr>
        <w:t>From Mobile to Credit. Financial Access for Poverty Reduction and Economic Growth in Mali.</w:t>
      </w:r>
    </w:p>
    <w:p w14:paraId="06AE2C81" w14:textId="77777777" w:rsidR="00FA4F13" w:rsidRPr="00124DA6" w:rsidRDefault="00FA4F13" w:rsidP="00FF734E">
      <w:pPr>
        <w:pStyle w:val="FootnoteText"/>
        <w:spacing w:before="120" w:after="120" w:line="360" w:lineRule="auto"/>
        <w:rPr>
          <w:rFonts w:cstheme="minorHAnsi"/>
          <w:sz w:val="22"/>
          <w:szCs w:val="22"/>
          <w:lang w:val="en-US"/>
        </w:rPr>
      </w:pPr>
    </w:p>
    <w:p w14:paraId="62EDFB1F" w14:textId="77777777" w:rsidR="00FA4F13" w:rsidRPr="005047BE" w:rsidRDefault="00FA4F13" w:rsidP="009277DB">
      <w:pPr>
        <w:pStyle w:val="Heading1"/>
        <w:rPr>
          <w:b/>
        </w:rPr>
      </w:pPr>
      <w:bookmarkStart w:id="65" w:name="_Toc3975161"/>
      <w:r w:rsidRPr="005047BE">
        <w:rPr>
          <w:b/>
          <w:noProof/>
          <w:lang w:val="fr-FR" w:eastAsia="fr-FR"/>
        </w:rPr>
        <w:drawing>
          <wp:anchor distT="0" distB="0" distL="114300" distR="114300" simplePos="0" relativeHeight="251656192" behindDoc="0" locked="0" layoutInCell="1" allowOverlap="1" wp14:anchorId="69107CD4" wp14:editId="5989040B">
            <wp:simplePos x="0" y="0"/>
            <wp:positionH relativeFrom="column">
              <wp:posOffset>82550</wp:posOffset>
            </wp:positionH>
            <wp:positionV relativeFrom="paragraph">
              <wp:posOffset>424815</wp:posOffset>
            </wp:positionV>
            <wp:extent cx="5661025" cy="7800340"/>
            <wp:effectExtent l="0" t="0" r="0" b="0"/>
            <wp:wrapTopAndBottom/>
            <wp:docPr id="39" name="Picture 39" descr="C:\Users\WB149186\AppData\Local\Microsoft\Windows\INetCache\Content.Word\BEN33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149186\AppData\Local\Microsoft\Windows\INetCache\Content.Word\BEN33372.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661025" cy="7800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D7B" w:rsidRPr="005047BE">
        <w:rPr>
          <w:b/>
        </w:rPr>
        <w:t>Map</w:t>
      </w:r>
      <w:bookmarkStart w:id="66" w:name="_GoBack"/>
      <w:bookmarkEnd w:id="65"/>
      <w:bookmarkEnd w:id="66"/>
    </w:p>
    <w:sectPr w:rsidR="00FA4F13" w:rsidRPr="005047BE" w:rsidSect="00165AEF">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FF62A" w14:textId="77777777" w:rsidR="0018122C" w:rsidRDefault="0018122C" w:rsidP="00463ED7">
      <w:pPr>
        <w:spacing w:after="0" w:line="240" w:lineRule="auto"/>
      </w:pPr>
      <w:r>
        <w:separator/>
      </w:r>
    </w:p>
  </w:endnote>
  <w:endnote w:type="continuationSeparator" w:id="0">
    <w:p w14:paraId="7C823957" w14:textId="77777777" w:rsidR="0018122C" w:rsidRDefault="0018122C" w:rsidP="00463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Avenir-Book">
    <w:altName w:val="Yu Gothic"/>
    <w:panose1 w:val="00000000000000000000"/>
    <w:charset w:val="80"/>
    <w:family w:val="swiss"/>
    <w:notTrueType/>
    <w:pitch w:val="default"/>
    <w:sig w:usb0="00000001" w:usb1="08070000" w:usb2="00000010" w:usb3="00000000" w:csb0="00020000" w:csb1="00000000"/>
  </w:font>
  <w:font w:name="Calibri-Bold">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Bold">
    <w:altName w:val="Tahoma"/>
    <w:panose1 w:val="00000000000000000000"/>
    <w:charset w:val="80"/>
    <w:family w:val="auto"/>
    <w:notTrueType/>
    <w:pitch w:val="default"/>
    <w:sig w:usb0="00000001" w:usb1="08070000" w:usb2="00000010" w:usb3="00000000" w:csb0="00020000" w:csb1="00000000"/>
  </w:font>
  <w:font w:name="SegoeUI">
    <w:altName w:val="Cambria"/>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MyriadPro-Regular">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GillSansStd-Light">
    <w:altName w:val="Calibri"/>
    <w:panose1 w:val="00000000000000000000"/>
    <w:charset w:val="00"/>
    <w:family w:val="swiss"/>
    <w:notTrueType/>
    <w:pitch w:val="default"/>
    <w:sig w:usb0="00000003" w:usb1="00000000" w:usb2="00000000" w:usb3="00000000" w:csb0="00000001" w:csb1="00000000"/>
  </w:font>
  <w:font w:name="HelveticaNeueLTStd-LtCn">
    <w:altName w:val="Yu Gothic"/>
    <w:panose1 w:val="00000000000000000000"/>
    <w:charset w:val="80"/>
    <w:family w:val="swiss"/>
    <w:notTrueType/>
    <w:pitch w:val="default"/>
    <w:sig w:usb0="00000001" w:usb1="08070000" w:usb2="00000010" w:usb3="00000000" w:csb0="00020000" w:csb1="00000000"/>
  </w:font>
  <w:font w:name="TrebuchetM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121729"/>
      <w:docPartObj>
        <w:docPartGallery w:val="Page Numbers (Bottom of Page)"/>
        <w:docPartUnique/>
      </w:docPartObj>
    </w:sdtPr>
    <w:sdtEndPr/>
    <w:sdtContent>
      <w:p w14:paraId="78C34EC0" w14:textId="77777777" w:rsidR="003B0984" w:rsidRDefault="003B0984">
        <w:pPr>
          <w:pStyle w:val="Footer"/>
        </w:pPr>
        <w:r>
          <w:rPr>
            <w:noProof/>
            <w:lang w:eastAsia="fr-FR"/>
          </w:rPr>
          <mc:AlternateContent>
            <mc:Choice Requires="wps">
              <w:drawing>
                <wp:anchor distT="0" distB="0" distL="114300" distR="114300" simplePos="0" relativeHeight="251659264" behindDoc="0" locked="0" layoutInCell="0" allowOverlap="1" wp14:anchorId="3EA06E7D" wp14:editId="2BBB7526">
                  <wp:simplePos x="0" y="0"/>
                  <wp:positionH relativeFrom="rightMargin">
                    <wp:posOffset>6825</wp:posOffset>
                  </wp:positionH>
                  <wp:positionV relativeFrom="bottomMargin">
                    <wp:posOffset>68238</wp:posOffset>
                  </wp:positionV>
                  <wp:extent cx="429904" cy="395785"/>
                  <wp:effectExtent l="0" t="0" r="27305" b="23495"/>
                  <wp:wrapNone/>
                  <wp:docPr id="16" name="Carré corné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904" cy="395785"/>
                          </a:xfrm>
                          <a:prstGeom prst="foldedCorner">
                            <a:avLst>
                              <a:gd name="adj" fmla="val 34560"/>
                            </a:avLst>
                          </a:prstGeom>
                          <a:solidFill>
                            <a:srgbClr val="FFFFFF"/>
                          </a:solidFill>
                          <a:ln w="3175">
                            <a:solidFill>
                              <a:srgbClr val="808080"/>
                            </a:solidFill>
                            <a:round/>
                            <a:headEnd/>
                            <a:tailEnd/>
                          </a:ln>
                        </wps:spPr>
                        <wps:txbx>
                          <w:txbxContent>
                            <w:p w14:paraId="087359AF" w14:textId="77777777" w:rsidR="003B0984" w:rsidRDefault="003B0984">
                              <w:pPr>
                                <w:jc w:val="center"/>
                              </w:pPr>
                              <w:r>
                                <w:fldChar w:fldCharType="begin"/>
                              </w:r>
                              <w:r>
                                <w:instrText>PAGE    \* MERGEFORMAT</w:instrText>
                              </w:r>
                              <w:r>
                                <w:fldChar w:fldCharType="separate"/>
                              </w:r>
                              <w:r w:rsidR="00DE0B57" w:rsidRPr="00DE0B57">
                                <w:rPr>
                                  <w:noProof/>
                                  <w:sz w:val="16"/>
                                  <w:szCs w:val="16"/>
                                </w:rPr>
                                <w:t>67</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A06E7D"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16" o:spid="_x0000_s1041" type="#_x0000_t65" style="position:absolute;margin-left:.55pt;margin-top:5.35pt;width:33.85pt;height:31.1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" o:allowincell="f" adj="14135" strokecolor="gray" strokeweight=".25pt">
                  <v:textbox>
                    <w:txbxContent>
                      <w:p w14:paraId="087359AF" w14:textId="77777777" w:rsidR="003B0984" w:rsidRDefault="003B0984">
                        <w:pPr>
                          <w:jc w:val="center"/>
                        </w:pPr>
                        <w:r>
                          <w:fldChar w:fldCharType="begin"/>
                        </w:r>
                        <w:r>
                          <w:instrText>PAGE    \* MERGEFORMAT</w:instrText>
                        </w:r>
                        <w:r>
                          <w:fldChar w:fldCharType="separate"/>
                        </w:r>
                        <w:r w:rsidR="00DE0B57" w:rsidRPr="00DE0B57">
                          <w:rPr>
                            <w:noProof/>
                            <w:sz w:val="16"/>
                            <w:szCs w:val="16"/>
                          </w:rPr>
                          <w:t>67</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DA7E83" w14:textId="77777777" w:rsidR="0018122C" w:rsidRDefault="0018122C" w:rsidP="00463ED7">
      <w:pPr>
        <w:spacing w:after="0" w:line="240" w:lineRule="auto"/>
      </w:pPr>
      <w:r>
        <w:separator/>
      </w:r>
    </w:p>
  </w:footnote>
  <w:footnote w:type="continuationSeparator" w:id="0">
    <w:p w14:paraId="2A6C7BC1" w14:textId="77777777" w:rsidR="0018122C" w:rsidRDefault="0018122C" w:rsidP="00463ED7">
      <w:pPr>
        <w:spacing w:after="0" w:line="240" w:lineRule="auto"/>
      </w:pPr>
      <w:r>
        <w:continuationSeparator/>
      </w:r>
    </w:p>
  </w:footnote>
  <w:footnote w:id="1">
    <w:p w14:paraId="5189EE12" w14:textId="77777777" w:rsidR="003B0984" w:rsidRPr="004E3333" w:rsidRDefault="003B0984" w:rsidP="00651749">
      <w:pPr>
        <w:pStyle w:val="FootnoteText"/>
        <w:jc w:val="both"/>
        <w:rPr>
          <w:rFonts w:cstheme="minorHAnsi"/>
          <w:sz w:val="18"/>
          <w:szCs w:val="18"/>
          <w:lang w:val="en-US"/>
        </w:rPr>
      </w:pPr>
      <w:r w:rsidRPr="004E3333">
        <w:rPr>
          <w:rStyle w:val="FootnoteReference"/>
          <w:rFonts w:cstheme="minorHAnsi"/>
          <w:sz w:val="18"/>
          <w:szCs w:val="18"/>
        </w:rPr>
        <w:footnoteRef/>
      </w:r>
      <w:r w:rsidRPr="004E3333">
        <w:rPr>
          <w:rFonts w:cstheme="minorHAnsi"/>
          <w:sz w:val="18"/>
          <w:szCs w:val="18"/>
          <w:lang w:val="en-US"/>
        </w:rPr>
        <w:t xml:space="preserve"> Inclusive of both deposit-taking MFIs and financial cooperatives.</w:t>
      </w:r>
    </w:p>
  </w:footnote>
  <w:footnote w:id="2">
    <w:p w14:paraId="337F1C61" w14:textId="04FB398D" w:rsidR="003B0984" w:rsidRPr="004E3333" w:rsidRDefault="003B0984" w:rsidP="00651749">
      <w:pPr>
        <w:pStyle w:val="FootnoteText"/>
        <w:jc w:val="both"/>
        <w:rPr>
          <w:rFonts w:cstheme="minorHAnsi"/>
          <w:sz w:val="18"/>
          <w:szCs w:val="18"/>
          <w:lang w:val="fr-CA"/>
        </w:rPr>
      </w:pPr>
      <w:r w:rsidRPr="004E3333">
        <w:rPr>
          <w:rStyle w:val="FootnoteReference"/>
          <w:rFonts w:cstheme="minorHAnsi"/>
          <w:sz w:val="18"/>
          <w:szCs w:val="18"/>
        </w:rPr>
        <w:footnoteRef/>
      </w:r>
      <w:r w:rsidRPr="004E3333">
        <w:rPr>
          <w:rFonts w:cstheme="minorHAnsi"/>
          <w:sz w:val="18"/>
          <w:szCs w:val="18"/>
          <w:lang w:val="fr-CA"/>
        </w:rPr>
        <w:t xml:space="preserve"> Banque mondiale, Revue du secteur de la microfinance, 2015.</w:t>
      </w:r>
    </w:p>
  </w:footnote>
  <w:footnote w:id="3">
    <w:p w14:paraId="2E708809" w14:textId="62D74560" w:rsidR="003B0984" w:rsidRPr="006E3763" w:rsidRDefault="003B0984" w:rsidP="00651749">
      <w:pPr>
        <w:pStyle w:val="FootnoteText"/>
        <w:jc w:val="both"/>
        <w:rPr>
          <w:rFonts w:cstheme="minorHAnsi"/>
          <w:sz w:val="18"/>
          <w:szCs w:val="18"/>
          <w:lang w:val="en-US"/>
        </w:rPr>
      </w:pPr>
      <w:r w:rsidRPr="004E3333">
        <w:rPr>
          <w:rStyle w:val="FootnoteReference"/>
          <w:rFonts w:cstheme="minorHAnsi"/>
          <w:sz w:val="18"/>
          <w:szCs w:val="18"/>
        </w:rPr>
        <w:footnoteRef/>
      </w:r>
      <w:r w:rsidRPr="004E3333">
        <w:rPr>
          <w:rFonts w:cstheme="minorHAnsi"/>
          <w:sz w:val="18"/>
          <w:szCs w:val="18"/>
          <w:lang w:val="en-US"/>
        </w:rPr>
        <w:t xml:space="preserve"> In </w:t>
      </w:r>
      <w:r w:rsidRPr="004E3333">
        <w:rPr>
          <w:rFonts w:cstheme="minorHAnsi"/>
          <w:sz w:val="18"/>
          <w:szCs w:val="18"/>
          <w:lang w:val="en"/>
        </w:rPr>
        <w:t xml:space="preserve">the West Africa Economic and Monetary Union (WAEMU), the terminology </w:t>
      </w:r>
      <w:r>
        <w:rPr>
          <w:rFonts w:cstheme="minorHAnsi"/>
          <w:sz w:val="18"/>
          <w:szCs w:val="18"/>
          <w:lang w:val="en"/>
        </w:rPr>
        <w:t>“</w:t>
      </w:r>
      <w:r w:rsidRPr="004E3333">
        <w:rPr>
          <w:rFonts w:cstheme="minorHAnsi"/>
          <w:sz w:val="18"/>
          <w:szCs w:val="18"/>
          <w:lang w:val="en"/>
        </w:rPr>
        <w:t>decentralized financial systems</w:t>
      </w:r>
      <w:r>
        <w:rPr>
          <w:rFonts w:cstheme="minorHAnsi"/>
          <w:sz w:val="18"/>
          <w:szCs w:val="18"/>
          <w:lang w:val="en"/>
        </w:rPr>
        <w:t>”</w:t>
      </w:r>
      <w:r w:rsidRPr="004E3333">
        <w:rPr>
          <w:rFonts w:cstheme="minorHAnsi"/>
          <w:sz w:val="18"/>
          <w:szCs w:val="18"/>
          <w:lang w:val="en"/>
        </w:rPr>
        <w:t xml:space="preserve"> refers to MFIs. It is used in the Microfinance Act. </w:t>
      </w:r>
    </w:p>
  </w:footnote>
  <w:footnote w:id="4">
    <w:p w14:paraId="2E1F9018" w14:textId="5C583475" w:rsidR="003B0984" w:rsidRPr="00CC1F4C" w:rsidRDefault="003B0984" w:rsidP="00651749">
      <w:pPr>
        <w:autoSpaceDE w:val="0"/>
        <w:autoSpaceDN w:val="0"/>
        <w:adjustRightInd w:val="0"/>
        <w:spacing w:after="0" w:line="240" w:lineRule="auto"/>
        <w:jc w:val="both"/>
        <w:rPr>
          <w:rFonts w:cstheme="minorHAnsi"/>
          <w:sz w:val="18"/>
          <w:szCs w:val="20"/>
          <w:lang w:val="en-US"/>
        </w:rPr>
      </w:pPr>
      <w:r w:rsidRPr="006E3763">
        <w:rPr>
          <w:rStyle w:val="FootnoteReference"/>
          <w:rFonts w:cstheme="minorHAnsi"/>
          <w:sz w:val="18"/>
          <w:szCs w:val="18"/>
        </w:rPr>
        <w:footnoteRef/>
      </w:r>
      <w:r w:rsidRPr="006E3763">
        <w:rPr>
          <w:rFonts w:cstheme="minorHAnsi"/>
          <w:sz w:val="18"/>
          <w:szCs w:val="18"/>
          <w:lang w:val="en-US"/>
        </w:rPr>
        <w:t xml:space="preserve"> The 15 </w:t>
      </w:r>
      <w:r w:rsidRPr="00576422">
        <w:rPr>
          <w:rFonts w:cstheme="minorHAnsi"/>
          <w:sz w:val="18"/>
          <w:szCs w:val="18"/>
          <w:lang w:val="en-US"/>
        </w:rPr>
        <w:t xml:space="preserve">operating banks are </w:t>
      </w:r>
      <w:proofErr w:type="spellStart"/>
      <w:r w:rsidRPr="00576422">
        <w:rPr>
          <w:rFonts w:cstheme="minorHAnsi"/>
          <w:sz w:val="18"/>
          <w:szCs w:val="18"/>
          <w:lang w:val="en-US"/>
        </w:rPr>
        <w:t>Orabank</w:t>
      </w:r>
      <w:proofErr w:type="spellEnd"/>
      <w:r w:rsidRPr="00576422">
        <w:rPr>
          <w:rFonts w:cstheme="minorHAnsi"/>
          <w:sz w:val="18"/>
          <w:szCs w:val="18"/>
          <w:lang w:val="en-US"/>
        </w:rPr>
        <w:t xml:space="preserve"> Benin; Bank of Africa Benin (BOA); Ecobank Benin; Banque </w:t>
      </w:r>
      <w:proofErr w:type="spellStart"/>
      <w:r w:rsidRPr="00576422">
        <w:rPr>
          <w:rFonts w:cstheme="minorHAnsi"/>
          <w:sz w:val="18"/>
          <w:szCs w:val="18"/>
          <w:lang w:val="en-US"/>
        </w:rPr>
        <w:t>Internationale</w:t>
      </w:r>
      <w:proofErr w:type="spellEnd"/>
      <w:r w:rsidRPr="00576422">
        <w:rPr>
          <w:rFonts w:cstheme="minorHAnsi"/>
          <w:sz w:val="18"/>
          <w:szCs w:val="18"/>
          <w:lang w:val="en-US"/>
        </w:rPr>
        <w:t xml:space="preserve"> du Benin (BIBE</w:t>
      </w:r>
      <w:proofErr w:type="gramStart"/>
      <w:r w:rsidRPr="00576422">
        <w:rPr>
          <w:rFonts w:cstheme="minorHAnsi"/>
          <w:sz w:val="18"/>
          <w:szCs w:val="18"/>
          <w:lang w:val="en-US"/>
        </w:rPr>
        <w:t>)</w:t>
      </w:r>
      <w:r>
        <w:rPr>
          <w:rFonts w:cstheme="minorHAnsi"/>
          <w:sz w:val="18"/>
          <w:szCs w:val="18"/>
          <w:lang w:val="en-US"/>
        </w:rPr>
        <w:t> </w:t>
      </w:r>
      <w:r w:rsidRPr="00576422">
        <w:rPr>
          <w:rFonts w:cstheme="minorHAnsi"/>
          <w:sz w:val="18"/>
          <w:szCs w:val="18"/>
          <w:lang w:val="en-US"/>
        </w:rPr>
        <w:t>;</w:t>
      </w:r>
      <w:proofErr w:type="gramEnd"/>
      <w:r w:rsidRPr="00576422">
        <w:rPr>
          <w:rFonts w:cstheme="minorHAnsi"/>
          <w:sz w:val="18"/>
          <w:szCs w:val="18"/>
          <w:lang w:val="en-US"/>
        </w:rPr>
        <w:t xml:space="preserve"> UBA Benin</w:t>
      </w:r>
      <w:r>
        <w:rPr>
          <w:rFonts w:cstheme="minorHAnsi"/>
          <w:sz w:val="18"/>
          <w:szCs w:val="18"/>
          <w:lang w:val="en-US"/>
        </w:rPr>
        <w:t> </w:t>
      </w:r>
      <w:r w:rsidRPr="00576422">
        <w:rPr>
          <w:rFonts w:cstheme="minorHAnsi"/>
          <w:sz w:val="18"/>
          <w:szCs w:val="18"/>
          <w:lang w:val="en-US"/>
        </w:rPr>
        <w:t>; Diamond Bank; Société Générale Benin</w:t>
      </w:r>
      <w:r>
        <w:rPr>
          <w:rFonts w:cstheme="minorHAnsi"/>
          <w:sz w:val="18"/>
          <w:szCs w:val="18"/>
          <w:lang w:val="en-US"/>
        </w:rPr>
        <w:t> </w:t>
      </w:r>
      <w:r w:rsidRPr="00576422">
        <w:rPr>
          <w:rFonts w:cstheme="minorHAnsi"/>
          <w:sz w:val="18"/>
          <w:szCs w:val="18"/>
          <w:lang w:val="en-US"/>
        </w:rPr>
        <w:t>; Banque Sahelo-</w:t>
      </w:r>
      <w:proofErr w:type="spellStart"/>
      <w:r w:rsidRPr="00576422">
        <w:rPr>
          <w:rFonts w:cstheme="minorHAnsi"/>
          <w:sz w:val="18"/>
          <w:szCs w:val="18"/>
          <w:lang w:val="en-US"/>
        </w:rPr>
        <w:t>Saharienne</w:t>
      </w:r>
      <w:proofErr w:type="spellEnd"/>
      <w:r w:rsidRPr="00576422">
        <w:rPr>
          <w:rFonts w:cstheme="minorHAnsi"/>
          <w:sz w:val="18"/>
          <w:szCs w:val="18"/>
          <w:lang w:val="en-US"/>
        </w:rPr>
        <w:t xml:space="preserve"> pour </w:t>
      </w:r>
      <w:proofErr w:type="spellStart"/>
      <w:r w:rsidRPr="00576422">
        <w:rPr>
          <w:rFonts w:cstheme="minorHAnsi"/>
          <w:sz w:val="18"/>
          <w:szCs w:val="18"/>
          <w:lang w:val="en-US"/>
        </w:rPr>
        <w:t>l’Investissement</w:t>
      </w:r>
      <w:proofErr w:type="spellEnd"/>
      <w:r w:rsidRPr="00576422">
        <w:rPr>
          <w:rFonts w:cstheme="minorHAnsi"/>
          <w:sz w:val="18"/>
          <w:szCs w:val="18"/>
          <w:lang w:val="en-US"/>
        </w:rPr>
        <w:t xml:space="preserve"> et le Commerce (BSIC)</w:t>
      </w:r>
      <w:r>
        <w:rPr>
          <w:rFonts w:cstheme="minorHAnsi"/>
          <w:sz w:val="18"/>
          <w:szCs w:val="18"/>
          <w:lang w:val="en-US"/>
        </w:rPr>
        <w:t> </w:t>
      </w:r>
      <w:r w:rsidRPr="00576422">
        <w:rPr>
          <w:rFonts w:cstheme="minorHAnsi"/>
          <w:sz w:val="18"/>
          <w:szCs w:val="18"/>
          <w:lang w:val="en-US"/>
        </w:rPr>
        <w:t xml:space="preserve">; </w:t>
      </w:r>
      <w:r w:rsidRPr="00CC1F4C">
        <w:rPr>
          <w:rFonts w:cstheme="minorHAnsi"/>
          <w:sz w:val="18"/>
          <w:szCs w:val="20"/>
          <w:lang w:val="en-US"/>
        </w:rPr>
        <w:t xml:space="preserve">Banque de </w:t>
      </w:r>
      <w:proofErr w:type="spellStart"/>
      <w:r w:rsidRPr="00CC1F4C">
        <w:rPr>
          <w:rFonts w:cstheme="minorHAnsi"/>
          <w:sz w:val="18"/>
          <w:szCs w:val="20"/>
          <w:lang w:val="en-US"/>
        </w:rPr>
        <w:t>l’Habitat</w:t>
      </w:r>
      <w:proofErr w:type="spellEnd"/>
      <w:r w:rsidRPr="00CC1F4C">
        <w:rPr>
          <w:rFonts w:cstheme="minorHAnsi"/>
          <w:sz w:val="18"/>
          <w:szCs w:val="20"/>
          <w:lang w:val="en-US"/>
        </w:rPr>
        <w:t xml:space="preserve"> du Benin (BHB)</w:t>
      </w:r>
      <w:r>
        <w:rPr>
          <w:rFonts w:cstheme="minorHAnsi"/>
          <w:sz w:val="18"/>
          <w:szCs w:val="20"/>
          <w:lang w:val="en-US"/>
        </w:rPr>
        <w:t> </w:t>
      </w:r>
      <w:r w:rsidRPr="00CC1F4C">
        <w:rPr>
          <w:rFonts w:cstheme="minorHAnsi"/>
          <w:sz w:val="18"/>
          <w:szCs w:val="20"/>
          <w:lang w:val="en-US"/>
        </w:rPr>
        <w:t xml:space="preserve">; Banque </w:t>
      </w:r>
      <w:proofErr w:type="spellStart"/>
      <w:r w:rsidRPr="00CC1F4C">
        <w:rPr>
          <w:rFonts w:cstheme="minorHAnsi"/>
          <w:sz w:val="18"/>
          <w:szCs w:val="20"/>
          <w:lang w:val="en-US"/>
        </w:rPr>
        <w:t>Atlantique</w:t>
      </w:r>
      <w:proofErr w:type="spellEnd"/>
      <w:r w:rsidRPr="00CC1F4C">
        <w:rPr>
          <w:rFonts w:cstheme="minorHAnsi"/>
          <w:sz w:val="18"/>
          <w:szCs w:val="20"/>
          <w:lang w:val="en-US"/>
        </w:rPr>
        <w:t xml:space="preserve"> </w:t>
      </w:r>
      <w:proofErr w:type="spellStart"/>
      <w:r w:rsidRPr="00CC1F4C">
        <w:rPr>
          <w:rFonts w:cstheme="minorHAnsi"/>
          <w:sz w:val="18"/>
          <w:szCs w:val="20"/>
          <w:lang w:val="en-US"/>
        </w:rPr>
        <w:t>B</w:t>
      </w:r>
      <w:r>
        <w:rPr>
          <w:rFonts w:cstheme="minorHAnsi"/>
          <w:sz w:val="18"/>
          <w:szCs w:val="20"/>
          <w:lang w:val="en-US"/>
        </w:rPr>
        <w:t>é</w:t>
      </w:r>
      <w:r w:rsidRPr="00CC1F4C">
        <w:rPr>
          <w:rFonts w:cstheme="minorHAnsi"/>
          <w:sz w:val="18"/>
          <w:szCs w:val="20"/>
          <w:lang w:val="en-US"/>
        </w:rPr>
        <w:t>nin</w:t>
      </w:r>
      <w:proofErr w:type="spellEnd"/>
      <w:r w:rsidRPr="00CC1F4C">
        <w:rPr>
          <w:rFonts w:cstheme="minorHAnsi"/>
          <w:sz w:val="18"/>
          <w:szCs w:val="20"/>
          <w:lang w:val="en-US"/>
        </w:rPr>
        <w:t xml:space="preserve"> (BABN)</w:t>
      </w:r>
      <w:r>
        <w:rPr>
          <w:rFonts w:cstheme="minorHAnsi"/>
          <w:sz w:val="18"/>
          <w:szCs w:val="20"/>
          <w:lang w:val="en-US"/>
        </w:rPr>
        <w:t> </w:t>
      </w:r>
      <w:r w:rsidRPr="00CC1F4C">
        <w:rPr>
          <w:rFonts w:cstheme="minorHAnsi"/>
          <w:sz w:val="18"/>
          <w:szCs w:val="20"/>
          <w:lang w:val="en-US"/>
        </w:rPr>
        <w:t>; CCEI Bank; BAIC; CBAO</w:t>
      </w:r>
      <w:r>
        <w:rPr>
          <w:rFonts w:cstheme="minorHAnsi"/>
          <w:sz w:val="18"/>
          <w:szCs w:val="20"/>
          <w:lang w:val="en-US"/>
        </w:rPr>
        <w:t>;</w:t>
      </w:r>
      <w:r w:rsidRPr="00CC1F4C">
        <w:rPr>
          <w:rFonts w:cstheme="minorHAnsi"/>
          <w:sz w:val="18"/>
          <w:szCs w:val="20"/>
          <w:lang w:val="en-US"/>
        </w:rPr>
        <w:t xml:space="preserve"> </w:t>
      </w:r>
      <w:proofErr w:type="spellStart"/>
      <w:r w:rsidRPr="00CC1F4C">
        <w:rPr>
          <w:rFonts w:cstheme="minorHAnsi"/>
          <w:sz w:val="18"/>
          <w:szCs w:val="20"/>
          <w:lang w:val="en-US"/>
        </w:rPr>
        <w:t>Coris</w:t>
      </w:r>
      <w:proofErr w:type="spellEnd"/>
      <w:r w:rsidRPr="00CC1F4C">
        <w:rPr>
          <w:rFonts w:cstheme="minorHAnsi"/>
          <w:sz w:val="18"/>
          <w:szCs w:val="20"/>
          <w:lang w:val="en-US"/>
        </w:rPr>
        <w:t xml:space="preserve"> Bank</w:t>
      </w:r>
      <w:r>
        <w:rPr>
          <w:rFonts w:cstheme="minorHAnsi"/>
          <w:sz w:val="18"/>
          <w:szCs w:val="20"/>
          <w:lang w:val="en-US"/>
        </w:rPr>
        <w:t>;</w:t>
      </w:r>
      <w:r w:rsidRPr="00CC1F4C">
        <w:rPr>
          <w:rFonts w:cstheme="minorHAnsi"/>
          <w:sz w:val="18"/>
          <w:szCs w:val="20"/>
          <w:lang w:val="en-US"/>
        </w:rPr>
        <w:t xml:space="preserve"> and BGFI Bank Benin. </w:t>
      </w:r>
    </w:p>
  </w:footnote>
  <w:footnote w:id="5">
    <w:p w14:paraId="0BE7C5DC" w14:textId="77777777" w:rsidR="003B0984" w:rsidRPr="00CC1F4C" w:rsidRDefault="003B0984" w:rsidP="00651749">
      <w:pPr>
        <w:pStyle w:val="FootnoteText"/>
        <w:jc w:val="both"/>
        <w:rPr>
          <w:sz w:val="18"/>
          <w:lang w:val="en-US"/>
        </w:rPr>
      </w:pPr>
      <w:r w:rsidRPr="00B07F97">
        <w:rPr>
          <w:rStyle w:val="FootnoteReference"/>
          <w:sz w:val="18"/>
        </w:rPr>
        <w:footnoteRef/>
      </w:r>
      <w:r w:rsidRPr="00B07F97">
        <w:rPr>
          <w:sz w:val="18"/>
          <w:lang w:val="en-US"/>
        </w:rPr>
        <w:t xml:space="preserve"> </w:t>
      </w:r>
      <w:r w:rsidRPr="00B07F97">
        <w:rPr>
          <w:rFonts w:cstheme="minorHAnsi"/>
          <w:sz w:val="18"/>
          <w:lang w:val="en"/>
        </w:rPr>
        <w:t>This penetration rate is expressed in relation to the total population of the country.</w:t>
      </w:r>
    </w:p>
  </w:footnote>
  <w:footnote w:id="6">
    <w:p w14:paraId="559E33EE" w14:textId="77777777" w:rsidR="003B0984" w:rsidRPr="00E80338" w:rsidRDefault="003B0984" w:rsidP="00651749">
      <w:pPr>
        <w:pStyle w:val="FootnoteText"/>
        <w:jc w:val="both"/>
        <w:rPr>
          <w:rFonts w:cstheme="minorHAnsi"/>
          <w:sz w:val="16"/>
          <w:szCs w:val="16"/>
          <w:lang w:val="en-US"/>
        </w:rPr>
      </w:pPr>
      <w:r w:rsidRPr="00E80338">
        <w:rPr>
          <w:rStyle w:val="FootnoteReference"/>
          <w:rFonts w:cstheme="minorHAnsi"/>
          <w:sz w:val="16"/>
          <w:szCs w:val="16"/>
        </w:rPr>
        <w:footnoteRef/>
      </w:r>
      <w:r w:rsidRPr="00E80338">
        <w:rPr>
          <w:rFonts w:cstheme="minorHAnsi"/>
          <w:sz w:val="16"/>
          <w:szCs w:val="16"/>
          <w:lang w:val="en-US"/>
        </w:rPr>
        <w:t xml:space="preserve"> ANSSFD as of December 2017.</w:t>
      </w:r>
    </w:p>
  </w:footnote>
  <w:footnote w:id="7">
    <w:p w14:paraId="313B1557" w14:textId="49CB0D88" w:rsidR="003B0984" w:rsidRPr="006E3763" w:rsidRDefault="003B0984" w:rsidP="00651749">
      <w:pPr>
        <w:pStyle w:val="HTMLPreformatted"/>
        <w:jc w:val="both"/>
        <w:rPr>
          <w:rFonts w:asciiTheme="minorHAnsi" w:hAnsiTheme="minorHAnsi" w:cstheme="minorHAnsi"/>
          <w:sz w:val="18"/>
          <w:szCs w:val="18"/>
          <w:lang w:val="en-US"/>
        </w:rPr>
      </w:pPr>
      <w:r w:rsidRPr="00E80338">
        <w:rPr>
          <w:rStyle w:val="FootnoteReference"/>
          <w:rFonts w:asciiTheme="minorHAnsi" w:hAnsiTheme="minorHAnsi" w:cstheme="minorHAnsi"/>
          <w:sz w:val="16"/>
          <w:szCs w:val="16"/>
        </w:rPr>
        <w:footnoteRef/>
      </w:r>
      <w:r w:rsidRPr="00E80338">
        <w:rPr>
          <w:rFonts w:asciiTheme="minorHAnsi" w:hAnsiTheme="minorHAnsi" w:cstheme="minorHAnsi"/>
          <w:sz w:val="16"/>
          <w:szCs w:val="16"/>
          <w:lang w:val="en-US"/>
        </w:rPr>
        <w:t xml:space="preserve"> </w:t>
      </w:r>
      <w:r>
        <w:rPr>
          <w:rFonts w:asciiTheme="minorHAnsi" w:hAnsiTheme="minorHAnsi" w:cstheme="minorHAnsi"/>
          <w:sz w:val="16"/>
          <w:szCs w:val="16"/>
          <w:lang w:val="en-US"/>
        </w:rPr>
        <w:t>The g</w:t>
      </w:r>
      <w:r w:rsidRPr="00E80338">
        <w:rPr>
          <w:rFonts w:asciiTheme="minorHAnsi" w:hAnsiTheme="minorHAnsi" w:cstheme="minorHAnsi"/>
          <w:sz w:val="16"/>
          <w:szCs w:val="16"/>
          <w:lang w:val="en-US"/>
        </w:rPr>
        <w:t xml:space="preserve">reenfield MFIs </w:t>
      </w:r>
      <w:r>
        <w:rPr>
          <w:rFonts w:asciiTheme="minorHAnsi" w:hAnsiTheme="minorHAnsi" w:cstheme="minorHAnsi"/>
          <w:sz w:val="16"/>
          <w:szCs w:val="16"/>
          <w:lang w:val="en-US"/>
        </w:rPr>
        <w:t>which this report focuses on</w:t>
      </w:r>
      <w:r w:rsidRPr="00E80338">
        <w:rPr>
          <w:rFonts w:asciiTheme="minorHAnsi" w:hAnsiTheme="minorHAnsi" w:cstheme="minorHAnsi"/>
          <w:sz w:val="16"/>
          <w:szCs w:val="16"/>
          <w:lang w:val="en-US"/>
        </w:rPr>
        <w:t xml:space="preserve"> are </w:t>
      </w:r>
      <w:r>
        <w:rPr>
          <w:rFonts w:asciiTheme="minorHAnsi" w:hAnsiTheme="minorHAnsi" w:cstheme="minorHAnsi"/>
          <w:sz w:val="16"/>
          <w:szCs w:val="16"/>
          <w:lang w:val="en-US"/>
        </w:rPr>
        <w:t>in most cases</w:t>
      </w:r>
      <w:r w:rsidRPr="00E80338">
        <w:rPr>
          <w:rFonts w:asciiTheme="minorHAnsi" w:hAnsiTheme="minorHAnsi" w:cstheme="minorHAnsi"/>
          <w:sz w:val="16"/>
          <w:szCs w:val="16"/>
          <w:lang w:val="en-US"/>
        </w:rPr>
        <w:t xml:space="preserve"> owned by foreign entities (that is, the controlling owners are not residents of the African countries in which those institutions operate), and a substantial number of them are committed to establishing a deep retail banking presence in these countries including the creation of extensive branch networks. As our empirical results show, the strategy has had implications for both the growth and operating performance of those MFIs relative to other MFIs operating in the same markets.</w:t>
      </w:r>
    </w:p>
  </w:footnote>
  <w:footnote w:id="8">
    <w:p w14:paraId="42AE8951" w14:textId="0DD2EF74" w:rsidR="003B0984" w:rsidRPr="00E80338" w:rsidRDefault="003B0984" w:rsidP="00651749">
      <w:pPr>
        <w:pStyle w:val="FootnoteText"/>
        <w:jc w:val="both"/>
        <w:rPr>
          <w:rFonts w:cstheme="minorHAnsi"/>
          <w:sz w:val="16"/>
          <w:szCs w:val="16"/>
          <w:lang w:val="en-US"/>
        </w:rPr>
      </w:pPr>
      <w:r w:rsidRPr="00E80338">
        <w:rPr>
          <w:rStyle w:val="FootnoteReference"/>
          <w:rFonts w:cstheme="minorHAnsi"/>
          <w:sz w:val="16"/>
          <w:szCs w:val="16"/>
        </w:rPr>
        <w:footnoteRef/>
      </w:r>
      <w:r w:rsidRPr="00E80338">
        <w:rPr>
          <w:rFonts w:cstheme="minorHAnsi"/>
          <w:sz w:val="16"/>
          <w:szCs w:val="16"/>
          <w:lang w:val="en-US"/>
        </w:rPr>
        <w:t xml:space="preserve"> ANSSFD (2017) statistics on the sector</w:t>
      </w:r>
      <w:r>
        <w:rPr>
          <w:rFonts w:cstheme="minorHAnsi"/>
          <w:sz w:val="16"/>
          <w:szCs w:val="16"/>
          <w:lang w:val="en-US"/>
        </w:rPr>
        <w:t> </w:t>
      </w:r>
      <w:r w:rsidRPr="00E80338">
        <w:rPr>
          <w:rFonts w:cstheme="minorHAnsi"/>
          <w:sz w:val="16"/>
          <w:szCs w:val="16"/>
          <w:lang w:val="en-US"/>
        </w:rPr>
        <w:t>2016.</w:t>
      </w:r>
    </w:p>
  </w:footnote>
  <w:footnote w:id="9">
    <w:p w14:paraId="3CD6B2AE" w14:textId="5AF62BED" w:rsidR="003B0984" w:rsidRPr="00E80338" w:rsidRDefault="003B0984" w:rsidP="00651749">
      <w:pPr>
        <w:pStyle w:val="FootnoteText"/>
        <w:jc w:val="both"/>
        <w:rPr>
          <w:rFonts w:cstheme="minorHAnsi"/>
          <w:sz w:val="16"/>
          <w:szCs w:val="16"/>
          <w:lang w:val="en-US"/>
        </w:rPr>
      </w:pPr>
      <w:r w:rsidRPr="00E80338">
        <w:rPr>
          <w:rStyle w:val="FootnoteReference"/>
          <w:rFonts w:cstheme="minorHAnsi"/>
          <w:sz w:val="16"/>
          <w:szCs w:val="16"/>
        </w:rPr>
        <w:footnoteRef/>
      </w:r>
      <w:r w:rsidRPr="00E80338">
        <w:rPr>
          <w:rFonts w:cstheme="minorHAnsi"/>
          <w:sz w:val="16"/>
          <w:szCs w:val="16"/>
          <w:lang w:val="en-US"/>
        </w:rPr>
        <w:t xml:space="preserve"> Large MFIs are defined in the microfinance law under Article</w:t>
      </w:r>
      <w:r>
        <w:rPr>
          <w:rFonts w:cstheme="minorHAnsi"/>
          <w:sz w:val="16"/>
          <w:szCs w:val="16"/>
          <w:lang w:val="en-US"/>
        </w:rPr>
        <w:t> </w:t>
      </w:r>
      <w:r w:rsidRPr="00E80338">
        <w:rPr>
          <w:rFonts w:cstheme="minorHAnsi"/>
          <w:sz w:val="16"/>
          <w:szCs w:val="16"/>
          <w:lang w:val="en-US"/>
        </w:rPr>
        <w:t>44 in the WAEMU as MFIs having an outstanding loans or deposits of at least CFAF</w:t>
      </w:r>
      <w:r>
        <w:rPr>
          <w:rFonts w:cstheme="minorHAnsi"/>
          <w:sz w:val="16"/>
          <w:szCs w:val="16"/>
          <w:lang w:val="en-US"/>
        </w:rPr>
        <w:t> </w:t>
      </w:r>
      <w:r w:rsidRPr="00E80338">
        <w:rPr>
          <w:rFonts w:cstheme="minorHAnsi"/>
          <w:sz w:val="16"/>
          <w:szCs w:val="16"/>
          <w:lang w:val="en-US"/>
        </w:rPr>
        <w:t>2</w:t>
      </w:r>
      <w:r>
        <w:rPr>
          <w:rFonts w:cstheme="minorHAnsi"/>
          <w:sz w:val="16"/>
          <w:szCs w:val="16"/>
          <w:lang w:val="en-US"/>
        </w:rPr>
        <w:t> </w:t>
      </w:r>
      <w:r w:rsidRPr="00E80338">
        <w:rPr>
          <w:rFonts w:cstheme="minorHAnsi"/>
          <w:sz w:val="16"/>
          <w:szCs w:val="16"/>
          <w:lang w:val="en-US"/>
        </w:rPr>
        <w:t>billion.</w:t>
      </w:r>
    </w:p>
  </w:footnote>
  <w:footnote w:id="10">
    <w:p w14:paraId="13919747" w14:textId="77777777" w:rsidR="003B0984" w:rsidRPr="006E3763" w:rsidRDefault="003B0984" w:rsidP="00651749">
      <w:pPr>
        <w:pStyle w:val="FootnoteText"/>
        <w:jc w:val="both"/>
        <w:rPr>
          <w:rFonts w:cstheme="minorHAnsi"/>
          <w:sz w:val="18"/>
          <w:szCs w:val="18"/>
          <w:lang w:val="en-US"/>
        </w:rPr>
      </w:pPr>
      <w:r w:rsidRPr="00E80338">
        <w:rPr>
          <w:rStyle w:val="FootnoteReference"/>
          <w:rFonts w:cstheme="minorHAnsi"/>
          <w:sz w:val="16"/>
          <w:szCs w:val="16"/>
        </w:rPr>
        <w:footnoteRef/>
      </w:r>
      <w:r w:rsidRPr="00E80338">
        <w:rPr>
          <w:rFonts w:cstheme="minorHAnsi"/>
          <w:sz w:val="16"/>
          <w:szCs w:val="16"/>
          <w:lang w:val="en-US"/>
        </w:rPr>
        <w:t xml:space="preserve"> Benin Ministry of Finance webpage consulted on January 25, 2018.</w:t>
      </w:r>
    </w:p>
  </w:footnote>
  <w:footnote w:id="11">
    <w:p w14:paraId="53653F01" w14:textId="77777777" w:rsidR="003B0984" w:rsidRPr="000673C8" w:rsidRDefault="003B0984" w:rsidP="00651749">
      <w:pPr>
        <w:pStyle w:val="FootnoteText"/>
        <w:jc w:val="both"/>
        <w:rPr>
          <w:sz w:val="18"/>
          <w:szCs w:val="18"/>
          <w:lang w:val="en-US"/>
        </w:rPr>
      </w:pPr>
      <w:r w:rsidRPr="000673C8">
        <w:rPr>
          <w:rStyle w:val="FootnoteReference"/>
          <w:sz w:val="18"/>
          <w:szCs w:val="18"/>
        </w:rPr>
        <w:footnoteRef/>
      </w:r>
      <w:r w:rsidRPr="000673C8">
        <w:rPr>
          <w:sz w:val="18"/>
          <w:szCs w:val="18"/>
          <w:lang w:val="en-US"/>
        </w:rPr>
        <w:t xml:space="preserve"> </w:t>
      </w:r>
      <w:r w:rsidRPr="000673C8">
        <w:rPr>
          <w:rFonts w:cstheme="minorHAnsi"/>
          <w:sz w:val="18"/>
          <w:szCs w:val="18"/>
          <w:lang w:val="en-US"/>
        </w:rPr>
        <w:t>95% of market is in terms of assets/deposits and credit portfolio</w:t>
      </w:r>
    </w:p>
  </w:footnote>
  <w:footnote w:id="12">
    <w:p w14:paraId="6E2EFCC0" w14:textId="77777777" w:rsidR="003B0984" w:rsidRPr="006E3763" w:rsidRDefault="003B0984" w:rsidP="00651749">
      <w:pPr>
        <w:pStyle w:val="FootnoteText"/>
        <w:jc w:val="both"/>
        <w:rPr>
          <w:rFonts w:cstheme="minorHAnsi"/>
          <w:sz w:val="18"/>
          <w:szCs w:val="18"/>
          <w:lang w:val="en-US"/>
        </w:rPr>
      </w:pPr>
      <w:r w:rsidRPr="006E3763">
        <w:rPr>
          <w:rStyle w:val="FootnoteReference"/>
          <w:rFonts w:cstheme="minorHAnsi"/>
          <w:sz w:val="18"/>
          <w:szCs w:val="18"/>
        </w:rPr>
        <w:footnoteRef/>
      </w:r>
      <w:r w:rsidRPr="006E3763">
        <w:rPr>
          <w:rFonts w:cstheme="minorHAnsi"/>
          <w:sz w:val="18"/>
          <w:szCs w:val="18"/>
          <w:lang w:val="en-US"/>
        </w:rPr>
        <w:t xml:space="preserve"> </w:t>
      </w:r>
      <w:r w:rsidRPr="007C3AF8">
        <w:rPr>
          <w:rFonts w:cstheme="minorHAnsi"/>
          <w:color w:val="222222"/>
          <w:sz w:val="18"/>
          <w:szCs w:val="18"/>
          <w:lang w:val="en"/>
        </w:rPr>
        <w:t>This</w:t>
      </w:r>
      <w:r w:rsidRPr="006E3763">
        <w:rPr>
          <w:rFonts w:cstheme="minorHAnsi"/>
          <w:color w:val="222222"/>
          <w:sz w:val="18"/>
          <w:szCs w:val="18"/>
          <w:lang w:val="en"/>
        </w:rPr>
        <w:t xml:space="preserve"> penetration rate is expressed in relation to the total population of the country</w:t>
      </w:r>
      <w:r>
        <w:rPr>
          <w:rFonts w:cstheme="minorHAnsi"/>
          <w:color w:val="222222"/>
          <w:sz w:val="18"/>
          <w:szCs w:val="18"/>
          <w:lang w:val="en"/>
        </w:rPr>
        <w:t>.</w:t>
      </w:r>
    </w:p>
  </w:footnote>
  <w:footnote w:id="13">
    <w:p w14:paraId="1BA34777" w14:textId="31001763" w:rsidR="003B0984" w:rsidRPr="006E3763" w:rsidRDefault="003B0984" w:rsidP="00651749">
      <w:pPr>
        <w:autoSpaceDE w:val="0"/>
        <w:autoSpaceDN w:val="0"/>
        <w:adjustRightInd w:val="0"/>
        <w:spacing w:after="0" w:line="240" w:lineRule="auto"/>
        <w:jc w:val="both"/>
        <w:rPr>
          <w:rFonts w:cstheme="minorHAnsi"/>
          <w:i/>
          <w:iCs/>
          <w:sz w:val="18"/>
          <w:szCs w:val="18"/>
          <w:lang w:val="en-US"/>
        </w:rPr>
      </w:pPr>
      <w:r w:rsidRPr="006E3763">
        <w:rPr>
          <w:rStyle w:val="FootnoteReference"/>
          <w:rFonts w:cstheme="minorHAnsi"/>
          <w:sz w:val="18"/>
          <w:szCs w:val="18"/>
        </w:rPr>
        <w:footnoteRef/>
      </w:r>
      <w:r w:rsidRPr="00EC2E5B">
        <w:rPr>
          <w:rFonts w:cstheme="minorHAnsi"/>
          <w:sz w:val="18"/>
          <w:szCs w:val="18"/>
        </w:rPr>
        <w:t xml:space="preserve"> Riquet, C., and C. </w:t>
      </w:r>
      <w:proofErr w:type="spellStart"/>
      <w:r w:rsidRPr="00EC2E5B">
        <w:rPr>
          <w:rFonts w:cstheme="minorHAnsi"/>
          <w:sz w:val="18"/>
          <w:szCs w:val="18"/>
        </w:rPr>
        <w:t>Poursat</w:t>
      </w:r>
      <w:proofErr w:type="spellEnd"/>
      <w:r w:rsidRPr="00EC2E5B">
        <w:rPr>
          <w:rFonts w:cstheme="minorHAnsi"/>
          <w:sz w:val="18"/>
          <w:szCs w:val="18"/>
        </w:rPr>
        <w:t xml:space="preserve">. </w:t>
      </w:r>
      <w:r w:rsidRPr="00280EC4">
        <w:rPr>
          <w:rFonts w:cstheme="minorHAnsi"/>
          <w:i/>
          <w:sz w:val="18"/>
          <w:szCs w:val="18"/>
          <w:lang w:val="en-US"/>
        </w:rPr>
        <w:t>“</w:t>
      </w:r>
      <w:r w:rsidRPr="00280EC4">
        <w:rPr>
          <w:rFonts w:cstheme="minorHAnsi"/>
          <w:iCs/>
          <w:sz w:val="18"/>
          <w:szCs w:val="18"/>
          <w:lang w:val="en-US"/>
        </w:rPr>
        <w:t>Managing Failing Deposit-Taking Institutions: Regulatory Experience from Africa</w:t>
      </w:r>
      <w:r>
        <w:rPr>
          <w:rFonts w:cstheme="minorHAnsi"/>
          <w:iCs/>
          <w:sz w:val="18"/>
          <w:szCs w:val="18"/>
          <w:lang w:val="en-US"/>
        </w:rPr>
        <w:t>.</w:t>
      </w:r>
      <w:r w:rsidRPr="00280EC4">
        <w:rPr>
          <w:rFonts w:cstheme="minorHAnsi"/>
          <w:iCs/>
          <w:sz w:val="18"/>
          <w:szCs w:val="18"/>
          <w:lang w:val="en-US"/>
        </w:rPr>
        <w:t>”</w:t>
      </w:r>
      <w:r w:rsidRPr="006E3763">
        <w:rPr>
          <w:rFonts w:cstheme="minorHAnsi"/>
          <w:i/>
          <w:iCs/>
          <w:sz w:val="18"/>
          <w:szCs w:val="18"/>
          <w:lang w:val="en-US"/>
        </w:rPr>
        <w:t xml:space="preserve"> </w:t>
      </w:r>
      <w:r w:rsidRPr="006E3763">
        <w:rPr>
          <w:rFonts w:cstheme="minorHAnsi"/>
          <w:sz w:val="18"/>
          <w:szCs w:val="18"/>
          <w:lang w:val="en-US"/>
        </w:rPr>
        <w:t>CGAP, Focus Note No.</w:t>
      </w:r>
      <w:r>
        <w:rPr>
          <w:rFonts w:cstheme="minorHAnsi"/>
          <w:sz w:val="18"/>
          <w:szCs w:val="18"/>
          <w:lang w:val="en-US"/>
        </w:rPr>
        <w:t> </w:t>
      </w:r>
      <w:r w:rsidRPr="006E3763">
        <w:rPr>
          <w:rFonts w:cstheme="minorHAnsi"/>
          <w:sz w:val="18"/>
          <w:szCs w:val="18"/>
          <w:lang w:val="en-US"/>
        </w:rPr>
        <w:t>91</w:t>
      </w:r>
      <w:r>
        <w:rPr>
          <w:rFonts w:cstheme="minorHAnsi"/>
          <w:sz w:val="18"/>
          <w:szCs w:val="18"/>
          <w:lang w:val="en-US"/>
        </w:rPr>
        <w:t>.</w:t>
      </w:r>
    </w:p>
  </w:footnote>
  <w:footnote w:id="14">
    <w:p w14:paraId="61F9617E" w14:textId="6B8E0734" w:rsidR="003B0984" w:rsidRPr="006E3763" w:rsidRDefault="003B0984" w:rsidP="00651749">
      <w:pPr>
        <w:pStyle w:val="FootnoteText"/>
        <w:jc w:val="both"/>
        <w:rPr>
          <w:rFonts w:cstheme="minorHAnsi"/>
          <w:sz w:val="18"/>
          <w:szCs w:val="18"/>
          <w:lang w:val="en-US"/>
        </w:rPr>
      </w:pPr>
      <w:r w:rsidRPr="006E3763">
        <w:rPr>
          <w:rStyle w:val="FootnoteReference"/>
          <w:rFonts w:cstheme="minorHAnsi"/>
          <w:sz w:val="18"/>
          <w:szCs w:val="18"/>
        </w:rPr>
        <w:footnoteRef/>
      </w:r>
      <w:r w:rsidRPr="006E3763">
        <w:rPr>
          <w:rFonts w:cstheme="minorHAnsi"/>
          <w:sz w:val="18"/>
          <w:szCs w:val="18"/>
          <w:lang w:val="en-US"/>
        </w:rPr>
        <w:t xml:space="preserve"> The poverty line of </w:t>
      </w:r>
      <w:r>
        <w:rPr>
          <w:rFonts w:cstheme="minorHAnsi"/>
          <w:sz w:val="18"/>
          <w:szCs w:val="18"/>
          <w:lang w:val="en-US"/>
        </w:rPr>
        <w:t>US$</w:t>
      </w:r>
      <w:r w:rsidRPr="006E3763">
        <w:rPr>
          <w:rFonts w:cstheme="minorHAnsi"/>
          <w:sz w:val="18"/>
          <w:szCs w:val="18"/>
          <w:lang w:val="en-US"/>
        </w:rPr>
        <w:t xml:space="preserve">1.9 per day in PPP corresponds to about </w:t>
      </w:r>
      <w:r>
        <w:rPr>
          <w:rFonts w:cstheme="minorHAnsi"/>
          <w:sz w:val="18"/>
          <w:szCs w:val="18"/>
          <w:lang w:val="en-US"/>
        </w:rPr>
        <w:t>CFAF </w:t>
      </w:r>
      <w:r w:rsidRPr="006E3763">
        <w:rPr>
          <w:rFonts w:cstheme="minorHAnsi"/>
          <w:sz w:val="18"/>
          <w:szCs w:val="18"/>
          <w:lang w:val="en-US"/>
        </w:rPr>
        <w:t>197</w:t>
      </w:r>
      <w:r>
        <w:rPr>
          <w:rFonts w:cstheme="minorHAnsi"/>
          <w:sz w:val="18"/>
          <w:szCs w:val="18"/>
          <w:lang w:val="en-US"/>
        </w:rPr>
        <w:t>,</w:t>
      </w:r>
      <w:r w:rsidRPr="006E3763">
        <w:rPr>
          <w:rFonts w:cstheme="minorHAnsi"/>
          <w:sz w:val="18"/>
          <w:szCs w:val="18"/>
          <w:lang w:val="en-US"/>
        </w:rPr>
        <w:t xml:space="preserve">653 per year. (UNDP </w:t>
      </w:r>
      <w:r>
        <w:rPr>
          <w:rFonts w:cstheme="minorHAnsi"/>
          <w:sz w:val="18"/>
          <w:szCs w:val="18"/>
          <w:lang w:val="en-US"/>
        </w:rPr>
        <w:t>2016</w:t>
      </w:r>
      <w:r w:rsidRPr="006E3763">
        <w:rPr>
          <w:rFonts w:cstheme="minorHAnsi"/>
          <w:sz w:val="18"/>
          <w:szCs w:val="18"/>
          <w:lang w:val="en-US"/>
        </w:rPr>
        <w:t>)</w:t>
      </w:r>
    </w:p>
  </w:footnote>
  <w:footnote w:id="15">
    <w:p w14:paraId="371E00A1" w14:textId="77777777" w:rsidR="003B0984" w:rsidRPr="006E3763" w:rsidRDefault="003B0984" w:rsidP="00651749">
      <w:pPr>
        <w:pStyle w:val="FootnoteText"/>
        <w:jc w:val="both"/>
        <w:rPr>
          <w:rFonts w:cstheme="minorHAnsi"/>
          <w:sz w:val="18"/>
          <w:szCs w:val="18"/>
          <w:lang w:val="en-US"/>
        </w:rPr>
      </w:pPr>
      <w:r w:rsidRPr="006E3763">
        <w:rPr>
          <w:rStyle w:val="FootnoteReference"/>
          <w:rFonts w:cstheme="minorHAnsi"/>
          <w:sz w:val="18"/>
          <w:szCs w:val="18"/>
        </w:rPr>
        <w:footnoteRef/>
      </w:r>
      <w:r w:rsidRPr="006E3763">
        <w:rPr>
          <w:rFonts w:cstheme="minorHAnsi"/>
          <w:sz w:val="18"/>
          <w:szCs w:val="18"/>
          <w:lang w:val="en-US"/>
        </w:rPr>
        <w:t xml:space="preserve"> </w:t>
      </w:r>
      <w:r w:rsidRPr="00440389">
        <w:rPr>
          <w:rFonts w:cstheme="minorHAnsi"/>
          <w:sz w:val="18"/>
          <w:szCs w:val="18"/>
          <w:lang w:val="en-US"/>
        </w:rPr>
        <w:t>Survey of a sample of 15,000 households</w:t>
      </w:r>
      <w:r w:rsidRPr="006E3763">
        <w:rPr>
          <w:rFonts w:cstheme="minorHAnsi"/>
          <w:sz w:val="18"/>
          <w:szCs w:val="18"/>
          <w:lang w:val="en-US"/>
        </w:rPr>
        <w:t xml:space="preserve"> at the national level</w:t>
      </w:r>
      <w:r>
        <w:rPr>
          <w:rFonts w:cstheme="minorHAnsi"/>
          <w:sz w:val="18"/>
          <w:szCs w:val="18"/>
          <w:lang w:val="en-US"/>
        </w:rPr>
        <w:t>.</w:t>
      </w:r>
    </w:p>
  </w:footnote>
  <w:footnote w:id="16">
    <w:p w14:paraId="150B02DF" w14:textId="77777777" w:rsidR="003B0984" w:rsidRPr="00EC2E5B" w:rsidRDefault="003B0984" w:rsidP="00651749">
      <w:pPr>
        <w:pStyle w:val="FootnoteText"/>
        <w:jc w:val="both"/>
      </w:pPr>
      <w:r>
        <w:rPr>
          <w:rStyle w:val="FootnoteReference"/>
        </w:rPr>
        <w:footnoteRef/>
      </w:r>
      <w:r w:rsidRPr="00EC2E5B">
        <w:rPr>
          <w:lang w:val="en-US"/>
        </w:rPr>
        <w:t xml:space="preserve"> </w:t>
      </w:r>
      <w:r w:rsidRPr="00831374">
        <w:rPr>
          <w:rFonts w:cstheme="minorHAnsi"/>
          <w:color w:val="000000" w:themeColor="text1"/>
          <w:sz w:val="18"/>
          <w:szCs w:val="18"/>
          <w:lang w:val="en-US"/>
        </w:rPr>
        <w:t xml:space="preserve">Intermedia study conducted in Benin in 2015. </w:t>
      </w:r>
      <w:hyperlink r:id="rId1" w:history="1">
        <w:r w:rsidRPr="00EC2E5B">
          <w:rPr>
            <w:rStyle w:val="Hyperlink"/>
            <w:rFonts w:cstheme="minorHAnsi"/>
            <w:color w:val="000000" w:themeColor="text1"/>
            <w:sz w:val="18"/>
            <w:szCs w:val="18"/>
          </w:rPr>
          <w:t>http://finclusion.org/uploads/file/reports/FINAL%20BENIN%20-%20UNCDF%20MM4P%20Benin%20Long%20version%20English%20CEL%208%20Nov.pdf</w:t>
        </w:r>
      </w:hyperlink>
    </w:p>
  </w:footnote>
  <w:footnote w:id="17">
    <w:p w14:paraId="6279EB71" w14:textId="42B758B7" w:rsidR="003B0984" w:rsidRPr="006E3763" w:rsidRDefault="003B0984" w:rsidP="00651749">
      <w:pPr>
        <w:pStyle w:val="Default"/>
        <w:jc w:val="both"/>
        <w:rPr>
          <w:rFonts w:asciiTheme="minorHAnsi" w:hAnsiTheme="minorHAnsi" w:cstheme="minorHAnsi"/>
          <w:sz w:val="18"/>
          <w:szCs w:val="18"/>
        </w:rPr>
      </w:pPr>
      <w:r w:rsidRPr="006E3763">
        <w:rPr>
          <w:rStyle w:val="FootnoteReference"/>
          <w:rFonts w:asciiTheme="minorHAnsi" w:hAnsiTheme="minorHAnsi" w:cstheme="minorHAnsi"/>
          <w:sz w:val="18"/>
          <w:szCs w:val="18"/>
        </w:rPr>
        <w:footnoteRef/>
      </w:r>
      <w:r w:rsidRPr="006E3763">
        <w:rPr>
          <w:rFonts w:asciiTheme="minorHAnsi" w:hAnsiTheme="minorHAnsi" w:cstheme="minorHAnsi"/>
          <w:sz w:val="18"/>
          <w:szCs w:val="18"/>
          <w:lang w:val="en-US"/>
        </w:rPr>
        <w:t xml:space="preserve"> </w:t>
      </w:r>
      <w:r w:rsidRPr="006E3763">
        <w:rPr>
          <w:rFonts w:asciiTheme="minorHAnsi" w:hAnsiTheme="minorHAnsi" w:cstheme="minorHAnsi"/>
          <w:sz w:val="18"/>
          <w:szCs w:val="18"/>
          <w:lang w:val="en-CA"/>
        </w:rPr>
        <w:t xml:space="preserve">All data on value chains are from </w:t>
      </w:r>
      <w:r>
        <w:rPr>
          <w:rFonts w:asciiTheme="minorHAnsi" w:hAnsiTheme="minorHAnsi" w:cstheme="minorHAnsi"/>
          <w:sz w:val="18"/>
          <w:szCs w:val="18"/>
          <w:lang w:val="en-CA"/>
        </w:rPr>
        <w:t xml:space="preserve">the </w:t>
      </w:r>
      <w:r w:rsidRPr="006E3763">
        <w:rPr>
          <w:rFonts w:asciiTheme="minorHAnsi" w:hAnsiTheme="minorHAnsi" w:cstheme="minorHAnsi"/>
          <w:sz w:val="18"/>
          <w:szCs w:val="18"/>
          <w:lang w:val="en-CA"/>
        </w:rPr>
        <w:t xml:space="preserve">Ministry of Agriculture, Livestock and Fisheries-Benin. </w:t>
      </w:r>
      <w:r w:rsidRPr="006E3763">
        <w:rPr>
          <w:rFonts w:asciiTheme="minorHAnsi" w:hAnsiTheme="minorHAnsi" w:cstheme="minorHAnsi"/>
          <w:sz w:val="18"/>
          <w:szCs w:val="18"/>
        </w:rPr>
        <w:t xml:space="preserve">2017. Plan Stratégique de Développement du Secteur Agricole (PSDSA) </w:t>
      </w:r>
      <w:r w:rsidRPr="00795897">
        <w:rPr>
          <w:rFonts w:asciiTheme="minorHAnsi" w:hAnsiTheme="minorHAnsi" w:cstheme="minorHAnsi"/>
          <w:sz w:val="18"/>
          <w:szCs w:val="18"/>
        </w:rPr>
        <w:t>2025 et Plan National d’Investissements Agricoles et de Sécurité Alimentaire</w:t>
      </w:r>
      <w:r w:rsidRPr="006E3763">
        <w:rPr>
          <w:rFonts w:asciiTheme="minorHAnsi" w:hAnsiTheme="minorHAnsi" w:cstheme="minorHAnsi"/>
          <w:sz w:val="18"/>
          <w:szCs w:val="18"/>
        </w:rPr>
        <w:t xml:space="preserve"> et Nutritionnelle (PNIASAN) 2017</w:t>
      </w:r>
      <w:r>
        <w:rPr>
          <w:rFonts w:asciiTheme="minorHAnsi" w:hAnsiTheme="minorHAnsi" w:cstheme="minorHAnsi"/>
          <w:sz w:val="18"/>
          <w:szCs w:val="18"/>
        </w:rPr>
        <w:t>–</w:t>
      </w:r>
      <w:r w:rsidRPr="006E3763">
        <w:rPr>
          <w:rFonts w:asciiTheme="minorHAnsi" w:hAnsiTheme="minorHAnsi" w:cstheme="minorHAnsi"/>
          <w:sz w:val="18"/>
          <w:szCs w:val="18"/>
        </w:rPr>
        <w:t>2021</w:t>
      </w:r>
      <w:r>
        <w:rPr>
          <w:rFonts w:asciiTheme="minorHAnsi" w:hAnsiTheme="minorHAnsi" w:cstheme="minorHAnsi"/>
          <w:sz w:val="18"/>
          <w:szCs w:val="18"/>
        </w:rPr>
        <w:t>.</w:t>
      </w:r>
      <w:r w:rsidRPr="006E3763">
        <w:rPr>
          <w:rFonts w:asciiTheme="minorHAnsi" w:hAnsiTheme="minorHAnsi" w:cstheme="minorHAnsi"/>
          <w:sz w:val="18"/>
          <w:szCs w:val="18"/>
        </w:rPr>
        <w:t xml:space="preserve"> </w:t>
      </w:r>
    </w:p>
  </w:footnote>
  <w:footnote w:id="18">
    <w:p w14:paraId="7A4A445C" w14:textId="5B11A8C9" w:rsidR="003B0984" w:rsidRPr="006E3763" w:rsidRDefault="003B0984" w:rsidP="00651749">
      <w:pPr>
        <w:pStyle w:val="FootnoteText"/>
        <w:jc w:val="both"/>
        <w:rPr>
          <w:rFonts w:cstheme="minorHAnsi"/>
          <w:sz w:val="18"/>
          <w:szCs w:val="18"/>
        </w:rPr>
      </w:pPr>
      <w:r w:rsidRPr="006E3763">
        <w:rPr>
          <w:rStyle w:val="FootnoteReference"/>
          <w:rFonts w:cstheme="minorHAnsi"/>
          <w:sz w:val="18"/>
          <w:szCs w:val="18"/>
        </w:rPr>
        <w:footnoteRef/>
      </w:r>
      <w:r w:rsidRPr="006E3763">
        <w:rPr>
          <w:rFonts w:cstheme="minorHAnsi"/>
          <w:sz w:val="18"/>
          <w:szCs w:val="18"/>
          <w:lang w:val="en-US"/>
        </w:rPr>
        <w:t xml:space="preserve"> </w:t>
      </w:r>
      <w:r w:rsidRPr="006E3763">
        <w:rPr>
          <w:rFonts w:cstheme="minorHAnsi"/>
          <w:sz w:val="18"/>
          <w:szCs w:val="18"/>
          <w:lang w:val="en-CA"/>
        </w:rPr>
        <w:t xml:space="preserve">All data on value chains are from </w:t>
      </w:r>
      <w:r>
        <w:rPr>
          <w:rFonts w:cstheme="minorHAnsi"/>
          <w:sz w:val="18"/>
          <w:szCs w:val="18"/>
          <w:lang w:val="en-CA"/>
        </w:rPr>
        <w:t xml:space="preserve">the </w:t>
      </w:r>
      <w:r w:rsidRPr="006E3763">
        <w:rPr>
          <w:rFonts w:cstheme="minorHAnsi"/>
          <w:sz w:val="18"/>
          <w:szCs w:val="18"/>
          <w:lang w:val="en-CA"/>
        </w:rPr>
        <w:t xml:space="preserve">Ministry of Agriculture, Livestock and Fisheries-Benin. </w:t>
      </w:r>
      <w:r w:rsidRPr="006E3763">
        <w:rPr>
          <w:rFonts w:cstheme="minorHAnsi"/>
          <w:sz w:val="18"/>
          <w:szCs w:val="18"/>
        </w:rPr>
        <w:t xml:space="preserve">2017. </w:t>
      </w:r>
      <w:r w:rsidRPr="006E3763">
        <w:rPr>
          <w:rFonts w:cstheme="minorHAnsi"/>
          <w:color w:val="000000"/>
          <w:sz w:val="18"/>
          <w:szCs w:val="18"/>
        </w:rPr>
        <w:t xml:space="preserve">Plan Stratégique de Développement du Secteur Agricole (PSDSA) 2025 et Plan National d’Investissements Agricoles et de Sécurité Alimentaire et </w:t>
      </w:r>
      <w:r w:rsidRPr="006E3763">
        <w:rPr>
          <w:rFonts w:cstheme="minorHAnsi"/>
          <w:sz w:val="18"/>
          <w:szCs w:val="18"/>
        </w:rPr>
        <w:t>Nutritionnelle (PNIASAN)</w:t>
      </w:r>
      <w:r w:rsidRPr="006E3763">
        <w:rPr>
          <w:rFonts w:cstheme="minorHAnsi"/>
          <w:color w:val="000000"/>
          <w:sz w:val="18"/>
          <w:szCs w:val="18"/>
        </w:rPr>
        <w:t xml:space="preserve"> 2017 - 2021 </w:t>
      </w:r>
    </w:p>
  </w:footnote>
  <w:footnote w:id="19">
    <w:p w14:paraId="0E2D765C" w14:textId="77777777" w:rsidR="003B0984" w:rsidRPr="00B64E35" w:rsidRDefault="003B0984" w:rsidP="00651749">
      <w:pPr>
        <w:pStyle w:val="FootnoteText"/>
        <w:jc w:val="both"/>
        <w:rPr>
          <w:rFonts w:cstheme="minorHAnsi"/>
          <w:sz w:val="18"/>
          <w:szCs w:val="18"/>
        </w:rPr>
      </w:pPr>
      <w:r w:rsidRPr="006E3763">
        <w:rPr>
          <w:rStyle w:val="FootnoteReference"/>
          <w:rFonts w:cstheme="minorHAnsi"/>
          <w:sz w:val="18"/>
          <w:szCs w:val="18"/>
        </w:rPr>
        <w:footnoteRef/>
      </w:r>
      <w:r w:rsidRPr="00B64E35">
        <w:rPr>
          <w:rFonts w:cstheme="minorHAnsi"/>
          <w:sz w:val="18"/>
          <w:szCs w:val="18"/>
        </w:rPr>
        <w:t xml:space="preserve"> https://www.lanationbenin.info/index.php/economie-2/144-economie/12985-economie-le-fonaga-pret-a-renforcer-son-appui-aux-pme.</w:t>
      </w:r>
    </w:p>
  </w:footnote>
  <w:footnote w:id="20">
    <w:p w14:paraId="0122617F" w14:textId="77777777" w:rsidR="003B0984" w:rsidRPr="006E3763" w:rsidRDefault="003B0984" w:rsidP="00651749">
      <w:pPr>
        <w:pStyle w:val="FootnoteText"/>
        <w:jc w:val="both"/>
        <w:rPr>
          <w:rFonts w:cstheme="minorHAnsi"/>
          <w:sz w:val="18"/>
          <w:szCs w:val="18"/>
          <w:lang w:val="fr-CA"/>
        </w:rPr>
      </w:pPr>
      <w:r w:rsidRPr="006E3763">
        <w:rPr>
          <w:rStyle w:val="FootnoteReference"/>
          <w:rFonts w:cstheme="minorHAnsi"/>
          <w:sz w:val="18"/>
          <w:szCs w:val="18"/>
        </w:rPr>
        <w:footnoteRef/>
      </w:r>
      <w:r w:rsidRPr="006E3763">
        <w:rPr>
          <w:rFonts w:cstheme="minorHAnsi"/>
          <w:sz w:val="18"/>
          <w:szCs w:val="18"/>
          <w:lang w:val="en-US"/>
        </w:rPr>
        <w:t xml:space="preserve"> </w:t>
      </w:r>
      <w:r w:rsidRPr="006E3763">
        <w:rPr>
          <w:rFonts w:cstheme="minorHAnsi"/>
          <w:sz w:val="18"/>
          <w:szCs w:val="18"/>
          <w:lang w:val="en-CA"/>
        </w:rPr>
        <w:t xml:space="preserve">Ministry of Agriculture, Livestock and Fisheries-Benin. </w:t>
      </w:r>
      <w:r w:rsidRPr="006E3763">
        <w:rPr>
          <w:rFonts w:cstheme="minorHAnsi"/>
          <w:sz w:val="18"/>
          <w:szCs w:val="18"/>
        </w:rPr>
        <w:t xml:space="preserve">2017. </w:t>
      </w:r>
      <w:r w:rsidRPr="006E3763">
        <w:rPr>
          <w:rFonts w:cstheme="minorHAnsi"/>
          <w:color w:val="000000"/>
          <w:sz w:val="18"/>
          <w:szCs w:val="18"/>
        </w:rPr>
        <w:t xml:space="preserve">Plan Stratégique de Développement du Secteur Agricole (PSDSA) 2025 et Plan National d’Investissements Agricoles et de Sécurité Alimentaire et </w:t>
      </w:r>
      <w:r w:rsidRPr="006E3763">
        <w:rPr>
          <w:rFonts w:cstheme="minorHAnsi"/>
          <w:sz w:val="18"/>
          <w:szCs w:val="18"/>
        </w:rPr>
        <w:t>Nutritionnelle (PNIASAN)</w:t>
      </w:r>
      <w:r w:rsidRPr="006E3763">
        <w:rPr>
          <w:rFonts w:cstheme="minorHAnsi"/>
          <w:color w:val="000000"/>
          <w:sz w:val="18"/>
          <w:szCs w:val="18"/>
        </w:rPr>
        <w:t xml:space="preserve"> 2017 - 2021</w:t>
      </w:r>
    </w:p>
  </w:footnote>
  <w:footnote w:id="21">
    <w:p w14:paraId="1F02EFD9" w14:textId="77777777" w:rsidR="003B0984" w:rsidRPr="006E3763" w:rsidRDefault="003B0984" w:rsidP="00651749">
      <w:pPr>
        <w:pStyle w:val="FootnoteText"/>
        <w:jc w:val="both"/>
        <w:rPr>
          <w:rFonts w:cstheme="minorHAnsi"/>
          <w:sz w:val="18"/>
          <w:szCs w:val="18"/>
          <w:lang w:val="en-US"/>
        </w:rPr>
      </w:pPr>
      <w:r w:rsidRPr="006E3763">
        <w:rPr>
          <w:rStyle w:val="FootnoteReference"/>
          <w:rFonts w:cstheme="minorHAnsi"/>
          <w:sz w:val="18"/>
          <w:szCs w:val="18"/>
        </w:rPr>
        <w:footnoteRef/>
      </w:r>
      <w:r w:rsidRPr="006E3763">
        <w:rPr>
          <w:rFonts w:cstheme="minorHAnsi"/>
          <w:sz w:val="18"/>
          <w:szCs w:val="18"/>
          <w:lang w:val="en-US"/>
        </w:rPr>
        <w:t xml:space="preserve"> Financial access survey (FAS) data (2014 to 2016)</w:t>
      </w:r>
      <w:r>
        <w:rPr>
          <w:rFonts w:cstheme="minorHAnsi"/>
          <w:sz w:val="18"/>
          <w:szCs w:val="18"/>
          <w:lang w:val="en-US"/>
        </w:rPr>
        <w:t>.</w:t>
      </w:r>
    </w:p>
  </w:footnote>
  <w:footnote w:id="22">
    <w:p w14:paraId="4EB81FD7" w14:textId="77777777" w:rsidR="003B0984" w:rsidRPr="006E3763" w:rsidRDefault="003B0984" w:rsidP="00651749">
      <w:pPr>
        <w:pStyle w:val="FootnoteText"/>
        <w:jc w:val="both"/>
        <w:rPr>
          <w:rFonts w:cstheme="minorHAnsi"/>
          <w:sz w:val="18"/>
          <w:szCs w:val="18"/>
          <w:lang w:val="en-US"/>
        </w:rPr>
      </w:pPr>
      <w:r w:rsidRPr="006E3763">
        <w:rPr>
          <w:rStyle w:val="FootnoteReference"/>
          <w:rFonts w:cstheme="minorHAnsi"/>
          <w:sz w:val="18"/>
          <w:szCs w:val="18"/>
        </w:rPr>
        <w:footnoteRef/>
      </w:r>
      <w:r w:rsidRPr="006E3763">
        <w:rPr>
          <w:rFonts w:cstheme="minorHAnsi"/>
          <w:sz w:val="18"/>
          <w:szCs w:val="18"/>
          <w:lang w:val="en-US"/>
        </w:rPr>
        <w:t xml:space="preserve"> Benin Climate Change Profile (2015). Prepared with the support of the Dutch Cooperation.</w:t>
      </w:r>
    </w:p>
  </w:footnote>
  <w:footnote w:id="23">
    <w:p w14:paraId="08AA4F71" w14:textId="0ED34404" w:rsidR="003B0984" w:rsidRPr="006E3763" w:rsidRDefault="003B0984" w:rsidP="00651749">
      <w:pPr>
        <w:pStyle w:val="FootnoteText"/>
        <w:jc w:val="both"/>
        <w:rPr>
          <w:rFonts w:cstheme="minorHAnsi"/>
          <w:sz w:val="18"/>
          <w:szCs w:val="18"/>
          <w:lang w:val="en-US"/>
        </w:rPr>
      </w:pPr>
      <w:r w:rsidRPr="006E3763">
        <w:rPr>
          <w:rStyle w:val="FootnoteReference"/>
          <w:rFonts w:cstheme="minorHAnsi"/>
          <w:sz w:val="18"/>
          <w:szCs w:val="18"/>
        </w:rPr>
        <w:footnoteRef/>
      </w:r>
      <w:r w:rsidRPr="006E3763">
        <w:rPr>
          <w:rFonts w:cstheme="minorHAnsi"/>
          <w:sz w:val="18"/>
          <w:szCs w:val="18"/>
          <w:lang w:val="en-US"/>
        </w:rPr>
        <w:t xml:space="preserve"> </w:t>
      </w:r>
      <w:r w:rsidRPr="0068752A">
        <w:rPr>
          <w:rFonts w:cstheme="minorHAnsi"/>
          <w:sz w:val="18"/>
          <w:szCs w:val="18"/>
          <w:lang w:val="en-US"/>
        </w:rPr>
        <w:t xml:space="preserve">Agriculture Finance Diagnostic Dissemination ppt: </w:t>
      </w:r>
      <w:r w:rsidRPr="0068752A">
        <w:rPr>
          <w:rFonts w:cstheme="minorHAnsi"/>
          <w:color w:val="222222"/>
          <w:sz w:val="18"/>
          <w:szCs w:val="18"/>
          <w:lang w:val="en"/>
        </w:rPr>
        <w:t>At international level, a recent World Bank study of 60 PCGs for SMEs shows that the</w:t>
      </w:r>
      <w:r w:rsidRPr="006E3763">
        <w:rPr>
          <w:rFonts w:cstheme="minorHAnsi"/>
          <w:color w:val="222222"/>
          <w:sz w:val="18"/>
          <w:szCs w:val="18"/>
          <w:lang w:val="en"/>
        </w:rPr>
        <w:t xml:space="preserve"> average fee charged by the guarantee funds amount</w:t>
      </w:r>
      <w:r>
        <w:rPr>
          <w:rFonts w:cstheme="minorHAnsi"/>
          <w:color w:val="222222"/>
          <w:sz w:val="18"/>
          <w:szCs w:val="18"/>
          <w:lang w:val="en"/>
        </w:rPr>
        <w:t>s</w:t>
      </w:r>
      <w:r w:rsidRPr="006E3763">
        <w:rPr>
          <w:rFonts w:cstheme="minorHAnsi"/>
          <w:color w:val="222222"/>
          <w:sz w:val="18"/>
          <w:szCs w:val="18"/>
          <w:lang w:val="en"/>
        </w:rPr>
        <w:t xml:space="preserve"> to 2.4</w:t>
      </w:r>
      <w:r>
        <w:rPr>
          <w:rFonts w:cstheme="minorHAnsi"/>
          <w:color w:val="222222"/>
          <w:sz w:val="18"/>
          <w:szCs w:val="18"/>
          <w:lang w:val="en"/>
        </w:rPr>
        <w:t xml:space="preserve"> percent</w:t>
      </w:r>
      <w:r w:rsidRPr="006E3763">
        <w:rPr>
          <w:rFonts w:cstheme="minorHAnsi"/>
          <w:color w:val="222222"/>
          <w:sz w:val="18"/>
          <w:szCs w:val="18"/>
          <w:lang w:val="en"/>
        </w:rPr>
        <w:t>, with a minimum of 1</w:t>
      </w:r>
      <w:r>
        <w:rPr>
          <w:rFonts w:cstheme="minorHAnsi"/>
          <w:color w:val="222222"/>
          <w:sz w:val="18"/>
          <w:szCs w:val="18"/>
          <w:lang w:val="en"/>
        </w:rPr>
        <w:t xml:space="preserve"> percent</w:t>
      </w:r>
      <w:r w:rsidRPr="006E3763">
        <w:rPr>
          <w:rFonts w:cstheme="minorHAnsi"/>
          <w:color w:val="222222"/>
          <w:sz w:val="18"/>
          <w:szCs w:val="18"/>
          <w:lang w:val="en"/>
        </w:rPr>
        <w:t xml:space="preserve"> and </w:t>
      </w:r>
      <w:r w:rsidRPr="0068752A">
        <w:rPr>
          <w:rFonts w:cstheme="minorHAnsi"/>
          <w:color w:val="222222"/>
          <w:sz w:val="18"/>
          <w:szCs w:val="18"/>
          <w:lang w:val="en"/>
        </w:rPr>
        <w:t>a maximum of 3 percent. The average leverage rate is 3.3. In Africa, the average leverage rate is 1.7 (World Bank Group 2016b</w:t>
      </w:r>
      <w:r>
        <w:rPr>
          <w:rFonts w:cstheme="minorHAnsi"/>
          <w:color w:val="222222"/>
          <w:sz w:val="18"/>
          <w:szCs w:val="18"/>
          <w:lang w:val="e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09E74" w14:textId="77777777" w:rsidR="003B0984" w:rsidRDefault="003B0984">
    <w:pPr>
      <w:pStyle w:val="Header"/>
    </w:pPr>
  </w:p>
  <w:p w14:paraId="540B7433" w14:textId="77777777" w:rsidR="003B0984" w:rsidRDefault="003B09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92D97"/>
    <w:multiLevelType w:val="multilevel"/>
    <w:tmpl w:val="49AA83F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1B4EA4"/>
    <w:multiLevelType w:val="hybridMultilevel"/>
    <w:tmpl w:val="0BD076EC"/>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7294F12"/>
    <w:multiLevelType w:val="hybridMultilevel"/>
    <w:tmpl w:val="60D64936"/>
    <w:lvl w:ilvl="0" w:tplc="14E627E8">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46495F"/>
    <w:multiLevelType w:val="hybridMultilevel"/>
    <w:tmpl w:val="9CC4B366"/>
    <w:lvl w:ilvl="0" w:tplc="6778C244">
      <w:start w:val="1"/>
      <w:numFmt w:val="decimal"/>
      <w:lvlText w:val="%1."/>
      <w:lvlJc w:val="left"/>
      <w:pPr>
        <w:ind w:left="720" w:hanging="360"/>
      </w:pPr>
      <w:rPr>
        <w:rFonts w:asciiTheme="minorHAnsi" w:hAnsiTheme="minorHAnsi" w:cstheme="minorHAnsi" w:hint="default"/>
        <w:b w:val="0"/>
        <w:sz w:val="22"/>
        <w:szCs w:val="22"/>
      </w:rPr>
    </w:lvl>
    <w:lvl w:ilvl="1" w:tplc="92F2E626">
      <w:numFmt w:val="bullet"/>
      <w:lvlText w:val="-"/>
      <w:lvlJc w:val="left"/>
      <w:pPr>
        <w:ind w:left="1440" w:hanging="360"/>
      </w:pPr>
      <w:rPr>
        <w:rFonts w:ascii="Calibri" w:eastAsiaTheme="minorHAnsi" w:hAnsi="Calibri" w:cs="Calibri" w:hint="default"/>
      </w:rPr>
    </w:lvl>
    <w:lvl w:ilvl="2" w:tplc="F3302C4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0A6C07"/>
    <w:multiLevelType w:val="hybridMultilevel"/>
    <w:tmpl w:val="522848C6"/>
    <w:lvl w:ilvl="0" w:tplc="4B0A523A">
      <w:start w:val="2"/>
      <w:numFmt w:val="lowerRoman"/>
      <w:lvlText w:val="%1."/>
      <w:lvlJc w:val="right"/>
      <w:pPr>
        <w:ind w:left="36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692BFE"/>
    <w:multiLevelType w:val="hybridMultilevel"/>
    <w:tmpl w:val="300216B4"/>
    <w:lvl w:ilvl="0" w:tplc="378C480C">
      <w:start w:val="1"/>
      <w:numFmt w:val="bullet"/>
      <w:lvlText w:val=""/>
      <w:lvlJc w:val="left"/>
      <w:pPr>
        <w:ind w:left="1440" w:hanging="360"/>
      </w:pPr>
      <w:rPr>
        <w:rFonts w:ascii="Symbol" w:hAnsi="Symbol" w:hint="default"/>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040F3A"/>
    <w:multiLevelType w:val="hybridMultilevel"/>
    <w:tmpl w:val="9BF0CFBA"/>
    <w:lvl w:ilvl="0" w:tplc="14E627E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4AF28C8"/>
    <w:multiLevelType w:val="hybridMultilevel"/>
    <w:tmpl w:val="9C18D19C"/>
    <w:lvl w:ilvl="0" w:tplc="BC5460EC">
      <w:start w:val="1"/>
      <w:numFmt w:val="bullet"/>
      <w:lvlText w:val=""/>
      <w:lvlJc w:val="left"/>
      <w:pPr>
        <w:ind w:left="1068" w:hanging="360"/>
      </w:pPr>
      <w:rPr>
        <w:rFonts w:ascii="Symbol" w:hAnsi="Symbol" w:hint="default"/>
        <w:color w:val="000000" w:themeColor="text1"/>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8" w15:restartNumberingAfterBreak="0">
    <w:nsid w:val="150B6E92"/>
    <w:multiLevelType w:val="hybridMultilevel"/>
    <w:tmpl w:val="6D12BA98"/>
    <w:lvl w:ilvl="0" w:tplc="14E627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CB4DE2"/>
    <w:multiLevelType w:val="multilevel"/>
    <w:tmpl w:val="49AA83F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D3A6415"/>
    <w:multiLevelType w:val="multilevel"/>
    <w:tmpl w:val="60AAE57C"/>
    <w:lvl w:ilvl="0">
      <w:start w:val="1"/>
      <w:numFmt w:val="decimal"/>
      <w:lvlText w:val="%1."/>
      <w:lvlJc w:val="left"/>
      <w:pPr>
        <w:ind w:left="720" w:hanging="360"/>
      </w:pPr>
      <w:rPr>
        <w:rFonts w:asciiTheme="minorHAnsi" w:hAnsiTheme="minorHAnsi" w:cstheme="minorHAnsi" w:hint="default"/>
        <w:color w:val="000000" w:themeColor="text1"/>
        <w:sz w:val="22"/>
        <w:szCs w:val="22"/>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D4B106D"/>
    <w:multiLevelType w:val="hybridMultilevel"/>
    <w:tmpl w:val="60A0757E"/>
    <w:lvl w:ilvl="0" w:tplc="BC5460EC">
      <w:start w:val="1"/>
      <w:numFmt w:val="bullet"/>
      <w:lvlText w:val=""/>
      <w:lvlJc w:val="left"/>
      <w:pPr>
        <w:ind w:left="360" w:hanging="360"/>
      </w:pPr>
      <w:rPr>
        <w:rFonts w:ascii="Symbol" w:hAnsi="Symbol" w:hint="default"/>
        <w:color w:val="000000" w:themeColor="text1"/>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1E7A58C5"/>
    <w:multiLevelType w:val="multilevel"/>
    <w:tmpl w:val="AD02CB70"/>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1FA3856"/>
    <w:multiLevelType w:val="hybridMultilevel"/>
    <w:tmpl w:val="0CF438CE"/>
    <w:lvl w:ilvl="0" w:tplc="0409001B">
      <w:start w:val="1"/>
      <w:numFmt w:val="lowerRoman"/>
      <w:lvlText w:val="%1."/>
      <w:lvlJc w:val="right"/>
      <w:pPr>
        <w:ind w:left="360" w:hanging="360"/>
      </w:pPr>
      <w:rPr>
        <w:rFonts w:hint="default"/>
        <w:b w:val="0"/>
        <w:sz w:val="22"/>
        <w:szCs w:val="22"/>
      </w:rPr>
    </w:lvl>
    <w:lvl w:ilvl="1" w:tplc="92F2E626">
      <w:numFmt w:val="bullet"/>
      <w:lvlText w:val="-"/>
      <w:lvlJc w:val="left"/>
      <w:pPr>
        <w:ind w:left="1440" w:hanging="360"/>
      </w:pPr>
      <w:rPr>
        <w:rFonts w:ascii="Calibri" w:eastAsiaTheme="minorHAnsi" w:hAnsi="Calibri" w:cs="Calibri" w:hint="default"/>
      </w:rPr>
    </w:lvl>
    <w:lvl w:ilvl="2" w:tplc="F3302C4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A269C0"/>
    <w:multiLevelType w:val="hybridMultilevel"/>
    <w:tmpl w:val="4FEC5F4C"/>
    <w:lvl w:ilvl="0" w:tplc="E2D47D0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D009F9"/>
    <w:multiLevelType w:val="hybridMultilevel"/>
    <w:tmpl w:val="9F04D9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62C2F6C"/>
    <w:multiLevelType w:val="hybridMultilevel"/>
    <w:tmpl w:val="E3107362"/>
    <w:lvl w:ilvl="0" w:tplc="05FC01CE">
      <w:start w:val="1"/>
      <w:numFmt w:val="bullet"/>
      <w:lvlText w:val="-"/>
      <w:lvlJc w:val="left"/>
      <w:pPr>
        <w:ind w:left="1068" w:hanging="360"/>
      </w:pPr>
      <w:rPr>
        <w:rFonts w:ascii="Calibri" w:eastAsiaTheme="minorHAnsi" w:hAnsi="Calibri"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6B404B3"/>
    <w:multiLevelType w:val="hybridMultilevel"/>
    <w:tmpl w:val="D1A8B62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70A6352"/>
    <w:multiLevelType w:val="hybridMultilevel"/>
    <w:tmpl w:val="003079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7273A98"/>
    <w:multiLevelType w:val="hybridMultilevel"/>
    <w:tmpl w:val="3612C8E6"/>
    <w:lvl w:ilvl="0" w:tplc="9F0ACA06">
      <w:start w:val="1"/>
      <w:numFmt w:val="bullet"/>
      <w:lvlText w:val="o"/>
      <w:lvlJc w:val="left"/>
      <w:pPr>
        <w:ind w:left="1890" w:hanging="360"/>
      </w:pPr>
      <w:rPr>
        <w:rFonts w:ascii="Courier New" w:hAnsi="Courier New" w:hint="default"/>
        <w:b w:val="0"/>
        <w:i w:val="0"/>
      </w:rPr>
    </w:lvl>
    <w:lvl w:ilvl="1" w:tplc="04090003">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0" w15:restartNumberingAfterBreak="0">
    <w:nsid w:val="28CF38FF"/>
    <w:multiLevelType w:val="hybridMultilevel"/>
    <w:tmpl w:val="B8949B52"/>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2FF8694D"/>
    <w:multiLevelType w:val="hybridMultilevel"/>
    <w:tmpl w:val="F172640E"/>
    <w:lvl w:ilvl="0" w:tplc="DC427F0C">
      <w:start w:val="1"/>
      <w:numFmt w:val="bullet"/>
      <w:lvlText w:val=""/>
      <w:lvlJc w:val="left"/>
      <w:pPr>
        <w:ind w:left="1440" w:hanging="360"/>
      </w:pPr>
      <w:rPr>
        <w:rFonts w:ascii="Symbol" w:hAnsi="Symbol" w:hint="default"/>
        <w:color w:val="auto"/>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CF423A4"/>
    <w:multiLevelType w:val="hybridMultilevel"/>
    <w:tmpl w:val="03728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4803157"/>
    <w:multiLevelType w:val="hybridMultilevel"/>
    <w:tmpl w:val="52AE40F6"/>
    <w:lvl w:ilvl="0" w:tplc="0409001B">
      <w:start w:val="1"/>
      <w:numFmt w:val="lowerRoman"/>
      <w:lvlText w:val="%1."/>
      <w:lvlJc w:val="right"/>
      <w:pPr>
        <w:ind w:left="360" w:hanging="360"/>
      </w:pPr>
      <w:rPr>
        <w:rFonts w:hint="default"/>
        <w:b w:val="0"/>
        <w:sz w:val="22"/>
        <w:szCs w:val="22"/>
      </w:rPr>
    </w:lvl>
    <w:lvl w:ilvl="1" w:tplc="92F2E626">
      <w:numFmt w:val="bullet"/>
      <w:lvlText w:val="-"/>
      <w:lvlJc w:val="left"/>
      <w:pPr>
        <w:ind w:left="1440" w:hanging="360"/>
      </w:pPr>
      <w:rPr>
        <w:rFonts w:ascii="Calibri" w:eastAsiaTheme="minorHAnsi" w:hAnsi="Calibri" w:cs="Calibri" w:hint="default"/>
      </w:rPr>
    </w:lvl>
    <w:lvl w:ilvl="2" w:tplc="F3302C46">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BC1E7E"/>
    <w:multiLevelType w:val="hybridMultilevel"/>
    <w:tmpl w:val="F768D9CE"/>
    <w:lvl w:ilvl="0" w:tplc="BC5460EC">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97851A8"/>
    <w:multiLevelType w:val="hybridMultilevel"/>
    <w:tmpl w:val="D6922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D4B71D5"/>
    <w:multiLevelType w:val="hybridMultilevel"/>
    <w:tmpl w:val="7090D1DA"/>
    <w:lvl w:ilvl="0" w:tplc="9F0ACA06">
      <w:start w:val="1"/>
      <w:numFmt w:val="bullet"/>
      <w:lvlText w:val="o"/>
      <w:lvlJc w:val="left"/>
      <w:pPr>
        <w:ind w:left="1068" w:hanging="360"/>
      </w:pPr>
      <w:rPr>
        <w:rFonts w:ascii="Courier New" w:hAnsi="Courier New" w:hint="default"/>
        <w:b w:val="0"/>
        <w:i w:val="0"/>
        <w:u w:val="none"/>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7" w15:restartNumberingAfterBreak="0">
    <w:nsid w:val="4D59211B"/>
    <w:multiLevelType w:val="hybridMultilevel"/>
    <w:tmpl w:val="255801B2"/>
    <w:lvl w:ilvl="0" w:tplc="0C0C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9F0ACA06">
      <w:start w:val="1"/>
      <w:numFmt w:val="bullet"/>
      <w:lvlText w:val="o"/>
      <w:lvlJc w:val="left"/>
      <w:pPr>
        <w:ind w:left="2160" w:hanging="360"/>
      </w:pPr>
      <w:rPr>
        <w:rFonts w:ascii="Courier New" w:hAnsi="Courier New" w:hint="default"/>
        <w:b w:val="0"/>
        <w:i w:val="0"/>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4DC82970"/>
    <w:multiLevelType w:val="hybridMultilevel"/>
    <w:tmpl w:val="404E45F4"/>
    <w:lvl w:ilvl="0" w:tplc="A762C332">
      <w:start w:val="1"/>
      <w:numFmt w:val="decimal"/>
      <w:lvlText w:val="%1."/>
      <w:lvlJc w:val="left"/>
      <w:pPr>
        <w:ind w:left="360" w:hanging="360"/>
      </w:pPr>
      <w:rPr>
        <w:rFonts w:eastAsia="Times New Roman" w:hint="default"/>
        <w:b w:val="0"/>
        <w:sz w:val="22"/>
      </w:rPr>
    </w:lvl>
    <w:lvl w:ilvl="1" w:tplc="BC5460EC">
      <w:start w:val="1"/>
      <w:numFmt w:val="bullet"/>
      <w:lvlText w:val=""/>
      <w:lvlJc w:val="left"/>
      <w:pPr>
        <w:ind w:left="1440" w:hanging="360"/>
      </w:pPr>
      <w:rPr>
        <w:rFonts w:ascii="Symbol" w:hAnsi="Symbol" w:hint="default"/>
        <w:color w:val="000000" w:themeColor="text1"/>
      </w:rPr>
    </w:lvl>
    <w:lvl w:ilvl="2" w:tplc="F38025CA">
      <w:start w:val="1"/>
      <w:numFmt w:val="bullet"/>
      <w:lvlText w:val=""/>
      <w:lvlJc w:val="left"/>
      <w:pPr>
        <w:ind w:left="2160" w:hanging="180"/>
      </w:pPr>
      <w:rPr>
        <w:rFonts w:ascii="Wingdings" w:hAnsi="Wingdings" w:hint="default"/>
        <w:sz w:val="22"/>
      </w:rPr>
    </w:lvl>
    <w:lvl w:ilvl="3" w:tplc="0C0C0001">
      <w:start w:val="1"/>
      <w:numFmt w:val="bullet"/>
      <w:lvlText w:val=""/>
      <w:lvlJc w:val="left"/>
      <w:pPr>
        <w:ind w:left="2880" w:hanging="360"/>
      </w:pPr>
      <w:rPr>
        <w:rFonts w:ascii="Symbol" w:hAnsi="Symbol" w:hint="default"/>
      </w:rPr>
    </w:lvl>
    <w:lvl w:ilvl="4" w:tplc="0C0C0001">
      <w:start w:val="1"/>
      <w:numFmt w:val="bullet"/>
      <w:lvlText w:val=""/>
      <w:lvlJc w:val="left"/>
      <w:pPr>
        <w:ind w:left="3600" w:hanging="360"/>
      </w:pPr>
      <w:rPr>
        <w:rFonts w:ascii="Symbol" w:hAnsi="Symbol" w:hint="default"/>
      </w:rPr>
    </w:lvl>
    <w:lvl w:ilvl="5" w:tplc="04090017">
      <w:start w:val="1"/>
      <w:numFmt w:val="lowerLetter"/>
      <w:lvlText w:val="%6)"/>
      <w:lvlJc w:val="left"/>
      <w:pPr>
        <w:ind w:left="4320" w:hanging="180"/>
      </w:pPr>
      <w:rPr>
        <w:rFonts w:hint="default"/>
      </w:rPr>
    </w:lvl>
    <w:lvl w:ilvl="6" w:tplc="0C0C000F">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4E5A261A"/>
    <w:multiLevelType w:val="hybridMultilevel"/>
    <w:tmpl w:val="CE2059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2196222"/>
    <w:multiLevelType w:val="hybridMultilevel"/>
    <w:tmpl w:val="F56E18D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1" w15:restartNumberingAfterBreak="0">
    <w:nsid w:val="52A7207E"/>
    <w:multiLevelType w:val="hybridMultilevel"/>
    <w:tmpl w:val="ABF8E3F6"/>
    <w:lvl w:ilvl="0" w:tplc="BC5460EC">
      <w:start w:val="1"/>
      <w:numFmt w:val="bullet"/>
      <w:lvlText w:val=""/>
      <w:lvlJc w:val="left"/>
      <w:pPr>
        <w:ind w:left="1068" w:hanging="360"/>
      </w:pPr>
      <w:rPr>
        <w:rFonts w:ascii="Symbol" w:hAnsi="Symbol" w:hint="default"/>
        <w:color w:val="000000" w:themeColor="text1"/>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15:restartNumberingAfterBreak="0">
    <w:nsid w:val="54145D7D"/>
    <w:multiLevelType w:val="hybridMultilevel"/>
    <w:tmpl w:val="B724675C"/>
    <w:lvl w:ilvl="0" w:tplc="15EC6C5E">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33" w15:restartNumberingAfterBreak="0">
    <w:nsid w:val="54B317A1"/>
    <w:multiLevelType w:val="hybridMultilevel"/>
    <w:tmpl w:val="341C86C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5A2F06B6"/>
    <w:multiLevelType w:val="hybridMultilevel"/>
    <w:tmpl w:val="046044CA"/>
    <w:lvl w:ilvl="0" w:tplc="332A5492">
      <w:start w:val="1"/>
      <w:numFmt w:val="decimal"/>
      <w:lvlText w:val="%1."/>
      <w:lvlJc w:val="left"/>
      <w:pPr>
        <w:ind w:left="360" w:hanging="360"/>
      </w:pPr>
      <w:rPr>
        <w:rFonts w:eastAsia="Times New Roman" w:hint="default"/>
        <w:b/>
      </w:rPr>
    </w:lvl>
    <w:lvl w:ilvl="1" w:tplc="0C0C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9F0ACA06">
      <w:start w:val="1"/>
      <w:numFmt w:val="bullet"/>
      <w:lvlText w:val="o"/>
      <w:lvlJc w:val="left"/>
      <w:pPr>
        <w:ind w:left="2880" w:hanging="360"/>
      </w:pPr>
      <w:rPr>
        <w:rFonts w:ascii="Courier New" w:hAnsi="Courier New" w:hint="default"/>
        <w:b w:val="0"/>
        <w:i w:val="0"/>
        <w:sz w:val="22"/>
        <w:szCs w:val="22"/>
      </w:r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5" w15:restartNumberingAfterBreak="0">
    <w:nsid w:val="5DEE3DDC"/>
    <w:multiLevelType w:val="hybridMultilevel"/>
    <w:tmpl w:val="BA8ADB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F62755D"/>
    <w:multiLevelType w:val="hybridMultilevel"/>
    <w:tmpl w:val="96D4BED8"/>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7" w15:restartNumberingAfterBreak="0">
    <w:nsid w:val="5FBA27DF"/>
    <w:multiLevelType w:val="hybridMultilevel"/>
    <w:tmpl w:val="C5DAE5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6044582C"/>
    <w:multiLevelType w:val="hybridMultilevel"/>
    <w:tmpl w:val="F2205410"/>
    <w:lvl w:ilvl="0" w:tplc="4438A50C">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4A423F"/>
    <w:multiLevelType w:val="hybridMultilevel"/>
    <w:tmpl w:val="4D34357C"/>
    <w:lvl w:ilvl="0" w:tplc="9F0ACA06">
      <w:start w:val="1"/>
      <w:numFmt w:val="bullet"/>
      <w:lvlText w:val="o"/>
      <w:lvlJc w:val="left"/>
      <w:pPr>
        <w:ind w:left="720" w:hanging="360"/>
      </w:pPr>
      <w:rPr>
        <w:rFonts w:ascii="Courier New" w:hAnsi="Courier New"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C971E7"/>
    <w:multiLevelType w:val="hybridMultilevel"/>
    <w:tmpl w:val="052A6ADA"/>
    <w:lvl w:ilvl="0" w:tplc="14E627E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E8405F3"/>
    <w:multiLevelType w:val="multilevel"/>
    <w:tmpl w:val="C69A866A"/>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71104947"/>
    <w:multiLevelType w:val="multilevel"/>
    <w:tmpl w:val="49AA83F6"/>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73C11663"/>
    <w:multiLevelType w:val="multilevel"/>
    <w:tmpl w:val="2B26B9C4"/>
    <w:lvl w:ilvl="0">
      <w:start w:val="1"/>
      <w:numFmt w:val="decimal"/>
      <w:lvlText w:val="%1."/>
      <w:lvlJc w:val="left"/>
      <w:pPr>
        <w:tabs>
          <w:tab w:val="num" w:pos="360"/>
        </w:tabs>
        <w:ind w:left="360" w:hanging="360"/>
      </w:pPr>
      <w:rPr>
        <w:rFonts w:hint="default"/>
      </w:rPr>
    </w:lvl>
    <w:lvl w:ilvl="1">
      <w:start w:val="1"/>
      <w:numFmt w:val="decimal"/>
      <w:pStyle w:val="MainParawithChapter"/>
      <w:lvlText w:val="%1.%2"/>
      <w:lvlJc w:val="left"/>
      <w:pPr>
        <w:tabs>
          <w:tab w:val="num" w:pos="720"/>
        </w:tabs>
        <w:ind w:left="720" w:hanging="720"/>
      </w:pPr>
      <w:rPr>
        <w:rFonts w:hint="default"/>
      </w:rPr>
    </w:lvl>
    <w:lvl w:ilvl="2">
      <w:start w:val="1"/>
      <w:numFmt w:val="lowerLetter"/>
      <w:pStyle w:val="Sub-Para1underXY"/>
      <w:lvlText w:val="(%3)"/>
      <w:lvlJc w:val="left"/>
      <w:pPr>
        <w:tabs>
          <w:tab w:val="num" w:pos="1440"/>
        </w:tabs>
        <w:ind w:left="1080" w:hanging="360"/>
      </w:pPr>
      <w:rPr>
        <w:rFonts w:hint="default"/>
      </w:rPr>
    </w:lvl>
    <w:lvl w:ilvl="3">
      <w:start w:val="1"/>
      <w:numFmt w:val="lowerRoman"/>
      <w:pStyle w:val="Sub-Para1underXY"/>
      <w:lvlText w:val="(%4)"/>
      <w:lvlJc w:val="left"/>
      <w:pPr>
        <w:tabs>
          <w:tab w:val="num" w:pos="216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1.%2.%3.%4.%5.%6.%7."/>
      <w:lvlJc w:val="left"/>
      <w:pPr>
        <w:tabs>
          <w:tab w:val="num" w:pos="7200"/>
        </w:tabs>
        <w:ind w:left="6120" w:hanging="1080"/>
      </w:pPr>
      <w:rPr>
        <w:rFonts w:hint="default"/>
      </w:rPr>
    </w:lvl>
    <w:lvl w:ilvl="7">
      <w:start w:val="1"/>
      <w:numFmt w:val="decimal"/>
      <w:lvlText w:val="%1.%2.%3.%4.%5.%6.%7.%8."/>
      <w:lvlJc w:val="left"/>
      <w:pPr>
        <w:tabs>
          <w:tab w:val="num" w:pos="7560"/>
        </w:tabs>
        <w:ind w:left="6624" w:hanging="1224"/>
      </w:pPr>
      <w:rPr>
        <w:rFonts w:hint="default"/>
      </w:rPr>
    </w:lvl>
    <w:lvl w:ilvl="8">
      <w:start w:val="1"/>
      <w:numFmt w:val="decimal"/>
      <w:lvlText w:val="%1.%2.%3.%4.%5.%6.%7.%8.%9."/>
      <w:lvlJc w:val="left"/>
      <w:pPr>
        <w:tabs>
          <w:tab w:val="num" w:pos="8280"/>
        </w:tabs>
        <w:ind w:left="7200" w:hanging="1440"/>
      </w:pPr>
      <w:rPr>
        <w:rFonts w:hint="default"/>
      </w:rPr>
    </w:lvl>
  </w:abstractNum>
  <w:abstractNum w:abstractNumId="44" w15:restartNumberingAfterBreak="0">
    <w:nsid w:val="75BA23E9"/>
    <w:multiLevelType w:val="hybridMultilevel"/>
    <w:tmpl w:val="9FEE1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73B55DD"/>
    <w:multiLevelType w:val="hybridMultilevel"/>
    <w:tmpl w:val="8AA0AD9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77E67785"/>
    <w:multiLevelType w:val="hybridMultilevel"/>
    <w:tmpl w:val="C96CC07A"/>
    <w:lvl w:ilvl="0" w:tplc="332A5492">
      <w:start w:val="1"/>
      <w:numFmt w:val="decimal"/>
      <w:lvlText w:val="%1."/>
      <w:lvlJc w:val="left"/>
      <w:pPr>
        <w:ind w:left="360" w:hanging="360"/>
      </w:pPr>
      <w:rPr>
        <w:rFonts w:eastAsia="Times New Roman" w:hint="default"/>
        <w:b/>
      </w:rPr>
    </w:lvl>
    <w:lvl w:ilvl="1" w:tplc="0409000B">
      <w:start w:val="1"/>
      <w:numFmt w:val="bullet"/>
      <w:lvlText w:val=""/>
      <w:lvlJc w:val="left"/>
      <w:pPr>
        <w:ind w:left="1440" w:hanging="360"/>
      </w:pPr>
      <w:rPr>
        <w:rFonts w:ascii="Wingdings" w:hAnsi="Wingdings" w:hint="default"/>
      </w:rPr>
    </w:lvl>
    <w:lvl w:ilvl="2" w:tplc="0409000F">
      <w:start w:val="1"/>
      <w:numFmt w:val="decimal"/>
      <w:lvlText w:val="%3."/>
      <w:lvlJc w:val="left"/>
      <w:pPr>
        <w:ind w:left="2160" w:hanging="180"/>
      </w:pPr>
      <w:rPr>
        <w:rFonts w:hint="default"/>
      </w:rPr>
    </w:lvl>
    <w:lvl w:ilvl="3" w:tplc="0C0C0001">
      <w:start w:val="1"/>
      <w:numFmt w:val="bullet"/>
      <w:lvlText w:val=""/>
      <w:lvlJc w:val="left"/>
      <w:pPr>
        <w:ind w:left="2880" w:hanging="360"/>
      </w:pPr>
      <w:rPr>
        <w:rFonts w:ascii="Symbol" w:hAnsi="Symbol" w:hint="default"/>
      </w:rPr>
    </w:lvl>
    <w:lvl w:ilvl="4" w:tplc="0409000B">
      <w:start w:val="1"/>
      <w:numFmt w:val="bullet"/>
      <w:lvlText w:val=""/>
      <w:lvlJc w:val="left"/>
      <w:pPr>
        <w:ind w:left="3600" w:hanging="360"/>
      </w:pPr>
      <w:rPr>
        <w:rFonts w:ascii="Wingdings" w:hAnsi="Wingdings" w:hint="default"/>
      </w:rPr>
    </w:lvl>
    <w:lvl w:ilvl="5" w:tplc="0C0C001B">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7" w15:restartNumberingAfterBreak="0">
    <w:nsid w:val="7F5651E0"/>
    <w:multiLevelType w:val="hybridMultilevel"/>
    <w:tmpl w:val="83C8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1"/>
  </w:num>
  <w:num w:numId="3">
    <w:abstractNumId w:val="11"/>
  </w:num>
  <w:num w:numId="4">
    <w:abstractNumId w:val="30"/>
  </w:num>
  <w:num w:numId="5">
    <w:abstractNumId w:val="20"/>
  </w:num>
  <w:num w:numId="6">
    <w:abstractNumId w:val="17"/>
  </w:num>
  <w:num w:numId="7">
    <w:abstractNumId w:val="28"/>
  </w:num>
  <w:num w:numId="8">
    <w:abstractNumId w:val="43"/>
  </w:num>
  <w:num w:numId="9">
    <w:abstractNumId w:val="31"/>
  </w:num>
  <w:num w:numId="10">
    <w:abstractNumId w:val="14"/>
  </w:num>
  <w:num w:numId="11">
    <w:abstractNumId w:val="36"/>
  </w:num>
  <w:num w:numId="12">
    <w:abstractNumId w:val="35"/>
  </w:num>
  <w:num w:numId="13">
    <w:abstractNumId w:val="29"/>
  </w:num>
  <w:num w:numId="14">
    <w:abstractNumId w:val="16"/>
  </w:num>
  <w:num w:numId="15">
    <w:abstractNumId w:val="37"/>
  </w:num>
  <w:num w:numId="16">
    <w:abstractNumId w:val="27"/>
  </w:num>
  <w:num w:numId="17">
    <w:abstractNumId w:val="34"/>
  </w:num>
  <w:num w:numId="18">
    <w:abstractNumId w:val="46"/>
  </w:num>
  <w:num w:numId="19">
    <w:abstractNumId w:val="38"/>
  </w:num>
  <w:num w:numId="20">
    <w:abstractNumId w:val="44"/>
  </w:num>
  <w:num w:numId="21">
    <w:abstractNumId w:val="23"/>
  </w:num>
  <w:num w:numId="22">
    <w:abstractNumId w:val="33"/>
  </w:num>
  <w:num w:numId="23">
    <w:abstractNumId w:val="25"/>
  </w:num>
  <w:num w:numId="24">
    <w:abstractNumId w:val="7"/>
  </w:num>
  <w:num w:numId="25">
    <w:abstractNumId w:val="40"/>
  </w:num>
  <w:num w:numId="26">
    <w:abstractNumId w:val="22"/>
  </w:num>
  <w:num w:numId="27">
    <w:abstractNumId w:val="45"/>
  </w:num>
  <w:num w:numId="28">
    <w:abstractNumId w:val="2"/>
  </w:num>
  <w:num w:numId="29">
    <w:abstractNumId w:val="18"/>
  </w:num>
  <w:num w:numId="30">
    <w:abstractNumId w:val="39"/>
  </w:num>
  <w:num w:numId="31">
    <w:abstractNumId w:val="6"/>
  </w:num>
  <w:num w:numId="32">
    <w:abstractNumId w:val="47"/>
  </w:num>
  <w:num w:numId="33">
    <w:abstractNumId w:val="26"/>
  </w:num>
  <w:num w:numId="34">
    <w:abstractNumId w:val="19"/>
  </w:num>
  <w:num w:numId="35">
    <w:abstractNumId w:val="8"/>
  </w:num>
  <w:num w:numId="36">
    <w:abstractNumId w:val="24"/>
  </w:num>
  <w:num w:numId="37">
    <w:abstractNumId w:val="5"/>
  </w:num>
  <w:num w:numId="38">
    <w:abstractNumId w:val="21"/>
  </w:num>
  <w:num w:numId="39">
    <w:abstractNumId w:val="3"/>
  </w:num>
  <w:num w:numId="40">
    <w:abstractNumId w:val="32"/>
  </w:num>
  <w:num w:numId="41">
    <w:abstractNumId w:val="9"/>
  </w:num>
  <w:num w:numId="42">
    <w:abstractNumId w:val="0"/>
  </w:num>
  <w:num w:numId="43">
    <w:abstractNumId w:val="42"/>
  </w:num>
  <w:num w:numId="44">
    <w:abstractNumId w:val="12"/>
  </w:num>
  <w:num w:numId="45">
    <w:abstractNumId w:val="15"/>
  </w:num>
  <w:num w:numId="46">
    <w:abstractNumId w:val="13"/>
  </w:num>
  <w:num w:numId="47">
    <w:abstractNumId w:val="10"/>
  </w:num>
  <w:num w:numId="48">
    <w:abstractNumId w:val="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oNotTrackFormatting/>
  <w:defaultTabStop w:val="708"/>
  <w:hyphenationZone w:val="425"/>
  <w:characterSpacingControl w:val="doNotCompress"/>
  <w:savePreviewPicture/>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0A1"/>
    <w:rsid w:val="00000574"/>
    <w:rsid w:val="00000661"/>
    <w:rsid w:val="00000ADE"/>
    <w:rsid w:val="00000B84"/>
    <w:rsid w:val="000013EC"/>
    <w:rsid w:val="00001470"/>
    <w:rsid w:val="0000155C"/>
    <w:rsid w:val="0000190C"/>
    <w:rsid w:val="00002766"/>
    <w:rsid w:val="000027BB"/>
    <w:rsid w:val="000027C8"/>
    <w:rsid w:val="000028F6"/>
    <w:rsid w:val="00002E5E"/>
    <w:rsid w:val="000036B4"/>
    <w:rsid w:val="00003D2B"/>
    <w:rsid w:val="00004472"/>
    <w:rsid w:val="000049D0"/>
    <w:rsid w:val="000056EB"/>
    <w:rsid w:val="00005B6B"/>
    <w:rsid w:val="00005D46"/>
    <w:rsid w:val="00006527"/>
    <w:rsid w:val="00006701"/>
    <w:rsid w:val="000073CC"/>
    <w:rsid w:val="00010551"/>
    <w:rsid w:val="00011FF5"/>
    <w:rsid w:val="000126A1"/>
    <w:rsid w:val="00012996"/>
    <w:rsid w:val="00012D2B"/>
    <w:rsid w:val="00013661"/>
    <w:rsid w:val="0001461E"/>
    <w:rsid w:val="000154C2"/>
    <w:rsid w:val="0001656E"/>
    <w:rsid w:val="00016C43"/>
    <w:rsid w:val="0001757B"/>
    <w:rsid w:val="00017964"/>
    <w:rsid w:val="00017F0D"/>
    <w:rsid w:val="000208D6"/>
    <w:rsid w:val="00021CA0"/>
    <w:rsid w:val="000221E8"/>
    <w:rsid w:val="00022CED"/>
    <w:rsid w:val="0002300D"/>
    <w:rsid w:val="00023F0C"/>
    <w:rsid w:val="00023F5D"/>
    <w:rsid w:val="00024224"/>
    <w:rsid w:val="0002472B"/>
    <w:rsid w:val="0002515D"/>
    <w:rsid w:val="00025254"/>
    <w:rsid w:val="000257FA"/>
    <w:rsid w:val="00026617"/>
    <w:rsid w:val="00026ED6"/>
    <w:rsid w:val="00027549"/>
    <w:rsid w:val="00027A66"/>
    <w:rsid w:val="00027A75"/>
    <w:rsid w:val="00027A8C"/>
    <w:rsid w:val="00030094"/>
    <w:rsid w:val="00031D34"/>
    <w:rsid w:val="000327C4"/>
    <w:rsid w:val="00032D7E"/>
    <w:rsid w:val="000330CB"/>
    <w:rsid w:val="00033AE9"/>
    <w:rsid w:val="00033F2B"/>
    <w:rsid w:val="00033FDA"/>
    <w:rsid w:val="00034C0E"/>
    <w:rsid w:val="00035C4A"/>
    <w:rsid w:val="00035D5A"/>
    <w:rsid w:val="00036631"/>
    <w:rsid w:val="0003689E"/>
    <w:rsid w:val="00036D41"/>
    <w:rsid w:val="00037504"/>
    <w:rsid w:val="00040FE9"/>
    <w:rsid w:val="00041929"/>
    <w:rsid w:val="00041F86"/>
    <w:rsid w:val="00042D02"/>
    <w:rsid w:val="00042E4F"/>
    <w:rsid w:val="00042E8C"/>
    <w:rsid w:val="00043299"/>
    <w:rsid w:val="00043370"/>
    <w:rsid w:val="000439A8"/>
    <w:rsid w:val="00044252"/>
    <w:rsid w:val="000451F3"/>
    <w:rsid w:val="00045761"/>
    <w:rsid w:val="00045AE0"/>
    <w:rsid w:val="00045F1B"/>
    <w:rsid w:val="00046759"/>
    <w:rsid w:val="00046C72"/>
    <w:rsid w:val="00047077"/>
    <w:rsid w:val="000474DF"/>
    <w:rsid w:val="00050DC5"/>
    <w:rsid w:val="00050F3C"/>
    <w:rsid w:val="00051796"/>
    <w:rsid w:val="00051889"/>
    <w:rsid w:val="0005224A"/>
    <w:rsid w:val="0005232A"/>
    <w:rsid w:val="000523AD"/>
    <w:rsid w:val="00052580"/>
    <w:rsid w:val="00052AE9"/>
    <w:rsid w:val="0005342C"/>
    <w:rsid w:val="0005379C"/>
    <w:rsid w:val="000545FF"/>
    <w:rsid w:val="0005580D"/>
    <w:rsid w:val="00055918"/>
    <w:rsid w:val="00055B8C"/>
    <w:rsid w:val="00055DE8"/>
    <w:rsid w:val="00056E8D"/>
    <w:rsid w:val="000574C1"/>
    <w:rsid w:val="000578F9"/>
    <w:rsid w:val="00057923"/>
    <w:rsid w:val="00057D41"/>
    <w:rsid w:val="000615C4"/>
    <w:rsid w:val="0006267C"/>
    <w:rsid w:val="0006294C"/>
    <w:rsid w:val="00063552"/>
    <w:rsid w:val="000646E5"/>
    <w:rsid w:val="00064D55"/>
    <w:rsid w:val="00065C86"/>
    <w:rsid w:val="000668BC"/>
    <w:rsid w:val="00066D5A"/>
    <w:rsid w:val="000673C8"/>
    <w:rsid w:val="000676AF"/>
    <w:rsid w:val="00070F0D"/>
    <w:rsid w:val="00072E1D"/>
    <w:rsid w:val="0007378D"/>
    <w:rsid w:val="00075271"/>
    <w:rsid w:val="00075334"/>
    <w:rsid w:val="00077875"/>
    <w:rsid w:val="00077E91"/>
    <w:rsid w:val="00081459"/>
    <w:rsid w:val="00081561"/>
    <w:rsid w:val="00082B8F"/>
    <w:rsid w:val="00082FE4"/>
    <w:rsid w:val="00083462"/>
    <w:rsid w:val="00083890"/>
    <w:rsid w:val="00083BC8"/>
    <w:rsid w:val="00083F7B"/>
    <w:rsid w:val="0008491C"/>
    <w:rsid w:val="00084B2A"/>
    <w:rsid w:val="000854D9"/>
    <w:rsid w:val="00085771"/>
    <w:rsid w:val="00085819"/>
    <w:rsid w:val="00086B1B"/>
    <w:rsid w:val="0008788A"/>
    <w:rsid w:val="00087FB1"/>
    <w:rsid w:val="0009068E"/>
    <w:rsid w:val="00090FE3"/>
    <w:rsid w:val="00092C8D"/>
    <w:rsid w:val="0009339A"/>
    <w:rsid w:val="00093428"/>
    <w:rsid w:val="00094727"/>
    <w:rsid w:val="00094EB6"/>
    <w:rsid w:val="00095275"/>
    <w:rsid w:val="000957D1"/>
    <w:rsid w:val="00096E40"/>
    <w:rsid w:val="00097FEE"/>
    <w:rsid w:val="000A0CBD"/>
    <w:rsid w:val="000A1134"/>
    <w:rsid w:val="000A1294"/>
    <w:rsid w:val="000A1366"/>
    <w:rsid w:val="000A14A2"/>
    <w:rsid w:val="000A2990"/>
    <w:rsid w:val="000A2E61"/>
    <w:rsid w:val="000A4467"/>
    <w:rsid w:val="000A4706"/>
    <w:rsid w:val="000A4BA9"/>
    <w:rsid w:val="000A5816"/>
    <w:rsid w:val="000A5E04"/>
    <w:rsid w:val="000A658A"/>
    <w:rsid w:val="000A6ED3"/>
    <w:rsid w:val="000A7F18"/>
    <w:rsid w:val="000B007D"/>
    <w:rsid w:val="000B044D"/>
    <w:rsid w:val="000B0645"/>
    <w:rsid w:val="000B088D"/>
    <w:rsid w:val="000B138F"/>
    <w:rsid w:val="000B18F8"/>
    <w:rsid w:val="000B1E18"/>
    <w:rsid w:val="000B3A7A"/>
    <w:rsid w:val="000B4317"/>
    <w:rsid w:val="000B4534"/>
    <w:rsid w:val="000B4FBD"/>
    <w:rsid w:val="000B54B4"/>
    <w:rsid w:val="000B5710"/>
    <w:rsid w:val="000B6049"/>
    <w:rsid w:val="000B7B4B"/>
    <w:rsid w:val="000C02D1"/>
    <w:rsid w:val="000C17B7"/>
    <w:rsid w:val="000C1924"/>
    <w:rsid w:val="000C1D56"/>
    <w:rsid w:val="000C1DC2"/>
    <w:rsid w:val="000C1F25"/>
    <w:rsid w:val="000C1FC8"/>
    <w:rsid w:val="000C20DB"/>
    <w:rsid w:val="000C2178"/>
    <w:rsid w:val="000C310E"/>
    <w:rsid w:val="000C3B25"/>
    <w:rsid w:val="000C4DDE"/>
    <w:rsid w:val="000C4F66"/>
    <w:rsid w:val="000C5878"/>
    <w:rsid w:val="000C5C64"/>
    <w:rsid w:val="000C6AA0"/>
    <w:rsid w:val="000C6B36"/>
    <w:rsid w:val="000C6CD8"/>
    <w:rsid w:val="000C6CDA"/>
    <w:rsid w:val="000C7D60"/>
    <w:rsid w:val="000D0D40"/>
    <w:rsid w:val="000D14B5"/>
    <w:rsid w:val="000D1A16"/>
    <w:rsid w:val="000D1CD7"/>
    <w:rsid w:val="000D3859"/>
    <w:rsid w:val="000D3B84"/>
    <w:rsid w:val="000D45DA"/>
    <w:rsid w:val="000D46B9"/>
    <w:rsid w:val="000D51FB"/>
    <w:rsid w:val="000D5931"/>
    <w:rsid w:val="000D5D7D"/>
    <w:rsid w:val="000D6146"/>
    <w:rsid w:val="000D62A1"/>
    <w:rsid w:val="000D6855"/>
    <w:rsid w:val="000D7216"/>
    <w:rsid w:val="000E17E1"/>
    <w:rsid w:val="000E1B61"/>
    <w:rsid w:val="000E1CB4"/>
    <w:rsid w:val="000E2AA6"/>
    <w:rsid w:val="000E3308"/>
    <w:rsid w:val="000E48D8"/>
    <w:rsid w:val="000E508D"/>
    <w:rsid w:val="000E5509"/>
    <w:rsid w:val="000E615A"/>
    <w:rsid w:val="000E6944"/>
    <w:rsid w:val="000E7075"/>
    <w:rsid w:val="000E7077"/>
    <w:rsid w:val="000E7DCB"/>
    <w:rsid w:val="000F036E"/>
    <w:rsid w:val="000F0660"/>
    <w:rsid w:val="000F075F"/>
    <w:rsid w:val="000F1030"/>
    <w:rsid w:val="000F1479"/>
    <w:rsid w:val="000F3E1D"/>
    <w:rsid w:val="000F4305"/>
    <w:rsid w:val="000F50DA"/>
    <w:rsid w:val="000F556A"/>
    <w:rsid w:val="000F58E1"/>
    <w:rsid w:val="000F63CF"/>
    <w:rsid w:val="000F68DE"/>
    <w:rsid w:val="000F73FA"/>
    <w:rsid w:val="000F7DA7"/>
    <w:rsid w:val="000F7F02"/>
    <w:rsid w:val="00100A1F"/>
    <w:rsid w:val="001015D4"/>
    <w:rsid w:val="001021DA"/>
    <w:rsid w:val="00102280"/>
    <w:rsid w:val="00102337"/>
    <w:rsid w:val="0010273A"/>
    <w:rsid w:val="00102B36"/>
    <w:rsid w:val="00102FE0"/>
    <w:rsid w:val="00103C35"/>
    <w:rsid w:val="00103C88"/>
    <w:rsid w:val="00104AF2"/>
    <w:rsid w:val="00104B9A"/>
    <w:rsid w:val="00104E8A"/>
    <w:rsid w:val="00105191"/>
    <w:rsid w:val="00105CF8"/>
    <w:rsid w:val="00106ABE"/>
    <w:rsid w:val="00110612"/>
    <w:rsid w:val="00110B3B"/>
    <w:rsid w:val="0011150B"/>
    <w:rsid w:val="00111605"/>
    <w:rsid w:val="00111960"/>
    <w:rsid w:val="001121F9"/>
    <w:rsid w:val="00112222"/>
    <w:rsid w:val="0011255E"/>
    <w:rsid w:val="001135D5"/>
    <w:rsid w:val="00113632"/>
    <w:rsid w:val="00113F7A"/>
    <w:rsid w:val="0011483C"/>
    <w:rsid w:val="00114D98"/>
    <w:rsid w:val="00115653"/>
    <w:rsid w:val="00116301"/>
    <w:rsid w:val="001167D7"/>
    <w:rsid w:val="00116E1C"/>
    <w:rsid w:val="0012037E"/>
    <w:rsid w:val="001212D0"/>
    <w:rsid w:val="001216F6"/>
    <w:rsid w:val="00121A5A"/>
    <w:rsid w:val="00121C31"/>
    <w:rsid w:val="00122171"/>
    <w:rsid w:val="00122176"/>
    <w:rsid w:val="00123719"/>
    <w:rsid w:val="00123771"/>
    <w:rsid w:val="00124DA6"/>
    <w:rsid w:val="00127321"/>
    <w:rsid w:val="00127E61"/>
    <w:rsid w:val="0013009A"/>
    <w:rsid w:val="0013056E"/>
    <w:rsid w:val="001307DD"/>
    <w:rsid w:val="00131D70"/>
    <w:rsid w:val="0013348D"/>
    <w:rsid w:val="001335BB"/>
    <w:rsid w:val="001339EA"/>
    <w:rsid w:val="0013488B"/>
    <w:rsid w:val="00135588"/>
    <w:rsid w:val="001361DA"/>
    <w:rsid w:val="00136A51"/>
    <w:rsid w:val="00136C8B"/>
    <w:rsid w:val="00136E19"/>
    <w:rsid w:val="00136E24"/>
    <w:rsid w:val="001408ED"/>
    <w:rsid w:val="00140B30"/>
    <w:rsid w:val="00140F8F"/>
    <w:rsid w:val="00141BD7"/>
    <w:rsid w:val="00141EAA"/>
    <w:rsid w:val="001426A3"/>
    <w:rsid w:val="00142B96"/>
    <w:rsid w:val="0014345E"/>
    <w:rsid w:val="00143B9E"/>
    <w:rsid w:val="00144E2A"/>
    <w:rsid w:val="00146071"/>
    <w:rsid w:val="00146749"/>
    <w:rsid w:val="00146940"/>
    <w:rsid w:val="00146E0A"/>
    <w:rsid w:val="001470D8"/>
    <w:rsid w:val="001479A4"/>
    <w:rsid w:val="00147A5B"/>
    <w:rsid w:val="00147D72"/>
    <w:rsid w:val="00147ED6"/>
    <w:rsid w:val="00151BF5"/>
    <w:rsid w:val="00151E36"/>
    <w:rsid w:val="00151ED9"/>
    <w:rsid w:val="00151F68"/>
    <w:rsid w:val="001526BF"/>
    <w:rsid w:val="00152AF3"/>
    <w:rsid w:val="00152B73"/>
    <w:rsid w:val="00152E2A"/>
    <w:rsid w:val="0015351E"/>
    <w:rsid w:val="00153667"/>
    <w:rsid w:val="00153F71"/>
    <w:rsid w:val="0015403D"/>
    <w:rsid w:val="001544DD"/>
    <w:rsid w:val="00154740"/>
    <w:rsid w:val="00154758"/>
    <w:rsid w:val="00154A42"/>
    <w:rsid w:val="00154B07"/>
    <w:rsid w:val="00155095"/>
    <w:rsid w:val="00155754"/>
    <w:rsid w:val="0015587D"/>
    <w:rsid w:val="00155D45"/>
    <w:rsid w:val="001561B4"/>
    <w:rsid w:val="001564AC"/>
    <w:rsid w:val="00156647"/>
    <w:rsid w:val="00156932"/>
    <w:rsid w:val="00156C00"/>
    <w:rsid w:val="0015714B"/>
    <w:rsid w:val="00157A85"/>
    <w:rsid w:val="0016073C"/>
    <w:rsid w:val="00160E61"/>
    <w:rsid w:val="00160F31"/>
    <w:rsid w:val="0016110B"/>
    <w:rsid w:val="00163062"/>
    <w:rsid w:val="00163578"/>
    <w:rsid w:val="00163A6E"/>
    <w:rsid w:val="00164140"/>
    <w:rsid w:val="00164240"/>
    <w:rsid w:val="001647E7"/>
    <w:rsid w:val="00164828"/>
    <w:rsid w:val="00164FD4"/>
    <w:rsid w:val="00165AEF"/>
    <w:rsid w:val="00165C4D"/>
    <w:rsid w:val="00165D9F"/>
    <w:rsid w:val="00165E5C"/>
    <w:rsid w:val="00165FFC"/>
    <w:rsid w:val="0016658D"/>
    <w:rsid w:val="00167396"/>
    <w:rsid w:val="001678A8"/>
    <w:rsid w:val="00167F2C"/>
    <w:rsid w:val="001709EF"/>
    <w:rsid w:val="00170FE7"/>
    <w:rsid w:val="0017127D"/>
    <w:rsid w:val="00172597"/>
    <w:rsid w:val="001730E1"/>
    <w:rsid w:val="001735A0"/>
    <w:rsid w:val="00173781"/>
    <w:rsid w:val="00173A09"/>
    <w:rsid w:val="0017467E"/>
    <w:rsid w:val="00174774"/>
    <w:rsid w:val="00174C5E"/>
    <w:rsid w:val="00174D4F"/>
    <w:rsid w:val="00175DA1"/>
    <w:rsid w:val="0017611E"/>
    <w:rsid w:val="00177084"/>
    <w:rsid w:val="0017775D"/>
    <w:rsid w:val="001805F2"/>
    <w:rsid w:val="00180861"/>
    <w:rsid w:val="00180AEA"/>
    <w:rsid w:val="00180DED"/>
    <w:rsid w:val="00180ECF"/>
    <w:rsid w:val="0018122C"/>
    <w:rsid w:val="00181BCC"/>
    <w:rsid w:val="00182CE2"/>
    <w:rsid w:val="00183259"/>
    <w:rsid w:val="00183BE4"/>
    <w:rsid w:val="001857E8"/>
    <w:rsid w:val="00186BBA"/>
    <w:rsid w:val="00186FEC"/>
    <w:rsid w:val="0018721E"/>
    <w:rsid w:val="001875DA"/>
    <w:rsid w:val="00187B1C"/>
    <w:rsid w:val="0019069A"/>
    <w:rsid w:val="00190E42"/>
    <w:rsid w:val="001912F4"/>
    <w:rsid w:val="00192672"/>
    <w:rsid w:val="00194384"/>
    <w:rsid w:val="00194502"/>
    <w:rsid w:val="00194A29"/>
    <w:rsid w:val="00194BA7"/>
    <w:rsid w:val="001953D8"/>
    <w:rsid w:val="00196068"/>
    <w:rsid w:val="001967FC"/>
    <w:rsid w:val="00196854"/>
    <w:rsid w:val="00196BF9"/>
    <w:rsid w:val="00196F79"/>
    <w:rsid w:val="00197E24"/>
    <w:rsid w:val="001A0AC0"/>
    <w:rsid w:val="001A13DE"/>
    <w:rsid w:val="001A148F"/>
    <w:rsid w:val="001A1A1E"/>
    <w:rsid w:val="001A2630"/>
    <w:rsid w:val="001A2762"/>
    <w:rsid w:val="001A3146"/>
    <w:rsid w:val="001A3253"/>
    <w:rsid w:val="001A33B1"/>
    <w:rsid w:val="001A38FF"/>
    <w:rsid w:val="001A390E"/>
    <w:rsid w:val="001A39A6"/>
    <w:rsid w:val="001A419F"/>
    <w:rsid w:val="001B0A93"/>
    <w:rsid w:val="001B1374"/>
    <w:rsid w:val="001B2425"/>
    <w:rsid w:val="001B33FB"/>
    <w:rsid w:val="001B34DB"/>
    <w:rsid w:val="001B34ED"/>
    <w:rsid w:val="001B372C"/>
    <w:rsid w:val="001B5238"/>
    <w:rsid w:val="001B54BA"/>
    <w:rsid w:val="001B557E"/>
    <w:rsid w:val="001B5BA2"/>
    <w:rsid w:val="001B6B31"/>
    <w:rsid w:val="001B6EA6"/>
    <w:rsid w:val="001B7289"/>
    <w:rsid w:val="001B7964"/>
    <w:rsid w:val="001C067F"/>
    <w:rsid w:val="001C0E68"/>
    <w:rsid w:val="001C141C"/>
    <w:rsid w:val="001C1541"/>
    <w:rsid w:val="001C17B4"/>
    <w:rsid w:val="001C19C3"/>
    <w:rsid w:val="001C310D"/>
    <w:rsid w:val="001C3DC3"/>
    <w:rsid w:val="001C46AF"/>
    <w:rsid w:val="001C472A"/>
    <w:rsid w:val="001C4941"/>
    <w:rsid w:val="001C4BCE"/>
    <w:rsid w:val="001C4F39"/>
    <w:rsid w:val="001C623B"/>
    <w:rsid w:val="001C646E"/>
    <w:rsid w:val="001C6612"/>
    <w:rsid w:val="001C67C0"/>
    <w:rsid w:val="001C7DF9"/>
    <w:rsid w:val="001D024E"/>
    <w:rsid w:val="001D05C9"/>
    <w:rsid w:val="001D1764"/>
    <w:rsid w:val="001D24E6"/>
    <w:rsid w:val="001D3913"/>
    <w:rsid w:val="001D3E71"/>
    <w:rsid w:val="001D3E8D"/>
    <w:rsid w:val="001D3F5A"/>
    <w:rsid w:val="001D401F"/>
    <w:rsid w:val="001D576C"/>
    <w:rsid w:val="001D5F30"/>
    <w:rsid w:val="001D7084"/>
    <w:rsid w:val="001D7273"/>
    <w:rsid w:val="001E006E"/>
    <w:rsid w:val="001E097F"/>
    <w:rsid w:val="001E09FF"/>
    <w:rsid w:val="001E0F1D"/>
    <w:rsid w:val="001E1504"/>
    <w:rsid w:val="001E211E"/>
    <w:rsid w:val="001E33D7"/>
    <w:rsid w:val="001E37CB"/>
    <w:rsid w:val="001E38D6"/>
    <w:rsid w:val="001E393B"/>
    <w:rsid w:val="001E4788"/>
    <w:rsid w:val="001E4EB5"/>
    <w:rsid w:val="001E52F2"/>
    <w:rsid w:val="001E538F"/>
    <w:rsid w:val="001E5A3F"/>
    <w:rsid w:val="001E5B1C"/>
    <w:rsid w:val="001E5D84"/>
    <w:rsid w:val="001E703E"/>
    <w:rsid w:val="001E72DA"/>
    <w:rsid w:val="001E74E6"/>
    <w:rsid w:val="001E7C98"/>
    <w:rsid w:val="001F1006"/>
    <w:rsid w:val="001F118C"/>
    <w:rsid w:val="001F17E2"/>
    <w:rsid w:val="001F1AA5"/>
    <w:rsid w:val="001F1B99"/>
    <w:rsid w:val="001F2010"/>
    <w:rsid w:val="001F239E"/>
    <w:rsid w:val="001F296A"/>
    <w:rsid w:val="001F308A"/>
    <w:rsid w:val="001F37FB"/>
    <w:rsid w:val="001F3F74"/>
    <w:rsid w:val="001F423A"/>
    <w:rsid w:val="001F463A"/>
    <w:rsid w:val="001F4759"/>
    <w:rsid w:val="001F4E26"/>
    <w:rsid w:val="001F5265"/>
    <w:rsid w:val="001F538F"/>
    <w:rsid w:val="001F56D0"/>
    <w:rsid w:val="001F5879"/>
    <w:rsid w:val="001F5A5A"/>
    <w:rsid w:val="001F5D60"/>
    <w:rsid w:val="001F6190"/>
    <w:rsid w:val="001F6307"/>
    <w:rsid w:val="001F634F"/>
    <w:rsid w:val="001F6569"/>
    <w:rsid w:val="001F6EBE"/>
    <w:rsid w:val="001F7D48"/>
    <w:rsid w:val="0020005E"/>
    <w:rsid w:val="00200129"/>
    <w:rsid w:val="002008A8"/>
    <w:rsid w:val="00200E48"/>
    <w:rsid w:val="002024AC"/>
    <w:rsid w:val="0020259A"/>
    <w:rsid w:val="00202978"/>
    <w:rsid w:val="00202A52"/>
    <w:rsid w:val="0020337E"/>
    <w:rsid w:val="002034FD"/>
    <w:rsid w:val="00203FB2"/>
    <w:rsid w:val="00205151"/>
    <w:rsid w:val="002052D7"/>
    <w:rsid w:val="00205722"/>
    <w:rsid w:val="00205999"/>
    <w:rsid w:val="00205B37"/>
    <w:rsid w:val="0020622D"/>
    <w:rsid w:val="002062B9"/>
    <w:rsid w:val="00206410"/>
    <w:rsid w:val="002068ED"/>
    <w:rsid w:val="00207A19"/>
    <w:rsid w:val="00207BCF"/>
    <w:rsid w:val="00207C5F"/>
    <w:rsid w:val="00210746"/>
    <w:rsid w:val="00210CD1"/>
    <w:rsid w:val="00210FF1"/>
    <w:rsid w:val="00211265"/>
    <w:rsid w:val="00211BFB"/>
    <w:rsid w:val="00212361"/>
    <w:rsid w:val="002129E8"/>
    <w:rsid w:val="00212CAF"/>
    <w:rsid w:val="00213509"/>
    <w:rsid w:val="00214169"/>
    <w:rsid w:val="00214480"/>
    <w:rsid w:val="002145F1"/>
    <w:rsid w:val="0021600D"/>
    <w:rsid w:val="00216BBD"/>
    <w:rsid w:val="00217165"/>
    <w:rsid w:val="0021719A"/>
    <w:rsid w:val="002177EA"/>
    <w:rsid w:val="00217868"/>
    <w:rsid w:val="0022052A"/>
    <w:rsid w:val="00220D40"/>
    <w:rsid w:val="00221225"/>
    <w:rsid w:val="00221517"/>
    <w:rsid w:val="00221A82"/>
    <w:rsid w:val="00221BBC"/>
    <w:rsid w:val="00223624"/>
    <w:rsid w:val="00224A8F"/>
    <w:rsid w:val="00224A9E"/>
    <w:rsid w:val="0022591F"/>
    <w:rsid w:val="00227493"/>
    <w:rsid w:val="00230647"/>
    <w:rsid w:val="00230893"/>
    <w:rsid w:val="00230BB0"/>
    <w:rsid w:val="002310A0"/>
    <w:rsid w:val="00231258"/>
    <w:rsid w:val="002312A0"/>
    <w:rsid w:val="002314B3"/>
    <w:rsid w:val="00231583"/>
    <w:rsid w:val="00231F8B"/>
    <w:rsid w:val="002330BB"/>
    <w:rsid w:val="00233108"/>
    <w:rsid w:val="00234F5B"/>
    <w:rsid w:val="00235791"/>
    <w:rsid w:val="00235DB0"/>
    <w:rsid w:val="00236FE2"/>
    <w:rsid w:val="002371DE"/>
    <w:rsid w:val="00237A6A"/>
    <w:rsid w:val="0024071F"/>
    <w:rsid w:val="002425E2"/>
    <w:rsid w:val="00242A38"/>
    <w:rsid w:val="00242B53"/>
    <w:rsid w:val="0024331A"/>
    <w:rsid w:val="0024339B"/>
    <w:rsid w:val="00244B4F"/>
    <w:rsid w:val="00244E65"/>
    <w:rsid w:val="00245414"/>
    <w:rsid w:val="00245ACF"/>
    <w:rsid w:val="002464BB"/>
    <w:rsid w:val="00247844"/>
    <w:rsid w:val="00247BC4"/>
    <w:rsid w:val="002501CD"/>
    <w:rsid w:val="002509E0"/>
    <w:rsid w:val="00250C83"/>
    <w:rsid w:val="00252262"/>
    <w:rsid w:val="00252A07"/>
    <w:rsid w:val="00252EBE"/>
    <w:rsid w:val="00253326"/>
    <w:rsid w:val="00255E9B"/>
    <w:rsid w:val="00256424"/>
    <w:rsid w:val="002572C9"/>
    <w:rsid w:val="002573E1"/>
    <w:rsid w:val="00260FE3"/>
    <w:rsid w:val="002610B5"/>
    <w:rsid w:val="00261CC5"/>
    <w:rsid w:val="00262248"/>
    <w:rsid w:val="00262382"/>
    <w:rsid w:val="00262A82"/>
    <w:rsid w:val="00262F36"/>
    <w:rsid w:val="00262FCE"/>
    <w:rsid w:val="0026311C"/>
    <w:rsid w:val="002646AC"/>
    <w:rsid w:val="0026480B"/>
    <w:rsid w:val="00265FCE"/>
    <w:rsid w:val="00266898"/>
    <w:rsid w:val="00266F8F"/>
    <w:rsid w:val="0026714A"/>
    <w:rsid w:val="0026735F"/>
    <w:rsid w:val="002716A2"/>
    <w:rsid w:val="00271AEC"/>
    <w:rsid w:val="002723E2"/>
    <w:rsid w:val="0027278B"/>
    <w:rsid w:val="002736B2"/>
    <w:rsid w:val="002751A7"/>
    <w:rsid w:val="002761C3"/>
    <w:rsid w:val="00276EDD"/>
    <w:rsid w:val="002773F4"/>
    <w:rsid w:val="002777B4"/>
    <w:rsid w:val="002779D1"/>
    <w:rsid w:val="00277FF3"/>
    <w:rsid w:val="00280165"/>
    <w:rsid w:val="00280EC4"/>
    <w:rsid w:val="00282486"/>
    <w:rsid w:val="00283183"/>
    <w:rsid w:val="0028322D"/>
    <w:rsid w:val="00283F33"/>
    <w:rsid w:val="00284DC2"/>
    <w:rsid w:val="00284EA0"/>
    <w:rsid w:val="0028570F"/>
    <w:rsid w:val="00287524"/>
    <w:rsid w:val="00287640"/>
    <w:rsid w:val="00290F51"/>
    <w:rsid w:val="00291052"/>
    <w:rsid w:val="00291202"/>
    <w:rsid w:val="002913B4"/>
    <w:rsid w:val="00292879"/>
    <w:rsid w:val="00292E19"/>
    <w:rsid w:val="00293651"/>
    <w:rsid w:val="00293EB6"/>
    <w:rsid w:val="00294286"/>
    <w:rsid w:val="00295C0E"/>
    <w:rsid w:val="00295C3D"/>
    <w:rsid w:val="0029631B"/>
    <w:rsid w:val="00296B7D"/>
    <w:rsid w:val="00297379"/>
    <w:rsid w:val="00297A3A"/>
    <w:rsid w:val="00297DFB"/>
    <w:rsid w:val="00297EC9"/>
    <w:rsid w:val="002A054F"/>
    <w:rsid w:val="002A0EDC"/>
    <w:rsid w:val="002A1E97"/>
    <w:rsid w:val="002A241E"/>
    <w:rsid w:val="002A2427"/>
    <w:rsid w:val="002A2A2F"/>
    <w:rsid w:val="002A329B"/>
    <w:rsid w:val="002A418B"/>
    <w:rsid w:val="002A491A"/>
    <w:rsid w:val="002A4C14"/>
    <w:rsid w:val="002A6005"/>
    <w:rsid w:val="002A656B"/>
    <w:rsid w:val="002A6E27"/>
    <w:rsid w:val="002A6E3F"/>
    <w:rsid w:val="002B0A38"/>
    <w:rsid w:val="002B158C"/>
    <w:rsid w:val="002B1BF6"/>
    <w:rsid w:val="002B224B"/>
    <w:rsid w:val="002B2B36"/>
    <w:rsid w:val="002B2C8E"/>
    <w:rsid w:val="002B36F5"/>
    <w:rsid w:val="002B3C7F"/>
    <w:rsid w:val="002B5737"/>
    <w:rsid w:val="002B5AB1"/>
    <w:rsid w:val="002B63F2"/>
    <w:rsid w:val="002B64FD"/>
    <w:rsid w:val="002B65EB"/>
    <w:rsid w:val="002B745F"/>
    <w:rsid w:val="002B7C55"/>
    <w:rsid w:val="002C020A"/>
    <w:rsid w:val="002C02FA"/>
    <w:rsid w:val="002C04EE"/>
    <w:rsid w:val="002C070A"/>
    <w:rsid w:val="002C1473"/>
    <w:rsid w:val="002C15E9"/>
    <w:rsid w:val="002C15EA"/>
    <w:rsid w:val="002C1770"/>
    <w:rsid w:val="002C27BD"/>
    <w:rsid w:val="002C2A8F"/>
    <w:rsid w:val="002C3496"/>
    <w:rsid w:val="002C36F3"/>
    <w:rsid w:val="002C3D0E"/>
    <w:rsid w:val="002C449D"/>
    <w:rsid w:val="002C4AA9"/>
    <w:rsid w:val="002C4FFD"/>
    <w:rsid w:val="002C6045"/>
    <w:rsid w:val="002C719F"/>
    <w:rsid w:val="002C76B2"/>
    <w:rsid w:val="002C7BCE"/>
    <w:rsid w:val="002D01E4"/>
    <w:rsid w:val="002D02DF"/>
    <w:rsid w:val="002D088D"/>
    <w:rsid w:val="002D0B90"/>
    <w:rsid w:val="002D0CCE"/>
    <w:rsid w:val="002D0EAC"/>
    <w:rsid w:val="002D142D"/>
    <w:rsid w:val="002D1751"/>
    <w:rsid w:val="002D1B8F"/>
    <w:rsid w:val="002D1C15"/>
    <w:rsid w:val="002D1DD3"/>
    <w:rsid w:val="002D1DDB"/>
    <w:rsid w:val="002D20F7"/>
    <w:rsid w:val="002D2BD2"/>
    <w:rsid w:val="002D2D7A"/>
    <w:rsid w:val="002D2EDD"/>
    <w:rsid w:val="002D38FB"/>
    <w:rsid w:val="002D4451"/>
    <w:rsid w:val="002D4998"/>
    <w:rsid w:val="002D5C9B"/>
    <w:rsid w:val="002D5D82"/>
    <w:rsid w:val="002D64DE"/>
    <w:rsid w:val="002D6CFA"/>
    <w:rsid w:val="002D726B"/>
    <w:rsid w:val="002E0091"/>
    <w:rsid w:val="002E15FD"/>
    <w:rsid w:val="002E1C85"/>
    <w:rsid w:val="002E21E0"/>
    <w:rsid w:val="002E42AD"/>
    <w:rsid w:val="002E4BCE"/>
    <w:rsid w:val="002E5290"/>
    <w:rsid w:val="002E5397"/>
    <w:rsid w:val="002E705B"/>
    <w:rsid w:val="002E75CD"/>
    <w:rsid w:val="002E7BDF"/>
    <w:rsid w:val="002F02E4"/>
    <w:rsid w:val="002F05F8"/>
    <w:rsid w:val="002F0E15"/>
    <w:rsid w:val="002F103F"/>
    <w:rsid w:val="002F1D2E"/>
    <w:rsid w:val="002F39E4"/>
    <w:rsid w:val="002F477A"/>
    <w:rsid w:val="002F4F33"/>
    <w:rsid w:val="002F5116"/>
    <w:rsid w:val="002F5248"/>
    <w:rsid w:val="002F53B6"/>
    <w:rsid w:val="002F5B77"/>
    <w:rsid w:val="002F5F0A"/>
    <w:rsid w:val="002F6083"/>
    <w:rsid w:val="002F6440"/>
    <w:rsid w:val="002F6894"/>
    <w:rsid w:val="002F6C85"/>
    <w:rsid w:val="002F7D5D"/>
    <w:rsid w:val="00300020"/>
    <w:rsid w:val="0030179B"/>
    <w:rsid w:val="00301ACC"/>
    <w:rsid w:val="00301C09"/>
    <w:rsid w:val="00302258"/>
    <w:rsid w:val="00303905"/>
    <w:rsid w:val="00303E95"/>
    <w:rsid w:val="003040AB"/>
    <w:rsid w:val="00305393"/>
    <w:rsid w:val="00305524"/>
    <w:rsid w:val="00305B7E"/>
    <w:rsid w:val="00305D96"/>
    <w:rsid w:val="0030691D"/>
    <w:rsid w:val="00306B4B"/>
    <w:rsid w:val="00307142"/>
    <w:rsid w:val="00307A69"/>
    <w:rsid w:val="00307E33"/>
    <w:rsid w:val="00311269"/>
    <w:rsid w:val="00312125"/>
    <w:rsid w:val="00314425"/>
    <w:rsid w:val="003146D7"/>
    <w:rsid w:val="003148DE"/>
    <w:rsid w:val="00316076"/>
    <w:rsid w:val="00316AB4"/>
    <w:rsid w:val="00316ED2"/>
    <w:rsid w:val="0031719E"/>
    <w:rsid w:val="003172B5"/>
    <w:rsid w:val="0031759E"/>
    <w:rsid w:val="00320347"/>
    <w:rsid w:val="00321825"/>
    <w:rsid w:val="00321ACD"/>
    <w:rsid w:val="00321D25"/>
    <w:rsid w:val="00322A56"/>
    <w:rsid w:val="003235D8"/>
    <w:rsid w:val="00323944"/>
    <w:rsid w:val="0032435F"/>
    <w:rsid w:val="00324821"/>
    <w:rsid w:val="00324FEF"/>
    <w:rsid w:val="00325384"/>
    <w:rsid w:val="0032546D"/>
    <w:rsid w:val="003256B4"/>
    <w:rsid w:val="003260EC"/>
    <w:rsid w:val="003266F8"/>
    <w:rsid w:val="003268FF"/>
    <w:rsid w:val="0032703D"/>
    <w:rsid w:val="0033011C"/>
    <w:rsid w:val="00330623"/>
    <w:rsid w:val="00330636"/>
    <w:rsid w:val="00331127"/>
    <w:rsid w:val="003315B8"/>
    <w:rsid w:val="00331AEA"/>
    <w:rsid w:val="003327EC"/>
    <w:rsid w:val="00332FAD"/>
    <w:rsid w:val="003338EA"/>
    <w:rsid w:val="003340B0"/>
    <w:rsid w:val="00334D80"/>
    <w:rsid w:val="00334F64"/>
    <w:rsid w:val="00335110"/>
    <w:rsid w:val="00335DED"/>
    <w:rsid w:val="00336516"/>
    <w:rsid w:val="003367E1"/>
    <w:rsid w:val="003379F6"/>
    <w:rsid w:val="0034104E"/>
    <w:rsid w:val="003423BD"/>
    <w:rsid w:val="003425BC"/>
    <w:rsid w:val="00342BD6"/>
    <w:rsid w:val="00343082"/>
    <w:rsid w:val="00343428"/>
    <w:rsid w:val="0034432F"/>
    <w:rsid w:val="003448B1"/>
    <w:rsid w:val="00344B2D"/>
    <w:rsid w:val="00344CAE"/>
    <w:rsid w:val="00344E7E"/>
    <w:rsid w:val="00345AC2"/>
    <w:rsid w:val="00345C16"/>
    <w:rsid w:val="00345CBC"/>
    <w:rsid w:val="003462C3"/>
    <w:rsid w:val="00346BC2"/>
    <w:rsid w:val="003508EA"/>
    <w:rsid w:val="00350A2A"/>
    <w:rsid w:val="00350DBE"/>
    <w:rsid w:val="00350E56"/>
    <w:rsid w:val="003515CB"/>
    <w:rsid w:val="00351874"/>
    <w:rsid w:val="00352B2E"/>
    <w:rsid w:val="00352BA8"/>
    <w:rsid w:val="00352ED2"/>
    <w:rsid w:val="00353C69"/>
    <w:rsid w:val="003541F8"/>
    <w:rsid w:val="003548F1"/>
    <w:rsid w:val="00354F61"/>
    <w:rsid w:val="00354FC0"/>
    <w:rsid w:val="00355C6D"/>
    <w:rsid w:val="003570AE"/>
    <w:rsid w:val="0035716F"/>
    <w:rsid w:val="00357825"/>
    <w:rsid w:val="00357C25"/>
    <w:rsid w:val="00360349"/>
    <w:rsid w:val="003612DE"/>
    <w:rsid w:val="003615A5"/>
    <w:rsid w:val="00361D49"/>
    <w:rsid w:val="003623D6"/>
    <w:rsid w:val="00362639"/>
    <w:rsid w:val="00362D12"/>
    <w:rsid w:val="0036327C"/>
    <w:rsid w:val="003633F3"/>
    <w:rsid w:val="00363428"/>
    <w:rsid w:val="00363641"/>
    <w:rsid w:val="00363B8A"/>
    <w:rsid w:val="00363C1A"/>
    <w:rsid w:val="0036424D"/>
    <w:rsid w:val="003646FA"/>
    <w:rsid w:val="00366DBC"/>
    <w:rsid w:val="003670E1"/>
    <w:rsid w:val="0036743D"/>
    <w:rsid w:val="00370266"/>
    <w:rsid w:val="003702D7"/>
    <w:rsid w:val="0037050F"/>
    <w:rsid w:val="00371BB6"/>
    <w:rsid w:val="00371E8E"/>
    <w:rsid w:val="00371FDB"/>
    <w:rsid w:val="0037397A"/>
    <w:rsid w:val="00374250"/>
    <w:rsid w:val="0037425F"/>
    <w:rsid w:val="003743DC"/>
    <w:rsid w:val="00374552"/>
    <w:rsid w:val="00374663"/>
    <w:rsid w:val="0037519D"/>
    <w:rsid w:val="0037523F"/>
    <w:rsid w:val="003764A4"/>
    <w:rsid w:val="00376BB8"/>
    <w:rsid w:val="00376C10"/>
    <w:rsid w:val="0037765A"/>
    <w:rsid w:val="003807B1"/>
    <w:rsid w:val="00380E77"/>
    <w:rsid w:val="00380EEA"/>
    <w:rsid w:val="0038179A"/>
    <w:rsid w:val="003817AD"/>
    <w:rsid w:val="00381A29"/>
    <w:rsid w:val="00381EB5"/>
    <w:rsid w:val="00382369"/>
    <w:rsid w:val="00383254"/>
    <w:rsid w:val="00383DAE"/>
    <w:rsid w:val="003843C4"/>
    <w:rsid w:val="0038464B"/>
    <w:rsid w:val="00384711"/>
    <w:rsid w:val="00385F2A"/>
    <w:rsid w:val="00386108"/>
    <w:rsid w:val="00386B05"/>
    <w:rsid w:val="00386DD9"/>
    <w:rsid w:val="0038712D"/>
    <w:rsid w:val="003874BC"/>
    <w:rsid w:val="0038762F"/>
    <w:rsid w:val="003902FF"/>
    <w:rsid w:val="00390499"/>
    <w:rsid w:val="003908FD"/>
    <w:rsid w:val="00390937"/>
    <w:rsid w:val="00390D16"/>
    <w:rsid w:val="00391459"/>
    <w:rsid w:val="003917A1"/>
    <w:rsid w:val="003918D3"/>
    <w:rsid w:val="00391AB3"/>
    <w:rsid w:val="00393C2A"/>
    <w:rsid w:val="003940B6"/>
    <w:rsid w:val="003941BE"/>
    <w:rsid w:val="00394251"/>
    <w:rsid w:val="00394D87"/>
    <w:rsid w:val="00394E49"/>
    <w:rsid w:val="00394E6A"/>
    <w:rsid w:val="003952DA"/>
    <w:rsid w:val="00395823"/>
    <w:rsid w:val="0039597C"/>
    <w:rsid w:val="003966BC"/>
    <w:rsid w:val="003968F2"/>
    <w:rsid w:val="00396C03"/>
    <w:rsid w:val="003A0531"/>
    <w:rsid w:val="003A0DC5"/>
    <w:rsid w:val="003A0F68"/>
    <w:rsid w:val="003A105F"/>
    <w:rsid w:val="003A1618"/>
    <w:rsid w:val="003A1C40"/>
    <w:rsid w:val="003A1FB2"/>
    <w:rsid w:val="003A1FD7"/>
    <w:rsid w:val="003A2166"/>
    <w:rsid w:val="003A216E"/>
    <w:rsid w:val="003A2305"/>
    <w:rsid w:val="003A23A0"/>
    <w:rsid w:val="003A23FC"/>
    <w:rsid w:val="003A27F6"/>
    <w:rsid w:val="003A2D71"/>
    <w:rsid w:val="003A2D90"/>
    <w:rsid w:val="003A36C7"/>
    <w:rsid w:val="003A3998"/>
    <w:rsid w:val="003A6231"/>
    <w:rsid w:val="003A6CB6"/>
    <w:rsid w:val="003A769F"/>
    <w:rsid w:val="003A780F"/>
    <w:rsid w:val="003A7DC6"/>
    <w:rsid w:val="003B0106"/>
    <w:rsid w:val="003B0586"/>
    <w:rsid w:val="003B06B8"/>
    <w:rsid w:val="003B0984"/>
    <w:rsid w:val="003B1C48"/>
    <w:rsid w:val="003B5643"/>
    <w:rsid w:val="003B5645"/>
    <w:rsid w:val="003B5E7A"/>
    <w:rsid w:val="003B6022"/>
    <w:rsid w:val="003B6AD4"/>
    <w:rsid w:val="003B7C2D"/>
    <w:rsid w:val="003C1D9C"/>
    <w:rsid w:val="003C23DC"/>
    <w:rsid w:val="003C29F1"/>
    <w:rsid w:val="003C2C40"/>
    <w:rsid w:val="003C2FCF"/>
    <w:rsid w:val="003C3B77"/>
    <w:rsid w:val="003C3CC4"/>
    <w:rsid w:val="003C3EE2"/>
    <w:rsid w:val="003C4DEA"/>
    <w:rsid w:val="003C513A"/>
    <w:rsid w:val="003C6325"/>
    <w:rsid w:val="003D0562"/>
    <w:rsid w:val="003D0AA8"/>
    <w:rsid w:val="003D1316"/>
    <w:rsid w:val="003D1357"/>
    <w:rsid w:val="003D2142"/>
    <w:rsid w:val="003D2233"/>
    <w:rsid w:val="003D320D"/>
    <w:rsid w:val="003D4738"/>
    <w:rsid w:val="003D4EC9"/>
    <w:rsid w:val="003D506C"/>
    <w:rsid w:val="003D50C1"/>
    <w:rsid w:val="003D673C"/>
    <w:rsid w:val="003D681B"/>
    <w:rsid w:val="003D77B9"/>
    <w:rsid w:val="003D7922"/>
    <w:rsid w:val="003D7AF5"/>
    <w:rsid w:val="003E0146"/>
    <w:rsid w:val="003E01D7"/>
    <w:rsid w:val="003E0693"/>
    <w:rsid w:val="003E0B07"/>
    <w:rsid w:val="003E13DE"/>
    <w:rsid w:val="003E25EA"/>
    <w:rsid w:val="003E2D10"/>
    <w:rsid w:val="003E2D3E"/>
    <w:rsid w:val="003E32D0"/>
    <w:rsid w:val="003E36A9"/>
    <w:rsid w:val="003E3817"/>
    <w:rsid w:val="003E6835"/>
    <w:rsid w:val="003E6EAB"/>
    <w:rsid w:val="003E7089"/>
    <w:rsid w:val="003E72C4"/>
    <w:rsid w:val="003E759D"/>
    <w:rsid w:val="003E7D28"/>
    <w:rsid w:val="003E7E72"/>
    <w:rsid w:val="003F0208"/>
    <w:rsid w:val="003F0516"/>
    <w:rsid w:val="003F0EDC"/>
    <w:rsid w:val="003F14B7"/>
    <w:rsid w:val="003F1B79"/>
    <w:rsid w:val="003F2B05"/>
    <w:rsid w:val="003F314A"/>
    <w:rsid w:val="003F3243"/>
    <w:rsid w:val="003F3403"/>
    <w:rsid w:val="003F42BF"/>
    <w:rsid w:val="003F4B02"/>
    <w:rsid w:val="003F5198"/>
    <w:rsid w:val="003F608D"/>
    <w:rsid w:val="003F6A63"/>
    <w:rsid w:val="003F700D"/>
    <w:rsid w:val="003F7461"/>
    <w:rsid w:val="003F7766"/>
    <w:rsid w:val="003F78B4"/>
    <w:rsid w:val="004000AC"/>
    <w:rsid w:val="00400D35"/>
    <w:rsid w:val="00401456"/>
    <w:rsid w:val="004016D9"/>
    <w:rsid w:val="004017C5"/>
    <w:rsid w:val="00401CC3"/>
    <w:rsid w:val="00402605"/>
    <w:rsid w:val="00402827"/>
    <w:rsid w:val="00402AC5"/>
    <w:rsid w:val="00403C0E"/>
    <w:rsid w:val="00403DDE"/>
    <w:rsid w:val="00403EAA"/>
    <w:rsid w:val="0040432D"/>
    <w:rsid w:val="00404FC2"/>
    <w:rsid w:val="004057AC"/>
    <w:rsid w:val="00405A6B"/>
    <w:rsid w:val="004104DC"/>
    <w:rsid w:val="0041138A"/>
    <w:rsid w:val="00411E45"/>
    <w:rsid w:val="0041209F"/>
    <w:rsid w:val="00413E51"/>
    <w:rsid w:val="00413F3E"/>
    <w:rsid w:val="004140C7"/>
    <w:rsid w:val="00414295"/>
    <w:rsid w:val="00414521"/>
    <w:rsid w:val="0041485C"/>
    <w:rsid w:val="00415D48"/>
    <w:rsid w:val="00415FE5"/>
    <w:rsid w:val="00416095"/>
    <w:rsid w:val="00416277"/>
    <w:rsid w:val="00416329"/>
    <w:rsid w:val="00416D23"/>
    <w:rsid w:val="0041722B"/>
    <w:rsid w:val="004173A9"/>
    <w:rsid w:val="00417D5D"/>
    <w:rsid w:val="00417E1D"/>
    <w:rsid w:val="00417E96"/>
    <w:rsid w:val="00420FAF"/>
    <w:rsid w:val="00421D81"/>
    <w:rsid w:val="004220F9"/>
    <w:rsid w:val="0042225F"/>
    <w:rsid w:val="00422349"/>
    <w:rsid w:val="00422D61"/>
    <w:rsid w:val="00423711"/>
    <w:rsid w:val="00423B14"/>
    <w:rsid w:val="00423B21"/>
    <w:rsid w:val="00424065"/>
    <w:rsid w:val="00424368"/>
    <w:rsid w:val="0042530F"/>
    <w:rsid w:val="0042557B"/>
    <w:rsid w:val="004256F8"/>
    <w:rsid w:val="00425AA6"/>
    <w:rsid w:val="00425FD5"/>
    <w:rsid w:val="004261C8"/>
    <w:rsid w:val="004263D2"/>
    <w:rsid w:val="00426E4D"/>
    <w:rsid w:val="00427AEB"/>
    <w:rsid w:val="0043068B"/>
    <w:rsid w:val="00430F6C"/>
    <w:rsid w:val="00431494"/>
    <w:rsid w:val="00431C77"/>
    <w:rsid w:val="0043269F"/>
    <w:rsid w:val="00432B8E"/>
    <w:rsid w:val="00432F14"/>
    <w:rsid w:val="0043395B"/>
    <w:rsid w:val="004340A6"/>
    <w:rsid w:val="00434813"/>
    <w:rsid w:val="004349AE"/>
    <w:rsid w:val="00434D11"/>
    <w:rsid w:val="00435207"/>
    <w:rsid w:val="00435227"/>
    <w:rsid w:val="004361CA"/>
    <w:rsid w:val="004364B3"/>
    <w:rsid w:val="004364F0"/>
    <w:rsid w:val="00436805"/>
    <w:rsid w:val="00436B62"/>
    <w:rsid w:val="004373F6"/>
    <w:rsid w:val="004377C9"/>
    <w:rsid w:val="00437A52"/>
    <w:rsid w:val="00440336"/>
    <w:rsid w:val="00440389"/>
    <w:rsid w:val="00440953"/>
    <w:rsid w:val="00440CBA"/>
    <w:rsid w:val="00440DA6"/>
    <w:rsid w:val="00440F9E"/>
    <w:rsid w:val="0044188E"/>
    <w:rsid w:val="00441DDA"/>
    <w:rsid w:val="00441E60"/>
    <w:rsid w:val="00443700"/>
    <w:rsid w:val="00443B33"/>
    <w:rsid w:val="00443D9D"/>
    <w:rsid w:val="00444FC8"/>
    <w:rsid w:val="004458D5"/>
    <w:rsid w:val="00446F93"/>
    <w:rsid w:val="004478D6"/>
    <w:rsid w:val="00447ECC"/>
    <w:rsid w:val="0045027A"/>
    <w:rsid w:val="00450376"/>
    <w:rsid w:val="00451684"/>
    <w:rsid w:val="00451879"/>
    <w:rsid w:val="00451910"/>
    <w:rsid w:val="00451DC0"/>
    <w:rsid w:val="00451E8D"/>
    <w:rsid w:val="00452369"/>
    <w:rsid w:val="00452560"/>
    <w:rsid w:val="0045268A"/>
    <w:rsid w:val="00452AD6"/>
    <w:rsid w:val="00452D89"/>
    <w:rsid w:val="0045311A"/>
    <w:rsid w:val="004534DA"/>
    <w:rsid w:val="0045363B"/>
    <w:rsid w:val="004539D5"/>
    <w:rsid w:val="00453E91"/>
    <w:rsid w:val="0045428E"/>
    <w:rsid w:val="00454891"/>
    <w:rsid w:val="0045603F"/>
    <w:rsid w:val="00456C09"/>
    <w:rsid w:val="00456C7B"/>
    <w:rsid w:val="00456CF1"/>
    <w:rsid w:val="0045702C"/>
    <w:rsid w:val="00457099"/>
    <w:rsid w:val="00457824"/>
    <w:rsid w:val="00460AA5"/>
    <w:rsid w:val="0046102F"/>
    <w:rsid w:val="004612AC"/>
    <w:rsid w:val="00461783"/>
    <w:rsid w:val="00461AC2"/>
    <w:rsid w:val="00461BF8"/>
    <w:rsid w:val="00461E1E"/>
    <w:rsid w:val="004633A6"/>
    <w:rsid w:val="00463ED7"/>
    <w:rsid w:val="00463EEC"/>
    <w:rsid w:val="00464372"/>
    <w:rsid w:val="00464E66"/>
    <w:rsid w:val="00464E81"/>
    <w:rsid w:val="004653C2"/>
    <w:rsid w:val="004661BB"/>
    <w:rsid w:val="004663A0"/>
    <w:rsid w:val="00466B55"/>
    <w:rsid w:val="00466E0A"/>
    <w:rsid w:val="00467104"/>
    <w:rsid w:val="00467844"/>
    <w:rsid w:val="004679EC"/>
    <w:rsid w:val="00472E3E"/>
    <w:rsid w:val="0047318B"/>
    <w:rsid w:val="00473488"/>
    <w:rsid w:val="0047410F"/>
    <w:rsid w:val="00474759"/>
    <w:rsid w:val="00474D72"/>
    <w:rsid w:val="0047534C"/>
    <w:rsid w:val="004759EE"/>
    <w:rsid w:val="00475B23"/>
    <w:rsid w:val="00476240"/>
    <w:rsid w:val="00476510"/>
    <w:rsid w:val="004765FB"/>
    <w:rsid w:val="00476B9F"/>
    <w:rsid w:val="00476FA2"/>
    <w:rsid w:val="0047760A"/>
    <w:rsid w:val="0047797F"/>
    <w:rsid w:val="004807E6"/>
    <w:rsid w:val="004822BB"/>
    <w:rsid w:val="00483568"/>
    <w:rsid w:val="00483710"/>
    <w:rsid w:val="0048425A"/>
    <w:rsid w:val="004853EE"/>
    <w:rsid w:val="00485C84"/>
    <w:rsid w:val="004866F4"/>
    <w:rsid w:val="004868C0"/>
    <w:rsid w:val="0048707F"/>
    <w:rsid w:val="00487DED"/>
    <w:rsid w:val="004901F2"/>
    <w:rsid w:val="00490326"/>
    <w:rsid w:val="0049079A"/>
    <w:rsid w:val="0049085D"/>
    <w:rsid w:val="0049092D"/>
    <w:rsid w:val="00490EE7"/>
    <w:rsid w:val="00490FF0"/>
    <w:rsid w:val="00491658"/>
    <w:rsid w:val="00491E7D"/>
    <w:rsid w:val="004923D8"/>
    <w:rsid w:val="0049257A"/>
    <w:rsid w:val="00493011"/>
    <w:rsid w:val="004931C9"/>
    <w:rsid w:val="004949C7"/>
    <w:rsid w:val="00495303"/>
    <w:rsid w:val="00495B4C"/>
    <w:rsid w:val="00496152"/>
    <w:rsid w:val="00497A08"/>
    <w:rsid w:val="004A0CA2"/>
    <w:rsid w:val="004A10D2"/>
    <w:rsid w:val="004A1785"/>
    <w:rsid w:val="004A1D85"/>
    <w:rsid w:val="004A2186"/>
    <w:rsid w:val="004A224A"/>
    <w:rsid w:val="004A2497"/>
    <w:rsid w:val="004A2BF7"/>
    <w:rsid w:val="004A2D99"/>
    <w:rsid w:val="004A3384"/>
    <w:rsid w:val="004A34AF"/>
    <w:rsid w:val="004A379B"/>
    <w:rsid w:val="004A3B01"/>
    <w:rsid w:val="004A3F4A"/>
    <w:rsid w:val="004A4AAD"/>
    <w:rsid w:val="004A6632"/>
    <w:rsid w:val="004A687F"/>
    <w:rsid w:val="004A71B1"/>
    <w:rsid w:val="004A721A"/>
    <w:rsid w:val="004A7A65"/>
    <w:rsid w:val="004A7B85"/>
    <w:rsid w:val="004B042C"/>
    <w:rsid w:val="004B1034"/>
    <w:rsid w:val="004B112A"/>
    <w:rsid w:val="004B1209"/>
    <w:rsid w:val="004B1AEE"/>
    <w:rsid w:val="004B1FA5"/>
    <w:rsid w:val="004B2DD4"/>
    <w:rsid w:val="004B2FFA"/>
    <w:rsid w:val="004B3537"/>
    <w:rsid w:val="004B4F5A"/>
    <w:rsid w:val="004B5C5B"/>
    <w:rsid w:val="004B6C1F"/>
    <w:rsid w:val="004B7013"/>
    <w:rsid w:val="004C0586"/>
    <w:rsid w:val="004C0B1C"/>
    <w:rsid w:val="004C12B3"/>
    <w:rsid w:val="004C20DE"/>
    <w:rsid w:val="004C23BE"/>
    <w:rsid w:val="004C2CC5"/>
    <w:rsid w:val="004C2ECD"/>
    <w:rsid w:val="004C3375"/>
    <w:rsid w:val="004C370C"/>
    <w:rsid w:val="004C400D"/>
    <w:rsid w:val="004C44AF"/>
    <w:rsid w:val="004C47CC"/>
    <w:rsid w:val="004C4872"/>
    <w:rsid w:val="004C51AA"/>
    <w:rsid w:val="004C5D25"/>
    <w:rsid w:val="004C5ED0"/>
    <w:rsid w:val="004C5F89"/>
    <w:rsid w:val="004C64E5"/>
    <w:rsid w:val="004C6BAA"/>
    <w:rsid w:val="004C6E5F"/>
    <w:rsid w:val="004C722C"/>
    <w:rsid w:val="004C74EB"/>
    <w:rsid w:val="004D01D8"/>
    <w:rsid w:val="004D130B"/>
    <w:rsid w:val="004D258F"/>
    <w:rsid w:val="004D31E3"/>
    <w:rsid w:val="004D3E2D"/>
    <w:rsid w:val="004D5484"/>
    <w:rsid w:val="004D5647"/>
    <w:rsid w:val="004D655A"/>
    <w:rsid w:val="004D65C5"/>
    <w:rsid w:val="004D743B"/>
    <w:rsid w:val="004D75EA"/>
    <w:rsid w:val="004D7A05"/>
    <w:rsid w:val="004E0023"/>
    <w:rsid w:val="004E012F"/>
    <w:rsid w:val="004E2BFF"/>
    <w:rsid w:val="004E3333"/>
    <w:rsid w:val="004E491C"/>
    <w:rsid w:val="004E4B02"/>
    <w:rsid w:val="004E57E5"/>
    <w:rsid w:val="004E5CBC"/>
    <w:rsid w:val="004E6029"/>
    <w:rsid w:val="004E6763"/>
    <w:rsid w:val="004E72C8"/>
    <w:rsid w:val="004F0119"/>
    <w:rsid w:val="004F024B"/>
    <w:rsid w:val="004F03C3"/>
    <w:rsid w:val="004F0B06"/>
    <w:rsid w:val="004F0DC7"/>
    <w:rsid w:val="004F1794"/>
    <w:rsid w:val="004F18BD"/>
    <w:rsid w:val="004F26A0"/>
    <w:rsid w:val="004F290E"/>
    <w:rsid w:val="004F31BF"/>
    <w:rsid w:val="004F39E1"/>
    <w:rsid w:val="004F3DD6"/>
    <w:rsid w:val="004F4567"/>
    <w:rsid w:val="004F502B"/>
    <w:rsid w:val="004F76B6"/>
    <w:rsid w:val="004F7B89"/>
    <w:rsid w:val="0050281F"/>
    <w:rsid w:val="00502CF8"/>
    <w:rsid w:val="0050381E"/>
    <w:rsid w:val="00504210"/>
    <w:rsid w:val="005047BE"/>
    <w:rsid w:val="00504BA8"/>
    <w:rsid w:val="00504D6F"/>
    <w:rsid w:val="0050528C"/>
    <w:rsid w:val="0050550A"/>
    <w:rsid w:val="005055BD"/>
    <w:rsid w:val="00505653"/>
    <w:rsid w:val="00505724"/>
    <w:rsid w:val="00505B52"/>
    <w:rsid w:val="00505E92"/>
    <w:rsid w:val="00506222"/>
    <w:rsid w:val="005064E6"/>
    <w:rsid w:val="0050651C"/>
    <w:rsid w:val="0050671F"/>
    <w:rsid w:val="00507101"/>
    <w:rsid w:val="00507850"/>
    <w:rsid w:val="00507974"/>
    <w:rsid w:val="00510AB0"/>
    <w:rsid w:val="00510E0E"/>
    <w:rsid w:val="005118C3"/>
    <w:rsid w:val="005132FF"/>
    <w:rsid w:val="00513630"/>
    <w:rsid w:val="00513E29"/>
    <w:rsid w:val="00513F75"/>
    <w:rsid w:val="00514537"/>
    <w:rsid w:val="00514AEA"/>
    <w:rsid w:val="00514B21"/>
    <w:rsid w:val="00515086"/>
    <w:rsid w:val="005163E6"/>
    <w:rsid w:val="005171D3"/>
    <w:rsid w:val="0051741C"/>
    <w:rsid w:val="00520696"/>
    <w:rsid w:val="00521BD9"/>
    <w:rsid w:val="00521D49"/>
    <w:rsid w:val="005220A0"/>
    <w:rsid w:val="00522289"/>
    <w:rsid w:val="00523A9A"/>
    <w:rsid w:val="00523BA0"/>
    <w:rsid w:val="00523C18"/>
    <w:rsid w:val="005240F7"/>
    <w:rsid w:val="00524620"/>
    <w:rsid w:val="00524BEC"/>
    <w:rsid w:val="00524D6A"/>
    <w:rsid w:val="00525D74"/>
    <w:rsid w:val="0052667B"/>
    <w:rsid w:val="00526AA4"/>
    <w:rsid w:val="0052710B"/>
    <w:rsid w:val="0052720D"/>
    <w:rsid w:val="00530A77"/>
    <w:rsid w:val="00530ABC"/>
    <w:rsid w:val="0053175B"/>
    <w:rsid w:val="005324A8"/>
    <w:rsid w:val="005362AF"/>
    <w:rsid w:val="0053655D"/>
    <w:rsid w:val="00536E83"/>
    <w:rsid w:val="00536F1D"/>
    <w:rsid w:val="00536FF9"/>
    <w:rsid w:val="005372F7"/>
    <w:rsid w:val="00537C53"/>
    <w:rsid w:val="0054027F"/>
    <w:rsid w:val="00540311"/>
    <w:rsid w:val="00540990"/>
    <w:rsid w:val="00540CCC"/>
    <w:rsid w:val="00541AB9"/>
    <w:rsid w:val="00541D6F"/>
    <w:rsid w:val="00542139"/>
    <w:rsid w:val="00542794"/>
    <w:rsid w:val="00543CD6"/>
    <w:rsid w:val="00543FD2"/>
    <w:rsid w:val="0054410C"/>
    <w:rsid w:val="00545194"/>
    <w:rsid w:val="005453F4"/>
    <w:rsid w:val="00545666"/>
    <w:rsid w:val="00545B7A"/>
    <w:rsid w:val="005468F4"/>
    <w:rsid w:val="0054719B"/>
    <w:rsid w:val="005475FE"/>
    <w:rsid w:val="00547B8F"/>
    <w:rsid w:val="005511DF"/>
    <w:rsid w:val="005514B2"/>
    <w:rsid w:val="00551810"/>
    <w:rsid w:val="00551D1A"/>
    <w:rsid w:val="00551E55"/>
    <w:rsid w:val="00552A77"/>
    <w:rsid w:val="00552EEC"/>
    <w:rsid w:val="00553245"/>
    <w:rsid w:val="005532B3"/>
    <w:rsid w:val="005532CF"/>
    <w:rsid w:val="00553449"/>
    <w:rsid w:val="005536C3"/>
    <w:rsid w:val="005536E9"/>
    <w:rsid w:val="00554BA0"/>
    <w:rsid w:val="00556106"/>
    <w:rsid w:val="005567DA"/>
    <w:rsid w:val="00557C37"/>
    <w:rsid w:val="00557D21"/>
    <w:rsid w:val="00560AFB"/>
    <w:rsid w:val="00560BD0"/>
    <w:rsid w:val="00561937"/>
    <w:rsid w:val="00561A29"/>
    <w:rsid w:val="00562021"/>
    <w:rsid w:val="00562DB4"/>
    <w:rsid w:val="00563202"/>
    <w:rsid w:val="00563624"/>
    <w:rsid w:val="00563923"/>
    <w:rsid w:val="00563D94"/>
    <w:rsid w:val="00563E49"/>
    <w:rsid w:val="00564226"/>
    <w:rsid w:val="00565A58"/>
    <w:rsid w:val="005662FE"/>
    <w:rsid w:val="0056631F"/>
    <w:rsid w:val="005663D1"/>
    <w:rsid w:val="0056660B"/>
    <w:rsid w:val="005671FB"/>
    <w:rsid w:val="005673A9"/>
    <w:rsid w:val="005703B5"/>
    <w:rsid w:val="00570DA0"/>
    <w:rsid w:val="005730C4"/>
    <w:rsid w:val="00573872"/>
    <w:rsid w:val="00573D8B"/>
    <w:rsid w:val="0057411F"/>
    <w:rsid w:val="00574933"/>
    <w:rsid w:val="005749B6"/>
    <w:rsid w:val="00575337"/>
    <w:rsid w:val="005758CA"/>
    <w:rsid w:val="00576422"/>
    <w:rsid w:val="0057785A"/>
    <w:rsid w:val="00577E7B"/>
    <w:rsid w:val="00581018"/>
    <w:rsid w:val="00581163"/>
    <w:rsid w:val="00582E1A"/>
    <w:rsid w:val="00582F27"/>
    <w:rsid w:val="005834E4"/>
    <w:rsid w:val="00583500"/>
    <w:rsid w:val="00583E9B"/>
    <w:rsid w:val="005842C4"/>
    <w:rsid w:val="0058602C"/>
    <w:rsid w:val="00586508"/>
    <w:rsid w:val="0058744D"/>
    <w:rsid w:val="00587E6B"/>
    <w:rsid w:val="00587E71"/>
    <w:rsid w:val="00587FF6"/>
    <w:rsid w:val="005909D0"/>
    <w:rsid w:val="00590D44"/>
    <w:rsid w:val="00590DDF"/>
    <w:rsid w:val="00591B36"/>
    <w:rsid w:val="00591D66"/>
    <w:rsid w:val="00592849"/>
    <w:rsid w:val="0059386B"/>
    <w:rsid w:val="0059411E"/>
    <w:rsid w:val="00594373"/>
    <w:rsid w:val="0059482D"/>
    <w:rsid w:val="0059494D"/>
    <w:rsid w:val="00594975"/>
    <w:rsid w:val="00595DF0"/>
    <w:rsid w:val="0059627F"/>
    <w:rsid w:val="005962AA"/>
    <w:rsid w:val="005969B3"/>
    <w:rsid w:val="00597761"/>
    <w:rsid w:val="00597BD1"/>
    <w:rsid w:val="00597C41"/>
    <w:rsid w:val="005A030B"/>
    <w:rsid w:val="005A0481"/>
    <w:rsid w:val="005A0A6B"/>
    <w:rsid w:val="005A0DB9"/>
    <w:rsid w:val="005A0F48"/>
    <w:rsid w:val="005A16C9"/>
    <w:rsid w:val="005A1D29"/>
    <w:rsid w:val="005A2755"/>
    <w:rsid w:val="005A2892"/>
    <w:rsid w:val="005A2FEA"/>
    <w:rsid w:val="005A340B"/>
    <w:rsid w:val="005A34FE"/>
    <w:rsid w:val="005A39E5"/>
    <w:rsid w:val="005A3AB2"/>
    <w:rsid w:val="005A3B3F"/>
    <w:rsid w:val="005A4A61"/>
    <w:rsid w:val="005A4EBF"/>
    <w:rsid w:val="005A4FBD"/>
    <w:rsid w:val="005A520E"/>
    <w:rsid w:val="005A55C2"/>
    <w:rsid w:val="005A562E"/>
    <w:rsid w:val="005A5811"/>
    <w:rsid w:val="005A6D15"/>
    <w:rsid w:val="005A7078"/>
    <w:rsid w:val="005A70A9"/>
    <w:rsid w:val="005A70D1"/>
    <w:rsid w:val="005A73B0"/>
    <w:rsid w:val="005A7F5C"/>
    <w:rsid w:val="005B01D2"/>
    <w:rsid w:val="005B04C0"/>
    <w:rsid w:val="005B0800"/>
    <w:rsid w:val="005B0AFD"/>
    <w:rsid w:val="005B0FB7"/>
    <w:rsid w:val="005B10EF"/>
    <w:rsid w:val="005B1F19"/>
    <w:rsid w:val="005B2140"/>
    <w:rsid w:val="005B2463"/>
    <w:rsid w:val="005B290B"/>
    <w:rsid w:val="005B2ACE"/>
    <w:rsid w:val="005B2F7C"/>
    <w:rsid w:val="005B3562"/>
    <w:rsid w:val="005B3618"/>
    <w:rsid w:val="005B3D8A"/>
    <w:rsid w:val="005B4487"/>
    <w:rsid w:val="005B4793"/>
    <w:rsid w:val="005B4A71"/>
    <w:rsid w:val="005B5443"/>
    <w:rsid w:val="005B6978"/>
    <w:rsid w:val="005B699F"/>
    <w:rsid w:val="005B6D5B"/>
    <w:rsid w:val="005B7036"/>
    <w:rsid w:val="005B78DF"/>
    <w:rsid w:val="005B7CCE"/>
    <w:rsid w:val="005C005D"/>
    <w:rsid w:val="005C00E6"/>
    <w:rsid w:val="005C04AD"/>
    <w:rsid w:val="005C0CCB"/>
    <w:rsid w:val="005C0D2D"/>
    <w:rsid w:val="005C1EBC"/>
    <w:rsid w:val="005C1F65"/>
    <w:rsid w:val="005C2133"/>
    <w:rsid w:val="005C282E"/>
    <w:rsid w:val="005C2AC4"/>
    <w:rsid w:val="005C2B1F"/>
    <w:rsid w:val="005C2C0D"/>
    <w:rsid w:val="005C2E82"/>
    <w:rsid w:val="005C311D"/>
    <w:rsid w:val="005C3DBF"/>
    <w:rsid w:val="005C457A"/>
    <w:rsid w:val="005C4DDB"/>
    <w:rsid w:val="005C6501"/>
    <w:rsid w:val="005C6C4F"/>
    <w:rsid w:val="005C6D6B"/>
    <w:rsid w:val="005C7D18"/>
    <w:rsid w:val="005D0588"/>
    <w:rsid w:val="005D0AFB"/>
    <w:rsid w:val="005D0FF8"/>
    <w:rsid w:val="005D1453"/>
    <w:rsid w:val="005D1C92"/>
    <w:rsid w:val="005D2A3F"/>
    <w:rsid w:val="005D3299"/>
    <w:rsid w:val="005D344C"/>
    <w:rsid w:val="005D3E78"/>
    <w:rsid w:val="005D44FF"/>
    <w:rsid w:val="005D4834"/>
    <w:rsid w:val="005D5675"/>
    <w:rsid w:val="005D5734"/>
    <w:rsid w:val="005D6AC4"/>
    <w:rsid w:val="005D7DC8"/>
    <w:rsid w:val="005E0296"/>
    <w:rsid w:val="005E0467"/>
    <w:rsid w:val="005E075A"/>
    <w:rsid w:val="005E0B65"/>
    <w:rsid w:val="005E0F50"/>
    <w:rsid w:val="005E18E2"/>
    <w:rsid w:val="005E1DE7"/>
    <w:rsid w:val="005E1E82"/>
    <w:rsid w:val="005E21D8"/>
    <w:rsid w:val="005E2E1C"/>
    <w:rsid w:val="005E3C8B"/>
    <w:rsid w:val="005E3CB5"/>
    <w:rsid w:val="005E4730"/>
    <w:rsid w:val="005E5575"/>
    <w:rsid w:val="005E6C42"/>
    <w:rsid w:val="005E6D62"/>
    <w:rsid w:val="005E70F6"/>
    <w:rsid w:val="005F0389"/>
    <w:rsid w:val="005F0D8C"/>
    <w:rsid w:val="005F2107"/>
    <w:rsid w:val="005F2A1F"/>
    <w:rsid w:val="005F30B6"/>
    <w:rsid w:val="005F30F3"/>
    <w:rsid w:val="005F37C0"/>
    <w:rsid w:val="005F37C9"/>
    <w:rsid w:val="005F4408"/>
    <w:rsid w:val="005F44DC"/>
    <w:rsid w:val="005F4667"/>
    <w:rsid w:val="005F545D"/>
    <w:rsid w:val="005F5CC0"/>
    <w:rsid w:val="005F7308"/>
    <w:rsid w:val="005F7ACD"/>
    <w:rsid w:val="005F7FA7"/>
    <w:rsid w:val="00600222"/>
    <w:rsid w:val="006003B7"/>
    <w:rsid w:val="0060123C"/>
    <w:rsid w:val="00602180"/>
    <w:rsid w:val="006024FC"/>
    <w:rsid w:val="00602797"/>
    <w:rsid w:val="00602C44"/>
    <w:rsid w:val="00602F45"/>
    <w:rsid w:val="00603047"/>
    <w:rsid w:val="006040F0"/>
    <w:rsid w:val="006044FA"/>
    <w:rsid w:val="0060478C"/>
    <w:rsid w:val="0060483B"/>
    <w:rsid w:val="006049CC"/>
    <w:rsid w:val="00604B49"/>
    <w:rsid w:val="00604CFE"/>
    <w:rsid w:val="00604D7B"/>
    <w:rsid w:val="006051DE"/>
    <w:rsid w:val="0060547A"/>
    <w:rsid w:val="006054FC"/>
    <w:rsid w:val="006055AE"/>
    <w:rsid w:val="006079A0"/>
    <w:rsid w:val="0061109C"/>
    <w:rsid w:val="00611A38"/>
    <w:rsid w:val="00611D87"/>
    <w:rsid w:val="00612F06"/>
    <w:rsid w:val="00613082"/>
    <w:rsid w:val="00613DAD"/>
    <w:rsid w:val="00613E22"/>
    <w:rsid w:val="00614F66"/>
    <w:rsid w:val="006153BD"/>
    <w:rsid w:val="006156BD"/>
    <w:rsid w:val="00615A81"/>
    <w:rsid w:val="00615C7E"/>
    <w:rsid w:val="006165C9"/>
    <w:rsid w:val="00616DEC"/>
    <w:rsid w:val="00616EA0"/>
    <w:rsid w:val="00616F90"/>
    <w:rsid w:val="0061750E"/>
    <w:rsid w:val="00617C78"/>
    <w:rsid w:val="00617D8A"/>
    <w:rsid w:val="00617E46"/>
    <w:rsid w:val="0062036B"/>
    <w:rsid w:val="006209ED"/>
    <w:rsid w:val="00620B6F"/>
    <w:rsid w:val="006215F7"/>
    <w:rsid w:val="00622751"/>
    <w:rsid w:val="0062393A"/>
    <w:rsid w:val="00623ACD"/>
    <w:rsid w:val="006240A8"/>
    <w:rsid w:val="0062444B"/>
    <w:rsid w:val="00625411"/>
    <w:rsid w:val="00625875"/>
    <w:rsid w:val="00625AAC"/>
    <w:rsid w:val="00625D0A"/>
    <w:rsid w:val="00626336"/>
    <w:rsid w:val="00626410"/>
    <w:rsid w:val="006276C4"/>
    <w:rsid w:val="0063199A"/>
    <w:rsid w:val="00632BA9"/>
    <w:rsid w:val="00632C08"/>
    <w:rsid w:val="006332ED"/>
    <w:rsid w:val="006345F5"/>
    <w:rsid w:val="00634CFE"/>
    <w:rsid w:val="00634DE5"/>
    <w:rsid w:val="00635A0A"/>
    <w:rsid w:val="00635BC4"/>
    <w:rsid w:val="00635BD4"/>
    <w:rsid w:val="00635BF3"/>
    <w:rsid w:val="00635C25"/>
    <w:rsid w:val="00636036"/>
    <w:rsid w:val="006360AB"/>
    <w:rsid w:val="0063662C"/>
    <w:rsid w:val="0063674E"/>
    <w:rsid w:val="00636825"/>
    <w:rsid w:val="00636E84"/>
    <w:rsid w:val="006405C5"/>
    <w:rsid w:val="00640C82"/>
    <w:rsid w:val="00640E5F"/>
    <w:rsid w:val="00641265"/>
    <w:rsid w:val="00641CBC"/>
    <w:rsid w:val="00644AB8"/>
    <w:rsid w:val="00644D03"/>
    <w:rsid w:val="00645C25"/>
    <w:rsid w:val="00645E73"/>
    <w:rsid w:val="006462E5"/>
    <w:rsid w:val="006474A0"/>
    <w:rsid w:val="006475F1"/>
    <w:rsid w:val="0064784F"/>
    <w:rsid w:val="00647A7F"/>
    <w:rsid w:val="006506A8"/>
    <w:rsid w:val="00650A65"/>
    <w:rsid w:val="0065102B"/>
    <w:rsid w:val="0065108C"/>
    <w:rsid w:val="00651385"/>
    <w:rsid w:val="00651658"/>
    <w:rsid w:val="00651749"/>
    <w:rsid w:val="00651930"/>
    <w:rsid w:val="00651D83"/>
    <w:rsid w:val="00653064"/>
    <w:rsid w:val="00653345"/>
    <w:rsid w:val="00653BD6"/>
    <w:rsid w:val="00653CF2"/>
    <w:rsid w:val="0065475B"/>
    <w:rsid w:val="00654929"/>
    <w:rsid w:val="006555D1"/>
    <w:rsid w:val="00655B7D"/>
    <w:rsid w:val="00656AF0"/>
    <w:rsid w:val="00656BF5"/>
    <w:rsid w:val="00660DB9"/>
    <w:rsid w:val="00660F22"/>
    <w:rsid w:val="00661314"/>
    <w:rsid w:val="00661891"/>
    <w:rsid w:val="006623C8"/>
    <w:rsid w:val="00662BA3"/>
    <w:rsid w:val="00663140"/>
    <w:rsid w:val="006635EC"/>
    <w:rsid w:val="00663E99"/>
    <w:rsid w:val="006640D6"/>
    <w:rsid w:val="006646FB"/>
    <w:rsid w:val="006649E2"/>
    <w:rsid w:val="00665AD7"/>
    <w:rsid w:val="00665EBB"/>
    <w:rsid w:val="00666B8C"/>
    <w:rsid w:val="0066735B"/>
    <w:rsid w:val="00670386"/>
    <w:rsid w:val="006703D9"/>
    <w:rsid w:val="00670EB0"/>
    <w:rsid w:val="0067121B"/>
    <w:rsid w:val="0067188C"/>
    <w:rsid w:val="00671EF8"/>
    <w:rsid w:val="00672174"/>
    <w:rsid w:val="00672223"/>
    <w:rsid w:val="00673099"/>
    <w:rsid w:val="0067471A"/>
    <w:rsid w:val="00675799"/>
    <w:rsid w:val="00675B7A"/>
    <w:rsid w:val="006765B6"/>
    <w:rsid w:val="006776E5"/>
    <w:rsid w:val="00677878"/>
    <w:rsid w:val="00677C23"/>
    <w:rsid w:val="006811EA"/>
    <w:rsid w:val="00681C94"/>
    <w:rsid w:val="00681DD0"/>
    <w:rsid w:val="00681E35"/>
    <w:rsid w:val="006823B8"/>
    <w:rsid w:val="00682E4F"/>
    <w:rsid w:val="00682FE0"/>
    <w:rsid w:val="006844EB"/>
    <w:rsid w:val="006859D1"/>
    <w:rsid w:val="006861CC"/>
    <w:rsid w:val="00686492"/>
    <w:rsid w:val="00686564"/>
    <w:rsid w:val="0068724A"/>
    <w:rsid w:val="0068752A"/>
    <w:rsid w:val="00687C65"/>
    <w:rsid w:val="00687E69"/>
    <w:rsid w:val="00690ABF"/>
    <w:rsid w:val="00691FEF"/>
    <w:rsid w:val="00692C62"/>
    <w:rsid w:val="00692F82"/>
    <w:rsid w:val="006936EB"/>
    <w:rsid w:val="00693994"/>
    <w:rsid w:val="00693B71"/>
    <w:rsid w:val="00693BDD"/>
    <w:rsid w:val="00693DEC"/>
    <w:rsid w:val="00694260"/>
    <w:rsid w:val="006947E3"/>
    <w:rsid w:val="00694A35"/>
    <w:rsid w:val="00694CCE"/>
    <w:rsid w:val="00694DC0"/>
    <w:rsid w:val="0069625F"/>
    <w:rsid w:val="00696426"/>
    <w:rsid w:val="0069645D"/>
    <w:rsid w:val="0069653D"/>
    <w:rsid w:val="00696729"/>
    <w:rsid w:val="00696EAF"/>
    <w:rsid w:val="006971C6"/>
    <w:rsid w:val="00697388"/>
    <w:rsid w:val="006A0CC8"/>
    <w:rsid w:val="006A0D7D"/>
    <w:rsid w:val="006A1002"/>
    <w:rsid w:val="006A1562"/>
    <w:rsid w:val="006A173E"/>
    <w:rsid w:val="006A1A2D"/>
    <w:rsid w:val="006A2A12"/>
    <w:rsid w:val="006A3EE3"/>
    <w:rsid w:val="006A3F63"/>
    <w:rsid w:val="006A4386"/>
    <w:rsid w:val="006A46E0"/>
    <w:rsid w:val="006A51E3"/>
    <w:rsid w:val="006A5317"/>
    <w:rsid w:val="006A5C08"/>
    <w:rsid w:val="006A5CCC"/>
    <w:rsid w:val="006A5D95"/>
    <w:rsid w:val="006A6A15"/>
    <w:rsid w:val="006A7557"/>
    <w:rsid w:val="006A75DD"/>
    <w:rsid w:val="006B06C5"/>
    <w:rsid w:val="006B0920"/>
    <w:rsid w:val="006B0F4F"/>
    <w:rsid w:val="006B2771"/>
    <w:rsid w:val="006B43C7"/>
    <w:rsid w:val="006B4F1E"/>
    <w:rsid w:val="006B56D4"/>
    <w:rsid w:val="006B69E6"/>
    <w:rsid w:val="006C0A76"/>
    <w:rsid w:val="006C0E97"/>
    <w:rsid w:val="006C1489"/>
    <w:rsid w:val="006C1BFF"/>
    <w:rsid w:val="006C3654"/>
    <w:rsid w:val="006C3BBF"/>
    <w:rsid w:val="006C4BF5"/>
    <w:rsid w:val="006C4CED"/>
    <w:rsid w:val="006C5B53"/>
    <w:rsid w:val="006C5BD0"/>
    <w:rsid w:val="006C5DB0"/>
    <w:rsid w:val="006C6021"/>
    <w:rsid w:val="006C6D23"/>
    <w:rsid w:val="006C7AC4"/>
    <w:rsid w:val="006C7C01"/>
    <w:rsid w:val="006C7E87"/>
    <w:rsid w:val="006D0784"/>
    <w:rsid w:val="006D0891"/>
    <w:rsid w:val="006D1260"/>
    <w:rsid w:val="006D16BA"/>
    <w:rsid w:val="006D18AE"/>
    <w:rsid w:val="006D1C12"/>
    <w:rsid w:val="006D1D40"/>
    <w:rsid w:val="006D1E9D"/>
    <w:rsid w:val="006D1FC7"/>
    <w:rsid w:val="006D28FE"/>
    <w:rsid w:val="006D2D08"/>
    <w:rsid w:val="006D2FAD"/>
    <w:rsid w:val="006D389B"/>
    <w:rsid w:val="006D3F42"/>
    <w:rsid w:val="006D3F69"/>
    <w:rsid w:val="006D408A"/>
    <w:rsid w:val="006D43B1"/>
    <w:rsid w:val="006D45FA"/>
    <w:rsid w:val="006D4CAF"/>
    <w:rsid w:val="006D4CDE"/>
    <w:rsid w:val="006D4E78"/>
    <w:rsid w:val="006D53D8"/>
    <w:rsid w:val="006D55D3"/>
    <w:rsid w:val="006D5B59"/>
    <w:rsid w:val="006D5D58"/>
    <w:rsid w:val="006D6168"/>
    <w:rsid w:val="006D6430"/>
    <w:rsid w:val="006D67FF"/>
    <w:rsid w:val="006D6A38"/>
    <w:rsid w:val="006D6DE9"/>
    <w:rsid w:val="006D6EF4"/>
    <w:rsid w:val="006D70CD"/>
    <w:rsid w:val="006D7606"/>
    <w:rsid w:val="006E098B"/>
    <w:rsid w:val="006E101A"/>
    <w:rsid w:val="006E1026"/>
    <w:rsid w:val="006E1DE3"/>
    <w:rsid w:val="006E20A4"/>
    <w:rsid w:val="006E2CF6"/>
    <w:rsid w:val="006E2D94"/>
    <w:rsid w:val="006E3763"/>
    <w:rsid w:val="006E3B28"/>
    <w:rsid w:val="006E415C"/>
    <w:rsid w:val="006E4506"/>
    <w:rsid w:val="006E458B"/>
    <w:rsid w:val="006E4B41"/>
    <w:rsid w:val="006E5249"/>
    <w:rsid w:val="006E603D"/>
    <w:rsid w:val="006E66BE"/>
    <w:rsid w:val="006E6918"/>
    <w:rsid w:val="006E6B51"/>
    <w:rsid w:val="006E6FAD"/>
    <w:rsid w:val="006E7A2E"/>
    <w:rsid w:val="006E7B9E"/>
    <w:rsid w:val="006E7EDC"/>
    <w:rsid w:val="006F02A8"/>
    <w:rsid w:val="006F02DB"/>
    <w:rsid w:val="006F090F"/>
    <w:rsid w:val="006F1230"/>
    <w:rsid w:val="006F2B67"/>
    <w:rsid w:val="006F2B74"/>
    <w:rsid w:val="006F2C01"/>
    <w:rsid w:val="006F31F3"/>
    <w:rsid w:val="006F3377"/>
    <w:rsid w:val="006F385A"/>
    <w:rsid w:val="006F5190"/>
    <w:rsid w:val="006F51E6"/>
    <w:rsid w:val="006F63BF"/>
    <w:rsid w:val="006F7189"/>
    <w:rsid w:val="006F7263"/>
    <w:rsid w:val="006F7B19"/>
    <w:rsid w:val="006F7E28"/>
    <w:rsid w:val="00700339"/>
    <w:rsid w:val="007008D3"/>
    <w:rsid w:val="00700BC1"/>
    <w:rsid w:val="00701472"/>
    <w:rsid w:val="00701A89"/>
    <w:rsid w:val="0070289B"/>
    <w:rsid w:val="007028AA"/>
    <w:rsid w:val="00702B06"/>
    <w:rsid w:val="00702C9D"/>
    <w:rsid w:val="00702EA7"/>
    <w:rsid w:val="00702FA7"/>
    <w:rsid w:val="007036A2"/>
    <w:rsid w:val="007037F5"/>
    <w:rsid w:val="00704136"/>
    <w:rsid w:val="00705F62"/>
    <w:rsid w:val="007063A1"/>
    <w:rsid w:val="00706F23"/>
    <w:rsid w:val="0070783B"/>
    <w:rsid w:val="00707C06"/>
    <w:rsid w:val="007105D9"/>
    <w:rsid w:val="007110E2"/>
    <w:rsid w:val="0071254B"/>
    <w:rsid w:val="007126AF"/>
    <w:rsid w:val="00712E96"/>
    <w:rsid w:val="007136C5"/>
    <w:rsid w:val="00713E90"/>
    <w:rsid w:val="00713ECB"/>
    <w:rsid w:val="007148F1"/>
    <w:rsid w:val="007150DB"/>
    <w:rsid w:val="0071541A"/>
    <w:rsid w:val="007154E5"/>
    <w:rsid w:val="00715D8F"/>
    <w:rsid w:val="00715DC1"/>
    <w:rsid w:val="007167F7"/>
    <w:rsid w:val="00716A3C"/>
    <w:rsid w:val="00716BC5"/>
    <w:rsid w:val="00717B9A"/>
    <w:rsid w:val="00720458"/>
    <w:rsid w:val="00720532"/>
    <w:rsid w:val="00720EF1"/>
    <w:rsid w:val="007212BE"/>
    <w:rsid w:val="00721FCA"/>
    <w:rsid w:val="007221A5"/>
    <w:rsid w:val="007222B2"/>
    <w:rsid w:val="0072354E"/>
    <w:rsid w:val="00723620"/>
    <w:rsid w:val="00723D9C"/>
    <w:rsid w:val="00723EFD"/>
    <w:rsid w:val="00724299"/>
    <w:rsid w:val="00724C12"/>
    <w:rsid w:val="0072526D"/>
    <w:rsid w:val="00727C97"/>
    <w:rsid w:val="00727FE3"/>
    <w:rsid w:val="0073035E"/>
    <w:rsid w:val="00730F23"/>
    <w:rsid w:val="00731D0A"/>
    <w:rsid w:val="0073212B"/>
    <w:rsid w:val="00732A96"/>
    <w:rsid w:val="00732CC1"/>
    <w:rsid w:val="00733EC7"/>
    <w:rsid w:val="00733F11"/>
    <w:rsid w:val="007347ED"/>
    <w:rsid w:val="00734F56"/>
    <w:rsid w:val="00735603"/>
    <w:rsid w:val="00736BDC"/>
    <w:rsid w:val="00737181"/>
    <w:rsid w:val="007379CD"/>
    <w:rsid w:val="00740C9B"/>
    <w:rsid w:val="00740F71"/>
    <w:rsid w:val="007414AC"/>
    <w:rsid w:val="007414F0"/>
    <w:rsid w:val="00741F80"/>
    <w:rsid w:val="00742044"/>
    <w:rsid w:val="00742D9F"/>
    <w:rsid w:val="007432D0"/>
    <w:rsid w:val="00743702"/>
    <w:rsid w:val="00743C22"/>
    <w:rsid w:val="00744657"/>
    <w:rsid w:val="007446C6"/>
    <w:rsid w:val="00744825"/>
    <w:rsid w:val="00745148"/>
    <w:rsid w:val="00745491"/>
    <w:rsid w:val="0074612D"/>
    <w:rsid w:val="0074632D"/>
    <w:rsid w:val="0074703F"/>
    <w:rsid w:val="00747326"/>
    <w:rsid w:val="00747C7D"/>
    <w:rsid w:val="00747D0E"/>
    <w:rsid w:val="007511E1"/>
    <w:rsid w:val="0075243D"/>
    <w:rsid w:val="00752FB1"/>
    <w:rsid w:val="0075322D"/>
    <w:rsid w:val="00753B79"/>
    <w:rsid w:val="00753D78"/>
    <w:rsid w:val="0075408C"/>
    <w:rsid w:val="007545DE"/>
    <w:rsid w:val="007549DD"/>
    <w:rsid w:val="00754BAB"/>
    <w:rsid w:val="00756A3C"/>
    <w:rsid w:val="00756B3C"/>
    <w:rsid w:val="00757553"/>
    <w:rsid w:val="007579CA"/>
    <w:rsid w:val="00757DD2"/>
    <w:rsid w:val="00757DD8"/>
    <w:rsid w:val="00757ECC"/>
    <w:rsid w:val="0076024A"/>
    <w:rsid w:val="00760C79"/>
    <w:rsid w:val="00761013"/>
    <w:rsid w:val="00761659"/>
    <w:rsid w:val="007617F5"/>
    <w:rsid w:val="0076189C"/>
    <w:rsid w:val="00761BC6"/>
    <w:rsid w:val="00761DEE"/>
    <w:rsid w:val="00761E37"/>
    <w:rsid w:val="00762471"/>
    <w:rsid w:val="007625C6"/>
    <w:rsid w:val="00762ACC"/>
    <w:rsid w:val="007636A4"/>
    <w:rsid w:val="00764F46"/>
    <w:rsid w:val="007650F0"/>
    <w:rsid w:val="0076573F"/>
    <w:rsid w:val="00765809"/>
    <w:rsid w:val="00765A79"/>
    <w:rsid w:val="00765BC3"/>
    <w:rsid w:val="0076780A"/>
    <w:rsid w:val="007706A4"/>
    <w:rsid w:val="00770934"/>
    <w:rsid w:val="0077180C"/>
    <w:rsid w:val="00772025"/>
    <w:rsid w:val="007728E6"/>
    <w:rsid w:val="0077317D"/>
    <w:rsid w:val="00773646"/>
    <w:rsid w:val="00773E75"/>
    <w:rsid w:val="00775340"/>
    <w:rsid w:val="00775DE4"/>
    <w:rsid w:val="00776B78"/>
    <w:rsid w:val="00781689"/>
    <w:rsid w:val="00781ED8"/>
    <w:rsid w:val="0078219A"/>
    <w:rsid w:val="00782217"/>
    <w:rsid w:val="007822C6"/>
    <w:rsid w:val="00782589"/>
    <w:rsid w:val="0078261B"/>
    <w:rsid w:val="00782FD6"/>
    <w:rsid w:val="00783685"/>
    <w:rsid w:val="00783A09"/>
    <w:rsid w:val="00783D3E"/>
    <w:rsid w:val="00783FD2"/>
    <w:rsid w:val="007844AA"/>
    <w:rsid w:val="007847B4"/>
    <w:rsid w:val="007848E3"/>
    <w:rsid w:val="00785218"/>
    <w:rsid w:val="007853EE"/>
    <w:rsid w:val="00787E23"/>
    <w:rsid w:val="00787E69"/>
    <w:rsid w:val="00790291"/>
    <w:rsid w:val="00790A5B"/>
    <w:rsid w:val="00792632"/>
    <w:rsid w:val="00792A12"/>
    <w:rsid w:val="00793652"/>
    <w:rsid w:val="00793D9D"/>
    <w:rsid w:val="00794633"/>
    <w:rsid w:val="00794B5E"/>
    <w:rsid w:val="00794B5F"/>
    <w:rsid w:val="00794EAB"/>
    <w:rsid w:val="0079501C"/>
    <w:rsid w:val="007956AB"/>
    <w:rsid w:val="00795897"/>
    <w:rsid w:val="00795D13"/>
    <w:rsid w:val="00796C66"/>
    <w:rsid w:val="0079743B"/>
    <w:rsid w:val="00797C56"/>
    <w:rsid w:val="00797CCA"/>
    <w:rsid w:val="007A02A6"/>
    <w:rsid w:val="007A0A9E"/>
    <w:rsid w:val="007A0C32"/>
    <w:rsid w:val="007A0C57"/>
    <w:rsid w:val="007A2064"/>
    <w:rsid w:val="007A2243"/>
    <w:rsid w:val="007A33ED"/>
    <w:rsid w:val="007A4161"/>
    <w:rsid w:val="007A478B"/>
    <w:rsid w:val="007A4DFE"/>
    <w:rsid w:val="007A50E9"/>
    <w:rsid w:val="007A62B5"/>
    <w:rsid w:val="007A6398"/>
    <w:rsid w:val="007A63F1"/>
    <w:rsid w:val="007A648D"/>
    <w:rsid w:val="007A68EE"/>
    <w:rsid w:val="007A70E6"/>
    <w:rsid w:val="007A73A6"/>
    <w:rsid w:val="007A74B1"/>
    <w:rsid w:val="007A7B36"/>
    <w:rsid w:val="007B09BD"/>
    <w:rsid w:val="007B138D"/>
    <w:rsid w:val="007B1827"/>
    <w:rsid w:val="007B1B2E"/>
    <w:rsid w:val="007B205B"/>
    <w:rsid w:val="007B208E"/>
    <w:rsid w:val="007B21B9"/>
    <w:rsid w:val="007B222E"/>
    <w:rsid w:val="007B2A7C"/>
    <w:rsid w:val="007B2DE0"/>
    <w:rsid w:val="007B342D"/>
    <w:rsid w:val="007B39F4"/>
    <w:rsid w:val="007B4159"/>
    <w:rsid w:val="007B4A8E"/>
    <w:rsid w:val="007B4D62"/>
    <w:rsid w:val="007B4E1C"/>
    <w:rsid w:val="007B55ED"/>
    <w:rsid w:val="007B5FEC"/>
    <w:rsid w:val="007B6AED"/>
    <w:rsid w:val="007B7969"/>
    <w:rsid w:val="007C02DF"/>
    <w:rsid w:val="007C08E2"/>
    <w:rsid w:val="007C08F3"/>
    <w:rsid w:val="007C0B07"/>
    <w:rsid w:val="007C13DF"/>
    <w:rsid w:val="007C19FD"/>
    <w:rsid w:val="007C1FA3"/>
    <w:rsid w:val="007C242F"/>
    <w:rsid w:val="007C370D"/>
    <w:rsid w:val="007C392E"/>
    <w:rsid w:val="007C3AF8"/>
    <w:rsid w:val="007C48D5"/>
    <w:rsid w:val="007C5041"/>
    <w:rsid w:val="007C5675"/>
    <w:rsid w:val="007C5A3F"/>
    <w:rsid w:val="007C66F9"/>
    <w:rsid w:val="007C6B41"/>
    <w:rsid w:val="007C6B61"/>
    <w:rsid w:val="007C7468"/>
    <w:rsid w:val="007D01BD"/>
    <w:rsid w:val="007D0B6B"/>
    <w:rsid w:val="007D1A2F"/>
    <w:rsid w:val="007D1BD4"/>
    <w:rsid w:val="007D1BD9"/>
    <w:rsid w:val="007D24E7"/>
    <w:rsid w:val="007D3C28"/>
    <w:rsid w:val="007D52D9"/>
    <w:rsid w:val="007D7509"/>
    <w:rsid w:val="007D7E71"/>
    <w:rsid w:val="007E0AAE"/>
    <w:rsid w:val="007E0E98"/>
    <w:rsid w:val="007E16D0"/>
    <w:rsid w:val="007E1911"/>
    <w:rsid w:val="007E1F54"/>
    <w:rsid w:val="007E206A"/>
    <w:rsid w:val="007E2FAA"/>
    <w:rsid w:val="007E317E"/>
    <w:rsid w:val="007E3691"/>
    <w:rsid w:val="007E372F"/>
    <w:rsid w:val="007E3A23"/>
    <w:rsid w:val="007E3F1D"/>
    <w:rsid w:val="007E4065"/>
    <w:rsid w:val="007E40A4"/>
    <w:rsid w:val="007E4734"/>
    <w:rsid w:val="007E4816"/>
    <w:rsid w:val="007E4E1C"/>
    <w:rsid w:val="007E4E93"/>
    <w:rsid w:val="007E4F85"/>
    <w:rsid w:val="007E55F2"/>
    <w:rsid w:val="007E62EE"/>
    <w:rsid w:val="007E7090"/>
    <w:rsid w:val="007E759D"/>
    <w:rsid w:val="007E777E"/>
    <w:rsid w:val="007F0DA7"/>
    <w:rsid w:val="007F1B52"/>
    <w:rsid w:val="007F27C8"/>
    <w:rsid w:val="007F3D92"/>
    <w:rsid w:val="007F3FA3"/>
    <w:rsid w:val="007F42AD"/>
    <w:rsid w:val="007F4726"/>
    <w:rsid w:val="007F4C9C"/>
    <w:rsid w:val="007F64E0"/>
    <w:rsid w:val="007F655B"/>
    <w:rsid w:val="007F696E"/>
    <w:rsid w:val="007F6E62"/>
    <w:rsid w:val="007F727F"/>
    <w:rsid w:val="007F7D5A"/>
    <w:rsid w:val="007F7E1F"/>
    <w:rsid w:val="008002F8"/>
    <w:rsid w:val="008003DA"/>
    <w:rsid w:val="00801B5E"/>
    <w:rsid w:val="00801E3A"/>
    <w:rsid w:val="008027F7"/>
    <w:rsid w:val="00802CED"/>
    <w:rsid w:val="00802CEE"/>
    <w:rsid w:val="00803927"/>
    <w:rsid w:val="008039F0"/>
    <w:rsid w:val="00803E93"/>
    <w:rsid w:val="008045A1"/>
    <w:rsid w:val="00805A74"/>
    <w:rsid w:val="008062FC"/>
    <w:rsid w:val="008067DA"/>
    <w:rsid w:val="00806C1E"/>
    <w:rsid w:val="00806E51"/>
    <w:rsid w:val="0080795B"/>
    <w:rsid w:val="00807E11"/>
    <w:rsid w:val="0081011C"/>
    <w:rsid w:val="00811AC1"/>
    <w:rsid w:val="00812B3D"/>
    <w:rsid w:val="00812BF6"/>
    <w:rsid w:val="008135A8"/>
    <w:rsid w:val="00813619"/>
    <w:rsid w:val="00814104"/>
    <w:rsid w:val="0081415F"/>
    <w:rsid w:val="008145D9"/>
    <w:rsid w:val="00815868"/>
    <w:rsid w:val="0081597A"/>
    <w:rsid w:val="00816462"/>
    <w:rsid w:val="008164AA"/>
    <w:rsid w:val="00817634"/>
    <w:rsid w:val="00817BD0"/>
    <w:rsid w:val="00817D60"/>
    <w:rsid w:val="00820A72"/>
    <w:rsid w:val="00820B6D"/>
    <w:rsid w:val="00820C9E"/>
    <w:rsid w:val="008214F9"/>
    <w:rsid w:val="00821D27"/>
    <w:rsid w:val="00821FF5"/>
    <w:rsid w:val="00822AF4"/>
    <w:rsid w:val="00822CF4"/>
    <w:rsid w:val="0082365B"/>
    <w:rsid w:val="00824200"/>
    <w:rsid w:val="008245C3"/>
    <w:rsid w:val="00824AC1"/>
    <w:rsid w:val="008250DD"/>
    <w:rsid w:val="00826F15"/>
    <w:rsid w:val="00827BFA"/>
    <w:rsid w:val="008302C7"/>
    <w:rsid w:val="008304DA"/>
    <w:rsid w:val="00830936"/>
    <w:rsid w:val="00830EE6"/>
    <w:rsid w:val="00831374"/>
    <w:rsid w:val="00831A07"/>
    <w:rsid w:val="00831A2A"/>
    <w:rsid w:val="00831B79"/>
    <w:rsid w:val="00831E6A"/>
    <w:rsid w:val="00832261"/>
    <w:rsid w:val="008336AB"/>
    <w:rsid w:val="0083407C"/>
    <w:rsid w:val="00834D95"/>
    <w:rsid w:val="00835E06"/>
    <w:rsid w:val="00836577"/>
    <w:rsid w:val="0083667C"/>
    <w:rsid w:val="0083670D"/>
    <w:rsid w:val="008368C1"/>
    <w:rsid w:val="00836AFE"/>
    <w:rsid w:val="00837951"/>
    <w:rsid w:val="00837DB6"/>
    <w:rsid w:val="00840098"/>
    <w:rsid w:val="008401AB"/>
    <w:rsid w:val="00840511"/>
    <w:rsid w:val="00841217"/>
    <w:rsid w:val="00841BA6"/>
    <w:rsid w:val="008425A1"/>
    <w:rsid w:val="00842E85"/>
    <w:rsid w:val="00843F46"/>
    <w:rsid w:val="0084418B"/>
    <w:rsid w:val="0084439A"/>
    <w:rsid w:val="00844AFB"/>
    <w:rsid w:val="00844DF7"/>
    <w:rsid w:val="00844F39"/>
    <w:rsid w:val="00845930"/>
    <w:rsid w:val="008462D1"/>
    <w:rsid w:val="00846713"/>
    <w:rsid w:val="0084683A"/>
    <w:rsid w:val="00846B1C"/>
    <w:rsid w:val="0084705B"/>
    <w:rsid w:val="008476D3"/>
    <w:rsid w:val="00847EA8"/>
    <w:rsid w:val="0085066C"/>
    <w:rsid w:val="00851B6C"/>
    <w:rsid w:val="00852240"/>
    <w:rsid w:val="00852292"/>
    <w:rsid w:val="00853FB3"/>
    <w:rsid w:val="00854CD2"/>
    <w:rsid w:val="00855248"/>
    <w:rsid w:val="008561FA"/>
    <w:rsid w:val="00856496"/>
    <w:rsid w:val="0085662D"/>
    <w:rsid w:val="00856B0C"/>
    <w:rsid w:val="00860858"/>
    <w:rsid w:val="00860A5B"/>
    <w:rsid w:val="0086175D"/>
    <w:rsid w:val="00862AC2"/>
    <w:rsid w:val="00863589"/>
    <w:rsid w:val="00863BBA"/>
    <w:rsid w:val="00864B9E"/>
    <w:rsid w:val="00865333"/>
    <w:rsid w:val="00870069"/>
    <w:rsid w:val="00870675"/>
    <w:rsid w:val="00871349"/>
    <w:rsid w:val="0087147E"/>
    <w:rsid w:val="00873124"/>
    <w:rsid w:val="0087329C"/>
    <w:rsid w:val="008735F9"/>
    <w:rsid w:val="00873B01"/>
    <w:rsid w:val="00873B55"/>
    <w:rsid w:val="00874912"/>
    <w:rsid w:val="00875084"/>
    <w:rsid w:val="008754C4"/>
    <w:rsid w:val="00875B8B"/>
    <w:rsid w:val="00876235"/>
    <w:rsid w:val="00876352"/>
    <w:rsid w:val="00876D53"/>
    <w:rsid w:val="008778CE"/>
    <w:rsid w:val="00877966"/>
    <w:rsid w:val="00877E97"/>
    <w:rsid w:val="00880287"/>
    <w:rsid w:val="00880617"/>
    <w:rsid w:val="008808C4"/>
    <w:rsid w:val="00880A32"/>
    <w:rsid w:val="00880CE4"/>
    <w:rsid w:val="008819BC"/>
    <w:rsid w:val="00882341"/>
    <w:rsid w:val="008824FD"/>
    <w:rsid w:val="0088253E"/>
    <w:rsid w:val="0088275A"/>
    <w:rsid w:val="00882BDD"/>
    <w:rsid w:val="00882CA1"/>
    <w:rsid w:val="008831C5"/>
    <w:rsid w:val="00883AC2"/>
    <w:rsid w:val="00883B87"/>
    <w:rsid w:val="0088404B"/>
    <w:rsid w:val="008848DF"/>
    <w:rsid w:val="00884F10"/>
    <w:rsid w:val="0088510A"/>
    <w:rsid w:val="0088510F"/>
    <w:rsid w:val="00885476"/>
    <w:rsid w:val="00885E4D"/>
    <w:rsid w:val="00885EBD"/>
    <w:rsid w:val="00886208"/>
    <w:rsid w:val="00886974"/>
    <w:rsid w:val="008876B7"/>
    <w:rsid w:val="00887860"/>
    <w:rsid w:val="0088786B"/>
    <w:rsid w:val="0089075C"/>
    <w:rsid w:val="00890F59"/>
    <w:rsid w:val="008922E6"/>
    <w:rsid w:val="00893354"/>
    <w:rsid w:val="00893FE6"/>
    <w:rsid w:val="00895074"/>
    <w:rsid w:val="008950D3"/>
    <w:rsid w:val="0089529C"/>
    <w:rsid w:val="008953B0"/>
    <w:rsid w:val="008A14FC"/>
    <w:rsid w:val="008A1730"/>
    <w:rsid w:val="008A1F3A"/>
    <w:rsid w:val="008A311A"/>
    <w:rsid w:val="008A4187"/>
    <w:rsid w:val="008A43C1"/>
    <w:rsid w:val="008A472B"/>
    <w:rsid w:val="008A480D"/>
    <w:rsid w:val="008A609E"/>
    <w:rsid w:val="008A6E7B"/>
    <w:rsid w:val="008A788D"/>
    <w:rsid w:val="008A7970"/>
    <w:rsid w:val="008B0C73"/>
    <w:rsid w:val="008B1CC0"/>
    <w:rsid w:val="008B2FF3"/>
    <w:rsid w:val="008B2FFE"/>
    <w:rsid w:val="008B423A"/>
    <w:rsid w:val="008B437C"/>
    <w:rsid w:val="008B5344"/>
    <w:rsid w:val="008B53DD"/>
    <w:rsid w:val="008B57CF"/>
    <w:rsid w:val="008B5BA4"/>
    <w:rsid w:val="008B5CCA"/>
    <w:rsid w:val="008B5CF4"/>
    <w:rsid w:val="008B6109"/>
    <w:rsid w:val="008B638D"/>
    <w:rsid w:val="008B64A9"/>
    <w:rsid w:val="008B6C76"/>
    <w:rsid w:val="008B7879"/>
    <w:rsid w:val="008B7E51"/>
    <w:rsid w:val="008C0205"/>
    <w:rsid w:val="008C0646"/>
    <w:rsid w:val="008C1181"/>
    <w:rsid w:val="008C16A9"/>
    <w:rsid w:val="008C1FB8"/>
    <w:rsid w:val="008C23D6"/>
    <w:rsid w:val="008C291B"/>
    <w:rsid w:val="008C3A25"/>
    <w:rsid w:val="008C3CEC"/>
    <w:rsid w:val="008C3FA0"/>
    <w:rsid w:val="008C4CC5"/>
    <w:rsid w:val="008C4DD8"/>
    <w:rsid w:val="008C5A22"/>
    <w:rsid w:val="008C6A9B"/>
    <w:rsid w:val="008C70F6"/>
    <w:rsid w:val="008D0028"/>
    <w:rsid w:val="008D05E2"/>
    <w:rsid w:val="008D09E6"/>
    <w:rsid w:val="008D0C65"/>
    <w:rsid w:val="008D1043"/>
    <w:rsid w:val="008D10D1"/>
    <w:rsid w:val="008D15D4"/>
    <w:rsid w:val="008D2C58"/>
    <w:rsid w:val="008D3050"/>
    <w:rsid w:val="008D35F0"/>
    <w:rsid w:val="008D362B"/>
    <w:rsid w:val="008D3654"/>
    <w:rsid w:val="008D383D"/>
    <w:rsid w:val="008D48BD"/>
    <w:rsid w:val="008D5E18"/>
    <w:rsid w:val="008D6343"/>
    <w:rsid w:val="008D65D6"/>
    <w:rsid w:val="008D7640"/>
    <w:rsid w:val="008E0437"/>
    <w:rsid w:val="008E0715"/>
    <w:rsid w:val="008E09AD"/>
    <w:rsid w:val="008E0F17"/>
    <w:rsid w:val="008E1B2C"/>
    <w:rsid w:val="008E1E3A"/>
    <w:rsid w:val="008E26D2"/>
    <w:rsid w:val="008E2997"/>
    <w:rsid w:val="008E4015"/>
    <w:rsid w:val="008E4F42"/>
    <w:rsid w:val="008E696D"/>
    <w:rsid w:val="008E6B74"/>
    <w:rsid w:val="008E7A00"/>
    <w:rsid w:val="008F0236"/>
    <w:rsid w:val="008F0464"/>
    <w:rsid w:val="008F0E52"/>
    <w:rsid w:val="008F1240"/>
    <w:rsid w:val="008F149A"/>
    <w:rsid w:val="008F169D"/>
    <w:rsid w:val="008F238E"/>
    <w:rsid w:val="008F2861"/>
    <w:rsid w:val="008F32AE"/>
    <w:rsid w:val="008F32B6"/>
    <w:rsid w:val="008F37B5"/>
    <w:rsid w:val="008F3A6A"/>
    <w:rsid w:val="008F3E40"/>
    <w:rsid w:val="008F43B2"/>
    <w:rsid w:val="008F4DF7"/>
    <w:rsid w:val="008F4FF2"/>
    <w:rsid w:val="008F551D"/>
    <w:rsid w:val="008F5F6A"/>
    <w:rsid w:val="008F63D8"/>
    <w:rsid w:val="008F63E7"/>
    <w:rsid w:val="008F6CCA"/>
    <w:rsid w:val="008F6E0A"/>
    <w:rsid w:val="008F7924"/>
    <w:rsid w:val="009002DB"/>
    <w:rsid w:val="009002F2"/>
    <w:rsid w:val="00900ADB"/>
    <w:rsid w:val="00901305"/>
    <w:rsid w:val="00901F57"/>
    <w:rsid w:val="00903A8B"/>
    <w:rsid w:val="0090476D"/>
    <w:rsid w:val="00905993"/>
    <w:rsid w:val="00905F92"/>
    <w:rsid w:val="00905FFA"/>
    <w:rsid w:val="009062AD"/>
    <w:rsid w:val="009078FD"/>
    <w:rsid w:val="00907D43"/>
    <w:rsid w:val="0091047E"/>
    <w:rsid w:val="00910A40"/>
    <w:rsid w:val="00911241"/>
    <w:rsid w:val="00911B18"/>
    <w:rsid w:val="00911FE8"/>
    <w:rsid w:val="00912100"/>
    <w:rsid w:val="00913927"/>
    <w:rsid w:val="0091407F"/>
    <w:rsid w:val="009141EB"/>
    <w:rsid w:val="0091440D"/>
    <w:rsid w:val="009144F1"/>
    <w:rsid w:val="0091472B"/>
    <w:rsid w:val="00914B16"/>
    <w:rsid w:val="00915CAA"/>
    <w:rsid w:val="0091687A"/>
    <w:rsid w:val="00921597"/>
    <w:rsid w:val="009226D9"/>
    <w:rsid w:val="009228BA"/>
    <w:rsid w:val="00922CD7"/>
    <w:rsid w:val="00922EC0"/>
    <w:rsid w:val="009236C3"/>
    <w:rsid w:val="00923FCD"/>
    <w:rsid w:val="009249DF"/>
    <w:rsid w:val="00925278"/>
    <w:rsid w:val="0092581A"/>
    <w:rsid w:val="00925E77"/>
    <w:rsid w:val="009261E9"/>
    <w:rsid w:val="00926954"/>
    <w:rsid w:val="00926A96"/>
    <w:rsid w:val="009277DB"/>
    <w:rsid w:val="0093002C"/>
    <w:rsid w:val="00930411"/>
    <w:rsid w:val="00930AAD"/>
    <w:rsid w:val="009320DE"/>
    <w:rsid w:val="00932F00"/>
    <w:rsid w:val="00932FCF"/>
    <w:rsid w:val="009331B1"/>
    <w:rsid w:val="00934173"/>
    <w:rsid w:val="00934189"/>
    <w:rsid w:val="0093455B"/>
    <w:rsid w:val="00934C9F"/>
    <w:rsid w:val="00935391"/>
    <w:rsid w:val="00935D60"/>
    <w:rsid w:val="0093680C"/>
    <w:rsid w:val="00936860"/>
    <w:rsid w:val="00936E01"/>
    <w:rsid w:val="00936E38"/>
    <w:rsid w:val="00937007"/>
    <w:rsid w:val="0093797D"/>
    <w:rsid w:val="00937FFA"/>
    <w:rsid w:val="00940ADE"/>
    <w:rsid w:val="009419B2"/>
    <w:rsid w:val="0094312E"/>
    <w:rsid w:val="00943568"/>
    <w:rsid w:val="00943D91"/>
    <w:rsid w:val="00944504"/>
    <w:rsid w:val="009455F9"/>
    <w:rsid w:val="00946A1E"/>
    <w:rsid w:val="00946C43"/>
    <w:rsid w:val="009474D2"/>
    <w:rsid w:val="0095011F"/>
    <w:rsid w:val="00950174"/>
    <w:rsid w:val="009504D9"/>
    <w:rsid w:val="00950846"/>
    <w:rsid w:val="009516B5"/>
    <w:rsid w:val="0095264E"/>
    <w:rsid w:val="00952B5F"/>
    <w:rsid w:val="00953DB3"/>
    <w:rsid w:val="00953DF5"/>
    <w:rsid w:val="00954227"/>
    <w:rsid w:val="009543F1"/>
    <w:rsid w:val="009545A5"/>
    <w:rsid w:val="00954721"/>
    <w:rsid w:val="0095630A"/>
    <w:rsid w:val="00956B86"/>
    <w:rsid w:val="00956B8D"/>
    <w:rsid w:val="009575CB"/>
    <w:rsid w:val="00957951"/>
    <w:rsid w:val="00960899"/>
    <w:rsid w:val="00960F23"/>
    <w:rsid w:val="009616EA"/>
    <w:rsid w:val="00961C5A"/>
    <w:rsid w:val="009622E9"/>
    <w:rsid w:val="00962516"/>
    <w:rsid w:val="00962635"/>
    <w:rsid w:val="00962C65"/>
    <w:rsid w:val="00963075"/>
    <w:rsid w:val="009640A2"/>
    <w:rsid w:val="00964A57"/>
    <w:rsid w:val="00964B68"/>
    <w:rsid w:val="0096549F"/>
    <w:rsid w:val="00965E4A"/>
    <w:rsid w:val="00965EBE"/>
    <w:rsid w:val="00966BCE"/>
    <w:rsid w:val="00966DB4"/>
    <w:rsid w:val="009673B0"/>
    <w:rsid w:val="009673D3"/>
    <w:rsid w:val="00971AC6"/>
    <w:rsid w:val="009726EE"/>
    <w:rsid w:val="009729BC"/>
    <w:rsid w:val="00972E8C"/>
    <w:rsid w:val="009748F2"/>
    <w:rsid w:val="00975422"/>
    <w:rsid w:val="00975545"/>
    <w:rsid w:val="00975DFD"/>
    <w:rsid w:val="00976793"/>
    <w:rsid w:val="00976AF9"/>
    <w:rsid w:val="0097716E"/>
    <w:rsid w:val="0097753E"/>
    <w:rsid w:val="009777BC"/>
    <w:rsid w:val="0098083C"/>
    <w:rsid w:val="0098145B"/>
    <w:rsid w:val="00981828"/>
    <w:rsid w:val="00981AE7"/>
    <w:rsid w:val="0098212E"/>
    <w:rsid w:val="00982421"/>
    <w:rsid w:val="00982937"/>
    <w:rsid w:val="009829C8"/>
    <w:rsid w:val="00983161"/>
    <w:rsid w:val="009837F7"/>
    <w:rsid w:val="009839E3"/>
    <w:rsid w:val="009849BF"/>
    <w:rsid w:val="00984D97"/>
    <w:rsid w:val="00984DF9"/>
    <w:rsid w:val="00986477"/>
    <w:rsid w:val="00987734"/>
    <w:rsid w:val="00987CEE"/>
    <w:rsid w:val="00987D95"/>
    <w:rsid w:val="009901E6"/>
    <w:rsid w:val="00990700"/>
    <w:rsid w:val="00990870"/>
    <w:rsid w:val="0099095C"/>
    <w:rsid w:val="00990D42"/>
    <w:rsid w:val="00990E59"/>
    <w:rsid w:val="0099138E"/>
    <w:rsid w:val="00991FED"/>
    <w:rsid w:val="0099211C"/>
    <w:rsid w:val="009921F0"/>
    <w:rsid w:val="00992D65"/>
    <w:rsid w:val="00993622"/>
    <w:rsid w:val="009936B2"/>
    <w:rsid w:val="00993CBF"/>
    <w:rsid w:val="00993EC8"/>
    <w:rsid w:val="00995303"/>
    <w:rsid w:val="009957FA"/>
    <w:rsid w:val="00995A23"/>
    <w:rsid w:val="00996240"/>
    <w:rsid w:val="0099692F"/>
    <w:rsid w:val="009A0048"/>
    <w:rsid w:val="009A0169"/>
    <w:rsid w:val="009A07C3"/>
    <w:rsid w:val="009A0C13"/>
    <w:rsid w:val="009A254C"/>
    <w:rsid w:val="009A299F"/>
    <w:rsid w:val="009A32FF"/>
    <w:rsid w:val="009A3786"/>
    <w:rsid w:val="009A379B"/>
    <w:rsid w:val="009A4A33"/>
    <w:rsid w:val="009A4B69"/>
    <w:rsid w:val="009A515A"/>
    <w:rsid w:val="009A5318"/>
    <w:rsid w:val="009A54F5"/>
    <w:rsid w:val="009A7273"/>
    <w:rsid w:val="009B0169"/>
    <w:rsid w:val="009B0A0D"/>
    <w:rsid w:val="009B1562"/>
    <w:rsid w:val="009B22F3"/>
    <w:rsid w:val="009B2EF2"/>
    <w:rsid w:val="009B30AC"/>
    <w:rsid w:val="009B331B"/>
    <w:rsid w:val="009B34AB"/>
    <w:rsid w:val="009B3694"/>
    <w:rsid w:val="009B3B14"/>
    <w:rsid w:val="009B4AB5"/>
    <w:rsid w:val="009B4F37"/>
    <w:rsid w:val="009B4F4B"/>
    <w:rsid w:val="009B6223"/>
    <w:rsid w:val="009B65BD"/>
    <w:rsid w:val="009B6E29"/>
    <w:rsid w:val="009B7060"/>
    <w:rsid w:val="009B7A48"/>
    <w:rsid w:val="009B7B95"/>
    <w:rsid w:val="009C04A4"/>
    <w:rsid w:val="009C0A8A"/>
    <w:rsid w:val="009C1307"/>
    <w:rsid w:val="009C151D"/>
    <w:rsid w:val="009C16A9"/>
    <w:rsid w:val="009C18F3"/>
    <w:rsid w:val="009C2725"/>
    <w:rsid w:val="009C3E38"/>
    <w:rsid w:val="009C4144"/>
    <w:rsid w:val="009C4904"/>
    <w:rsid w:val="009C4B52"/>
    <w:rsid w:val="009C5863"/>
    <w:rsid w:val="009C5C9D"/>
    <w:rsid w:val="009C6AAB"/>
    <w:rsid w:val="009C6B5D"/>
    <w:rsid w:val="009C6DD1"/>
    <w:rsid w:val="009C7388"/>
    <w:rsid w:val="009C75DC"/>
    <w:rsid w:val="009C773A"/>
    <w:rsid w:val="009C7A77"/>
    <w:rsid w:val="009D1D16"/>
    <w:rsid w:val="009D2FDD"/>
    <w:rsid w:val="009D32AF"/>
    <w:rsid w:val="009D36E4"/>
    <w:rsid w:val="009D45EE"/>
    <w:rsid w:val="009D4E53"/>
    <w:rsid w:val="009D5BDF"/>
    <w:rsid w:val="009D5EB8"/>
    <w:rsid w:val="009D6924"/>
    <w:rsid w:val="009D698C"/>
    <w:rsid w:val="009D7317"/>
    <w:rsid w:val="009D7464"/>
    <w:rsid w:val="009E06A2"/>
    <w:rsid w:val="009E08A7"/>
    <w:rsid w:val="009E1479"/>
    <w:rsid w:val="009E14D1"/>
    <w:rsid w:val="009E17A8"/>
    <w:rsid w:val="009E1C64"/>
    <w:rsid w:val="009E2ADC"/>
    <w:rsid w:val="009E3270"/>
    <w:rsid w:val="009E3565"/>
    <w:rsid w:val="009E377C"/>
    <w:rsid w:val="009E38DA"/>
    <w:rsid w:val="009E3C1E"/>
    <w:rsid w:val="009E4574"/>
    <w:rsid w:val="009E515D"/>
    <w:rsid w:val="009E6421"/>
    <w:rsid w:val="009E69B3"/>
    <w:rsid w:val="009E7CFC"/>
    <w:rsid w:val="009F0228"/>
    <w:rsid w:val="009F048E"/>
    <w:rsid w:val="009F0588"/>
    <w:rsid w:val="009F0EBB"/>
    <w:rsid w:val="009F13DB"/>
    <w:rsid w:val="009F1633"/>
    <w:rsid w:val="009F1C95"/>
    <w:rsid w:val="009F2135"/>
    <w:rsid w:val="009F2434"/>
    <w:rsid w:val="009F2AED"/>
    <w:rsid w:val="009F3C2C"/>
    <w:rsid w:val="009F4192"/>
    <w:rsid w:val="009F41C3"/>
    <w:rsid w:val="009F4923"/>
    <w:rsid w:val="009F4D32"/>
    <w:rsid w:val="009F510B"/>
    <w:rsid w:val="009F56DC"/>
    <w:rsid w:val="009F5944"/>
    <w:rsid w:val="009F6867"/>
    <w:rsid w:val="009F7295"/>
    <w:rsid w:val="009F75ED"/>
    <w:rsid w:val="00A00995"/>
    <w:rsid w:val="00A0104C"/>
    <w:rsid w:val="00A01550"/>
    <w:rsid w:val="00A019FD"/>
    <w:rsid w:val="00A01CB7"/>
    <w:rsid w:val="00A0348F"/>
    <w:rsid w:val="00A03802"/>
    <w:rsid w:val="00A04430"/>
    <w:rsid w:val="00A0483E"/>
    <w:rsid w:val="00A04933"/>
    <w:rsid w:val="00A0568A"/>
    <w:rsid w:val="00A05759"/>
    <w:rsid w:val="00A05917"/>
    <w:rsid w:val="00A05A0E"/>
    <w:rsid w:val="00A0624D"/>
    <w:rsid w:val="00A062F9"/>
    <w:rsid w:val="00A06358"/>
    <w:rsid w:val="00A06863"/>
    <w:rsid w:val="00A06D67"/>
    <w:rsid w:val="00A07C42"/>
    <w:rsid w:val="00A07C4B"/>
    <w:rsid w:val="00A07D30"/>
    <w:rsid w:val="00A107E8"/>
    <w:rsid w:val="00A10EB2"/>
    <w:rsid w:val="00A10EE0"/>
    <w:rsid w:val="00A116DC"/>
    <w:rsid w:val="00A122A4"/>
    <w:rsid w:val="00A126FE"/>
    <w:rsid w:val="00A1281F"/>
    <w:rsid w:val="00A12915"/>
    <w:rsid w:val="00A1297C"/>
    <w:rsid w:val="00A1299A"/>
    <w:rsid w:val="00A12BED"/>
    <w:rsid w:val="00A13597"/>
    <w:rsid w:val="00A1498C"/>
    <w:rsid w:val="00A14A5E"/>
    <w:rsid w:val="00A15143"/>
    <w:rsid w:val="00A159A1"/>
    <w:rsid w:val="00A15D69"/>
    <w:rsid w:val="00A1604F"/>
    <w:rsid w:val="00A1682B"/>
    <w:rsid w:val="00A175F5"/>
    <w:rsid w:val="00A20CD8"/>
    <w:rsid w:val="00A21825"/>
    <w:rsid w:val="00A21F07"/>
    <w:rsid w:val="00A21FF8"/>
    <w:rsid w:val="00A23A30"/>
    <w:rsid w:val="00A23E34"/>
    <w:rsid w:val="00A2442A"/>
    <w:rsid w:val="00A24B3B"/>
    <w:rsid w:val="00A2523E"/>
    <w:rsid w:val="00A25F07"/>
    <w:rsid w:val="00A277B2"/>
    <w:rsid w:val="00A3011B"/>
    <w:rsid w:val="00A30C28"/>
    <w:rsid w:val="00A313FC"/>
    <w:rsid w:val="00A31562"/>
    <w:rsid w:val="00A320C1"/>
    <w:rsid w:val="00A3213A"/>
    <w:rsid w:val="00A32408"/>
    <w:rsid w:val="00A327AC"/>
    <w:rsid w:val="00A32A8B"/>
    <w:rsid w:val="00A34717"/>
    <w:rsid w:val="00A34DFE"/>
    <w:rsid w:val="00A34E92"/>
    <w:rsid w:val="00A35A22"/>
    <w:rsid w:val="00A36354"/>
    <w:rsid w:val="00A36CEF"/>
    <w:rsid w:val="00A37354"/>
    <w:rsid w:val="00A373E7"/>
    <w:rsid w:val="00A37FEA"/>
    <w:rsid w:val="00A408B8"/>
    <w:rsid w:val="00A413A0"/>
    <w:rsid w:val="00A4283C"/>
    <w:rsid w:val="00A42EE5"/>
    <w:rsid w:val="00A43431"/>
    <w:rsid w:val="00A43CEB"/>
    <w:rsid w:val="00A441E8"/>
    <w:rsid w:val="00A44AA8"/>
    <w:rsid w:val="00A46956"/>
    <w:rsid w:val="00A46BEB"/>
    <w:rsid w:val="00A46C25"/>
    <w:rsid w:val="00A46C67"/>
    <w:rsid w:val="00A500B7"/>
    <w:rsid w:val="00A505B1"/>
    <w:rsid w:val="00A508F6"/>
    <w:rsid w:val="00A514D9"/>
    <w:rsid w:val="00A51517"/>
    <w:rsid w:val="00A51D75"/>
    <w:rsid w:val="00A52C23"/>
    <w:rsid w:val="00A533E4"/>
    <w:rsid w:val="00A53E0A"/>
    <w:rsid w:val="00A54085"/>
    <w:rsid w:val="00A5435F"/>
    <w:rsid w:val="00A54620"/>
    <w:rsid w:val="00A549E7"/>
    <w:rsid w:val="00A55194"/>
    <w:rsid w:val="00A55DEF"/>
    <w:rsid w:val="00A565BE"/>
    <w:rsid w:val="00A56A7B"/>
    <w:rsid w:val="00A56E05"/>
    <w:rsid w:val="00A57925"/>
    <w:rsid w:val="00A57C6F"/>
    <w:rsid w:val="00A57E6A"/>
    <w:rsid w:val="00A6041B"/>
    <w:rsid w:val="00A606FA"/>
    <w:rsid w:val="00A60722"/>
    <w:rsid w:val="00A6153D"/>
    <w:rsid w:val="00A619BD"/>
    <w:rsid w:val="00A61CE9"/>
    <w:rsid w:val="00A624D4"/>
    <w:rsid w:val="00A63AD4"/>
    <w:rsid w:val="00A63DDF"/>
    <w:rsid w:val="00A64731"/>
    <w:rsid w:val="00A6526A"/>
    <w:rsid w:val="00A652C3"/>
    <w:rsid w:val="00A654F6"/>
    <w:rsid w:val="00A657F5"/>
    <w:rsid w:val="00A675D2"/>
    <w:rsid w:val="00A67835"/>
    <w:rsid w:val="00A67B08"/>
    <w:rsid w:val="00A7029F"/>
    <w:rsid w:val="00A707AF"/>
    <w:rsid w:val="00A712ED"/>
    <w:rsid w:val="00A722B6"/>
    <w:rsid w:val="00A72C1F"/>
    <w:rsid w:val="00A73418"/>
    <w:rsid w:val="00A7420F"/>
    <w:rsid w:val="00A74743"/>
    <w:rsid w:val="00A748E2"/>
    <w:rsid w:val="00A74B33"/>
    <w:rsid w:val="00A74F8C"/>
    <w:rsid w:val="00A7518F"/>
    <w:rsid w:val="00A75730"/>
    <w:rsid w:val="00A7584F"/>
    <w:rsid w:val="00A75DFC"/>
    <w:rsid w:val="00A76331"/>
    <w:rsid w:val="00A76830"/>
    <w:rsid w:val="00A800F3"/>
    <w:rsid w:val="00A806BE"/>
    <w:rsid w:val="00A816E1"/>
    <w:rsid w:val="00A81702"/>
    <w:rsid w:val="00A81F1B"/>
    <w:rsid w:val="00A825CD"/>
    <w:rsid w:val="00A82B15"/>
    <w:rsid w:val="00A83952"/>
    <w:rsid w:val="00A8406F"/>
    <w:rsid w:val="00A841FF"/>
    <w:rsid w:val="00A855EA"/>
    <w:rsid w:val="00A85832"/>
    <w:rsid w:val="00A8602C"/>
    <w:rsid w:val="00A870ED"/>
    <w:rsid w:val="00A87C09"/>
    <w:rsid w:val="00A901A4"/>
    <w:rsid w:val="00A904ED"/>
    <w:rsid w:val="00A90766"/>
    <w:rsid w:val="00A9250C"/>
    <w:rsid w:val="00A92AD8"/>
    <w:rsid w:val="00A92BAB"/>
    <w:rsid w:val="00A9383F"/>
    <w:rsid w:val="00A93883"/>
    <w:rsid w:val="00A942F8"/>
    <w:rsid w:val="00A944F4"/>
    <w:rsid w:val="00A9498A"/>
    <w:rsid w:val="00A94B64"/>
    <w:rsid w:val="00A94B92"/>
    <w:rsid w:val="00A9508D"/>
    <w:rsid w:val="00A9566C"/>
    <w:rsid w:val="00A96892"/>
    <w:rsid w:val="00A968D6"/>
    <w:rsid w:val="00A96E70"/>
    <w:rsid w:val="00AA08D6"/>
    <w:rsid w:val="00AA102D"/>
    <w:rsid w:val="00AA1049"/>
    <w:rsid w:val="00AA1BC2"/>
    <w:rsid w:val="00AA1E19"/>
    <w:rsid w:val="00AA236E"/>
    <w:rsid w:val="00AA2582"/>
    <w:rsid w:val="00AA2787"/>
    <w:rsid w:val="00AA36B9"/>
    <w:rsid w:val="00AA4B0F"/>
    <w:rsid w:val="00AA546B"/>
    <w:rsid w:val="00AA5D8A"/>
    <w:rsid w:val="00AA5ED5"/>
    <w:rsid w:val="00AA649C"/>
    <w:rsid w:val="00AA69D0"/>
    <w:rsid w:val="00AA6ACA"/>
    <w:rsid w:val="00AA6ECA"/>
    <w:rsid w:val="00AA74B8"/>
    <w:rsid w:val="00AA7D40"/>
    <w:rsid w:val="00AB0AF2"/>
    <w:rsid w:val="00AB1355"/>
    <w:rsid w:val="00AB1520"/>
    <w:rsid w:val="00AB488F"/>
    <w:rsid w:val="00AB4FC3"/>
    <w:rsid w:val="00AB5784"/>
    <w:rsid w:val="00AB6431"/>
    <w:rsid w:val="00AB6A9E"/>
    <w:rsid w:val="00AB6DEB"/>
    <w:rsid w:val="00AB795E"/>
    <w:rsid w:val="00AB7C85"/>
    <w:rsid w:val="00AC02C8"/>
    <w:rsid w:val="00AC11CB"/>
    <w:rsid w:val="00AC16B2"/>
    <w:rsid w:val="00AC21EF"/>
    <w:rsid w:val="00AC27FF"/>
    <w:rsid w:val="00AC2B98"/>
    <w:rsid w:val="00AC3792"/>
    <w:rsid w:val="00AC4498"/>
    <w:rsid w:val="00AC52EA"/>
    <w:rsid w:val="00AC59B3"/>
    <w:rsid w:val="00AC6D0E"/>
    <w:rsid w:val="00AC74BC"/>
    <w:rsid w:val="00AC75EB"/>
    <w:rsid w:val="00AC7729"/>
    <w:rsid w:val="00AC7A54"/>
    <w:rsid w:val="00AD1A0A"/>
    <w:rsid w:val="00AD1D68"/>
    <w:rsid w:val="00AD2528"/>
    <w:rsid w:val="00AD34F4"/>
    <w:rsid w:val="00AD3EEF"/>
    <w:rsid w:val="00AD537A"/>
    <w:rsid w:val="00AD5C08"/>
    <w:rsid w:val="00AD65B9"/>
    <w:rsid w:val="00AD6F09"/>
    <w:rsid w:val="00AD72DF"/>
    <w:rsid w:val="00AD745D"/>
    <w:rsid w:val="00AE04A8"/>
    <w:rsid w:val="00AE0845"/>
    <w:rsid w:val="00AE2B07"/>
    <w:rsid w:val="00AE2CEF"/>
    <w:rsid w:val="00AE3298"/>
    <w:rsid w:val="00AE33E4"/>
    <w:rsid w:val="00AE3571"/>
    <w:rsid w:val="00AE3BF9"/>
    <w:rsid w:val="00AE44E8"/>
    <w:rsid w:val="00AE4D42"/>
    <w:rsid w:val="00AE4E2D"/>
    <w:rsid w:val="00AE5339"/>
    <w:rsid w:val="00AE5DD1"/>
    <w:rsid w:val="00AE60F2"/>
    <w:rsid w:val="00AE62BF"/>
    <w:rsid w:val="00AE63C4"/>
    <w:rsid w:val="00AE64FD"/>
    <w:rsid w:val="00AE75CE"/>
    <w:rsid w:val="00AE7938"/>
    <w:rsid w:val="00AE7C2E"/>
    <w:rsid w:val="00AF0B37"/>
    <w:rsid w:val="00AF101C"/>
    <w:rsid w:val="00AF15D8"/>
    <w:rsid w:val="00AF1B0F"/>
    <w:rsid w:val="00AF2068"/>
    <w:rsid w:val="00AF3251"/>
    <w:rsid w:val="00AF3392"/>
    <w:rsid w:val="00AF46C2"/>
    <w:rsid w:val="00AF4F7E"/>
    <w:rsid w:val="00AF539D"/>
    <w:rsid w:val="00AF5C21"/>
    <w:rsid w:val="00AF632A"/>
    <w:rsid w:val="00AF65EA"/>
    <w:rsid w:val="00AF6864"/>
    <w:rsid w:val="00AF6CD1"/>
    <w:rsid w:val="00AF6D85"/>
    <w:rsid w:val="00AF6ECB"/>
    <w:rsid w:val="00AF7AD2"/>
    <w:rsid w:val="00AF7ADA"/>
    <w:rsid w:val="00B0058E"/>
    <w:rsid w:val="00B00BFA"/>
    <w:rsid w:val="00B01B1A"/>
    <w:rsid w:val="00B02479"/>
    <w:rsid w:val="00B032A6"/>
    <w:rsid w:val="00B032FD"/>
    <w:rsid w:val="00B03395"/>
    <w:rsid w:val="00B03514"/>
    <w:rsid w:val="00B03F0F"/>
    <w:rsid w:val="00B040A7"/>
    <w:rsid w:val="00B042E9"/>
    <w:rsid w:val="00B043D4"/>
    <w:rsid w:val="00B044EF"/>
    <w:rsid w:val="00B0460B"/>
    <w:rsid w:val="00B04F90"/>
    <w:rsid w:val="00B050C1"/>
    <w:rsid w:val="00B05666"/>
    <w:rsid w:val="00B05805"/>
    <w:rsid w:val="00B065CC"/>
    <w:rsid w:val="00B068FB"/>
    <w:rsid w:val="00B073D3"/>
    <w:rsid w:val="00B07557"/>
    <w:rsid w:val="00B07AF0"/>
    <w:rsid w:val="00B07C18"/>
    <w:rsid w:val="00B07F97"/>
    <w:rsid w:val="00B103C8"/>
    <w:rsid w:val="00B10995"/>
    <w:rsid w:val="00B10BE0"/>
    <w:rsid w:val="00B114B1"/>
    <w:rsid w:val="00B11717"/>
    <w:rsid w:val="00B11D73"/>
    <w:rsid w:val="00B11ECD"/>
    <w:rsid w:val="00B12445"/>
    <w:rsid w:val="00B12516"/>
    <w:rsid w:val="00B12619"/>
    <w:rsid w:val="00B12708"/>
    <w:rsid w:val="00B13110"/>
    <w:rsid w:val="00B1355D"/>
    <w:rsid w:val="00B15CDB"/>
    <w:rsid w:val="00B160A1"/>
    <w:rsid w:val="00B16305"/>
    <w:rsid w:val="00B16340"/>
    <w:rsid w:val="00B16865"/>
    <w:rsid w:val="00B16E11"/>
    <w:rsid w:val="00B20487"/>
    <w:rsid w:val="00B20E98"/>
    <w:rsid w:val="00B20FD1"/>
    <w:rsid w:val="00B20FF2"/>
    <w:rsid w:val="00B21E5D"/>
    <w:rsid w:val="00B225B2"/>
    <w:rsid w:val="00B23242"/>
    <w:rsid w:val="00B23AE7"/>
    <w:rsid w:val="00B24194"/>
    <w:rsid w:val="00B243D4"/>
    <w:rsid w:val="00B244B3"/>
    <w:rsid w:val="00B24D22"/>
    <w:rsid w:val="00B25178"/>
    <w:rsid w:val="00B2524D"/>
    <w:rsid w:val="00B252EB"/>
    <w:rsid w:val="00B254D5"/>
    <w:rsid w:val="00B25532"/>
    <w:rsid w:val="00B2628A"/>
    <w:rsid w:val="00B270AA"/>
    <w:rsid w:val="00B27DF1"/>
    <w:rsid w:val="00B3004E"/>
    <w:rsid w:val="00B30939"/>
    <w:rsid w:val="00B311EF"/>
    <w:rsid w:val="00B31EB2"/>
    <w:rsid w:val="00B3221D"/>
    <w:rsid w:val="00B32D35"/>
    <w:rsid w:val="00B33C37"/>
    <w:rsid w:val="00B34102"/>
    <w:rsid w:val="00B34377"/>
    <w:rsid w:val="00B34992"/>
    <w:rsid w:val="00B34B0C"/>
    <w:rsid w:val="00B36591"/>
    <w:rsid w:val="00B36951"/>
    <w:rsid w:val="00B369F9"/>
    <w:rsid w:val="00B36A13"/>
    <w:rsid w:val="00B3720A"/>
    <w:rsid w:val="00B410A4"/>
    <w:rsid w:val="00B4128F"/>
    <w:rsid w:val="00B414E4"/>
    <w:rsid w:val="00B4234A"/>
    <w:rsid w:val="00B43BA5"/>
    <w:rsid w:val="00B43F45"/>
    <w:rsid w:val="00B44C93"/>
    <w:rsid w:val="00B4515A"/>
    <w:rsid w:val="00B45374"/>
    <w:rsid w:val="00B4538A"/>
    <w:rsid w:val="00B46691"/>
    <w:rsid w:val="00B47DE0"/>
    <w:rsid w:val="00B50556"/>
    <w:rsid w:val="00B5073F"/>
    <w:rsid w:val="00B50FEC"/>
    <w:rsid w:val="00B52C4F"/>
    <w:rsid w:val="00B52DC2"/>
    <w:rsid w:val="00B5341C"/>
    <w:rsid w:val="00B53AF6"/>
    <w:rsid w:val="00B53DDE"/>
    <w:rsid w:val="00B53E44"/>
    <w:rsid w:val="00B54446"/>
    <w:rsid w:val="00B54530"/>
    <w:rsid w:val="00B54719"/>
    <w:rsid w:val="00B56AB4"/>
    <w:rsid w:val="00B56E7F"/>
    <w:rsid w:val="00B56EDF"/>
    <w:rsid w:val="00B574E4"/>
    <w:rsid w:val="00B61AED"/>
    <w:rsid w:val="00B628E6"/>
    <w:rsid w:val="00B659E1"/>
    <w:rsid w:val="00B65C70"/>
    <w:rsid w:val="00B66013"/>
    <w:rsid w:val="00B66AEF"/>
    <w:rsid w:val="00B67964"/>
    <w:rsid w:val="00B67F67"/>
    <w:rsid w:val="00B67FAE"/>
    <w:rsid w:val="00B71064"/>
    <w:rsid w:val="00B71115"/>
    <w:rsid w:val="00B713DA"/>
    <w:rsid w:val="00B725C3"/>
    <w:rsid w:val="00B73938"/>
    <w:rsid w:val="00B73DBE"/>
    <w:rsid w:val="00B73FA3"/>
    <w:rsid w:val="00B74420"/>
    <w:rsid w:val="00B74A1F"/>
    <w:rsid w:val="00B751C4"/>
    <w:rsid w:val="00B75627"/>
    <w:rsid w:val="00B75799"/>
    <w:rsid w:val="00B762ED"/>
    <w:rsid w:val="00B7735D"/>
    <w:rsid w:val="00B77465"/>
    <w:rsid w:val="00B77B8D"/>
    <w:rsid w:val="00B8018B"/>
    <w:rsid w:val="00B80A15"/>
    <w:rsid w:val="00B80AFC"/>
    <w:rsid w:val="00B8123B"/>
    <w:rsid w:val="00B81441"/>
    <w:rsid w:val="00B81574"/>
    <w:rsid w:val="00B82092"/>
    <w:rsid w:val="00B821F5"/>
    <w:rsid w:val="00B82248"/>
    <w:rsid w:val="00B83DB9"/>
    <w:rsid w:val="00B8430E"/>
    <w:rsid w:val="00B84524"/>
    <w:rsid w:val="00B84F3B"/>
    <w:rsid w:val="00B853C5"/>
    <w:rsid w:val="00B8546D"/>
    <w:rsid w:val="00B85542"/>
    <w:rsid w:val="00B85C3D"/>
    <w:rsid w:val="00B86CC5"/>
    <w:rsid w:val="00B873CF"/>
    <w:rsid w:val="00B8749E"/>
    <w:rsid w:val="00B879DF"/>
    <w:rsid w:val="00B90006"/>
    <w:rsid w:val="00B90154"/>
    <w:rsid w:val="00B908A5"/>
    <w:rsid w:val="00B90BC2"/>
    <w:rsid w:val="00B90DD5"/>
    <w:rsid w:val="00B91321"/>
    <w:rsid w:val="00B91730"/>
    <w:rsid w:val="00B91806"/>
    <w:rsid w:val="00B9323A"/>
    <w:rsid w:val="00B9339A"/>
    <w:rsid w:val="00B933A8"/>
    <w:rsid w:val="00B9369C"/>
    <w:rsid w:val="00B939C5"/>
    <w:rsid w:val="00B9499E"/>
    <w:rsid w:val="00B9538D"/>
    <w:rsid w:val="00B956A6"/>
    <w:rsid w:val="00B95A84"/>
    <w:rsid w:val="00B95B39"/>
    <w:rsid w:val="00B95EFD"/>
    <w:rsid w:val="00B9633C"/>
    <w:rsid w:val="00B9665F"/>
    <w:rsid w:val="00B9725E"/>
    <w:rsid w:val="00B97858"/>
    <w:rsid w:val="00BA017E"/>
    <w:rsid w:val="00BA0229"/>
    <w:rsid w:val="00BA0879"/>
    <w:rsid w:val="00BA0CA8"/>
    <w:rsid w:val="00BA1299"/>
    <w:rsid w:val="00BA1869"/>
    <w:rsid w:val="00BA1CEE"/>
    <w:rsid w:val="00BA2453"/>
    <w:rsid w:val="00BA29D9"/>
    <w:rsid w:val="00BA2D62"/>
    <w:rsid w:val="00BA360B"/>
    <w:rsid w:val="00BA424B"/>
    <w:rsid w:val="00BA5A02"/>
    <w:rsid w:val="00BA5C40"/>
    <w:rsid w:val="00BA680F"/>
    <w:rsid w:val="00BB0229"/>
    <w:rsid w:val="00BB067D"/>
    <w:rsid w:val="00BB166B"/>
    <w:rsid w:val="00BB2670"/>
    <w:rsid w:val="00BB26AD"/>
    <w:rsid w:val="00BB3304"/>
    <w:rsid w:val="00BB3A1B"/>
    <w:rsid w:val="00BB3B06"/>
    <w:rsid w:val="00BB4063"/>
    <w:rsid w:val="00BB482A"/>
    <w:rsid w:val="00BB553A"/>
    <w:rsid w:val="00BB589B"/>
    <w:rsid w:val="00BB5935"/>
    <w:rsid w:val="00BB650F"/>
    <w:rsid w:val="00BB6920"/>
    <w:rsid w:val="00BB6ECF"/>
    <w:rsid w:val="00BB70A1"/>
    <w:rsid w:val="00BB76EA"/>
    <w:rsid w:val="00BC0BA2"/>
    <w:rsid w:val="00BC0E36"/>
    <w:rsid w:val="00BC162A"/>
    <w:rsid w:val="00BC175A"/>
    <w:rsid w:val="00BC1C88"/>
    <w:rsid w:val="00BC2178"/>
    <w:rsid w:val="00BC2348"/>
    <w:rsid w:val="00BC2A27"/>
    <w:rsid w:val="00BC2AE1"/>
    <w:rsid w:val="00BC2BD9"/>
    <w:rsid w:val="00BC2CFE"/>
    <w:rsid w:val="00BC332A"/>
    <w:rsid w:val="00BC41B9"/>
    <w:rsid w:val="00BC4B41"/>
    <w:rsid w:val="00BC5459"/>
    <w:rsid w:val="00BC586A"/>
    <w:rsid w:val="00BC5C0D"/>
    <w:rsid w:val="00BC5C8F"/>
    <w:rsid w:val="00BC5D5A"/>
    <w:rsid w:val="00BC6306"/>
    <w:rsid w:val="00BC6D38"/>
    <w:rsid w:val="00BC75C0"/>
    <w:rsid w:val="00BD01B2"/>
    <w:rsid w:val="00BD01E9"/>
    <w:rsid w:val="00BD256A"/>
    <w:rsid w:val="00BD2970"/>
    <w:rsid w:val="00BD4FFA"/>
    <w:rsid w:val="00BD549B"/>
    <w:rsid w:val="00BD56BD"/>
    <w:rsid w:val="00BD5ADC"/>
    <w:rsid w:val="00BD67AE"/>
    <w:rsid w:val="00BD704E"/>
    <w:rsid w:val="00BD73DB"/>
    <w:rsid w:val="00BD74C5"/>
    <w:rsid w:val="00BD7543"/>
    <w:rsid w:val="00BD7890"/>
    <w:rsid w:val="00BE052F"/>
    <w:rsid w:val="00BE16F5"/>
    <w:rsid w:val="00BE314A"/>
    <w:rsid w:val="00BE4121"/>
    <w:rsid w:val="00BE4166"/>
    <w:rsid w:val="00BE680D"/>
    <w:rsid w:val="00BE6891"/>
    <w:rsid w:val="00BE7268"/>
    <w:rsid w:val="00BE7923"/>
    <w:rsid w:val="00BE7AF6"/>
    <w:rsid w:val="00BF09C0"/>
    <w:rsid w:val="00BF0E91"/>
    <w:rsid w:val="00BF1002"/>
    <w:rsid w:val="00BF20B3"/>
    <w:rsid w:val="00BF2397"/>
    <w:rsid w:val="00BF2BCB"/>
    <w:rsid w:val="00BF3600"/>
    <w:rsid w:val="00BF41B8"/>
    <w:rsid w:val="00BF4576"/>
    <w:rsid w:val="00BF46F9"/>
    <w:rsid w:val="00BF51A8"/>
    <w:rsid w:val="00BF584B"/>
    <w:rsid w:val="00BF5B25"/>
    <w:rsid w:val="00BF62F3"/>
    <w:rsid w:val="00BF65AC"/>
    <w:rsid w:val="00BF6CFD"/>
    <w:rsid w:val="00BF7C56"/>
    <w:rsid w:val="00C000A7"/>
    <w:rsid w:val="00C003CA"/>
    <w:rsid w:val="00C00E6D"/>
    <w:rsid w:val="00C0180E"/>
    <w:rsid w:val="00C01866"/>
    <w:rsid w:val="00C01EB0"/>
    <w:rsid w:val="00C02CAF"/>
    <w:rsid w:val="00C02CD3"/>
    <w:rsid w:val="00C03339"/>
    <w:rsid w:val="00C03BD1"/>
    <w:rsid w:val="00C03F10"/>
    <w:rsid w:val="00C04320"/>
    <w:rsid w:val="00C0436B"/>
    <w:rsid w:val="00C053AA"/>
    <w:rsid w:val="00C053FD"/>
    <w:rsid w:val="00C07282"/>
    <w:rsid w:val="00C07284"/>
    <w:rsid w:val="00C0767B"/>
    <w:rsid w:val="00C07CCF"/>
    <w:rsid w:val="00C100B1"/>
    <w:rsid w:val="00C11109"/>
    <w:rsid w:val="00C1147B"/>
    <w:rsid w:val="00C118D1"/>
    <w:rsid w:val="00C11AD9"/>
    <w:rsid w:val="00C127F0"/>
    <w:rsid w:val="00C13529"/>
    <w:rsid w:val="00C135A3"/>
    <w:rsid w:val="00C13C04"/>
    <w:rsid w:val="00C14A84"/>
    <w:rsid w:val="00C15FC6"/>
    <w:rsid w:val="00C16499"/>
    <w:rsid w:val="00C16A53"/>
    <w:rsid w:val="00C16C03"/>
    <w:rsid w:val="00C201A3"/>
    <w:rsid w:val="00C206BC"/>
    <w:rsid w:val="00C21910"/>
    <w:rsid w:val="00C21955"/>
    <w:rsid w:val="00C22402"/>
    <w:rsid w:val="00C235E2"/>
    <w:rsid w:val="00C23BD7"/>
    <w:rsid w:val="00C240AA"/>
    <w:rsid w:val="00C24153"/>
    <w:rsid w:val="00C248D4"/>
    <w:rsid w:val="00C24A9B"/>
    <w:rsid w:val="00C250AC"/>
    <w:rsid w:val="00C25205"/>
    <w:rsid w:val="00C25411"/>
    <w:rsid w:val="00C25AED"/>
    <w:rsid w:val="00C26318"/>
    <w:rsid w:val="00C264EC"/>
    <w:rsid w:val="00C26556"/>
    <w:rsid w:val="00C274FB"/>
    <w:rsid w:val="00C30818"/>
    <w:rsid w:val="00C308F1"/>
    <w:rsid w:val="00C30CB3"/>
    <w:rsid w:val="00C30D4A"/>
    <w:rsid w:val="00C3232A"/>
    <w:rsid w:val="00C33358"/>
    <w:rsid w:val="00C33444"/>
    <w:rsid w:val="00C33BC7"/>
    <w:rsid w:val="00C33C5B"/>
    <w:rsid w:val="00C34BF7"/>
    <w:rsid w:val="00C3514F"/>
    <w:rsid w:val="00C35236"/>
    <w:rsid w:val="00C35317"/>
    <w:rsid w:val="00C35371"/>
    <w:rsid w:val="00C35427"/>
    <w:rsid w:val="00C35652"/>
    <w:rsid w:val="00C36F6D"/>
    <w:rsid w:val="00C370D8"/>
    <w:rsid w:val="00C375F8"/>
    <w:rsid w:val="00C37AA4"/>
    <w:rsid w:val="00C37B91"/>
    <w:rsid w:val="00C37B9D"/>
    <w:rsid w:val="00C37D23"/>
    <w:rsid w:val="00C4022D"/>
    <w:rsid w:val="00C40665"/>
    <w:rsid w:val="00C42A3C"/>
    <w:rsid w:val="00C42FF3"/>
    <w:rsid w:val="00C43733"/>
    <w:rsid w:val="00C43B8D"/>
    <w:rsid w:val="00C447E1"/>
    <w:rsid w:val="00C453DF"/>
    <w:rsid w:val="00C45656"/>
    <w:rsid w:val="00C459C5"/>
    <w:rsid w:val="00C45F58"/>
    <w:rsid w:val="00C46050"/>
    <w:rsid w:val="00C461FB"/>
    <w:rsid w:val="00C464BF"/>
    <w:rsid w:val="00C470F2"/>
    <w:rsid w:val="00C4779C"/>
    <w:rsid w:val="00C5087E"/>
    <w:rsid w:val="00C518B6"/>
    <w:rsid w:val="00C5288F"/>
    <w:rsid w:val="00C54951"/>
    <w:rsid w:val="00C55F42"/>
    <w:rsid w:val="00C562B5"/>
    <w:rsid w:val="00C56337"/>
    <w:rsid w:val="00C567F5"/>
    <w:rsid w:val="00C57D08"/>
    <w:rsid w:val="00C57FB0"/>
    <w:rsid w:val="00C61C7F"/>
    <w:rsid w:val="00C620D5"/>
    <w:rsid w:val="00C6386D"/>
    <w:rsid w:val="00C63906"/>
    <w:rsid w:val="00C639C2"/>
    <w:rsid w:val="00C64143"/>
    <w:rsid w:val="00C643FD"/>
    <w:rsid w:val="00C64408"/>
    <w:rsid w:val="00C65B4B"/>
    <w:rsid w:val="00C66E61"/>
    <w:rsid w:val="00C679D3"/>
    <w:rsid w:val="00C67ED9"/>
    <w:rsid w:val="00C702B4"/>
    <w:rsid w:val="00C70747"/>
    <w:rsid w:val="00C70AF8"/>
    <w:rsid w:val="00C70D48"/>
    <w:rsid w:val="00C71088"/>
    <w:rsid w:val="00C710F0"/>
    <w:rsid w:val="00C735BF"/>
    <w:rsid w:val="00C737BD"/>
    <w:rsid w:val="00C7482F"/>
    <w:rsid w:val="00C74ACE"/>
    <w:rsid w:val="00C750FE"/>
    <w:rsid w:val="00C75110"/>
    <w:rsid w:val="00C778BC"/>
    <w:rsid w:val="00C77F37"/>
    <w:rsid w:val="00C80F20"/>
    <w:rsid w:val="00C8128A"/>
    <w:rsid w:val="00C820DC"/>
    <w:rsid w:val="00C83A06"/>
    <w:rsid w:val="00C8526D"/>
    <w:rsid w:val="00C854A0"/>
    <w:rsid w:val="00C85A42"/>
    <w:rsid w:val="00C85B72"/>
    <w:rsid w:val="00C85C13"/>
    <w:rsid w:val="00C85CFA"/>
    <w:rsid w:val="00C86673"/>
    <w:rsid w:val="00C868F2"/>
    <w:rsid w:val="00C8795A"/>
    <w:rsid w:val="00C90783"/>
    <w:rsid w:val="00C91B7B"/>
    <w:rsid w:val="00C91ED4"/>
    <w:rsid w:val="00C921CC"/>
    <w:rsid w:val="00C931CB"/>
    <w:rsid w:val="00C93403"/>
    <w:rsid w:val="00C93629"/>
    <w:rsid w:val="00C937C8"/>
    <w:rsid w:val="00C9412B"/>
    <w:rsid w:val="00C9485F"/>
    <w:rsid w:val="00C94F97"/>
    <w:rsid w:val="00C95460"/>
    <w:rsid w:val="00C95653"/>
    <w:rsid w:val="00C97531"/>
    <w:rsid w:val="00CA02CB"/>
    <w:rsid w:val="00CA07B0"/>
    <w:rsid w:val="00CA07CF"/>
    <w:rsid w:val="00CA0B15"/>
    <w:rsid w:val="00CA101A"/>
    <w:rsid w:val="00CA18AD"/>
    <w:rsid w:val="00CA214A"/>
    <w:rsid w:val="00CA2AAF"/>
    <w:rsid w:val="00CA3AC9"/>
    <w:rsid w:val="00CA4691"/>
    <w:rsid w:val="00CA49FB"/>
    <w:rsid w:val="00CA4EFD"/>
    <w:rsid w:val="00CA509E"/>
    <w:rsid w:val="00CA5558"/>
    <w:rsid w:val="00CA566E"/>
    <w:rsid w:val="00CA7001"/>
    <w:rsid w:val="00CA7695"/>
    <w:rsid w:val="00CB10BF"/>
    <w:rsid w:val="00CB12BA"/>
    <w:rsid w:val="00CB13CF"/>
    <w:rsid w:val="00CB1A37"/>
    <w:rsid w:val="00CB2132"/>
    <w:rsid w:val="00CB2C05"/>
    <w:rsid w:val="00CB2DFB"/>
    <w:rsid w:val="00CB3022"/>
    <w:rsid w:val="00CB37BB"/>
    <w:rsid w:val="00CB37DB"/>
    <w:rsid w:val="00CB498D"/>
    <w:rsid w:val="00CB4CA5"/>
    <w:rsid w:val="00CB4CDF"/>
    <w:rsid w:val="00CB4E2C"/>
    <w:rsid w:val="00CB53AD"/>
    <w:rsid w:val="00CB5A5F"/>
    <w:rsid w:val="00CB6153"/>
    <w:rsid w:val="00CB66FD"/>
    <w:rsid w:val="00CB701F"/>
    <w:rsid w:val="00CB73DA"/>
    <w:rsid w:val="00CB7662"/>
    <w:rsid w:val="00CB76AA"/>
    <w:rsid w:val="00CB7A10"/>
    <w:rsid w:val="00CB7A24"/>
    <w:rsid w:val="00CC0546"/>
    <w:rsid w:val="00CC0842"/>
    <w:rsid w:val="00CC0CC8"/>
    <w:rsid w:val="00CC0E0B"/>
    <w:rsid w:val="00CC0F79"/>
    <w:rsid w:val="00CC0FBD"/>
    <w:rsid w:val="00CC1025"/>
    <w:rsid w:val="00CC1630"/>
    <w:rsid w:val="00CC1634"/>
    <w:rsid w:val="00CC1B81"/>
    <w:rsid w:val="00CC1F4C"/>
    <w:rsid w:val="00CC23F3"/>
    <w:rsid w:val="00CC330A"/>
    <w:rsid w:val="00CC35DB"/>
    <w:rsid w:val="00CC375B"/>
    <w:rsid w:val="00CC3B60"/>
    <w:rsid w:val="00CC3D78"/>
    <w:rsid w:val="00CC4777"/>
    <w:rsid w:val="00CC4AB0"/>
    <w:rsid w:val="00CC57E1"/>
    <w:rsid w:val="00CC5F60"/>
    <w:rsid w:val="00CC64A7"/>
    <w:rsid w:val="00CC7001"/>
    <w:rsid w:val="00CC7BB4"/>
    <w:rsid w:val="00CD082F"/>
    <w:rsid w:val="00CD0D65"/>
    <w:rsid w:val="00CD0E0A"/>
    <w:rsid w:val="00CD0F93"/>
    <w:rsid w:val="00CD3B58"/>
    <w:rsid w:val="00CD4CA8"/>
    <w:rsid w:val="00CD5579"/>
    <w:rsid w:val="00CD7014"/>
    <w:rsid w:val="00CD7478"/>
    <w:rsid w:val="00CE14E1"/>
    <w:rsid w:val="00CE170C"/>
    <w:rsid w:val="00CE1887"/>
    <w:rsid w:val="00CE2A7A"/>
    <w:rsid w:val="00CE3E7A"/>
    <w:rsid w:val="00CE4BA6"/>
    <w:rsid w:val="00CE5182"/>
    <w:rsid w:val="00CE5FE6"/>
    <w:rsid w:val="00CE6502"/>
    <w:rsid w:val="00CE6EDC"/>
    <w:rsid w:val="00CE7518"/>
    <w:rsid w:val="00CF0127"/>
    <w:rsid w:val="00CF16E3"/>
    <w:rsid w:val="00CF1DE1"/>
    <w:rsid w:val="00CF244D"/>
    <w:rsid w:val="00CF3E4A"/>
    <w:rsid w:val="00CF450C"/>
    <w:rsid w:val="00CF45EF"/>
    <w:rsid w:val="00CF52FF"/>
    <w:rsid w:val="00CF5877"/>
    <w:rsid w:val="00CF5AB6"/>
    <w:rsid w:val="00CF60EF"/>
    <w:rsid w:val="00CF752C"/>
    <w:rsid w:val="00CF773B"/>
    <w:rsid w:val="00CF7B1B"/>
    <w:rsid w:val="00D0026B"/>
    <w:rsid w:val="00D006F6"/>
    <w:rsid w:val="00D00955"/>
    <w:rsid w:val="00D00D52"/>
    <w:rsid w:val="00D0143A"/>
    <w:rsid w:val="00D014D5"/>
    <w:rsid w:val="00D01CDF"/>
    <w:rsid w:val="00D0221A"/>
    <w:rsid w:val="00D034DB"/>
    <w:rsid w:val="00D03809"/>
    <w:rsid w:val="00D03D4F"/>
    <w:rsid w:val="00D04A64"/>
    <w:rsid w:val="00D04C0F"/>
    <w:rsid w:val="00D05644"/>
    <w:rsid w:val="00D065DC"/>
    <w:rsid w:val="00D071B0"/>
    <w:rsid w:val="00D078D4"/>
    <w:rsid w:val="00D108D8"/>
    <w:rsid w:val="00D10E9D"/>
    <w:rsid w:val="00D12143"/>
    <w:rsid w:val="00D1234F"/>
    <w:rsid w:val="00D128C6"/>
    <w:rsid w:val="00D12B9B"/>
    <w:rsid w:val="00D12DD0"/>
    <w:rsid w:val="00D13061"/>
    <w:rsid w:val="00D13A37"/>
    <w:rsid w:val="00D13F3B"/>
    <w:rsid w:val="00D13F62"/>
    <w:rsid w:val="00D14721"/>
    <w:rsid w:val="00D14F41"/>
    <w:rsid w:val="00D15051"/>
    <w:rsid w:val="00D15783"/>
    <w:rsid w:val="00D15B88"/>
    <w:rsid w:val="00D161B2"/>
    <w:rsid w:val="00D1766F"/>
    <w:rsid w:val="00D206DF"/>
    <w:rsid w:val="00D20792"/>
    <w:rsid w:val="00D209B8"/>
    <w:rsid w:val="00D210B4"/>
    <w:rsid w:val="00D219F7"/>
    <w:rsid w:val="00D21AF0"/>
    <w:rsid w:val="00D22A63"/>
    <w:rsid w:val="00D22B45"/>
    <w:rsid w:val="00D22DE7"/>
    <w:rsid w:val="00D25112"/>
    <w:rsid w:val="00D25284"/>
    <w:rsid w:val="00D26637"/>
    <w:rsid w:val="00D26996"/>
    <w:rsid w:val="00D30D0E"/>
    <w:rsid w:val="00D30E6D"/>
    <w:rsid w:val="00D30FF9"/>
    <w:rsid w:val="00D31BA7"/>
    <w:rsid w:val="00D321D5"/>
    <w:rsid w:val="00D325C4"/>
    <w:rsid w:val="00D326C8"/>
    <w:rsid w:val="00D330F5"/>
    <w:rsid w:val="00D33250"/>
    <w:rsid w:val="00D35343"/>
    <w:rsid w:val="00D3537E"/>
    <w:rsid w:val="00D35B59"/>
    <w:rsid w:val="00D35BC8"/>
    <w:rsid w:val="00D35BD2"/>
    <w:rsid w:val="00D35C88"/>
    <w:rsid w:val="00D367B0"/>
    <w:rsid w:val="00D40B37"/>
    <w:rsid w:val="00D40D9F"/>
    <w:rsid w:val="00D40EBA"/>
    <w:rsid w:val="00D41D7A"/>
    <w:rsid w:val="00D424A2"/>
    <w:rsid w:val="00D426E7"/>
    <w:rsid w:val="00D42C08"/>
    <w:rsid w:val="00D42F6B"/>
    <w:rsid w:val="00D432EA"/>
    <w:rsid w:val="00D4374C"/>
    <w:rsid w:val="00D43FD8"/>
    <w:rsid w:val="00D441C0"/>
    <w:rsid w:val="00D443DA"/>
    <w:rsid w:val="00D44FB0"/>
    <w:rsid w:val="00D450B2"/>
    <w:rsid w:val="00D4544E"/>
    <w:rsid w:val="00D45F55"/>
    <w:rsid w:val="00D46516"/>
    <w:rsid w:val="00D46A57"/>
    <w:rsid w:val="00D46C37"/>
    <w:rsid w:val="00D4742E"/>
    <w:rsid w:val="00D47EC4"/>
    <w:rsid w:val="00D506C1"/>
    <w:rsid w:val="00D50BB9"/>
    <w:rsid w:val="00D51024"/>
    <w:rsid w:val="00D51DAA"/>
    <w:rsid w:val="00D51EBF"/>
    <w:rsid w:val="00D51EF3"/>
    <w:rsid w:val="00D51F03"/>
    <w:rsid w:val="00D51F5E"/>
    <w:rsid w:val="00D51F78"/>
    <w:rsid w:val="00D51FA8"/>
    <w:rsid w:val="00D52506"/>
    <w:rsid w:val="00D52A33"/>
    <w:rsid w:val="00D52DDD"/>
    <w:rsid w:val="00D53629"/>
    <w:rsid w:val="00D5426C"/>
    <w:rsid w:val="00D54D4A"/>
    <w:rsid w:val="00D556B3"/>
    <w:rsid w:val="00D5593B"/>
    <w:rsid w:val="00D560FB"/>
    <w:rsid w:val="00D562D9"/>
    <w:rsid w:val="00D56F0F"/>
    <w:rsid w:val="00D56FD7"/>
    <w:rsid w:val="00D57622"/>
    <w:rsid w:val="00D608F5"/>
    <w:rsid w:val="00D609E3"/>
    <w:rsid w:val="00D60A61"/>
    <w:rsid w:val="00D60BD6"/>
    <w:rsid w:val="00D61136"/>
    <w:rsid w:val="00D6168C"/>
    <w:rsid w:val="00D61F47"/>
    <w:rsid w:val="00D621F3"/>
    <w:rsid w:val="00D6254C"/>
    <w:rsid w:val="00D626A9"/>
    <w:rsid w:val="00D62FB5"/>
    <w:rsid w:val="00D63690"/>
    <w:rsid w:val="00D63B5B"/>
    <w:rsid w:val="00D63E1D"/>
    <w:rsid w:val="00D63EFB"/>
    <w:rsid w:val="00D6529B"/>
    <w:rsid w:val="00D653E1"/>
    <w:rsid w:val="00D66852"/>
    <w:rsid w:val="00D672B8"/>
    <w:rsid w:val="00D67ABA"/>
    <w:rsid w:val="00D70564"/>
    <w:rsid w:val="00D706AB"/>
    <w:rsid w:val="00D711F8"/>
    <w:rsid w:val="00D71CBC"/>
    <w:rsid w:val="00D71E5D"/>
    <w:rsid w:val="00D720CB"/>
    <w:rsid w:val="00D720EF"/>
    <w:rsid w:val="00D7283E"/>
    <w:rsid w:val="00D73619"/>
    <w:rsid w:val="00D74591"/>
    <w:rsid w:val="00D74C06"/>
    <w:rsid w:val="00D764AE"/>
    <w:rsid w:val="00D805B9"/>
    <w:rsid w:val="00D80D97"/>
    <w:rsid w:val="00D8197D"/>
    <w:rsid w:val="00D82068"/>
    <w:rsid w:val="00D822FF"/>
    <w:rsid w:val="00D82517"/>
    <w:rsid w:val="00D82ECC"/>
    <w:rsid w:val="00D840DB"/>
    <w:rsid w:val="00D85DD3"/>
    <w:rsid w:val="00D869D4"/>
    <w:rsid w:val="00D87051"/>
    <w:rsid w:val="00D8708E"/>
    <w:rsid w:val="00D9026E"/>
    <w:rsid w:val="00D903E4"/>
    <w:rsid w:val="00D918F0"/>
    <w:rsid w:val="00D92B40"/>
    <w:rsid w:val="00D92B43"/>
    <w:rsid w:val="00D9318C"/>
    <w:rsid w:val="00D93E28"/>
    <w:rsid w:val="00D93FA4"/>
    <w:rsid w:val="00D94948"/>
    <w:rsid w:val="00D95362"/>
    <w:rsid w:val="00D968BC"/>
    <w:rsid w:val="00D97AFE"/>
    <w:rsid w:val="00DA1D24"/>
    <w:rsid w:val="00DA1DDA"/>
    <w:rsid w:val="00DA24F7"/>
    <w:rsid w:val="00DA2917"/>
    <w:rsid w:val="00DA2E1F"/>
    <w:rsid w:val="00DA359B"/>
    <w:rsid w:val="00DA3731"/>
    <w:rsid w:val="00DA41D4"/>
    <w:rsid w:val="00DA452E"/>
    <w:rsid w:val="00DA48C6"/>
    <w:rsid w:val="00DA4A26"/>
    <w:rsid w:val="00DA4A2A"/>
    <w:rsid w:val="00DA4B6D"/>
    <w:rsid w:val="00DA5E87"/>
    <w:rsid w:val="00DA658D"/>
    <w:rsid w:val="00DA6C6D"/>
    <w:rsid w:val="00DA7725"/>
    <w:rsid w:val="00DB0355"/>
    <w:rsid w:val="00DB0564"/>
    <w:rsid w:val="00DB082D"/>
    <w:rsid w:val="00DB1484"/>
    <w:rsid w:val="00DB19AC"/>
    <w:rsid w:val="00DB2084"/>
    <w:rsid w:val="00DB2755"/>
    <w:rsid w:val="00DB281D"/>
    <w:rsid w:val="00DB3E54"/>
    <w:rsid w:val="00DB4213"/>
    <w:rsid w:val="00DB42A3"/>
    <w:rsid w:val="00DB4424"/>
    <w:rsid w:val="00DB46D4"/>
    <w:rsid w:val="00DB4DEF"/>
    <w:rsid w:val="00DB5A1A"/>
    <w:rsid w:val="00DB614C"/>
    <w:rsid w:val="00DB687A"/>
    <w:rsid w:val="00DB6CD6"/>
    <w:rsid w:val="00DC00C9"/>
    <w:rsid w:val="00DC0BB5"/>
    <w:rsid w:val="00DC0D1E"/>
    <w:rsid w:val="00DC184B"/>
    <w:rsid w:val="00DC1968"/>
    <w:rsid w:val="00DC2546"/>
    <w:rsid w:val="00DC2633"/>
    <w:rsid w:val="00DC2E1B"/>
    <w:rsid w:val="00DC4647"/>
    <w:rsid w:val="00DC48E7"/>
    <w:rsid w:val="00DC4C87"/>
    <w:rsid w:val="00DC4ED3"/>
    <w:rsid w:val="00DC5680"/>
    <w:rsid w:val="00DC6228"/>
    <w:rsid w:val="00DC637E"/>
    <w:rsid w:val="00DC6589"/>
    <w:rsid w:val="00DC664D"/>
    <w:rsid w:val="00DC7124"/>
    <w:rsid w:val="00DC794E"/>
    <w:rsid w:val="00DC7B71"/>
    <w:rsid w:val="00DD0C64"/>
    <w:rsid w:val="00DD0D6B"/>
    <w:rsid w:val="00DD0F6B"/>
    <w:rsid w:val="00DD0F8F"/>
    <w:rsid w:val="00DD158A"/>
    <w:rsid w:val="00DD1992"/>
    <w:rsid w:val="00DD1E44"/>
    <w:rsid w:val="00DD2E01"/>
    <w:rsid w:val="00DD34C7"/>
    <w:rsid w:val="00DD4D2B"/>
    <w:rsid w:val="00DD4F63"/>
    <w:rsid w:val="00DD504E"/>
    <w:rsid w:val="00DD5194"/>
    <w:rsid w:val="00DD535F"/>
    <w:rsid w:val="00DD566A"/>
    <w:rsid w:val="00DD570C"/>
    <w:rsid w:val="00DD5814"/>
    <w:rsid w:val="00DD6C19"/>
    <w:rsid w:val="00DD6DAC"/>
    <w:rsid w:val="00DE0298"/>
    <w:rsid w:val="00DE098A"/>
    <w:rsid w:val="00DE0B57"/>
    <w:rsid w:val="00DE13D8"/>
    <w:rsid w:val="00DE1DA8"/>
    <w:rsid w:val="00DE1E63"/>
    <w:rsid w:val="00DE219A"/>
    <w:rsid w:val="00DE21E5"/>
    <w:rsid w:val="00DE2801"/>
    <w:rsid w:val="00DE283E"/>
    <w:rsid w:val="00DE2FA8"/>
    <w:rsid w:val="00DE3140"/>
    <w:rsid w:val="00DE359D"/>
    <w:rsid w:val="00DE384A"/>
    <w:rsid w:val="00DE395D"/>
    <w:rsid w:val="00DE4589"/>
    <w:rsid w:val="00DE49DB"/>
    <w:rsid w:val="00DE534D"/>
    <w:rsid w:val="00DE579C"/>
    <w:rsid w:val="00DE5F59"/>
    <w:rsid w:val="00DE63A9"/>
    <w:rsid w:val="00DE7387"/>
    <w:rsid w:val="00DE792B"/>
    <w:rsid w:val="00DE798D"/>
    <w:rsid w:val="00DF0990"/>
    <w:rsid w:val="00DF154C"/>
    <w:rsid w:val="00DF1FF1"/>
    <w:rsid w:val="00DF2598"/>
    <w:rsid w:val="00DF3056"/>
    <w:rsid w:val="00DF31FF"/>
    <w:rsid w:val="00DF418E"/>
    <w:rsid w:val="00DF43FC"/>
    <w:rsid w:val="00DF4801"/>
    <w:rsid w:val="00DF4E90"/>
    <w:rsid w:val="00DF5483"/>
    <w:rsid w:val="00DF5585"/>
    <w:rsid w:val="00DF5794"/>
    <w:rsid w:val="00DF5B04"/>
    <w:rsid w:val="00DF5D35"/>
    <w:rsid w:val="00DF6020"/>
    <w:rsid w:val="00DF65EA"/>
    <w:rsid w:val="00DF66C9"/>
    <w:rsid w:val="00DF6968"/>
    <w:rsid w:val="00DF724C"/>
    <w:rsid w:val="00DF793D"/>
    <w:rsid w:val="00E001F3"/>
    <w:rsid w:val="00E009BA"/>
    <w:rsid w:val="00E00CEC"/>
    <w:rsid w:val="00E00E30"/>
    <w:rsid w:val="00E0119A"/>
    <w:rsid w:val="00E01878"/>
    <w:rsid w:val="00E018AF"/>
    <w:rsid w:val="00E028BA"/>
    <w:rsid w:val="00E02926"/>
    <w:rsid w:val="00E02D86"/>
    <w:rsid w:val="00E04317"/>
    <w:rsid w:val="00E046C1"/>
    <w:rsid w:val="00E0475F"/>
    <w:rsid w:val="00E04FE1"/>
    <w:rsid w:val="00E054C8"/>
    <w:rsid w:val="00E06104"/>
    <w:rsid w:val="00E06475"/>
    <w:rsid w:val="00E06769"/>
    <w:rsid w:val="00E06A22"/>
    <w:rsid w:val="00E07116"/>
    <w:rsid w:val="00E0735D"/>
    <w:rsid w:val="00E07398"/>
    <w:rsid w:val="00E0744A"/>
    <w:rsid w:val="00E07AEA"/>
    <w:rsid w:val="00E07BD8"/>
    <w:rsid w:val="00E07C35"/>
    <w:rsid w:val="00E07E97"/>
    <w:rsid w:val="00E1011D"/>
    <w:rsid w:val="00E105C5"/>
    <w:rsid w:val="00E108DB"/>
    <w:rsid w:val="00E11497"/>
    <w:rsid w:val="00E1197D"/>
    <w:rsid w:val="00E11A32"/>
    <w:rsid w:val="00E11CCB"/>
    <w:rsid w:val="00E124D8"/>
    <w:rsid w:val="00E126F7"/>
    <w:rsid w:val="00E12970"/>
    <w:rsid w:val="00E12AE1"/>
    <w:rsid w:val="00E13116"/>
    <w:rsid w:val="00E13446"/>
    <w:rsid w:val="00E13D75"/>
    <w:rsid w:val="00E143EF"/>
    <w:rsid w:val="00E144E9"/>
    <w:rsid w:val="00E148C2"/>
    <w:rsid w:val="00E15CDB"/>
    <w:rsid w:val="00E15F6B"/>
    <w:rsid w:val="00E16219"/>
    <w:rsid w:val="00E16AE1"/>
    <w:rsid w:val="00E213E6"/>
    <w:rsid w:val="00E22D92"/>
    <w:rsid w:val="00E22F51"/>
    <w:rsid w:val="00E23B56"/>
    <w:rsid w:val="00E2419A"/>
    <w:rsid w:val="00E266AF"/>
    <w:rsid w:val="00E267E5"/>
    <w:rsid w:val="00E26D5C"/>
    <w:rsid w:val="00E313EB"/>
    <w:rsid w:val="00E31421"/>
    <w:rsid w:val="00E328EC"/>
    <w:rsid w:val="00E328F5"/>
    <w:rsid w:val="00E32A10"/>
    <w:rsid w:val="00E32DA8"/>
    <w:rsid w:val="00E32DE0"/>
    <w:rsid w:val="00E34534"/>
    <w:rsid w:val="00E34988"/>
    <w:rsid w:val="00E34B10"/>
    <w:rsid w:val="00E34C99"/>
    <w:rsid w:val="00E35546"/>
    <w:rsid w:val="00E35763"/>
    <w:rsid w:val="00E36ACD"/>
    <w:rsid w:val="00E36ECC"/>
    <w:rsid w:val="00E37567"/>
    <w:rsid w:val="00E376B8"/>
    <w:rsid w:val="00E4006A"/>
    <w:rsid w:val="00E407CF"/>
    <w:rsid w:val="00E40D1D"/>
    <w:rsid w:val="00E41171"/>
    <w:rsid w:val="00E41296"/>
    <w:rsid w:val="00E413AF"/>
    <w:rsid w:val="00E41D95"/>
    <w:rsid w:val="00E421A7"/>
    <w:rsid w:val="00E4250C"/>
    <w:rsid w:val="00E43825"/>
    <w:rsid w:val="00E4470D"/>
    <w:rsid w:val="00E44C8C"/>
    <w:rsid w:val="00E44F82"/>
    <w:rsid w:val="00E45BC3"/>
    <w:rsid w:val="00E4607C"/>
    <w:rsid w:val="00E4609C"/>
    <w:rsid w:val="00E468E4"/>
    <w:rsid w:val="00E46DB9"/>
    <w:rsid w:val="00E46EB9"/>
    <w:rsid w:val="00E4735F"/>
    <w:rsid w:val="00E47375"/>
    <w:rsid w:val="00E475B1"/>
    <w:rsid w:val="00E500B9"/>
    <w:rsid w:val="00E50452"/>
    <w:rsid w:val="00E50756"/>
    <w:rsid w:val="00E50A7B"/>
    <w:rsid w:val="00E5134A"/>
    <w:rsid w:val="00E51350"/>
    <w:rsid w:val="00E51EAF"/>
    <w:rsid w:val="00E5219C"/>
    <w:rsid w:val="00E52A62"/>
    <w:rsid w:val="00E52B0A"/>
    <w:rsid w:val="00E5348D"/>
    <w:rsid w:val="00E53733"/>
    <w:rsid w:val="00E538D5"/>
    <w:rsid w:val="00E53FF5"/>
    <w:rsid w:val="00E54C31"/>
    <w:rsid w:val="00E553E9"/>
    <w:rsid w:val="00E55A0A"/>
    <w:rsid w:val="00E55A79"/>
    <w:rsid w:val="00E55BC9"/>
    <w:rsid w:val="00E55D46"/>
    <w:rsid w:val="00E5611A"/>
    <w:rsid w:val="00E5638F"/>
    <w:rsid w:val="00E56DBD"/>
    <w:rsid w:val="00E56F3B"/>
    <w:rsid w:val="00E57B8E"/>
    <w:rsid w:val="00E6046D"/>
    <w:rsid w:val="00E60C13"/>
    <w:rsid w:val="00E610D6"/>
    <w:rsid w:val="00E621CD"/>
    <w:rsid w:val="00E62559"/>
    <w:rsid w:val="00E629C7"/>
    <w:rsid w:val="00E62D3E"/>
    <w:rsid w:val="00E62F64"/>
    <w:rsid w:val="00E63A9E"/>
    <w:rsid w:val="00E63C1D"/>
    <w:rsid w:val="00E6403D"/>
    <w:rsid w:val="00E64507"/>
    <w:rsid w:val="00E6533E"/>
    <w:rsid w:val="00E65E49"/>
    <w:rsid w:val="00E665EB"/>
    <w:rsid w:val="00E66B32"/>
    <w:rsid w:val="00E66D8A"/>
    <w:rsid w:val="00E67439"/>
    <w:rsid w:val="00E67F1C"/>
    <w:rsid w:val="00E7005E"/>
    <w:rsid w:val="00E70548"/>
    <w:rsid w:val="00E70751"/>
    <w:rsid w:val="00E70F9E"/>
    <w:rsid w:val="00E71AE0"/>
    <w:rsid w:val="00E71D8D"/>
    <w:rsid w:val="00E71DCF"/>
    <w:rsid w:val="00E72DA6"/>
    <w:rsid w:val="00E736A5"/>
    <w:rsid w:val="00E73A4D"/>
    <w:rsid w:val="00E73C5D"/>
    <w:rsid w:val="00E7466A"/>
    <w:rsid w:val="00E74738"/>
    <w:rsid w:val="00E749FB"/>
    <w:rsid w:val="00E74C6A"/>
    <w:rsid w:val="00E769A2"/>
    <w:rsid w:val="00E76FB0"/>
    <w:rsid w:val="00E772A5"/>
    <w:rsid w:val="00E77AD5"/>
    <w:rsid w:val="00E800A0"/>
    <w:rsid w:val="00E80338"/>
    <w:rsid w:val="00E80F97"/>
    <w:rsid w:val="00E815D2"/>
    <w:rsid w:val="00E81F37"/>
    <w:rsid w:val="00E8201C"/>
    <w:rsid w:val="00E8209A"/>
    <w:rsid w:val="00E82CDE"/>
    <w:rsid w:val="00E82E51"/>
    <w:rsid w:val="00E83473"/>
    <w:rsid w:val="00E84AC1"/>
    <w:rsid w:val="00E84F25"/>
    <w:rsid w:val="00E855BF"/>
    <w:rsid w:val="00E8586A"/>
    <w:rsid w:val="00E859A6"/>
    <w:rsid w:val="00E85E32"/>
    <w:rsid w:val="00E85F79"/>
    <w:rsid w:val="00E86E93"/>
    <w:rsid w:val="00E86F3C"/>
    <w:rsid w:val="00E906CB"/>
    <w:rsid w:val="00E908D1"/>
    <w:rsid w:val="00E90A01"/>
    <w:rsid w:val="00E915CB"/>
    <w:rsid w:val="00E915E8"/>
    <w:rsid w:val="00E91832"/>
    <w:rsid w:val="00E918B7"/>
    <w:rsid w:val="00E91B6F"/>
    <w:rsid w:val="00E9330E"/>
    <w:rsid w:val="00E93AB1"/>
    <w:rsid w:val="00E93BCF"/>
    <w:rsid w:val="00E9445E"/>
    <w:rsid w:val="00E9486E"/>
    <w:rsid w:val="00E94FAE"/>
    <w:rsid w:val="00E9561A"/>
    <w:rsid w:val="00E966FA"/>
    <w:rsid w:val="00E96D1B"/>
    <w:rsid w:val="00E97941"/>
    <w:rsid w:val="00E97B9A"/>
    <w:rsid w:val="00EA0A9B"/>
    <w:rsid w:val="00EA0ADC"/>
    <w:rsid w:val="00EA1389"/>
    <w:rsid w:val="00EA169D"/>
    <w:rsid w:val="00EA2AA9"/>
    <w:rsid w:val="00EA2E69"/>
    <w:rsid w:val="00EA34B4"/>
    <w:rsid w:val="00EA37B9"/>
    <w:rsid w:val="00EA3F0F"/>
    <w:rsid w:val="00EA3F5B"/>
    <w:rsid w:val="00EA4388"/>
    <w:rsid w:val="00EA4418"/>
    <w:rsid w:val="00EA4DE0"/>
    <w:rsid w:val="00EA5CC2"/>
    <w:rsid w:val="00EA5F76"/>
    <w:rsid w:val="00EA6E0E"/>
    <w:rsid w:val="00EA74AF"/>
    <w:rsid w:val="00EA7E38"/>
    <w:rsid w:val="00EB087E"/>
    <w:rsid w:val="00EB19D1"/>
    <w:rsid w:val="00EB2302"/>
    <w:rsid w:val="00EB259F"/>
    <w:rsid w:val="00EB29A5"/>
    <w:rsid w:val="00EB2EF2"/>
    <w:rsid w:val="00EB357D"/>
    <w:rsid w:val="00EB3A83"/>
    <w:rsid w:val="00EB47C8"/>
    <w:rsid w:val="00EB4DE5"/>
    <w:rsid w:val="00EB5186"/>
    <w:rsid w:val="00EB5360"/>
    <w:rsid w:val="00EB5631"/>
    <w:rsid w:val="00EB579B"/>
    <w:rsid w:val="00EB5C93"/>
    <w:rsid w:val="00EB6A65"/>
    <w:rsid w:val="00EB6B7E"/>
    <w:rsid w:val="00EC058B"/>
    <w:rsid w:val="00EC085C"/>
    <w:rsid w:val="00EC099C"/>
    <w:rsid w:val="00EC0B76"/>
    <w:rsid w:val="00EC1055"/>
    <w:rsid w:val="00EC125A"/>
    <w:rsid w:val="00EC1A07"/>
    <w:rsid w:val="00EC2E5B"/>
    <w:rsid w:val="00EC4170"/>
    <w:rsid w:val="00EC4E15"/>
    <w:rsid w:val="00EC5DE3"/>
    <w:rsid w:val="00EC6AF0"/>
    <w:rsid w:val="00EC7D0E"/>
    <w:rsid w:val="00ED00A0"/>
    <w:rsid w:val="00ED0739"/>
    <w:rsid w:val="00ED0A21"/>
    <w:rsid w:val="00ED0C45"/>
    <w:rsid w:val="00ED23FD"/>
    <w:rsid w:val="00ED301F"/>
    <w:rsid w:val="00ED3028"/>
    <w:rsid w:val="00ED3172"/>
    <w:rsid w:val="00ED341B"/>
    <w:rsid w:val="00ED35D4"/>
    <w:rsid w:val="00ED479D"/>
    <w:rsid w:val="00ED4AEA"/>
    <w:rsid w:val="00ED537D"/>
    <w:rsid w:val="00ED56AD"/>
    <w:rsid w:val="00ED56FC"/>
    <w:rsid w:val="00ED63CF"/>
    <w:rsid w:val="00ED64D1"/>
    <w:rsid w:val="00ED7B5D"/>
    <w:rsid w:val="00ED7E7C"/>
    <w:rsid w:val="00EE019F"/>
    <w:rsid w:val="00EE06C8"/>
    <w:rsid w:val="00EE0B02"/>
    <w:rsid w:val="00EE0EC5"/>
    <w:rsid w:val="00EE210F"/>
    <w:rsid w:val="00EE2241"/>
    <w:rsid w:val="00EE2ACA"/>
    <w:rsid w:val="00EE2CF9"/>
    <w:rsid w:val="00EE3465"/>
    <w:rsid w:val="00EE35AA"/>
    <w:rsid w:val="00EE3A35"/>
    <w:rsid w:val="00EE3D0D"/>
    <w:rsid w:val="00EE40E8"/>
    <w:rsid w:val="00EE4886"/>
    <w:rsid w:val="00EE4C4D"/>
    <w:rsid w:val="00EE50E7"/>
    <w:rsid w:val="00EE54B9"/>
    <w:rsid w:val="00EE5D57"/>
    <w:rsid w:val="00EE5D8D"/>
    <w:rsid w:val="00EE5EAC"/>
    <w:rsid w:val="00EE6D60"/>
    <w:rsid w:val="00EE6F57"/>
    <w:rsid w:val="00EE6F70"/>
    <w:rsid w:val="00EF0A57"/>
    <w:rsid w:val="00EF0DC7"/>
    <w:rsid w:val="00EF0F0D"/>
    <w:rsid w:val="00EF277A"/>
    <w:rsid w:val="00EF2C01"/>
    <w:rsid w:val="00EF2E0A"/>
    <w:rsid w:val="00EF2F89"/>
    <w:rsid w:val="00EF339A"/>
    <w:rsid w:val="00EF3539"/>
    <w:rsid w:val="00EF4125"/>
    <w:rsid w:val="00EF41B8"/>
    <w:rsid w:val="00EF482B"/>
    <w:rsid w:val="00EF4E92"/>
    <w:rsid w:val="00EF6207"/>
    <w:rsid w:val="00EF6706"/>
    <w:rsid w:val="00EF762D"/>
    <w:rsid w:val="00F000E1"/>
    <w:rsid w:val="00F006C0"/>
    <w:rsid w:val="00F009BD"/>
    <w:rsid w:val="00F01721"/>
    <w:rsid w:val="00F021C7"/>
    <w:rsid w:val="00F022AB"/>
    <w:rsid w:val="00F025A3"/>
    <w:rsid w:val="00F02A0B"/>
    <w:rsid w:val="00F03158"/>
    <w:rsid w:val="00F032C4"/>
    <w:rsid w:val="00F038D1"/>
    <w:rsid w:val="00F03970"/>
    <w:rsid w:val="00F044F9"/>
    <w:rsid w:val="00F0477A"/>
    <w:rsid w:val="00F04A78"/>
    <w:rsid w:val="00F04A86"/>
    <w:rsid w:val="00F0547E"/>
    <w:rsid w:val="00F073F3"/>
    <w:rsid w:val="00F07B1B"/>
    <w:rsid w:val="00F107A0"/>
    <w:rsid w:val="00F113DA"/>
    <w:rsid w:val="00F11647"/>
    <w:rsid w:val="00F1207B"/>
    <w:rsid w:val="00F125EF"/>
    <w:rsid w:val="00F127F3"/>
    <w:rsid w:val="00F1283C"/>
    <w:rsid w:val="00F134EC"/>
    <w:rsid w:val="00F136C8"/>
    <w:rsid w:val="00F140FB"/>
    <w:rsid w:val="00F14AA0"/>
    <w:rsid w:val="00F14C97"/>
    <w:rsid w:val="00F150BA"/>
    <w:rsid w:val="00F15252"/>
    <w:rsid w:val="00F152D4"/>
    <w:rsid w:val="00F15879"/>
    <w:rsid w:val="00F1617A"/>
    <w:rsid w:val="00F161FB"/>
    <w:rsid w:val="00F16405"/>
    <w:rsid w:val="00F16726"/>
    <w:rsid w:val="00F16844"/>
    <w:rsid w:val="00F16CAC"/>
    <w:rsid w:val="00F17056"/>
    <w:rsid w:val="00F17303"/>
    <w:rsid w:val="00F1794F"/>
    <w:rsid w:val="00F2085D"/>
    <w:rsid w:val="00F214EE"/>
    <w:rsid w:val="00F21AB0"/>
    <w:rsid w:val="00F22100"/>
    <w:rsid w:val="00F24388"/>
    <w:rsid w:val="00F25300"/>
    <w:rsid w:val="00F2593E"/>
    <w:rsid w:val="00F25BB1"/>
    <w:rsid w:val="00F269DC"/>
    <w:rsid w:val="00F26A84"/>
    <w:rsid w:val="00F26EC2"/>
    <w:rsid w:val="00F26FB3"/>
    <w:rsid w:val="00F279A0"/>
    <w:rsid w:val="00F30014"/>
    <w:rsid w:val="00F303AA"/>
    <w:rsid w:val="00F30751"/>
    <w:rsid w:val="00F307F7"/>
    <w:rsid w:val="00F30E99"/>
    <w:rsid w:val="00F31C1B"/>
    <w:rsid w:val="00F31E06"/>
    <w:rsid w:val="00F3299C"/>
    <w:rsid w:val="00F33BF5"/>
    <w:rsid w:val="00F34A7E"/>
    <w:rsid w:val="00F352B9"/>
    <w:rsid w:val="00F3542B"/>
    <w:rsid w:val="00F3737B"/>
    <w:rsid w:val="00F3745B"/>
    <w:rsid w:val="00F37B08"/>
    <w:rsid w:val="00F41134"/>
    <w:rsid w:val="00F414E8"/>
    <w:rsid w:val="00F418FB"/>
    <w:rsid w:val="00F4195F"/>
    <w:rsid w:val="00F41962"/>
    <w:rsid w:val="00F41CBF"/>
    <w:rsid w:val="00F41F94"/>
    <w:rsid w:val="00F42860"/>
    <w:rsid w:val="00F42CE4"/>
    <w:rsid w:val="00F43A76"/>
    <w:rsid w:val="00F43B82"/>
    <w:rsid w:val="00F43BB0"/>
    <w:rsid w:val="00F44A06"/>
    <w:rsid w:val="00F45C90"/>
    <w:rsid w:val="00F45FB4"/>
    <w:rsid w:val="00F462F0"/>
    <w:rsid w:val="00F46651"/>
    <w:rsid w:val="00F46819"/>
    <w:rsid w:val="00F46B80"/>
    <w:rsid w:val="00F47521"/>
    <w:rsid w:val="00F47D49"/>
    <w:rsid w:val="00F5019E"/>
    <w:rsid w:val="00F50354"/>
    <w:rsid w:val="00F50502"/>
    <w:rsid w:val="00F50576"/>
    <w:rsid w:val="00F51820"/>
    <w:rsid w:val="00F519B2"/>
    <w:rsid w:val="00F51BA4"/>
    <w:rsid w:val="00F53366"/>
    <w:rsid w:val="00F53469"/>
    <w:rsid w:val="00F5404A"/>
    <w:rsid w:val="00F54432"/>
    <w:rsid w:val="00F55402"/>
    <w:rsid w:val="00F559A6"/>
    <w:rsid w:val="00F559D0"/>
    <w:rsid w:val="00F55C88"/>
    <w:rsid w:val="00F5653E"/>
    <w:rsid w:val="00F6120D"/>
    <w:rsid w:val="00F61879"/>
    <w:rsid w:val="00F62444"/>
    <w:rsid w:val="00F62858"/>
    <w:rsid w:val="00F629A4"/>
    <w:rsid w:val="00F63370"/>
    <w:rsid w:val="00F63BF6"/>
    <w:rsid w:val="00F63FC7"/>
    <w:rsid w:val="00F649FB"/>
    <w:rsid w:val="00F6573B"/>
    <w:rsid w:val="00F65F6B"/>
    <w:rsid w:val="00F65FB7"/>
    <w:rsid w:val="00F66F93"/>
    <w:rsid w:val="00F66F95"/>
    <w:rsid w:val="00F6764E"/>
    <w:rsid w:val="00F70553"/>
    <w:rsid w:val="00F705F2"/>
    <w:rsid w:val="00F71C37"/>
    <w:rsid w:val="00F72803"/>
    <w:rsid w:val="00F7312C"/>
    <w:rsid w:val="00F735B8"/>
    <w:rsid w:val="00F73E9F"/>
    <w:rsid w:val="00F7457C"/>
    <w:rsid w:val="00F74755"/>
    <w:rsid w:val="00F749FD"/>
    <w:rsid w:val="00F74E2C"/>
    <w:rsid w:val="00F7570A"/>
    <w:rsid w:val="00F7597A"/>
    <w:rsid w:val="00F75D53"/>
    <w:rsid w:val="00F7755C"/>
    <w:rsid w:val="00F7757E"/>
    <w:rsid w:val="00F7799E"/>
    <w:rsid w:val="00F77B7B"/>
    <w:rsid w:val="00F80231"/>
    <w:rsid w:val="00F80909"/>
    <w:rsid w:val="00F80B76"/>
    <w:rsid w:val="00F80E56"/>
    <w:rsid w:val="00F81006"/>
    <w:rsid w:val="00F81F2E"/>
    <w:rsid w:val="00F825FA"/>
    <w:rsid w:val="00F8260A"/>
    <w:rsid w:val="00F83288"/>
    <w:rsid w:val="00F8342A"/>
    <w:rsid w:val="00F835E1"/>
    <w:rsid w:val="00F8372F"/>
    <w:rsid w:val="00F84D9B"/>
    <w:rsid w:val="00F85228"/>
    <w:rsid w:val="00F85368"/>
    <w:rsid w:val="00F8592F"/>
    <w:rsid w:val="00F85ED4"/>
    <w:rsid w:val="00F869E2"/>
    <w:rsid w:val="00F87151"/>
    <w:rsid w:val="00F87BAA"/>
    <w:rsid w:val="00F90D92"/>
    <w:rsid w:val="00F90F24"/>
    <w:rsid w:val="00F911E5"/>
    <w:rsid w:val="00F9123E"/>
    <w:rsid w:val="00F91673"/>
    <w:rsid w:val="00F91DAB"/>
    <w:rsid w:val="00F91E6B"/>
    <w:rsid w:val="00F92FAE"/>
    <w:rsid w:val="00F93260"/>
    <w:rsid w:val="00F932EC"/>
    <w:rsid w:val="00F935F4"/>
    <w:rsid w:val="00F951B6"/>
    <w:rsid w:val="00F95400"/>
    <w:rsid w:val="00F95761"/>
    <w:rsid w:val="00F95B0D"/>
    <w:rsid w:val="00F96A66"/>
    <w:rsid w:val="00F971B8"/>
    <w:rsid w:val="00F9721A"/>
    <w:rsid w:val="00FA042A"/>
    <w:rsid w:val="00FA0593"/>
    <w:rsid w:val="00FA0819"/>
    <w:rsid w:val="00FA1195"/>
    <w:rsid w:val="00FA14AB"/>
    <w:rsid w:val="00FA1B60"/>
    <w:rsid w:val="00FA1E69"/>
    <w:rsid w:val="00FA32CD"/>
    <w:rsid w:val="00FA344B"/>
    <w:rsid w:val="00FA432E"/>
    <w:rsid w:val="00FA4535"/>
    <w:rsid w:val="00FA4F13"/>
    <w:rsid w:val="00FA5061"/>
    <w:rsid w:val="00FA54E2"/>
    <w:rsid w:val="00FA5830"/>
    <w:rsid w:val="00FA5B07"/>
    <w:rsid w:val="00FA5C0C"/>
    <w:rsid w:val="00FA5E3E"/>
    <w:rsid w:val="00FA650C"/>
    <w:rsid w:val="00FA6F31"/>
    <w:rsid w:val="00FA733E"/>
    <w:rsid w:val="00FB0390"/>
    <w:rsid w:val="00FB26B7"/>
    <w:rsid w:val="00FB2B32"/>
    <w:rsid w:val="00FB3E5A"/>
    <w:rsid w:val="00FB423B"/>
    <w:rsid w:val="00FB4E49"/>
    <w:rsid w:val="00FB6048"/>
    <w:rsid w:val="00FB60FC"/>
    <w:rsid w:val="00FB67D2"/>
    <w:rsid w:val="00FB71EB"/>
    <w:rsid w:val="00FB79D3"/>
    <w:rsid w:val="00FC0275"/>
    <w:rsid w:val="00FC1507"/>
    <w:rsid w:val="00FC1E64"/>
    <w:rsid w:val="00FC2BD3"/>
    <w:rsid w:val="00FC351F"/>
    <w:rsid w:val="00FC3919"/>
    <w:rsid w:val="00FC440A"/>
    <w:rsid w:val="00FC4FC2"/>
    <w:rsid w:val="00FC542A"/>
    <w:rsid w:val="00FC5810"/>
    <w:rsid w:val="00FC5E02"/>
    <w:rsid w:val="00FC653B"/>
    <w:rsid w:val="00FC65BC"/>
    <w:rsid w:val="00FC65E9"/>
    <w:rsid w:val="00FC6DFD"/>
    <w:rsid w:val="00FC7846"/>
    <w:rsid w:val="00FC7FD0"/>
    <w:rsid w:val="00FD059B"/>
    <w:rsid w:val="00FD0B13"/>
    <w:rsid w:val="00FD35B0"/>
    <w:rsid w:val="00FD377E"/>
    <w:rsid w:val="00FD45F7"/>
    <w:rsid w:val="00FD48EC"/>
    <w:rsid w:val="00FD51C5"/>
    <w:rsid w:val="00FD54BC"/>
    <w:rsid w:val="00FD586C"/>
    <w:rsid w:val="00FD750F"/>
    <w:rsid w:val="00FD7B03"/>
    <w:rsid w:val="00FE001B"/>
    <w:rsid w:val="00FE0063"/>
    <w:rsid w:val="00FE0806"/>
    <w:rsid w:val="00FE0EB1"/>
    <w:rsid w:val="00FE1213"/>
    <w:rsid w:val="00FE1375"/>
    <w:rsid w:val="00FE2D7F"/>
    <w:rsid w:val="00FE32AB"/>
    <w:rsid w:val="00FE402A"/>
    <w:rsid w:val="00FE6B2A"/>
    <w:rsid w:val="00FE7B87"/>
    <w:rsid w:val="00FE7CFF"/>
    <w:rsid w:val="00FF0147"/>
    <w:rsid w:val="00FF0D0B"/>
    <w:rsid w:val="00FF230B"/>
    <w:rsid w:val="00FF24DE"/>
    <w:rsid w:val="00FF2987"/>
    <w:rsid w:val="00FF4692"/>
    <w:rsid w:val="00FF4CBB"/>
    <w:rsid w:val="00FF555C"/>
    <w:rsid w:val="00FF565B"/>
    <w:rsid w:val="00FF6AD3"/>
    <w:rsid w:val="00FF6B89"/>
    <w:rsid w:val="00FF6F35"/>
    <w:rsid w:val="00FF7113"/>
    <w:rsid w:val="00FF72EB"/>
    <w:rsid w:val="00FF734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8F60343"/>
  <w15:docId w15:val="{9704CE4D-71F7-4A39-95BE-446D955AC4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5C90"/>
  </w:style>
  <w:style w:type="paragraph" w:styleId="Heading1">
    <w:name w:val="heading 1"/>
    <w:basedOn w:val="Normal"/>
    <w:next w:val="Normal"/>
    <w:link w:val="Heading1Char"/>
    <w:uiPriority w:val="9"/>
    <w:qFormat/>
    <w:rsid w:val="000B138F"/>
    <w:pPr>
      <w:keepNext/>
      <w:keepLines/>
      <w:spacing w:after="240" w:line="240" w:lineRule="auto"/>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644D03"/>
    <w:pPr>
      <w:keepNext/>
      <w:keepLines/>
      <w:spacing w:after="24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91B6F"/>
    <w:pPr>
      <w:keepNext/>
      <w:keepLines/>
      <w:spacing w:after="240" w:line="240" w:lineRule="auto"/>
      <w:outlineLvl w:val="2"/>
    </w:pPr>
    <w:rPr>
      <w:rFonts w:asciiTheme="majorHAnsi" w:eastAsiaTheme="majorEastAsia" w:hAnsiTheme="majorHAnsi" w:cstheme="majorBidi"/>
      <w:color w:val="2E74B5" w:themeColor="accent1" w:themeShade="BF"/>
      <w:sz w:val="24"/>
      <w:szCs w:val="24"/>
    </w:rPr>
  </w:style>
  <w:style w:type="paragraph" w:styleId="Heading4">
    <w:name w:val="heading 4"/>
    <w:basedOn w:val="Normal"/>
    <w:next w:val="Normal"/>
    <w:link w:val="Heading4Char"/>
    <w:uiPriority w:val="9"/>
    <w:unhideWhenUsed/>
    <w:qFormat/>
    <w:rsid w:val="00D9318C"/>
    <w:pPr>
      <w:keepNext/>
      <w:keepLines/>
      <w:spacing w:after="240" w:line="240" w:lineRule="auto"/>
      <w:outlineLvl w:val="3"/>
    </w:pPr>
    <w:rPr>
      <w:rFonts w:asciiTheme="majorHAnsi" w:eastAsiaTheme="majorEastAsia" w:hAnsiTheme="majorHAnsi" w:cstheme="majorBidi"/>
      <w:iCs/>
      <w:color w:val="2E74B5" w:themeColor="accent1" w:themeShade="BF"/>
    </w:rPr>
  </w:style>
  <w:style w:type="paragraph" w:styleId="Heading5">
    <w:name w:val="heading 5"/>
    <w:basedOn w:val="Normal"/>
    <w:next w:val="Normal"/>
    <w:link w:val="Heading5Char"/>
    <w:uiPriority w:val="9"/>
    <w:unhideWhenUsed/>
    <w:qFormat/>
    <w:rsid w:val="000C1D56"/>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E50A7B"/>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138F"/>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644D03"/>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E91B6F"/>
    <w:rPr>
      <w:rFonts w:asciiTheme="majorHAnsi" w:eastAsiaTheme="majorEastAsia" w:hAnsiTheme="majorHAnsi" w:cstheme="majorBidi"/>
      <w:color w:val="2E74B5" w:themeColor="accent1" w:themeShade="BF"/>
      <w:sz w:val="24"/>
      <w:szCs w:val="24"/>
    </w:rPr>
  </w:style>
  <w:style w:type="character" w:customStyle="1" w:styleId="Heading4Char">
    <w:name w:val="Heading 4 Char"/>
    <w:basedOn w:val="DefaultParagraphFont"/>
    <w:link w:val="Heading4"/>
    <w:uiPriority w:val="9"/>
    <w:rsid w:val="00D9318C"/>
    <w:rPr>
      <w:rFonts w:asciiTheme="majorHAnsi" w:eastAsiaTheme="majorEastAsia" w:hAnsiTheme="majorHAnsi" w:cstheme="majorBidi"/>
      <w:iCs/>
      <w:color w:val="2E74B5" w:themeColor="accent1" w:themeShade="BF"/>
    </w:rPr>
  </w:style>
  <w:style w:type="character" w:customStyle="1" w:styleId="Heading5Char">
    <w:name w:val="Heading 5 Char"/>
    <w:basedOn w:val="DefaultParagraphFont"/>
    <w:link w:val="Heading5"/>
    <w:uiPriority w:val="9"/>
    <w:rsid w:val="000C1D56"/>
    <w:rPr>
      <w:rFonts w:asciiTheme="majorHAnsi" w:eastAsiaTheme="majorEastAsia" w:hAnsiTheme="majorHAnsi" w:cstheme="majorBidi"/>
      <w:color w:val="2E74B5" w:themeColor="accent1" w:themeShade="BF"/>
    </w:rPr>
  </w:style>
  <w:style w:type="paragraph" w:styleId="ListParagraph">
    <w:name w:val="List Paragraph"/>
    <w:aliases w:val="RM1,Bullets,List Paragraph1,Figure Caption,soule1.1.1.,References,Numbered List Paragraph,Liste couleur - Accent 11,List Paragraph (numbered (a)),List Paragraph nowy,List Paragr,Liste 1,Medium Grid 1 - Accent 21,ReferencesCxSpLast"/>
    <w:basedOn w:val="Normal"/>
    <w:link w:val="ListParagraphChar"/>
    <w:uiPriority w:val="34"/>
    <w:qFormat/>
    <w:rsid w:val="00075334"/>
    <w:pPr>
      <w:ind w:left="720"/>
      <w:contextualSpacing/>
    </w:pPr>
  </w:style>
  <w:style w:type="character" w:customStyle="1" w:styleId="ListParagraphChar">
    <w:name w:val="List Paragraph Char"/>
    <w:aliases w:val="RM1 Char,Bullets Char,List Paragraph1 Char,Figure Caption Char,soule1.1.1. Char,References Char,Numbered List Paragraph Char,Liste couleur - Accent 11 Char,List Paragraph (numbered (a)) Char,List Paragraph nowy Char,List Paragr Char"/>
    <w:basedOn w:val="DefaultParagraphFont"/>
    <w:link w:val="ListParagraph"/>
    <w:uiPriority w:val="34"/>
    <w:qFormat/>
    <w:locked/>
    <w:rsid w:val="00632C08"/>
  </w:style>
  <w:style w:type="paragraph" w:styleId="NoSpacing">
    <w:name w:val="No Spacing"/>
    <w:link w:val="NoSpacingChar"/>
    <w:uiPriority w:val="1"/>
    <w:qFormat/>
    <w:rsid w:val="00075334"/>
    <w:pPr>
      <w:spacing w:after="0" w:line="240" w:lineRule="auto"/>
    </w:pPr>
  </w:style>
  <w:style w:type="character" w:customStyle="1" w:styleId="NoSpacingChar">
    <w:name w:val="No Spacing Char"/>
    <w:basedOn w:val="DefaultParagraphFont"/>
    <w:link w:val="NoSpacing"/>
    <w:uiPriority w:val="1"/>
    <w:rsid w:val="00CC0842"/>
  </w:style>
  <w:style w:type="character" w:styleId="Hyperlink">
    <w:name w:val="Hyperlink"/>
    <w:basedOn w:val="DefaultParagraphFont"/>
    <w:uiPriority w:val="99"/>
    <w:rsid w:val="00FB2B32"/>
    <w:rPr>
      <w:rFonts w:cs="Times New Roman"/>
      <w:color w:val="0000FF"/>
      <w:u w:val="single"/>
    </w:rPr>
  </w:style>
  <w:style w:type="paragraph" w:styleId="TOC3">
    <w:name w:val="toc 3"/>
    <w:basedOn w:val="Normal"/>
    <w:next w:val="Normal"/>
    <w:autoRedefine/>
    <w:uiPriority w:val="39"/>
    <w:rsid w:val="00FB2B32"/>
    <w:pPr>
      <w:spacing w:after="100" w:line="276" w:lineRule="auto"/>
      <w:ind w:left="440"/>
    </w:pPr>
    <w:rPr>
      <w:rFonts w:ascii="Calibri" w:eastAsia="Calibri" w:hAnsi="Calibri" w:cs="Times New Roman"/>
      <w:lang w:val="en-US"/>
    </w:rPr>
  </w:style>
  <w:style w:type="paragraph" w:styleId="NormalWeb">
    <w:name w:val="Normal (Web)"/>
    <w:basedOn w:val="Normal"/>
    <w:uiPriority w:val="99"/>
    <w:unhideWhenUsed/>
    <w:rsid w:val="0077093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cayt-misspell">
    <w:name w:val="scayt-misspell"/>
    <w:basedOn w:val="DefaultParagraphFont"/>
    <w:rsid w:val="00770934"/>
  </w:style>
  <w:style w:type="paragraph" w:styleId="Header">
    <w:name w:val="header"/>
    <w:basedOn w:val="Normal"/>
    <w:link w:val="HeaderChar"/>
    <w:uiPriority w:val="99"/>
    <w:unhideWhenUsed/>
    <w:rsid w:val="00463ED7"/>
    <w:pPr>
      <w:tabs>
        <w:tab w:val="center" w:pos="4536"/>
        <w:tab w:val="right" w:pos="9072"/>
      </w:tabs>
      <w:spacing w:after="0" w:line="240" w:lineRule="auto"/>
    </w:pPr>
  </w:style>
  <w:style w:type="character" w:customStyle="1" w:styleId="HeaderChar">
    <w:name w:val="Header Char"/>
    <w:basedOn w:val="DefaultParagraphFont"/>
    <w:link w:val="Header"/>
    <w:uiPriority w:val="99"/>
    <w:rsid w:val="00463ED7"/>
  </w:style>
  <w:style w:type="paragraph" w:styleId="Footer">
    <w:name w:val="footer"/>
    <w:basedOn w:val="Normal"/>
    <w:link w:val="FooterChar"/>
    <w:uiPriority w:val="99"/>
    <w:unhideWhenUsed/>
    <w:rsid w:val="00463ED7"/>
    <w:pPr>
      <w:tabs>
        <w:tab w:val="center" w:pos="4536"/>
        <w:tab w:val="right" w:pos="9072"/>
      </w:tabs>
      <w:spacing w:after="0" w:line="240" w:lineRule="auto"/>
    </w:pPr>
  </w:style>
  <w:style w:type="character" w:customStyle="1" w:styleId="FooterChar">
    <w:name w:val="Footer Char"/>
    <w:basedOn w:val="DefaultParagraphFont"/>
    <w:link w:val="Footer"/>
    <w:uiPriority w:val="99"/>
    <w:rsid w:val="00463ED7"/>
  </w:style>
  <w:style w:type="table" w:styleId="TableGrid">
    <w:name w:val="Table Grid"/>
    <w:basedOn w:val="TableNormal"/>
    <w:uiPriority w:val="39"/>
    <w:rsid w:val="00C868F2"/>
    <w:pPr>
      <w:spacing w:after="0" w:line="240" w:lineRule="auto"/>
    </w:pPr>
    <w:rPr>
      <w:rFonts w:ascii="Times New Roman" w:eastAsia="MS Mincho" w:hAnsi="Times New Roman" w:cs="Times New Roman"/>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2B7C55"/>
    <w:pPr>
      <w:outlineLvl w:val="9"/>
    </w:pPr>
    <w:rPr>
      <w:lang w:eastAsia="fr-FR"/>
    </w:rPr>
  </w:style>
  <w:style w:type="paragraph" w:styleId="TOC1">
    <w:name w:val="toc 1"/>
    <w:basedOn w:val="Normal"/>
    <w:next w:val="Normal"/>
    <w:autoRedefine/>
    <w:uiPriority w:val="39"/>
    <w:unhideWhenUsed/>
    <w:rsid w:val="002B7C55"/>
    <w:pPr>
      <w:spacing w:after="100"/>
    </w:pPr>
  </w:style>
  <w:style w:type="paragraph" w:styleId="TOC2">
    <w:name w:val="toc 2"/>
    <w:basedOn w:val="Normal"/>
    <w:next w:val="Normal"/>
    <w:autoRedefine/>
    <w:uiPriority w:val="39"/>
    <w:unhideWhenUsed/>
    <w:rsid w:val="002B7C55"/>
    <w:pPr>
      <w:spacing w:after="100"/>
      <w:ind w:left="220"/>
    </w:pPr>
  </w:style>
  <w:style w:type="character" w:styleId="CommentReference">
    <w:name w:val="annotation reference"/>
    <w:basedOn w:val="DefaultParagraphFont"/>
    <w:uiPriority w:val="99"/>
    <w:semiHidden/>
    <w:unhideWhenUsed/>
    <w:rsid w:val="00296B7D"/>
    <w:rPr>
      <w:sz w:val="16"/>
      <w:szCs w:val="16"/>
    </w:rPr>
  </w:style>
  <w:style w:type="paragraph" w:styleId="CommentText">
    <w:name w:val="annotation text"/>
    <w:basedOn w:val="Normal"/>
    <w:link w:val="CommentTextChar"/>
    <w:uiPriority w:val="99"/>
    <w:unhideWhenUsed/>
    <w:rsid w:val="00296B7D"/>
    <w:pPr>
      <w:spacing w:line="240" w:lineRule="auto"/>
    </w:pPr>
    <w:rPr>
      <w:sz w:val="20"/>
      <w:szCs w:val="20"/>
    </w:rPr>
  </w:style>
  <w:style w:type="character" w:customStyle="1" w:styleId="CommentTextChar">
    <w:name w:val="Comment Text Char"/>
    <w:basedOn w:val="DefaultParagraphFont"/>
    <w:link w:val="CommentText"/>
    <w:uiPriority w:val="99"/>
    <w:rsid w:val="00296B7D"/>
    <w:rPr>
      <w:sz w:val="20"/>
      <w:szCs w:val="20"/>
    </w:rPr>
  </w:style>
  <w:style w:type="paragraph" w:styleId="CommentSubject">
    <w:name w:val="annotation subject"/>
    <w:basedOn w:val="CommentText"/>
    <w:next w:val="CommentText"/>
    <w:link w:val="CommentSubjectChar"/>
    <w:uiPriority w:val="99"/>
    <w:semiHidden/>
    <w:unhideWhenUsed/>
    <w:rsid w:val="00296B7D"/>
    <w:rPr>
      <w:b/>
      <w:bCs/>
    </w:rPr>
  </w:style>
  <w:style w:type="character" w:customStyle="1" w:styleId="CommentSubjectChar">
    <w:name w:val="Comment Subject Char"/>
    <w:basedOn w:val="CommentTextChar"/>
    <w:link w:val="CommentSubject"/>
    <w:uiPriority w:val="99"/>
    <w:semiHidden/>
    <w:rsid w:val="00296B7D"/>
    <w:rPr>
      <w:b/>
      <w:bCs/>
      <w:sz w:val="20"/>
      <w:szCs w:val="20"/>
    </w:rPr>
  </w:style>
  <w:style w:type="paragraph" w:styleId="BalloonText">
    <w:name w:val="Balloon Text"/>
    <w:basedOn w:val="Normal"/>
    <w:link w:val="BalloonTextChar"/>
    <w:uiPriority w:val="99"/>
    <w:semiHidden/>
    <w:unhideWhenUsed/>
    <w:rsid w:val="00296B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B7D"/>
    <w:rPr>
      <w:rFonts w:ascii="Segoe UI" w:hAnsi="Segoe UI" w:cs="Segoe UI"/>
      <w:sz w:val="18"/>
      <w:szCs w:val="18"/>
    </w:rPr>
  </w:style>
  <w:style w:type="paragraph" w:styleId="FootnoteText">
    <w:name w:val="footnote text"/>
    <w:aliases w:val="fn,FOOTNOTES,single space,Footnote Text 1,footnote text,Footnote Text Char1,Footnote Text Char Char,Footnote Text Char Char Char Char Char Char,FSR footnote,Footnote,Fußnote,lábléc,Schriftart: 9 pt,Schriftart: 10 pt,Schriftart: 8 pt"/>
    <w:basedOn w:val="Normal"/>
    <w:link w:val="FootnoteTextChar"/>
    <w:uiPriority w:val="99"/>
    <w:unhideWhenUsed/>
    <w:qFormat/>
    <w:rsid w:val="00F71C37"/>
    <w:pPr>
      <w:spacing w:after="0" w:line="240" w:lineRule="auto"/>
    </w:pPr>
    <w:rPr>
      <w:sz w:val="20"/>
      <w:szCs w:val="20"/>
    </w:rPr>
  </w:style>
  <w:style w:type="character" w:customStyle="1" w:styleId="FootnoteTextChar">
    <w:name w:val="Footnote Text Char"/>
    <w:aliases w:val="fn Char,FOOTNOTES Char,single space Char,Footnote Text 1 Char,footnote text Char,Footnote Text Char1 Char,Footnote Text Char Char Char,Footnote Text Char Char Char Char Char Char Char,FSR footnote Char,Footnote Char,Fußnote Char"/>
    <w:basedOn w:val="DefaultParagraphFont"/>
    <w:link w:val="FootnoteText"/>
    <w:uiPriority w:val="99"/>
    <w:rsid w:val="00F71C37"/>
    <w:rPr>
      <w:sz w:val="20"/>
      <w:szCs w:val="20"/>
    </w:rPr>
  </w:style>
  <w:style w:type="character" w:styleId="FootnoteReference">
    <w:name w:val="footnote reference"/>
    <w:aliases w:val="ftref,fr,Footnote Reference Number,Footnote Reference_LVL6,Footnote Reference_LVL61,Footnote Reference_LVL62,Footnote Reference_LVL63,Footnote Reference_LVL64,Footnote symbol,Rabbani Footnote,Ref,de nota al pie,16 Point,SUPERS"/>
    <w:basedOn w:val="DefaultParagraphFont"/>
    <w:link w:val="BVIfnrCharCharCharCharCharChar1CharCharCharCharCharChar"/>
    <w:uiPriority w:val="99"/>
    <w:unhideWhenUsed/>
    <w:qFormat/>
    <w:rsid w:val="00F71C37"/>
    <w:rPr>
      <w:vertAlign w:val="superscript"/>
    </w:rPr>
  </w:style>
  <w:style w:type="paragraph" w:customStyle="1" w:styleId="BVIfnrCharCharCharCharCharChar1CharCharCharCharCharChar">
    <w:name w:val="BVI fnr Char Char Char Char Char Char1 Char Char Char Char Char Char"/>
    <w:aliases w:val="BVI fnr Car Car Char Char Char Char Char Char Char Char Char Char Char Char,BVI fnr Car Char Char Char Char Char Char Char Char Char Char Char Char Char"/>
    <w:basedOn w:val="Normal"/>
    <w:link w:val="FootnoteReference"/>
    <w:uiPriority w:val="99"/>
    <w:rsid w:val="00CC0842"/>
    <w:pPr>
      <w:spacing w:line="240" w:lineRule="exact"/>
    </w:pPr>
    <w:rPr>
      <w:vertAlign w:val="superscript"/>
    </w:rPr>
  </w:style>
  <w:style w:type="paragraph" w:styleId="HTMLPreformatted">
    <w:name w:val="HTML Preformatted"/>
    <w:basedOn w:val="Normal"/>
    <w:link w:val="HTMLPreformattedChar"/>
    <w:uiPriority w:val="99"/>
    <w:unhideWhenUsed/>
    <w:rsid w:val="008F3A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rsid w:val="008F3A6A"/>
    <w:rPr>
      <w:rFonts w:ascii="Courier New" w:eastAsia="Times New Roman" w:hAnsi="Courier New" w:cs="Courier New"/>
      <w:sz w:val="20"/>
      <w:szCs w:val="20"/>
      <w:lang w:eastAsia="fr-FR"/>
    </w:rPr>
  </w:style>
  <w:style w:type="character" w:styleId="Emphasis">
    <w:name w:val="Emphasis"/>
    <w:basedOn w:val="DefaultParagraphFont"/>
    <w:uiPriority w:val="20"/>
    <w:qFormat/>
    <w:rsid w:val="00E55BC9"/>
    <w:rPr>
      <w:i/>
      <w:iCs/>
    </w:rPr>
  </w:style>
  <w:style w:type="character" w:styleId="FollowedHyperlink">
    <w:name w:val="FollowedHyperlink"/>
    <w:basedOn w:val="DefaultParagraphFont"/>
    <w:uiPriority w:val="99"/>
    <w:semiHidden/>
    <w:unhideWhenUsed/>
    <w:rsid w:val="00632BA9"/>
    <w:rPr>
      <w:color w:val="954F72" w:themeColor="followedHyperlink"/>
      <w:u w:val="single"/>
    </w:rPr>
  </w:style>
  <w:style w:type="paragraph" w:customStyle="1" w:styleId="Default">
    <w:name w:val="Default"/>
    <w:rsid w:val="000E6944"/>
    <w:pPr>
      <w:autoSpaceDE w:val="0"/>
      <w:autoSpaceDN w:val="0"/>
      <w:adjustRightInd w:val="0"/>
      <w:spacing w:after="0" w:line="240" w:lineRule="auto"/>
    </w:pPr>
    <w:rPr>
      <w:rFonts w:ascii="Times New Roman" w:hAnsi="Times New Roman" w:cs="Times New Roman"/>
      <w:color w:val="000000"/>
      <w:sz w:val="24"/>
      <w:szCs w:val="24"/>
    </w:rPr>
  </w:style>
  <w:style w:type="character" w:styleId="SubtleReference">
    <w:name w:val="Subtle Reference"/>
    <w:basedOn w:val="DefaultParagraphFont"/>
    <w:uiPriority w:val="31"/>
    <w:qFormat/>
    <w:rsid w:val="007037F5"/>
    <w:rPr>
      <w:smallCaps/>
      <w:color w:val="5A5A5A" w:themeColor="text1" w:themeTint="A5"/>
    </w:rPr>
  </w:style>
  <w:style w:type="character" w:styleId="IntenseReference">
    <w:name w:val="Intense Reference"/>
    <w:basedOn w:val="DefaultParagraphFont"/>
    <w:uiPriority w:val="32"/>
    <w:qFormat/>
    <w:rsid w:val="007037F5"/>
    <w:rPr>
      <w:b/>
      <w:bCs/>
      <w:smallCaps/>
      <w:color w:val="5B9BD5" w:themeColor="accent1"/>
      <w:spacing w:val="5"/>
    </w:rPr>
  </w:style>
  <w:style w:type="character" w:styleId="Strong">
    <w:name w:val="Strong"/>
    <w:basedOn w:val="DefaultParagraphFont"/>
    <w:uiPriority w:val="22"/>
    <w:qFormat/>
    <w:rsid w:val="00995303"/>
    <w:rPr>
      <w:b/>
      <w:bCs/>
    </w:rPr>
  </w:style>
  <w:style w:type="character" w:customStyle="1" w:styleId="st">
    <w:name w:val="st"/>
    <w:basedOn w:val="DefaultParagraphFont"/>
    <w:rsid w:val="00995303"/>
  </w:style>
  <w:style w:type="paragraph" w:styleId="EndnoteText">
    <w:name w:val="endnote text"/>
    <w:basedOn w:val="Normal"/>
    <w:link w:val="EndnoteTextChar"/>
    <w:uiPriority w:val="99"/>
    <w:semiHidden/>
    <w:unhideWhenUsed/>
    <w:rsid w:val="00EF33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F339A"/>
    <w:rPr>
      <w:sz w:val="20"/>
      <w:szCs w:val="20"/>
    </w:rPr>
  </w:style>
  <w:style w:type="character" w:styleId="EndnoteReference">
    <w:name w:val="endnote reference"/>
    <w:basedOn w:val="DefaultParagraphFont"/>
    <w:uiPriority w:val="99"/>
    <w:semiHidden/>
    <w:unhideWhenUsed/>
    <w:rsid w:val="00EF339A"/>
    <w:rPr>
      <w:vertAlign w:val="superscript"/>
    </w:rPr>
  </w:style>
  <w:style w:type="character" w:customStyle="1" w:styleId="highlight">
    <w:name w:val="highlight"/>
    <w:basedOn w:val="DefaultParagraphFont"/>
    <w:rsid w:val="00761DEE"/>
  </w:style>
  <w:style w:type="table" w:customStyle="1" w:styleId="PlainTable31">
    <w:name w:val="Plain Table 31"/>
    <w:basedOn w:val="TableNormal"/>
    <w:uiPriority w:val="43"/>
    <w:rsid w:val="00CC0842"/>
    <w:pPr>
      <w:spacing w:after="0" w:line="240" w:lineRule="auto"/>
    </w:pPr>
    <w:rPr>
      <w:rFonts w:eastAsia="Times New Roman" w:hAnsi="Times New Roman" w:cs="Times New Roman"/>
      <w:lang w:val="fr-CA" w:eastAsia="fr-C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C0842"/>
    <w:pPr>
      <w:spacing w:after="0" w:line="240" w:lineRule="auto"/>
    </w:pPr>
    <w:rPr>
      <w:rFonts w:eastAsia="Times New Roman" w:hAnsi="Times New Roman" w:cs="Times New Roman"/>
      <w:lang w:val="fr-CA" w:eastAsia="fr-C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CC0842"/>
    <w:pPr>
      <w:spacing w:after="0" w:line="240" w:lineRule="auto"/>
    </w:pPr>
    <w:rPr>
      <w:rFonts w:eastAsia="Times New Roman" w:hAnsi="Times New Roman" w:cs="Times New Roman"/>
      <w:lang w:val="fr-CA" w:eastAsia="fr-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rsid w:val="00CC0842"/>
    <w:pPr>
      <w:spacing w:after="0" w:line="240" w:lineRule="auto"/>
    </w:pPr>
    <w:rPr>
      <w:rFonts w:ascii="inherit" w:eastAsia="Times New Roman" w:hAnsi="inherit" w:cs="Times New Roman"/>
      <w:sz w:val="24"/>
      <w:szCs w:val="24"/>
      <w:lang w:val="fr-CA" w:eastAsia="fr-CA"/>
    </w:rPr>
  </w:style>
  <w:style w:type="character" w:customStyle="1" w:styleId="shorttext">
    <w:name w:val="short_text"/>
    <w:basedOn w:val="DefaultParagraphFont"/>
    <w:rsid w:val="00CC0842"/>
  </w:style>
  <w:style w:type="character" w:customStyle="1" w:styleId="UnresolvedMention1">
    <w:name w:val="Unresolved Mention1"/>
    <w:basedOn w:val="DefaultParagraphFont"/>
    <w:uiPriority w:val="99"/>
    <w:semiHidden/>
    <w:unhideWhenUsed/>
    <w:rsid w:val="00CC0842"/>
    <w:rPr>
      <w:color w:val="808080"/>
      <w:shd w:val="clear" w:color="auto" w:fill="E6E6E6"/>
    </w:rPr>
  </w:style>
  <w:style w:type="paragraph" w:customStyle="1" w:styleId="MainParawithChapter">
    <w:name w:val="Main Para with Chapter#"/>
    <w:basedOn w:val="Normal"/>
    <w:link w:val="MainParawithChapterChar"/>
    <w:qFormat/>
    <w:rsid w:val="00F30751"/>
    <w:pPr>
      <w:numPr>
        <w:ilvl w:val="1"/>
        <w:numId w:val="8"/>
      </w:numPr>
      <w:spacing w:after="240" w:line="240" w:lineRule="auto"/>
      <w:outlineLvl w:val="1"/>
    </w:pPr>
    <w:rPr>
      <w:rFonts w:ascii="Times New Roman" w:eastAsia="Times New Roman" w:hAnsi="Times New Roman" w:cs="Times New Roman"/>
      <w:sz w:val="24"/>
      <w:szCs w:val="24"/>
      <w:lang w:val="en-US"/>
    </w:rPr>
  </w:style>
  <w:style w:type="character" w:customStyle="1" w:styleId="MainParawithChapterChar">
    <w:name w:val="Main Para with Chapter# Char"/>
    <w:link w:val="MainParawithChapter"/>
    <w:rsid w:val="00F30751"/>
    <w:rPr>
      <w:rFonts w:ascii="Times New Roman" w:eastAsia="Times New Roman" w:hAnsi="Times New Roman" w:cs="Times New Roman"/>
      <w:sz w:val="24"/>
      <w:szCs w:val="24"/>
      <w:lang w:val="en-US"/>
    </w:rPr>
  </w:style>
  <w:style w:type="paragraph" w:customStyle="1" w:styleId="Sub-Para1underXY">
    <w:name w:val="Sub-Para 1 under X.Y"/>
    <w:basedOn w:val="Normal"/>
    <w:rsid w:val="00F30751"/>
    <w:pPr>
      <w:numPr>
        <w:ilvl w:val="2"/>
        <w:numId w:val="8"/>
      </w:numPr>
      <w:tabs>
        <w:tab w:val="clear" w:pos="1440"/>
      </w:tabs>
      <w:spacing w:after="240" w:line="240" w:lineRule="auto"/>
      <w:ind w:left="1440" w:hanging="720"/>
      <w:outlineLvl w:val="2"/>
    </w:pPr>
    <w:rPr>
      <w:rFonts w:ascii="Times New Roman" w:eastAsia="Times New Roman" w:hAnsi="Times New Roman" w:cs="Times New Roman"/>
      <w:sz w:val="24"/>
      <w:szCs w:val="24"/>
      <w:lang w:val="en-US"/>
    </w:rPr>
  </w:style>
  <w:style w:type="paragraph" w:customStyle="1" w:styleId="Sub-Para2underXY">
    <w:name w:val="Sub-Para 2 under X.Y"/>
    <w:basedOn w:val="Normal"/>
    <w:rsid w:val="00F30751"/>
    <w:pPr>
      <w:spacing w:after="240" w:line="240" w:lineRule="auto"/>
      <w:ind w:left="2160" w:hanging="720"/>
      <w:outlineLvl w:val="3"/>
    </w:pPr>
    <w:rPr>
      <w:rFonts w:ascii="Times New Roman" w:eastAsia="Times New Roman" w:hAnsi="Times New Roman" w:cs="Times New Roman"/>
      <w:sz w:val="24"/>
      <w:szCs w:val="24"/>
      <w:lang w:val="en-US"/>
    </w:rPr>
  </w:style>
  <w:style w:type="paragraph" w:customStyle="1" w:styleId="Sub-Para3underXY">
    <w:name w:val="Sub-Para 3 under X.Y"/>
    <w:basedOn w:val="Normal"/>
    <w:rsid w:val="00F30751"/>
    <w:pPr>
      <w:spacing w:after="240" w:line="240" w:lineRule="auto"/>
      <w:ind w:left="2880" w:hanging="720"/>
      <w:outlineLvl w:val="4"/>
    </w:pPr>
    <w:rPr>
      <w:rFonts w:ascii="Times New Roman" w:eastAsia="Times New Roman" w:hAnsi="Times New Roman" w:cs="Times New Roman"/>
      <w:sz w:val="24"/>
      <w:szCs w:val="24"/>
      <w:lang w:val="en-US"/>
    </w:rPr>
  </w:style>
  <w:style w:type="paragraph" w:customStyle="1" w:styleId="Sub-Para4underXY">
    <w:name w:val="Sub-Para 4 under X.Y"/>
    <w:basedOn w:val="Normal"/>
    <w:rsid w:val="00F30751"/>
    <w:pPr>
      <w:spacing w:after="240" w:line="240" w:lineRule="auto"/>
      <w:ind w:left="3600" w:hanging="720"/>
      <w:outlineLvl w:val="5"/>
    </w:pPr>
    <w:rPr>
      <w:rFonts w:ascii="Times New Roman" w:eastAsia="Times New Roman" w:hAnsi="Times New Roman" w:cs="Times New Roman"/>
      <w:sz w:val="24"/>
      <w:szCs w:val="24"/>
      <w:lang w:val="en-US"/>
    </w:rPr>
  </w:style>
  <w:style w:type="paragraph" w:customStyle="1" w:styleId="BVIfnrCarCarCarCarChar">
    <w:name w:val="BVI fnr Car Car Car Car Char"/>
    <w:basedOn w:val="Normal"/>
    <w:uiPriority w:val="99"/>
    <w:rsid w:val="00F30751"/>
    <w:pPr>
      <w:spacing w:line="240" w:lineRule="exact"/>
    </w:pPr>
    <w:rPr>
      <w:rFonts w:eastAsia="Times New Roman" w:hAnsi="Times New Roman" w:cs="Times New Roman"/>
      <w:vertAlign w:val="superscript"/>
      <w:lang w:val="fr-CA" w:eastAsia="fr-CA"/>
    </w:rPr>
  </w:style>
  <w:style w:type="character" w:customStyle="1" w:styleId="fullarticletexte1">
    <w:name w:val="fullarticletexte1"/>
    <w:basedOn w:val="DefaultParagraphFont"/>
    <w:rsid w:val="00F30751"/>
    <w:rPr>
      <w:rFonts w:ascii="Arial" w:hAnsi="Arial" w:cs="Arial" w:hint="default"/>
      <w:b w:val="0"/>
      <w:bCs w:val="0"/>
      <w:sz w:val="20"/>
      <w:szCs w:val="20"/>
    </w:rPr>
  </w:style>
  <w:style w:type="character" w:styleId="IntenseEmphasis">
    <w:name w:val="Intense Emphasis"/>
    <w:basedOn w:val="DefaultParagraphFont"/>
    <w:uiPriority w:val="21"/>
    <w:qFormat/>
    <w:rsid w:val="00625D0A"/>
    <w:rPr>
      <w:i/>
      <w:iCs/>
      <w:color w:val="5B9BD5" w:themeColor="accent1"/>
    </w:rPr>
  </w:style>
  <w:style w:type="character" w:customStyle="1" w:styleId="st1">
    <w:name w:val="st1"/>
    <w:basedOn w:val="DefaultParagraphFont"/>
    <w:rsid w:val="00E16AE1"/>
  </w:style>
  <w:style w:type="table" w:customStyle="1" w:styleId="GridTable7Colorful-Accent31">
    <w:name w:val="Grid Table 7 Colorful - Accent 31"/>
    <w:basedOn w:val="TableNormal"/>
    <w:uiPriority w:val="52"/>
    <w:rsid w:val="00792A1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6Colorful-Accent31">
    <w:name w:val="Grid Table 6 Colorful - Accent 31"/>
    <w:basedOn w:val="TableNormal"/>
    <w:uiPriority w:val="51"/>
    <w:rsid w:val="00792A12"/>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6Colorful1">
    <w:name w:val="Grid Table 6 Colorful1"/>
    <w:basedOn w:val="TableNormal"/>
    <w:uiPriority w:val="51"/>
    <w:rsid w:val="00792A1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A96E70"/>
    <w:pPr>
      <w:spacing w:before="120" w:after="120" w:line="240" w:lineRule="auto"/>
      <w:jc w:val="center"/>
    </w:pPr>
    <w:rPr>
      <w:rFonts w:asciiTheme="majorHAnsi" w:hAnsiTheme="majorHAnsi"/>
      <w:iCs/>
      <w:color w:val="2E74B5" w:themeColor="accent1" w:themeShade="BF"/>
      <w:sz w:val="20"/>
      <w:szCs w:val="18"/>
    </w:rPr>
  </w:style>
  <w:style w:type="character" w:customStyle="1" w:styleId="tlid-translation">
    <w:name w:val="tlid-translation"/>
    <w:basedOn w:val="DefaultParagraphFont"/>
    <w:rsid w:val="00026617"/>
  </w:style>
  <w:style w:type="character" w:customStyle="1" w:styleId="Heading6Char">
    <w:name w:val="Heading 6 Char"/>
    <w:basedOn w:val="DefaultParagraphFont"/>
    <w:link w:val="Heading6"/>
    <w:uiPriority w:val="9"/>
    <w:rsid w:val="00E50A7B"/>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5733">
      <w:bodyDiv w:val="1"/>
      <w:marLeft w:val="0"/>
      <w:marRight w:val="0"/>
      <w:marTop w:val="0"/>
      <w:marBottom w:val="0"/>
      <w:divBdr>
        <w:top w:val="none" w:sz="0" w:space="0" w:color="auto"/>
        <w:left w:val="none" w:sz="0" w:space="0" w:color="auto"/>
        <w:bottom w:val="none" w:sz="0" w:space="0" w:color="auto"/>
        <w:right w:val="none" w:sz="0" w:space="0" w:color="auto"/>
      </w:divBdr>
    </w:div>
    <w:div w:id="49545793">
      <w:bodyDiv w:val="1"/>
      <w:marLeft w:val="0"/>
      <w:marRight w:val="0"/>
      <w:marTop w:val="0"/>
      <w:marBottom w:val="0"/>
      <w:divBdr>
        <w:top w:val="none" w:sz="0" w:space="0" w:color="auto"/>
        <w:left w:val="none" w:sz="0" w:space="0" w:color="auto"/>
        <w:bottom w:val="none" w:sz="0" w:space="0" w:color="auto"/>
        <w:right w:val="none" w:sz="0" w:space="0" w:color="auto"/>
      </w:divBdr>
    </w:div>
    <w:div w:id="62216356">
      <w:bodyDiv w:val="1"/>
      <w:marLeft w:val="0"/>
      <w:marRight w:val="0"/>
      <w:marTop w:val="0"/>
      <w:marBottom w:val="0"/>
      <w:divBdr>
        <w:top w:val="none" w:sz="0" w:space="0" w:color="auto"/>
        <w:left w:val="none" w:sz="0" w:space="0" w:color="auto"/>
        <w:bottom w:val="none" w:sz="0" w:space="0" w:color="auto"/>
        <w:right w:val="none" w:sz="0" w:space="0" w:color="auto"/>
      </w:divBdr>
      <w:divsChild>
        <w:div w:id="1613904036">
          <w:marLeft w:val="0"/>
          <w:marRight w:val="0"/>
          <w:marTop w:val="0"/>
          <w:marBottom w:val="0"/>
          <w:divBdr>
            <w:top w:val="none" w:sz="0" w:space="0" w:color="auto"/>
            <w:left w:val="none" w:sz="0" w:space="0" w:color="auto"/>
            <w:bottom w:val="none" w:sz="0" w:space="0" w:color="auto"/>
            <w:right w:val="none" w:sz="0" w:space="0" w:color="auto"/>
          </w:divBdr>
        </w:div>
      </w:divsChild>
    </w:div>
    <w:div w:id="64185340">
      <w:bodyDiv w:val="1"/>
      <w:marLeft w:val="0"/>
      <w:marRight w:val="0"/>
      <w:marTop w:val="0"/>
      <w:marBottom w:val="0"/>
      <w:divBdr>
        <w:top w:val="none" w:sz="0" w:space="0" w:color="auto"/>
        <w:left w:val="none" w:sz="0" w:space="0" w:color="auto"/>
        <w:bottom w:val="none" w:sz="0" w:space="0" w:color="auto"/>
        <w:right w:val="none" w:sz="0" w:space="0" w:color="auto"/>
      </w:divBdr>
      <w:divsChild>
        <w:div w:id="483930666">
          <w:marLeft w:val="0"/>
          <w:marRight w:val="0"/>
          <w:marTop w:val="0"/>
          <w:marBottom w:val="0"/>
          <w:divBdr>
            <w:top w:val="none" w:sz="0" w:space="0" w:color="auto"/>
            <w:left w:val="none" w:sz="0" w:space="0" w:color="auto"/>
            <w:bottom w:val="none" w:sz="0" w:space="0" w:color="auto"/>
            <w:right w:val="none" w:sz="0" w:space="0" w:color="auto"/>
          </w:divBdr>
        </w:div>
        <w:div w:id="606423563">
          <w:marLeft w:val="0"/>
          <w:marRight w:val="0"/>
          <w:marTop w:val="0"/>
          <w:marBottom w:val="0"/>
          <w:divBdr>
            <w:top w:val="none" w:sz="0" w:space="0" w:color="auto"/>
            <w:left w:val="none" w:sz="0" w:space="0" w:color="auto"/>
            <w:bottom w:val="none" w:sz="0" w:space="0" w:color="auto"/>
            <w:right w:val="none" w:sz="0" w:space="0" w:color="auto"/>
          </w:divBdr>
        </w:div>
      </w:divsChild>
    </w:div>
    <w:div w:id="145709891">
      <w:bodyDiv w:val="1"/>
      <w:marLeft w:val="0"/>
      <w:marRight w:val="0"/>
      <w:marTop w:val="0"/>
      <w:marBottom w:val="0"/>
      <w:divBdr>
        <w:top w:val="none" w:sz="0" w:space="0" w:color="auto"/>
        <w:left w:val="none" w:sz="0" w:space="0" w:color="auto"/>
        <w:bottom w:val="none" w:sz="0" w:space="0" w:color="auto"/>
        <w:right w:val="none" w:sz="0" w:space="0" w:color="auto"/>
      </w:divBdr>
    </w:div>
    <w:div w:id="166480640">
      <w:bodyDiv w:val="1"/>
      <w:marLeft w:val="0"/>
      <w:marRight w:val="0"/>
      <w:marTop w:val="0"/>
      <w:marBottom w:val="0"/>
      <w:divBdr>
        <w:top w:val="none" w:sz="0" w:space="0" w:color="auto"/>
        <w:left w:val="none" w:sz="0" w:space="0" w:color="auto"/>
        <w:bottom w:val="none" w:sz="0" w:space="0" w:color="auto"/>
        <w:right w:val="none" w:sz="0" w:space="0" w:color="auto"/>
      </w:divBdr>
      <w:divsChild>
        <w:div w:id="1013386668">
          <w:marLeft w:val="0"/>
          <w:marRight w:val="0"/>
          <w:marTop w:val="0"/>
          <w:marBottom w:val="0"/>
          <w:divBdr>
            <w:top w:val="none" w:sz="0" w:space="0" w:color="auto"/>
            <w:left w:val="none" w:sz="0" w:space="0" w:color="auto"/>
            <w:bottom w:val="none" w:sz="0" w:space="0" w:color="auto"/>
            <w:right w:val="none" w:sz="0" w:space="0" w:color="auto"/>
          </w:divBdr>
        </w:div>
        <w:div w:id="1169249708">
          <w:marLeft w:val="0"/>
          <w:marRight w:val="0"/>
          <w:marTop w:val="0"/>
          <w:marBottom w:val="0"/>
          <w:divBdr>
            <w:top w:val="none" w:sz="0" w:space="0" w:color="auto"/>
            <w:left w:val="none" w:sz="0" w:space="0" w:color="auto"/>
            <w:bottom w:val="none" w:sz="0" w:space="0" w:color="auto"/>
            <w:right w:val="none" w:sz="0" w:space="0" w:color="auto"/>
          </w:divBdr>
        </w:div>
        <w:div w:id="1274747974">
          <w:marLeft w:val="0"/>
          <w:marRight w:val="0"/>
          <w:marTop w:val="0"/>
          <w:marBottom w:val="0"/>
          <w:divBdr>
            <w:top w:val="none" w:sz="0" w:space="0" w:color="auto"/>
            <w:left w:val="none" w:sz="0" w:space="0" w:color="auto"/>
            <w:bottom w:val="none" w:sz="0" w:space="0" w:color="auto"/>
            <w:right w:val="none" w:sz="0" w:space="0" w:color="auto"/>
          </w:divBdr>
        </w:div>
      </w:divsChild>
    </w:div>
    <w:div w:id="336546435">
      <w:bodyDiv w:val="1"/>
      <w:marLeft w:val="0"/>
      <w:marRight w:val="0"/>
      <w:marTop w:val="0"/>
      <w:marBottom w:val="0"/>
      <w:divBdr>
        <w:top w:val="none" w:sz="0" w:space="0" w:color="auto"/>
        <w:left w:val="none" w:sz="0" w:space="0" w:color="auto"/>
        <w:bottom w:val="none" w:sz="0" w:space="0" w:color="auto"/>
        <w:right w:val="none" w:sz="0" w:space="0" w:color="auto"/>
      </w:divBdr>
      <w:divsChild>
        <w:div w:id="51657882">
          <w:marLeft w:val="0"/>
          <w:marRight w:val="0"/>
          <w:marTop w:val="0"/>
          <w:marBottom w:val="0"/>
          <w:divBdr>
            <w:top w:val="none" w:sz="0" w:space="0" w:color="auto"/>
            <w:left w:val="none" w:sz="0" w:space="0" w:color="auto"/>
            <w:bottom w:val="none" w:sz="0" w:space="0" w:color="auto"/>
            <w:right w:val="none" w:sz="0" w:space="0" w:color="auto"/>
          </w:divBdr>
        </w:div>
        <w:div w:id="791632081">
          <w:marLeft w:val="0"/>
          <w:marRight w:val="0"/>
          <w:marTop w:val="0"/>
          <w:marBottom w:val="0"/>
          <w:divBdr>
            <w:top w:val="none" w:sz="0" w:space="0" w:color="auto"/>
            <w:left w:val="none" w:sz="0" w:space="0" w:color="auto"/>
            <w:bottom w:val="none" w:sz="0" w:space="0" w:color="auto"/>
            <w:right w:val="none" w:sz="0" w:space="0" w:color="auto"/>
          </w:divBdr>
        </w:div>
        <w:div w:id="813912683">
          <w:marLeft w:val="0"/>
          <w:marRight w:val="0"/>
          <w:marTop w:val="0"/>
          <w:marBottom w:val="0"/>
          <w:divBdr>
            <w:top w:val="none" w:sz="0" w:space="0" w:color="auto"/>
            <w:left w:val="none" w:sz="0" w:space="0" w:color="auto"/>
            <w:bottom w:val="none" w:sz="0" w:space="0" w:color="auto"/>
            <w:right w:val="none" w:sz="0" w:space="0" w:color="auto"/>
          </w:divBdr>
        </w:div>
        <w:div w:id="1010645119">
          <w:marLeft w:val="0"/>
          <w:marRight w:val="0"/>
          <w:marTop w:val="0"/>
          <w:marBottom w:val="0"/>
          <w:divBdr>
            <w:top w:val="none" w:sz="0" w:space="0" w:color="auto"/>
            <w:left w:val="none" w:sz="0" w:space="0" w:color="auto"/>
            <w:bottom w:val="none" w:sz="0" w:space="0" w:color="auto"/>
            <w:right w:val="none" w:sz="0" w:space="0" w:color="auto"/>
          </w:divBdr>
        </w:div>
        <w:div w:id="1441224808">
          <w:marLeft w:val="0"/>
          <w:marRight w:val="0"/>
          <w:marTop w:val="0"/>
          <w:marBottom w:val="0"/>
          <w:divBdr>
            <w:top w:val="none" w:sz="0" w:space="0" w:color="auto"/>
            <w:left w:val="none" w:sz="0" w:space="0" w:color="auto"/>
            <w:bottom w:val="none" w:sz="0" w:space="0" w:color="auto"/>
            <w:right w:val="none" w:sz="0" w:space="0" w:color="auto"/>
          </w:divBdr>
        </w:div>
        <w:div w:id="1883050884">
          <w:marLeft w:val="0"/>
          <w:marRight w:val="0"/>
          <w:marTop w:val="0"/>
          <w:marBottom w:val="0"/>
          <w:divBdr>
            <w:top w:val="none" w:sz="0" w:space="0" w:color="auto"/>
            <w:left w:val="none" w:sz="0" w:space="0" w:color="auto"/>
            <w:bottom w:val="none" w:sz="0" w:space="0" w:color="auto"/>
            <w:right w:val="none" w:sz="0" w:space="0" w:color="auto"/>
          </w:divBdr>
        </w:div>
        <w:div w:id="1916862871">
          <w:marLeft w:val="0"/>
          <w:marRight w:val="0"/>
          <w:marTop w:val="0"/>
          <w:marBottom w:val="0"/>
          <w:divBdr>
            <w:top w:val="none" w:sz="0" w:space="0" w:color="auto"/>
            <w:left w:val="none" w:sz="0" w:space="0" w:color="auto"/>
            <w:bottom w:val="none" w:sz="0" w:space="0" w:color="auto"/>
            <w:right w:val="none" w:sz="0" w:space="0" w:color="auto"/>
          </w:divBdr>
        </w:div>
        <w:div w:id="2010594263">
          <w:marLeft w:val="0"/>
          <w:marRight w:val="0"/>
          <w:marTop w:val="0"/>
          <w:marBottom w:val="0"/>
          <w:divBdr>
            <w:top w:val="none" w:sz="0" w:space="0" w:color="auto"/>
            <w:left w:val="none" w:sz="0" w:space="0" w:color="auto"/>
            <w:bottom w:val="none" w:sz="0" w:space="0" w:color="auto"/>
            <w:right w:val="none" w:sz="0" w:space="0" w:color="auto"/>
          </w:divBdr>
        </w:div>
      </w:divsChild>
    </w:div>
    <w:div w:id="336855241">
      <w:bodyDiv w:val="1"/>
      <w:marLeft w:val="0"/>
      <w:marRight w:val="0"/>
      <w:marTop w:val="0"/>
      <w:marBottom w:val="0"/>
      <w:divBdr>
        <w:top w:val="none" w:sz="0" w:space="0" w:color="auto"/>
        <w:left w:val="none" w:sz="0" w:space="0" w:color="auto"/>
        <w:bottom w:val="none" w:sz="0" w:space="0" w:color="auto"/>
        <w:right w:val="none" w:sz="0" w:space="0" w:color="auto"/>
      </w:divBdr>
      <w:divsChild>
        <w:div w:id="11804411">
          <w:marLeft w:val="274"/>
          <w:marRight w:val="0"/>
          <w:marTop w:val="0"/>
          <w:marBottom w:val="0"/>
          <w:divBdr>
            <w:top w:val="none" w:sz="0" w:space="0" w:color="auto"/>
            <w:left w:val="none" w:sz="0" w:space="0" w:color="auto"/>
            <w:bottom w:val="none" w:sz="0" w:space="0" w:color="auto"/>
            <w:right w:val="none" w:sz="0" w:space="0" w:color="auto"/>
          </w:divBdr>
        </w:div>
        <w:div w:id="1260286244">
          <w:marLeft w:val="274"/>
          <w:marRight w:val="0"/>
          <w:marTop w:val="0"/>
          <w:marBottom w:val="0"/>
          <w:divBdr>
            <w:top w:val="none" w:sz="0" w:space="0" w:color="auto"/>
            <w:left w:val="none" w:sz="0" w:space="0" w:color="auto"/>
            <w:bottom w:val="none" w:sz="0" w:space="0" w:color="auto"/>
            <w:right w:val="none" w:sz="0" w:space="0" w:color="auto"/>
          </w:divBdr>
        </w:div>
      </w:divsChild>
    </w:div>
    <w:div w:id="374934010">
      <w:bodyDiv w:val="1"/>
      <w:marLeft w:val="0"/>
      <w:marRight w:val="0"/>
      <w:marTop w:val="0"/>
      <w:marBottom w:val="0"/>
      <w:divBdr>
        <w:top w:val="none" w:sz="0" w:space="0" w:color="auto"/>
        <w:left w:val="none" w:sz="0" w:space="0" w:color="auto"/>
        <w:bottom w:val="none" w:sz="0" w:space="0" w:color="auto"/>
        <w:right w:val="none" w:sz="0" w:space="0" w:color="auto"/>
      </w:divBdr>
    </w:div>
    <w:div w:id="379328249">
      <w:bodyDiv w:val="1"/>
      <w:marLeft w:val="0"/>
      <w:marRight w:val="0"/>
      <w:marTop w:val="0"/>
      <w:marBottom w:val="0"/>
      <w:divBdr>
        <w:top w:val="none" w:sz="0" w:space="0" w:color="auto"/>
        <w:left w:val="none" w:sz="0" w:space="0" w:color="auto"/>
        <w:bottom w:val="none" w:sz="0" w:space="0" w:color="auto"/>
        <w:right w:val="none" w:sz="0" w:space="0" w:color="auto"/>
      </w:divBdr>
      <w:divsChild>
        <w:div w:id="36397945">
          <w:marLeft w:val="0"/>
          <w:marRight w:val="0"/>
          <w:marTop w:val="0"/>
          <w:marBottom w:val="0"/>
          <w:divBdr>
            <w:top w:val="none" w:sz="0" w:space="0" w:color="auto"/>
            <w:left w:val="none" w:sz="0" w:space="0" w:color="auto"/>
            <w:bottom w:val="none" w:sz="0" w:space="0" w:color="auto"/>
            <w:right w:val="none" w:sz="0" w:space="0" w:color="auto"/>
          </w:divBdr>
        </w:div>
        <w:div w:id="55589407">
          <w:marLeft w:val="0"/>
          <w:marRight w:val="0"/>
          <w:marTop w:val="0"/>
          <w:marBottom w:val="0"/>
          <w:divBdr>
            <w:top w:val="none" w:sz="0" w:space="0" w:color="auto"/>
            <w:left w:val="none" w:sz="0" w:space="0" w:color="auto"/>
            <w:bottom w:val="none" w:sz="0" w:space="0" w:color="auto"/>
            <w:right w:val="none" w:sz="0" w:space="0" w:color="auto"/>
          </w:divBdr>
        </w:div>
        <w:div w:id="1261336134">
          <w:marLeft w:val="0"/>
          <w:marRight w:val="0"/>
          <w:marTop w:val="0"/>
          <w:marBottom w:val="0"/>
          <w:divBdr>
            <w:top w:val="none" w:sz="0" w:space="0" w:color="auto"/>
            <w:left w:val="none" w:sz="0" w:space="0" w:color="auto"/>
            <w:bottom w:val="none" w:sz="0" w:space="0" w:color="auto"/>
            <w:right w:val="none" w:sz="0" w:space="0" w:color="auto"/>
          </w:divBdr>
        </w:div>
        <w:div w:id="1324503606">
          <w:marLeft w:val="0"/>
          <w:marRight w:val="0"/>
          <w:marTop w:val="0"/>
          <w:marBottom w:val="0"/>
          <w:divBdr>
            <w:top w:val="none" w:sz="0" w:space="0" w:color="auto"/>
            <w:left w:val="none" w:sz="0" w:space="0" w:color="auto"/>
            <w:bottom w:val="none" w:sz="0" w:space="0" w:color="auto"/>
            <w:right w:val="none" w:sz="0" w:space="0" w:color="auto"/>
          </w:divBdr>
        </w:div>
        <w:div w:id="1390375118">
          <w:marLeft w:val="0"/>
          <w:marRight w:val="0"/>
          <w:marTop w:val="0"/>
          <w:marBottom w:val="0"/>
          <w:divBdr>
            <w:top w:val="none" w:sz="0" w:space="0" w:color="auto"/>
            <w:left w:val="none" w:sz="0" w:space="0" w:color="auto"/>
            <w:bottom w:val="none" w:sz="0" w:space="0" w:color="auto"/>
            <w:right w:val="none" w:sz="0" w:space="0" w:color="auto"/>
          </w:divBdr>
        </w:div>
        <w:div w:id="1589775123">
          <w:marLeft w:val="0"/>
          <w:marRight w:val="0"/>
          <w:marTop w:val="0"/>
          <w:marBottom w:val="0"/>
          <w:divBdr>
            <w:top w:val="none" w:sz="0" w:space="0" w:color="auto"/>
            <w:left w:val="none" w:sz="0" w:space="0" w:color="auto"/>
            <w:bottom w:val="none" w:sz="0" w:space="0" w:color="auto"/>
            <w:right w:val="none" w:sz="0" w:space="0" w:color="auto"/>
          </w:divBdr>
        </w:div>
        <w:div w:id="1726370867">
          <w:marLeft w:val="0"/>
          <w:marRight w:val="0"/>
          <w:marTop w:val="0"/>
          <w:marBottom w:val="0"/>
          <w:divBdr>
            <w:top w:val="none" w:sz="0" w:space="0" w:color="auto"/>
            <w:left w:val="none" w:sz="0" w:space="0" w:color="auto"/>
            <w:bottom w:val="none" w:sz="0" w:space="0" w:color="auto"/>
            <w:right w:val="none" w:sz="0" w:space="0" w:color="auto"/>
          </w:divBdr>
        </w:div>
        <w:div w:id="1965577102">
          <w:marLeft w:val="0"/>
          <w:marRight w:val="0"/>
          <w:marTop w:val="0"/>
          <w:marBottom w:val="0"/>
          <w:divBdr>
            <w:top w:val="none" w:sz="0" w:space="0" w:color="auto"/>
            <w:left w:val="none" w:sz="0" w:space="0" w:color="auto"/>
            <w:bottom w:val="none" w:sz="0" w:space="0" w:color="auto"/>
            <w:right w:val="none" w:sz="0" w:space="0" w:color="auto"/>
          </w:divBdr>
        </w:div>
        <w:div w:id="2121293537">
          <w:marLeft w:val="0"/>
          <w:marRight w:val="0"/>
          <w:marTop w:val="0"/>
          <w:marBottom w:val="0"/>
          <w:divBdr>
            <w:top w:val="none" w:sz="0" w:space="0" w:color="auto"/>
            <w:left w:val="none" w:sz="0" w:space="0" w:color="auto"/>
            <w:bottom w:val="none" w:sz="0" w:space="0" w:color="auto"/>
            <w:right w:val="none" w:sz="0" w:space="0" w:color="auto"/>
          </w:divBdr>
        </w:div>
      </w:divsChild>
    </w:div>
    <w:div w:id="386615033">
      <w:bodyDiv w:val="1"/>
      <w:marLeft w:val="0"/>
      <w:marRight w:val="0"/>
      <w:marTop w:val="0"/>
      <w:marBottom w:val="0"/>
      <w:divBdr>
        <w:top w:val="none" w:sz="0" w:space="0" w:color="auto"/>
        <w:left w:val="none" w:sz="0" w:space="0" w:color="auto"/>
        <w:bottom w:val="none" w:sz="0" w:space="0" w:color="auto"/>
        <w:right w:val="none" w:sz="0" w:space="0" w:color="auto"/>
      </w:divBdr>
    </w:div>
    <w:div w:id="437677733">
      <w:bodyDiv w:val="1"/>
      <w:marLeft w:val="0"/>
      <w:marRight w:val="0"/>
      <w:marTop w:val="0"/>
      <w:marBottom w:val="0"/>
      <w:divBdr>
        <w:top w:val="none" w:sz="0" w:space="0" w:color="auto"/>
        <w:left w:val="none" w:sz="0" w:space="0" w:color="auto"/>
        <w:bottom w:val="none" w:sz="0" w:space="0" w:color="auto"/>
        <w:right w:val="none" w:sz="0" w:space="0" w:color="auto"/>
      </w:divBdr>
    </w:div>
    <w:div w:id="451753621">
      <w:bodyDiv w:val="1"/>
      <w:marLeft w:val="0"/>
      <w:marRight w:val="0"/>
      <w:marTop w:val="0"/>
      <w:marBottom w:val="0"/>
      <w:divBdr>
        <w:top w:val="none" w:sz="0" w:space="0" w:color="auto"/>
        <w:left w:val="none" w:sz="0" w:space="0" w:color="auto"/>
        <w:bottom w:val="none" w:sz="0" w:space="0" w:color="auto"/>
        <w:right w:val="none" w:sz="0" w:space="0" w:color="auto"/>
      </w:divBdr>
    </w:div>
    <w:div w:id="533075994">
      <w:bodyDiv w:val="1"/>
      <w:marLeft w:val="0"/>
      <w:marRight w:val="0"/>
      <w:marTop w:val="0"/>
      <w:marBottom w:val="0"/>
      <w:divBdr>
        <w:top w:val="none" w:sz="0" w:space="0" w:color="auto"/>
        <w:left w:val="none" w:sz="0" w:space="0" w:color="auto"/>
        <w:bottom w:val="none" w:sz="0" w:space="0" w:color="auto"/>
        <w:right w:val="none" w:sz="0" w:space="0" w:color="auto"/>
      </w:divBdr>
      <w:divsChild>
        <w:div w:id="275059931">
          <w:marLeft w:val="0"/>
          <w:marRight w:val="0"/>
          <w:marTop w:val="0"/>
          <w:marBottom w:val="0"/>
          <w:divBdr>
            <w:top w:val="none" w:sz="0" w:space="0" w:color="auto"/>
            <w:left w:val="none" w:sz="0" w:space="0" w:color="auto"/>
            <w:bottom w:val="none" w:sz="0" w:space="0" w:color="auto"/>
            <w:right w:val="none" w:sz="0" w:space="0" w:color="auto"/>
          </w:divBdr>
        </w:div>
        <w:div w:id="801266909">
          <w:marLeft w:val="0"/>
          <w:marRight w:val="0"/>
          <w:marTop w:val="0"/>
          <w:marBottom w:val="0"/>
          <w:divBdr>
            <w:top w:val="none" w:sz="0" w:space="0" w:color="auto"/>
            <w:left w:val="none" w:sz="0" w:space="0" w:color="auto"/>
            <w:bottom w:val="none" w:sz="0" w:space="0" w:color="auto"/>
            <w:right w:val="none" w:sz="0" w:space="0" w:color="auto"/>
          </w:divBdr>
        </w:div>
        <w:div w:id="1922257402">
          <w:marLeft w:val="0"/>
          <w:marRight w:val="0"/>
          <w:marTop w:val="0"/>
          <w:marBottom w:val="0"/>
          <w:divBdr>
            <w:top w:val="none" w:sz="0" w:space="0" w:color="auto"/>
            <w:left w:val="none" w:sz="0" w:space="0" w:color="auto"/>
            <w:bottom w:val="none" w:sz="0" w:space="0" w:color="auto"/>
            <w:right w:val="none" w:sz="0" w:space="0" w:color="auto"/>
          </w:divBdr>
        </w:div>
      </w:divsChild>
    </w:div>
    <w:div w:id="554121144">
      <w:bodyDiv w:val="1"/>
      <w:marLeft w:val="0"/>
      <w:marRight w:val="0"/>
      <w:marTop w:val="0"/>
      <w:marBottom w:val="0"/>
      <w:divBdr>
        <w:top w:val="none" w:sz="0" w:space="0" w:color="auto"/>
        <w:left w:val="none" w:sz="0" w:space="0" w:color="auto"/>
        <w:bottom w:val="none" w:sz="0" w:space="0" w:color="auto"/>
        <w:right w:val="none" w:sz="0" w:space="0" w:color="auto"/>
      </w:divBdr>
    </w:div>
    <w:div w:id="555967953">
      <w:bodyDiv w:val="1"/>
      <w:marLeft w:val="0"/>
      <w:marRight w:val="0"/>
      <w:marTop w:val="0"/>
      <w:marBottom w:val="0"/>
      <w:divBdr>
        <w:top w:val="none" w:sz="0" w:space="0" w:color="auto"/>
        <w:left w:val="none" w:sz="0" w:space="0" w:color="auto"/>
        <w:bottom w:val="none" w:sz="0" w:space="0" w:color="auto"/>
        <w:right w:val="none" w:sz="0" w:space="0" w:color="auto"/>
      </w:divBdr>
      <w:divsChild>
        <w:div w:id="799618545">
          <w:marLeft w:val="0"/>
          <w:marRight w:val="0"/>
          <w:marTop w:val="0"/>
          <w:marBottom w:val="0"/>
          <w:divBdr>
            <w:top w:val="none" w:sz="0" w:space="0" w:color="auto"/>
            <w:left w:val="none" w:sz="0" w:space="0" w:color="auto"/>
            <w:bottom w:val="none" w:sz="0" w:space="0" w:color="auto"/>
            <w:right w:val="none" w:sz="0" w:space="0" w:color="auto"/>
          </w:divBdr>
        </w:div>
        <w:div w:id="1150485004">
          <w:marLeft w:val="0"/>
          <w:marRight w:val="0"/>
          <w:marTop w:val="0"/>
          <w:marBottom w:val="0"/>
          <w:divBdr>
            <w:top w:val="none" w:sz="0" w:space="0" w:color="auto"/>
            <w:left w:val="none" w:sz="0" w:space="0" w:color="auto"/>
            <w:bottom w:val="none" w:sz="0" w:space="0" w:color="auto"/>
            <w:right w:val="none" w:sz="0" w:space="0" w:color="auto"/>
          </w:divBdr>
        </w:div>
        <w:div w:id="1735548062">
          <w:marLeft w:val="0"/>
          <w:marRight w:val="0"/>
          <w:marTop w:val="0"/>
          <w:marBottom w:val="0"/>
          <w:divBdr>
            <w:top w:val="none" w:sz="0" w:space="0" w:color="auto"/>
            <w:left w:val="none" w:sz="0" w:space="0" w:color="auto"/>
            <w:bottom w:val="none" w:sz="0" w:space="0" w:color="auto"/>
            <w:right w:val="none" w:sz="0" w:space="0" w:color="auto"/>
          </w:divBdr>
        </w:div>
        <w:div w:id="2099446088">
          <w:marLeft w:val="0"/>
          <w:marRight w:val="0"/>
          <w:marTop w:val="0"/>
          <w:marBottom w:val="0"/>
          <w:divBdr>
            <w:top w:val="none" w:sz="0" w:space="0" w:color="auto"/>
            <w:left w:val="none" w:sz="0" w:space="0" w:color="auto"/>
            <w:bottom w:val="none" w:sz="0" w:space="0" w:color="auto"/>
            <w:right w:val="none" w:sz="0" w:space="0" w:color="auto"/>
          </w:divBdr>
        </w:div>
      </w:divsChild>
    </w:div>
    <w:div w:id="563682804">
      <w:bodyDiv w:val="1"/>
      <w:marLeft w:val="0"/>
      <w:marRight w:val="0"/>
      <w:marTop w:val="0"/>
      <w:marBottom w:val="0"/>
      <w:divBdr>
        <w:top w:val="none" w:sz="0" w:space="0" w:color="auto"/>
        <w:left w:val="none" w:sz="0" w:space="0" w:color="auto"/>
        <w:bottom w:val="none" w:sz="0" w:space="0" w:color="auto"/>
        <w:right w:val="none" w:sz="0" w:space="0" w:color="auto"/>
      </w:divBdr>
      <w:divsChild>
        <w:div w:id="67920777">
          <w:marLeft w:val="0"/>
          <w:marRight w:val="0"/>
          <w:marTop w:val="0"/>
          <w:marBottom w:val="0"/>
          <w:divBdr>
            <w:top w:val="none" w:sz="0" w:space="0" w:color="auto"/>
            <w:left w:val="none" w:sz="0" w:space="0" w:color="auto"/>
            <w:bottom w:val="none" w:sz="0" w:space="0" w:color="auto"/>
            <w:right w:val="none" w:sz="0" w:space="0" w:color="auto"/>
          </w:divBdr>
        </w:div>
        <w:div w:id="189729165">
          <w:marLeft w:val="0"/>
          <w:marRight w:val="0"/>
          <w:marTop w:val="0"/>
          <w:marBottom w:val="0"/>
          <w:divBdr>
            <w:top w:val="none" w:sz="0" w:space="0" w:color="auto"/>
            <w:left w:val="none" w:sz="0" w:space="0" w:color="auto"/>
            <w:bottom w:val="none" w:sz="0" w:space="0" w:color="auto"/>
            <w:right w:val="none" w:sz="0" w:space="0" w:color="auto"/>
          </w:divBdr>
        </w:div>
        <w:div w:id="431823990">
          <w:marLeft w:val="0"/>
          <w:marRight w:val="0"/>
          <w:marTop w:val="0"/>
          <w:marBottom w:val="0"/>
          <w:divBdr>
            <w:top w:val="none" w:sz="0" w:space="0" w:color="auto"/>
            <w:left w:val="none" w:sz="0" w:space="0" w:color="auto"/>
            <w:bottom w:val="none" w:sz="0" w:space="0" w:color="auto"/>
            <w:right w:val="none" w:sz="0" w:space="0" w:color="auto"/>
          </w:divBdr>
        </w:div>
        <w:div w:id="1339581109">
          <w:marLeft w:val="0"/>
          <w:marRight w:val="0"/>
          <w:marTop w:val="0"/>
          <w:marBottom w:val="0"/>
          <w:divBdr>
            <w:top w:val="none" w:sz="0" w:space="0" w:color="auto"/>
            <w:left w:val="none" w:sz="0" w:space="0" w:color="auto"/>
            <w:bottom w:val="none" w:sz="0" w:space="0" w:color="auto"/>
            <w:right w:val="none" w:sz="0" w:space="0" w:color="auto"/>
          </w:divBdr>
        </w:div>
        <w:div w:id="1426069440">
          <w:marLeft w:val="0"/>
          <w:marRight w:val="0"/>
          <w:marTop w:val="0"/>
          <w:marBottom w:val="0"/>
          <w:divBdr>
            <w:top w:val="none" w:sz="0" w:space="0" w:color="auto"/>
            <w:left w:val="none" w:sz="0" w:space="0" w:color="auto"/>
            <w:bottom w:val="none" w:sz="0" w:space="0" w:color="auto"/>
            <w:right w:val="none" w:sz="0" w:space="0" w:color="auto"/>
          </w:divBdr>
        </w:div>
        <w:div w:id="1724595818">
          <w:marLeft w:val="0"/>
          <w:marRight w:val="0"/>
          <w:marTop w:val="0"/>
          <w:marBottom w:val="0"/>
          <w:divBdr>
            <w:top w:val="none" w:sz="0" w:space="0" w:color="auto"/>
            <w:left w:val="none" w:sz="0" w:space="0" w:color="auto"/>
            <w:bottom w:val="none" w:sz="0" w:space="0" w:color="auto"/>
            <w:right w:val="none" w:sz="0" w:space="0" w:color="auto"/>
          </w:divBdr>
        </w:div>
        <w:div w:id="1946233587">
          <w:marLeft w:val="0"/>
          <w:marRight w:val="0"/>
          <w:marTop w:val="0"/>
          <w:marBottom w:val="0"/>
          <w:divBdr>
            <w:top w:val="none" w:sz="0" w:space="0" w:color="auto"/>
            <w:left w:val="none" w:sz="0" w:space="0" w:color="auto"/>
            <w:bottom w:val="none" w:sz="0" w:space="0" w:color="auto"/>
            <w:right w:val="none" w:sz="0" w:space="0" w:color="auto"/>
          </w:divBdr>
        </w:div>
        <w:div w:id="1974940262">
          <w:marLeft w:val="0"/>
          <w:marRight w:val="0"/>
          <w:marTop w:val="0"/>
          <w:marBottom w:val="0"/>
          <w:divBdr>
            <w:top w:val="none" w:sz="0" w:space="0" w:color="auto"/>
            <w:left w:val="none" w:sz="0" w:space="0" w:color="auto"/>
            <w:bottom w:val="none" w:sz="0" w:space="0" w:color="auto"/>
            <w:right w:val="none" w:sz="0" w:space="0" w:color="auto"/>
          </w:divBdr>
        </w:div>
      </w:divsChild>
    </w:div>
    <w:div w:id="624316314">
      <w:bodyDiv w:val="1"/>
      <w:marLeft w:val="0"/>
      <w:marRight w:val="0"/>
      <w:marTop w:val="0"/>
      <w:marBottom w:val="0"/>
      <w:divBdr>
        <w:top w:val="none" w:sz="0" w:space="0" w:color="auto"/>
        <w:left w:val="none" w:sz="0" w:space="0" w:color="auto"/>
        <w:bottom w:val="none" w:sz="0" w:space="0" w:color="auto"/>
        <w:right w:val="none" w:sz="0" w:space="0" w:color="auto"/>
      </w:divBdr>
    </w:div>
    <w:div w:id="759176626">
      <w:bodyDiv w:val="1"/>
      <w:marLeft w:val="0"/>
      <w:marRight w:val="0"/>
      <w:marTop w:val="0"/>
      <w:marBottom w:val="0"/>
      <w:divBdr>
        <w:top w:val="none" w:sz="0" w:space="0" w:color="auto"/>
        <w:left w:val="none" w:sz="0" w:space="0" w:color="auto"/>
        <w:bottom w:val="none" w:sz="0" w:space="0" w:color="auto"/>
        <w:right w:val="none" w:sz="0" w:space="0" w:color="auto"/>
      </w:divBdr>
    </w:div>
    <w:div w:id="812452134">
      <w:bodyDiv w:val="1"/>
      <w:marLeft w:val="0"/>
      <w:marRight w:val="0"/>
      <w:marTop w:val="0"/>
      <w:marBottom w:val="0"/>
      <w:divBdr>
        <w:top w:val="none" w:sz="0" w:space="0" w:color="auto"/>
        <w:left w:val="none" w:sz="0" w:space="0" w:color="auto"/>
        <w:bottom w:val="none" w:sz="0" w:space="0" w:color="auto"/>
        <w:right w:val="none" w:sz="0" w:space="0" w:color="auto"/>
      </w:divBdr>
    </w:div>
    <w:div w:id="888804650">
      <w:bodyDiv w:val="1"/>
      <w:marLeft w:val="0"/>
      <w:marRight w:val="0"/>
      <w:marTop w:val="0"/>
      <w:marBottom w:val="0"/>
      <w:divBdr>
        <w:top w:val="none" w:sz="0" w:space="0" w:color="auto"/>
        <w:left w:val="none" w:sz="0" w:space="0" w:color="auto"/>
        <w:bottom w:val="none" w:sz="0" w:space="0" w:color="auto"/>
        <w:right w:val="none" w:sz="0" w:space="0" w:color="auto"/>
      </w:divBdr>
      <w:divsChild>
        <w:div w:id="293407646">
          <w:marLeft w:val="0"/>
          <w:marRight w:val="0"/>
          <w:marTop w:val="0"/>
          <w:marBottom w:val="0"/>
          <w:divBdr>
            <w:top w:val="none" w:sz="0" w:space="0" w:color="auto"/>
            <w:left w:val="none" w:sz="0" w:space="0" w:color="auto"/>
            <w:bottom w:val="none" w:sz="0" w:space="0" w:color="auto"/>
            <w:right w:val="none" w:sz="0" w:space="0" w:color="auto"/>
          </w:divBdr>
        </w:div>
        <w:div w:id="293605984">
          <w:marLeft w:val="0"/>
          <w:marRight w:val="0"/>
          <w:marTop w:val="0"/>
          <w:marBottom w:val="0"/>
          <w:divBdr>
            <w:top w:val="none" w:sz="0" w:space="0" w:color="auto"/>
            <w:left w:val="none" w:sz="0" w:space="0" w:color="auto"/>
            <w:bottom w:val="none" w:sz="0" w:space="0" w:color="auto"/>
            <w:right w:val="none" w:sz="0" w:space="0" w:color="auto"/>
          </w:divBdr>
        </w:div>
        <w:div w:id="808208911">
          <w:marLeft w:val="0"/>
          <w:marRight w:val="0"/>
          <w:marTop w:val="0"/>
          <w:marBottom w:val="0"/>
          <w:divBdr>
            <w:top w:val="none" w:sz="0" w:space="0" w:color="auto"/>
            <w:left w:val="none" w:sz="0" w:space="0" w:color="auto"/>
            <w:bottom w:val="none" w:sz="0" w:space="0" w:color="auto"/>
            <w:right w:val="none" w:sz="0" w:space="0" w:color="auto"/>
          </w:divBdr>
        </w:div>
        <w:div w:id="898369072">
          <w:marLeft w:val="0"/>
          <w:marRight w:val="0"/>
          <w:marTop w:val="0"/>
          <w:marBottom w:val="0"/>
          <w:divBdr>
            <w:top w:val="none" w:sz="0" w:space="0" w:color="auto"/>
            <w:left w:val="none" w:sz="0" w:space="0" w:color="auto"/>
            <w:bottom w:val="none" w:sz="0" w:space="0" w:color="auto"/>
            <w:right w:val="none" w:sz="0" w:space="0" w:color="auto"/>
          </w:divBdr>
        </w:div>
        <w:div w:id="1567102781">
          <w:marLeft w:val="0"/>
          <w:marRight w:val="0"/>
          <w:marTop w:val="0"/>
          <w:marBottom w:val="0"/>
          <w:divBdr>
            <w:top w:val="none" w:sz="0" w:space="0" w:color="auto"/>
            <w:left w:val="none" w:sz="0" w:space="0" w:color="auto"/>
            <w:bottom w:val="none" w:sz="0" w:space="0" w:color="auto"/>
            <w:right w:val="none" w:sz="0" w:space="0" w:color="auto"/>
          </w:divBdr>
        </w:div>
        <w:div w:id="1657538728">
          <w:marLeft w:val="0"/>
          <w:marRight w:val="0"/>
          <w:marTop w:val="0"/>
          <w:marBottom w:val="0"/>
          <w:divBdr>
            <w:top w:val="none" w:sz="0" w:space="0" w:color="auto"/>
            <w:left w:val="none" w:sz="0" w:space="0" w:color="auto"/>
            <w:bottom w:val="none" w:sz="0" w:space="0" w:color="auto"/>
            <w:right w:val="none" w:sz="0" w:space="0" w:color="auto"/>
          </w:divBdr>
        </w:div>
        <w:div w:id="1832066470">
          <w:marLeft w:val="0"/>
          <w:marRight w:val="0"/>
          <w:marTop w:val="0"/>
          <w:marBottom w:val="0"/>
          <w:divBdr>
            <w:top w:val="none" w:sz="0" w:space="0" w:color="auto"/>
            <w:left w:val="none" w:sz="0" w:space="0" w:color="auto"/>
            <w:bottom w:val="none" w:sz="0" w:space="0" w:color="auto"/>
            <w:right w:val="none" w:sz="0" w:space="0" w:color="auto"/>
          </w:divBdr>
        </w:div>
        <w:div w:id="1989045782">
          <w:marLeft w:val="0"/>
          <w:marRight w:val="0"/>
          <w:marTop w:val="0"/>
          <w:marBottom w:val="0"/>
          <w:divBdr>
            <w:top w:val="none" w:sz="0" w:space="0" w:color="auto"/>
            <w:left w:val="none" w:sz="0" w:space="0" w:color="auto"/>
            <w:bottom w:val="none" w:sz="0" w:space="0" w:color="auto"/>
            <w:right w:val="none" w:sz="0" w:space="0" w:color="auto"/>
          </w:divBdr>
        </w:div>
      </w:divsChild>
    </w:div>
    <w:div w:id="900361926">
      <w:bodyDiv w:val="1"/>
      <w:marLeft w:val="0"/>
      <w:marRight w:val="0"/>
      <w:marTop w:val="0"/>
      <w:marBottom w:val="0"/>
      <w:divBdr>
        <w:top w:val="none" w:sz="0" w:space="0" w:color="auto"/>
        <w:left w:val="none" w:sz="0" w:space="0" w:color="auto"/>
        <w:bottom w:val="none" w:sz="0" w:space="0" w:color="auto"/>
        <w:right w:val="none" w:sz="0" w:space="0" w:color="auto"/>
      </w:divBdr>
    </w:div>
    <w:div w:id="931739146">
      <w:bodyDiv w:val="1"/>
      <w:marLeft w:val="0"/>
      <w:marRight w:val="0"/>
      <w:marTop w:val="0"/>
      <w:marBottom w:val="0"/>
      <w:divBdr>
        <w:top w:val="none" w:sz="0" w:space="0" w:color="auto"/>
        <w:left w:val="none" w:sz="0" w:space="0" w:color="auto"/>
        <w:bottom w:val="none" w:sz="0" w:space="0" w:color="auto"/>
        <w:right w:val="none" w:sz="0" w:space="0" w:color="auto"/>
      </w:divBdr>
    </w:div>
    <w:div w:id="990644968">
      <w:bodyDiv w:val="1"/>
      <w:marLeft w:val="0"/>
      <w:marRight w:val="0"/>
      <w:marTop w:val="0"/>
      <w:marBottom w:val="0"/>
      <w:divBdr>
        <w:top w:val="none" w:sz="0" w:space="0" w:color="auto"/>
        <w:left w:val="none" w:sz="0" w:space="0" w:color="auto"/>
        <w:bottom w:val="none" w:sz="0" w:space="0" w:color="auto"/>
        <w:right w:val="none" w:sz="0" w:space="0" w:color="auto"/>
      </w:divBdr>
      <w:divsChild>
        <w:div w:id="2033608326">
          <w:marLeft w:val="446"/>
          <w:marRight w:val="0"/>
          <w:marTop w:val="0"/>
          <w:marBottom w:val="0"/>
          <w:divBdr>
            <w:top w:val="none" w:sz="0" w:space="0" w:color="auto"/>
            <w:left w:val="none" w:sz="0" w:space="0" w:color="auto"/>
            <w:bottom w:val="none" w:sz="0" w:space="0" w:color="auto"/>
            <w:right w:val="none" w:sz="0" w:space="0" w:color="auto"/>
          </w:divBdr>
        </w:div>
      </w:divsChild>
    </w:div>
    <w:div w:id="995500942">
      <w:bodyDiv w:val="1"/>
      <w:marLeft w:val="0"/>
      <w:marRight w:val="0"/>
      <w:marTop w:val="0"/>
      <w:marBottom w:val="0"/>
      <w:divBdr>
        <w:top w:val="none" w:sz="0" w:space="0" w:color="auto"/>
        <w:left w:val="none" w:sz="0" w:space="0" w:color="auto"/>
        <w:bottom w:val="none" w:sz="0" w:space="0" w:color="auto"/>
        <w:right w:val="none" w:sz="0" w:space="0" w:color="auto"/>
      </w:divBdr>
    </w:div>
    <w:div w:id="1062603732">
      <w:bodyDiv w:val="1"/>
      <w:marLeft w:val="0"/>
      <w:marRight w:val="0"/>
      <w:marTop w:val="0"/>
      <w:marBottom w:val="0"/>
      <w:divBdr>
        <w:top w:val="none" w:sz="0" w:space="0" w:color="auto"/>
        <w:left w:val="none" w:sz="0" w:space="0" w:color="auto"/>
        <w:bottom w:val="none" w:sz="0" w:space="0" w:color="auto"/>
        <w:right w:val="none" w:sz="0" w:space="0" w:color="auto"/>
      </w:divBdr>
      <w:divsChild>
        <w:div w:id="9382902">
          <w:marLeft w:val="0"/>
          <w:marRight w:val="0"/>
          <w:marTop w:val="0"/>
          <w:marBottom w:val="0"/>
          <w:divBdr>
            <w:top w:val="none" w:sz="0" w:space="0" w:color="auto"/>
            <w:left w:val="none" w:sz="0" w:space="0" w:color="auto"/>
            <w:bottom w:val="none" w:sz="0" w:space="0" w:color="auto"/>
            <w:right w:val="none" w:sz="0" w:space="0" w:color="auto"/>
          </w:divBdr>
        </w:div>
        <w:div w:id="68382166">
          <w:marLeft w:val="0"/>
          <w:marRight w:val="0"/>
          <w:marTop w:val="0"/>
          <w:marBottom w:val="0"/>
          <w:divBdr>
            <w:top w:val="none" w:sz="0" w:space="0" w:color="auto"/>
            <w:left w:val="none" w:sz="0" w:space="0" w:color="auto"/>
            <w:bottom w:val="none" w:sz="0" w:space="0" w:color="auto"/>
            <w:right w:val="none" w:sz="0" w:space="0" w:color="auto"/>
          </w:divBdr>
        </w:div>
        <w:div w:id="119157396">
          <w:marLeft w:val="0"/>
          <w:marRight w:val="0"/>
          <w:marTop w:val="0"/>
          <w:marBottom w:val="0"/>
          <w:divBdr>
            <w:top w:val="none" w:sz="0" w:space="0" w:color="auto"/>
            <w:left w:val="none" w:sz="0" w:space="0" w:color="auto"/>
            <w:bottom w:val="none" w:sz="0" w:space="0" w:color="auto"/>
            <w:right w:val="none" w:sz="0" w:space="0" w:color="auto"/>
          </w:divBdr>
        </w:div>
        <w:div w:id="465858550">
          <w:marLeft w:val="0"/>
          <w:marRight w:val="0"/>
          <w:marTop w:val="0"/>
          <w:marBottom w:val="0"/>
          <w:divBdr>
            <w:top w:val="none" w:sz="0" w:space="0" w:color="auto"/>
            <w:left w:val="none" w:sz="0" w:space="0" w:color="auto"/>
            <w:bottom w:val="none" w:sz="0" w:space="0" w:color="auto"/>
            <w:right w:val="none" w:sz="0" w:space="0" w:color="auto"/>
          </w:divBdr>
        </w:div>
        <w:div w:id="572011146">
          <w:marLeft w:val="0"/>
          <w:marRight w:val="0"/>
          <w:marTop w:val="0"/>
          <w:marBottom w:val="0"/>
          <w:divBdr>
            <w:top w:val="none" w:sz="0" w:space="0" w:color="auto"/>
            <w:left w:val="none" w:sz="0" w:space="0" w:color="auto"/>
            <w:bottom w:val="none" w:sz="0" w:space="0" w:color="auto"/>
            <w:right w:val="none" w:sz="0" w:space="0" w:color="auto"/>
          </w:divBdr>
        </w:div>
        <w:div w:id="1488941608">
          <w:marLeft w:val="0"/>
          <w:marRight w:val="0"/>
          <w:marTop w:val="0"/>
          <w:marBottom w:val="0"/>
          <w:divBdr>
            <w:top w:val="none" w:sz="0" w:space="0" w:color="auto"/>
            <w:left w:val="none" w:sz="0" w:space="0" w:color="auto"/>
            <w:bottom w:val="none" w:sz="0" w:space="0" w:color="auto"/>
            <w:right w:val="none" w:sz="0" w:space="0" w:color="auto"/>
          </w:divBdr>
        </w:div>
        <w:div w:id="1753358489">
          <w:marLeft w:val="0"/>
          <w:marRight w:val="0"/>
          <w:marTop w:val="0"/>
          <w:marBottom w:val="0"/>
          <w:divBdr>
            <w:top w:val="none" w:sz="0" w:space="0" w:color="auto"/>
            <w:left w:val="none" w:sz="0" w:space="0" w:color="auto"/>
            <w:bottom w:val="none" w:sz="0" w:space="0" w:color="auto"/>
            <w:right w:val="none" w:sz="0" w:space="0" w:color="auto"/>
          </w:divBdr>
        </w:div>
        <w:div w:id="1867869633">
          <w:marLeft w:val="0"/>
          <w:marRight w:val="0"/>
          <w:marTop w:val="0"/>
          <w:marBottom w:val="0"/>
          <w:divBdr>
            <w:top w:val="none" w:sz="0" w:space="0" w:color="auto"/>
            <w:left w:val="none" w:sz="0" w:space="0" w:color="auto"/>
            <w:bottom w:val="none" w:sz="0" w:space="0" w:color="auto"/>
            <w:right w:val="none" w:sz="0" w:space="0" w:color="auto"/>
          </w:divBdr>
        </w:div>
      </w:divsChild>
    </w:div>
    <w:div w:id="1070664046">
      <w:bodyDiv w:val="1"/>
      <w:marLeft w:val="0"/>
      <w:marRight w:val="0"/>
      <w:marTop w:val="0"/>
      <w:marBottom w:val="0"/>
      <w:divBdr>
        <w:top w:val="none" w:sz="0" w:space="0" w:color="auto"/>
        <w:left w:val="none" w:sz="0" w:space="0" w:color="auto"/>
        <w:bottom w:val="none" w:sz="0" w:space="0" w:color="auto"/>
        <w:right w:val="none" w:sz="0" w:space="0" w:color="auto"/>
      </w:divBdr>
    </w:div>
    <w:div w:id="1075127198">
      <w:bodyDiv w:val="1"/>
      <w:marLeft w:val="0"/>
      <w:marRight w:val="0"/>
      <w:marTop w:val="0"/>
      <w:marBottom w:val="0"/>
      <w:divBdr>
        <w:top w:val="none" w:sz="0" w:space="0" w:color="auto"/>
        <w:left w:val="none" w:sz="0" w:space="0" w:color="auto"/>
        <w:bottom w:val="none" w:sz="0" w:space="0" w:color="auto"/>
        <w:right w:val="none" w:sz="0" w:space="0" w:color="auto"/>
      </w:divBdr>
    </w:div>
    <w:div w:id="1124926618">
      <w:bodyDiv w:val="1"/>
      <w:marLeft w:val="0"/>
      <w:marRight w:val="0"/>
      <w:marTop w:val="0"/>
      <w:marBottom w:val="0"/>
      <w:divBdr>
        <w:top w:val="none" w:sz="0" w:space="0" w:color="auto"/>
        <w:left w:val="none" w:sz="0" w:space="0" w:color="auto"/>
        <w:bottom w:val="none" w:sz="0" w:space="0" w:color="auto"/>
        <w:right w:val="none" w:sz="0" w:space="0" w:color="auto"/>
      </w:divBdr>
      <w:divsChild>
        <w:div w:id="1403023166">
          <w:marLeft w:val="0"/>
          <w:marRight w:val="0"/>
          <w:marTop w:val="0"/>
          <w:marBottom w:val="0"/>
          <w:divBdr>
            <w:top w:val="none" w:sz="0" w:space="0" w:color="auto"/>
            <w:left w:val="none" w:sz="0" w:space="0" w:color="auto"/>
            <w:bottom w:val="none" w:sz="0" w:space="0" w:color="auto"/>
            <w:right w:val="none" w:sz="0" w:space="0" w:color="auto"/>
          </w:divBdr>
        </w:div>
        <w:div w:id="1993286324">
          <w:marLeft w:val="0"/>
          <w:marRight w:val="0"/>
          <w:marTop w:val="0"/>
          <w:marBottom w:val="0"/>
          <w:divBdr>
            <w:top w:val="none" w:sz="0" w:space="0" w:color="auto"/>
            <w:left w:val="none" w:sz="0" w:space="0" w:color="auto"/>
            <w:bottom w:val="none" w:sz="0" w:space="0" w:color="auto"/>
            <w:right w:val="none" w:sz="0" w:space="0" w:color="auto"/>
          </w:divBdr>
        </w:div>
      </w:divsChild>
    </w:div>
    <w:div w:id="1169758023">
      <w:bodyDiv w:val="1"/>
      <w:marLeft w:val="0"/>
      <w:marRight w:val="0"/>
      <w:marTop w:val="0"/>
      <w:marBottom w:val="0"/>
      <w:divBdr>
        <w:top w:val="none" w:sz="0" w:space="0" w:color="auto"/>
        <w:left w:val="none" w:sz="0" w:space="0" w:color="auto"/>
        <w:bottom w:val="none" w:sz="0" w:space="0" w:color="auto"/>
        <w:right w:val="none" w:sz="0" w:space="0" w:color="auto"/>
      </w:divBdr>
    </w:div>
    <w:div w:id="1199469862">
      <w:bodyDiv w:val="1"/>
      <w:marLeft w:val="0"/>
      <w:marRight w:val="0"/>
      <w:marTop w:val="0"/>
      <w:marBottom w:val="0"/>
      <w:divBdr>
        <w:top w:val="none" w:sz="0" w:space="0" w:color="auto"/>
        <w:left w:val="none" w:sz="0" w:space="0" w:color="auto"/>
        <w:bottom w:val="none" w:sz="0" w:space="0" w:color="auto"/>
        <w:right w:val="none" w:sz="0" w:space="0" w:color="auto"/>
      </w:divBdr>
      <w:divsChild>
        <w:div w:id="81415799">
          <w:marLeft w:val="0"/>
          <w:marRight w:val="0"/>
          <w:marTop w:val="0"/>
          <w:marBottom w:val="0"/>
          <w:divBdr>
            <w:top w:val="none" w:sz="0" w:space="0" w:color="auto"/>
            <w:left w:val="none" w:sz="0" w:space="0" w:color="auto"/>
            <w:bottom w:val="none" w:sz="0" w:space="0" w:color="auto"/>
            <w:right w:val="none" w:sz="0" w:space="0" w:color="auto"/>
          </w:divBdr>
        </w:div>
        <w:div w:id="622463514">
          <w:marLeft w:val="0"/>
          <w:marRight w:val="0"/>
          <w:marTop w:val="0"/>
          <w:marBottom w:val="0"/>
          <w:divBdr>
            <w:top w:val="none" w:sz="0" w:space="0" w:color="auto"/>
            <w:left w:val="none" w:sz="0" w:space="0" w:color="auto"/>
            <w:bottom w:val="none" w:sz="0" w:space="0" w:color="auto"/>
            <w:right w:val="none" w:sz="0" w:space="0" w:color="auto"/>
          </w:divBdr>
        </w:div>
      </w:divsChild>
    </w:div>
    <w:div w:id="1257179421">
      <w:bodyDiv w:val="1"/>
      <w:marLeft w:val="0"/>
      <w:marRight w:val="0"/>
      <w:marTop w:val="0"/>
      <w:marBottom w:val="0"/>
      <w:divBdr>
        <w:top w:val="none" w:sz="0" w:space="0" w:color="auto"/>
        <w:left w:val="none" w:sz="0" w:space="0" w:color="auto"/>
        <w:bottom w:val="none" w:sz="0" w:space="0" w:color="auto"/>
        <w:right w:val="none" w:sz="0" w:space="0" w:color="auto"/>
      </w:divBdr>
    </w:div>
    <w:div w:id="1284070702">
      <w:bodyDiv w:val="1"/>
      <w:marLeft w:val="0"/>
      <w:marRight w:val="0"/>
      <w:marTop w:val="0"/>
      <w:marBottom w:val="0"/>
      <w:divBdr>
        <w:top w:val="none" w:sz="0" w:space="0" w:color="auto"/>
        <w:left w:val="none" w:sz="0" w:space="0" w:color="auto"/>
        <w:bottom w:val="none" w:sz="0" w:space="0" w:color="auto"/>
        <w:right w:val="none" w:sz="0" w:space="0" w:color="auto"/>
      </w:divBdr>
    </w:div>
    <w:div w:id="1324552825">
      <w:bodyDiv w:val="1"/>
      <w:marLeft w:val="0"/>
      <w:marRight w:val="0"/>
      <w:marTop w:val="0"/>
      <w:marBottom w:val="0"/>
      <w:divBdr>
        <w:top w:val="none" w:sz="0" w:space="0" w:color="auto"/>
        <w:left w:val="none" w:sz="0" w:space="0" w:color="auto"/>
        <w:bottom w:val="none" w:sz="0" w:space="0" w:color="auto"/>
        <w:right w:val="none" w:sz="0" w:space="0" w:color="auto"/>
      </w:divBdr>
    </w:div>
    <w:div w:id="1408575017">
      <w:bodyDiv w:val="1"/>
      <w:marLeft w:val="0"/>
      <w:marRight w:val="0"/>
      <w:marTop w:val="0"/>
      <w:marBottom w:val="0"/>
      <w:divBdr>
        <w:top w:val="none" w:sz="0" w:space="0" w:color="auto"/>
        <w:left w:val="none" w:sz="0" w:space="0" w:color="auto"/>
        <w:bottom w:val="none" w:sz="0" w:space="0" w:color="auto"/>
        <w:right w:val="none" w:sz="0" w:space="0" w:color="auto"/>
      </w:divBdr>
      <w:divsChild>
        <w:div w:id="307053563">
          <w:marLeft w:val="0"/>
          <w:marRight w:val="0"/>
          <w:marTop w:val="0"/>
          <w:marBottom w:val="0"/>
          <w:divBdr>
            <w:top w:val="none" w:sz="0" w:space="0" w:color="auto"/>
            <w:left w:val="none" w:sz="0" w:space="0" w:color="auto"/>
            <w:bottom w:val="none" w:sz="0" w:space="0" w:color="auto"/>
            <w:right w:val="none" w:sz="0" w:space="0" w:color="auto"/>
          </w:divBdr>
        </w:div>
        <w:div w:id="353113917">
          <w:marLeft w:val="0"/>
          <w:marRight w:val="0"/>
          <w:marTop w:val="0"/>
          <w:marBottom w:val="0"/>
          <w:divBdr>
            <w:top w:val="none" w:sz="0" w:space="0" w:color="auto"/>
            <w:left w:val="none" w:sz="0" w:space="0" w:color="auto"/>
            <w:bottom w:val="none" w:sz="0" w:space="0" w:color="auto"/>
            <w:right w:val="none" w:sz="0" w:space="0" w:color="auto"/>
          </w:divBdr>
        </w:div>
        <w:div w:id="1680547050">
          <w:marLeft w:val="0"/>
          <w:marRight w:val="0"/>
          <w:marTop w:val="0"/>
          <w:marBottom w:val="0"/>
          <w:divBdr>
            <w:top w:val="none" w:sz="0" w:space="0" w:color="auto"/>
            <w:left w:val="none" w:sz="0" w:space="0" w:color="auto"/>
            <w:bottom w:val="none" w:sz="0" w:space="0" w:color="auto"/>
            <w:right w:val="none" w:sz="0" w:space="0" w:color="auto"/>
          </w:divBdr>
        </w:div>
        <w:div w:id="1855606616">
          <w:marLeft w:val="0"/>
          <w:marRight w:val="0"/>
          <w:marTop w:val="0"/>
          <w:marBottom w:val="0"/>
          <w:divBdr>
            <w:top w:val="none" w:sz="0" w:space="0" w:color="auto"/>
            <w:left w:val="none" w:sz="0" w:space="0" w:color="auto"/>
            <w:bottom w:val="none" w:sz="0" w:space="0" w:color="auto"/>
            <w:right w:val="none" w:sz="0" w:space="0" w:color="auto"/>
          </w:divBdr>
        </w:div>
        <w:div w:id="1973516784">
          <w:marLeft w:val="0"/>
          <w:marRight w:val="0"/>
          <w:marTop w:val="0"/>
          <w:marBottom w:val="0"/>
          <w:divBdr>
            <w:top w:val="none" w:sz="0" w:space="0" w:color="auto"/>
            <w:left w:val="none" w:sz="0" w:space="0" w:color="auto"/>
            <w:bottom w:val="none" w:sz="0" w:space="0" w:color="auto"/>
            <w:right w:val="none" w:sz="0" w:space="0" w:color="auto"/>
          </w:divBdr>
        </w:div>
        <w:div w:id="2130051081">
          <w:marLeft w:val="0"/>
          <w:marRight w:val="0"/>
          <w:marTop w:val="0"/>
          <w:marBottom w:val="0"/>
          <w:divBdr>
            <w:top w:val="none" w:sz="0" w:space="0" w:color="auto"/>
            <w:left w:val="none" w:sz="0" w:space="0" w:color="auto"/>
            <w:bottom w:val="none" w:sz="0" w:space="0" w:color="auto"/>
            <w:right w:val="none" w:sz="0" w:space="0" w:color="auto"/>
          </w:divBdr>
        </w:div>
      </w:divsChild>
    </w:div>
    <w:div w:id="1425108414">
      <w:bodyDiv w:val="1"/>
      <w:marLeft w:val="0"/>
      <w:marRight w:val="0"/>
      <w:marTop w:val="0"/>
      <w:marBottom w:val="0"/>
      <w:divBdr>
        <w:top w:val="none" w:sz="0" w:space="0" w:color="auto"/>
        <w:left w:val="none" w:sz="0" w:space="0" w:color="auto"/>
        <w:bottom w:val="none" w:sz="0" w:space="0" w:color="auto"/>
        <w:right w:val="none" w:sz="0" w:space="0" w:color="auto"/>
      </w:divBdr>
      <w:divsChild>
        <w:div w:id="498497824">
          <w:marLeft w:val="0"/>
          <w:marRight w:val="0"/>
          <w:marTop w:val="0"/>
          <w:marBottom w:val="0"/>
          <w:divBdr>
            <w:top w:val="none" w:sz="0" w:space="0" w:color="auto"/>
            <w:left w:val="none" w:sz="0" w:space="0" w:color="auto"/>
            <w:bottom w:val="none" w:sz="0" w:space="0" w:color="auto"/>
            <w:right w:val="none" w:sz="0" w:space="0" w:color="auto"/>
          </w:divBdr>
        </w:div>
        <w:div w:id="1862039406">
          <w:marLeft w:val="0"/>
          <w:marRight w:val="0"/>
          <w:marTop w:val="0"/>
          <w:marBottom w:val="0"/>
          <w:divBdr>
            <w:top w:val="none" w:sz="0" w:space="0" w:color="auto"/>
            <w:left w:val="none" w:sz="0" w:space="0" w:color="auto"/>
            <w:bottom w:val="none" w:sz="0" w:space="0" w:color="auto"/>
            <w:right w:val="none" w:sz="0" w:space="0" w:color="auto"/>
          </w:divBdr>
        </w:div>
      </w:divsChild>
    </w:div>
    <w:div w:id="1472555391">
      <w:bodyDiv w:val="1"/>
      <w:marLeft w:val="0"/>
      <w:marRight w:val="0"/>
      <w:marTop w:val="0"/>
      <w:marBottom w:val="0"/>
      <w:divBdr>
        <w:top w:val="none" w:sz="0" w:space="0" w:color="auto"/>
        <w:left w:val="none" w:sz="0" w:space="0" w:color="auto"/>
        <w:bottom w:val="none" w:sz="0" w:space="0" w:color="auto"/>
        <w:right w:val="none" w:sz="0" w:space="0" w:color="auto"/>
      </w:divBdr>
      <w:divsChild>
        <w:div w:id="1407919380">
          <w:marLeft w:val="0"/>
          <w:marRight w:val="0"/>
          <w:marTop w:val="0"/>
          <w:marBottom w:val="0"/>
          <w:divBdr>
            <w:top w:val="none" w:sz="0" w:space="0" w:color="auto"/>
            <w:left w:val="none" w:sz="0" w:space="0" w:color="auto"/>
            <w:bottom w:val="none" w:sz="0" w:space="0" w:color="auto"/>
            <w:right w:val="none" w:sz="0" w:space="0" w:color="auto"/>
          </w:divBdr>
        </w:div>
        <w:div w:id="1762334220">
          <w:marLeft w:val="0"/>
          <w:marRight w:val="0"/>
          <w:marTop w:val="0"/>
          <w:marBottom w:val="0"/>
          <w:divBdr>
            <w:top w:val="none" w:sz="0" w:space="0" w:color="auto"/>
            <w:left w:val="none" w:sz="0" w:space="0" w:color="auto"/>
            <w:bottom w:val="none" w:sz="0" w:space="0" w:color="auto"/>
            <w:right w:val="none" w:sz="0" w:space="0" w:color="auto"/>
          </w:divBdr>
        </w:div>
        <w:div w:id="1908373735">
          <w:marLeft w:val="0"/>
          <w:marRight w:val="0"/>
          <w:marTop w:val="0"/>
          <w:marBottom w:val="0"/>
          <w:divBdr>
            <w:top w:val="none" w:sz="0" w:space="0" w:color="auto"/>
            <w:left w:val="none" w:sz="0" w:space="0" w:color="auto"/>
            <w:bottom w:val="none" w:sz="0" w:space="0" w:color="auto"/>
            <w:right w:val="none" w:sz="0" w:space="0" w:color="auto"/>
          </w:divBdr>
        </w:div>
      </w:divsChild>
    </w:div>
    <w:div w:id="1490634561">
      <w:bodyDiv w:val="1"/>
      <w:marLeft w:val="0"/>
      <w:marRight w:val="0"/>
      <w:marTop w:val="0"/>
      <w:marBottom w:val="0"/>
      <w:divBdr>
        <w:top w:val="none" w:sz="0" w:space="0" w:color="auto"/>
        <w:left w:val="none" w:sz="0" w:space="0" w:color="auto"/>
        <w:bottom w:val="none" w:sz="0" w:space="0" w:color="auto"/>
        <w:right w:val="none" w:sz="0" w:space="0" w:color="auto"/>
      </w:divBdr>
    </w:div>
    <w:div w:id="1553421762">
      <w:bodyDiv w:val="1"/>
      <w:marLeft w:val="0"/>
      <w:marRight w:val="0"/>
      <w:marTop w:val="0"/>
      <w:marBottom w:val="0"/>
      <w:divBdr>
        <w:top w:val="none" w:sz="0" w:space="0" w:color="auto"/>
        <w:left w:val="none" w:sz="0" w:space="0" w:color="auto"/>
        <w:bottom w:val="none" w:sz="0" w:space="0" w:color="auto"/>
        <w:right w:val="none" w:sz="0" w:space="0" w:color="auto"/>
      </w:divBdr>
      <w:divsChild>
        <w:div w:id="22707460">
          <w:marLeft w:val="274"/>
          <w:marRight w:val="0"/>
          <w:marTop w:val="0"/>
          <w:marBottom w:val="0"/>
          <w:divBdr>
            <w:top w:val="none" w:sz="0" w:space="0" w:color="auto"/>
            <w:left w:val="none" w:sz="0" w:space="0" w:color="auto"/>
            <w:bottom w:val="none" w:sz="0" w:space="0" w:color="auto"/>
            <w:right w:val="none" w:sz="0" w:space="0" w:color="auto"/>
          </w:divBdr>
        </w:div>
        <w:div w:id="966857848">
          <w:marLeft w:val="274"/>
          <w:marRight w:val="0"/>
          <w:marTop w:val="0"/>
          <w:marBottom w:val="0"/>
          <w:divBdr>
            <w:top w:val="none" w:sz="0" w:space="0" w:color="auto"/>
            <w:left w:val="none" w:sz="0" w:space="0" w:color="auto"/>
            <w:bottom w:val="none" w:sz="0" w:space="0" w:color="auto"/>
            <w:right w:val="none" w:sz="0" w:space="0" w:color="auto"/>
          </w:divBdr>
        </w:div>
      </w:divsChild>
    </w:div>
    <w:div w:id="1558735693">
      <w:bodyDiv w:val="1"/>
      <w:marLeft w:val="0"/>
      <w:marRight w:val="0"/>
      <w:marTop w:val="0"/>
      <w:marBottom w:val="0"/>
      <w:divBdr>
        <w:top w:val="none" w:sz="0" w:space="0" w:color="auto"/>
        <w:left w:val="none" w:sz="0" w:space="0" w:color="auto"/>
        <w:bottom w:val="none" w:sz="0" w:space="0" w:color="auto"/>
        <w:right w:val="none" w:sz="0" w:space="0" w:color="auto"/>
      </w:divBdr>
      <w:divsChild>
        <w:div w:id="736823245">
          <w:marLeft w:val="0"/>
          <w:marRight w:val="0"/>
          <w:marTop w:val="0"/>
          <w:marBottom w:val="0"/>
          <w:divBdr>
            <w:top w:val="none" w:sz="0" w:space="0" w:color="auto"/>
            <w:left w:val="none" w:sz="0" w:space="0" w:color="auto"/>
            <w:bottom w:val="none" w:sz="0" w:space="0" w:color="auto"/>
            <w:right w:val="none" w:sz="0" w:space="0" w:color="auto"/>
          </w:divBdr>
        </w:div>
        <w:div w:id="924536608">
          <w:marLeft w:val="0"/>
          <w:marRight w:val="0"/>
          <w:marTop w:val="0"/>
          <w:marBottom w:val="0"/>
          <w:divBdr>
            <w:top w:val="none" w:sz="0" w:space="0" w:color="auto"/>
            <w:left w:val="none" w:sz="0" w:space="0" w:color="auto"/>
            <w:bottom w:val="none" w:sz="0" w:space="0" w:color="auto"/>
            <w:right w:val="none" w:sz="0" w:space="0" w:color="auto"/>
          </w:divBdr>
        </w:div>
        <w:div w:id="1815099948">
          <w:marLeft w:val="0"/>
          <w:marRight w:val="0"/>
          <w:marTop w:val="0"/>
          <w:marBottom w:val="0"/>
          <w:divBdr>
            <w:top w:val="none" w:sz="0" w:space="0" w:color="auto"/>
            <w:left w:val="none" w:sz="0" w:space="0" w:color="auto"/>
            <w:bottom w:val="none" w:sz="0" w:space="0" w:color="auto"/>
            <w:right w:val="none" w:sz="0" w:space="0" w:color="auto"/>
          </w:divBdr>
        </w:div>
      </w:divsChild>
    </w:div>
    <w:div w:id="1559511025">
      <w:bodyDiv w:val="1"/>
      <w:marLeft w:val="0"/>
      <w:marRight w:val="0"/>
      <w:marTop w:val="0"/>
      <w:marBottom w:val="0"/>
      <w:divBdr>
        <w:top w:val="none" w:sz="0" w:space="0" w:color="auto"/>
        <w:left w:val="none" w:sz="0" w:space="0" w:color="auto"/>
        <w:bottom w:val="none" w:sz="0" w:space="0" w:color="auto"/>
        <w:right w:val="none" w:sz="0" w:space="0" w:color="auto"/>
      </w:divBdr>
    </w:div>
    <w:div w:id="1560939949">
      <w:bodyDiv w:val="1"/>
      <w:marLeft w:val="0"/>
      <w:marRight w:val="0"/>
      <w:marTop w:val="0"/>
      <w:marBottom w:val="0"/>
      <w:divBdr>
        <w:top w:val="none" w:sz="0" w:space="0" w:color="auto"/>
        <w:left w:val="none" w:sz="0" w:space="0" w:color="auto"/>
        <w:bottom w:val="none" w:sz="0" w:space="0" w:color="auto"/>
        <w:right w:val="none" w:sz="0" w:space="0" w:color="auto"/>
      </w:divBdr>
    </w:div>
    <w:div w:id="1567059993">
      <w:bodyDiv w:val="1"/>
      <w:marLeft w:val="0"/>
      <w:marRight w:val="0"/>
      <w:marTop w:val="0"/>
      <w:marBottom w:val="0"/>
      <w:divBdr>
        <w:top w:val="none" w:sz="0" w:space="0" w:color="auto"/>
        <w:left w:val="none" w:sz="0" w:space="0" w:color="auto"/>
        <w:bottom w:val="none" w:sz="0" w:space="0" w:color="auto"/>
        <w:right w:val="none" w:sz="0" w:space="0" w:color="auto"/>
      </w:divBdr>
      <w:divsChild>
        <w:div w:id="86581149">
          <w:marLeft w:val="0"/>
          <w:marRight w:val="0"/>
          <w:marTop w:val="0"/>
          <w:marBottom w:val="0"/>
          <w:divBdr>
            <w:top w:val="none" w:sz="0" w:space="0" w:color="auto"/>
            <w:left w:val="none" w:sz="0" w:space="0" w:color="auto"/>
            <w:bottom w:val="none" w:sz="0" w:space="0" w:color="auto"/>
            <w:right w:val="none" w:sz="0" w:space="0" w:color="auto"/>
          </w:divBdr>
        </w:div>
        <w:div w:id="271129135">
          <w:marLeft w:val="0"/>
          <w:marRight w:val="0"/>
          <w:marTop w:val="0"/>
          <w:marBottom w:val="0"/>
          <w:divBdr>
            <w:top w:val="none" w:sz="0" w:space="0" w:color="auto"/>
            <w:left w:val="none" w:sz="0" w:space="0" w:color="auto"/>
            <w:bottom w:val="none" w:sz="0" w:space="0" w:color="auto"/>
            <w:right w:val="none" w:sz="0" w:space="0" w:color="auto"/>
          </w:divBdr>
        </w:div>
        <w:div w:id="533468589">
          <w:marLeft w:val="0"/>
          <w:marRight w:val="0"/>
          <w:marTop w:val="0"/>
          <w:marBottom w:val="0"/>
          <w:divBdr>
            <w:top w:val="none" w:sz="0" w:space="0" w:color="auto"/>
            <w:left w:val="none" w:sz="0" w:space="0" w:color="auto"/>
            <w:bottom w:val="none" w:sz="0" w:space="0" w:color="auto"/>
            <w:right w:val="none" w:sz="0" w:space="0" w:color="auto"/>
          </w:divBdr>
        </w:div>
        <w:div w:id="908080391">
          <w:marLeft w:val="0"/>
          <w:marRight w:val="0"/>
          <w:marTop w:val="0"/>
          <w:marBottom w:val="0"/>
          <w:divBdr>
            <w:top w:val="none" w:sz="0" w:space="0" w:color="auto"/>
            <w:left w:val="none" w:sz="0" w:space="0" w:color="auto"/>
            <w:bottom w:val="none" w:sz="0" w:space="0" w:color="auto"/>
            <w:right w:val="none" w:sz="0" w:space="0" w:color="auto"/>
          </w:divBdr>
        </w:div>
        <w:div w:id="1718579052">
          <w:marLeft w:val="0"/>
          <w:marRight w:val="0"/>
          <w:marTop w:val="0"/>
          <w:marBottom w:val="0"/>
          <w:divBdr>
            <w:top w:val="none" w:sz="0" w:space="0" w:color="auto"/>
            <w:left w:val="none" w:sz="0" w:space="0" w:color="auto"/>
            <w:bottom w:val="none" w:sz="0" w:space="0" w:color="auto"/>
            <w:right w:val="none" w:sz="0" w:space="0" w:color="auto"/>
          </w:divBdr>
        </w:div>
      </w:divsChild>
    </w:div>
    <w:div w:id="1594314301">
      <w:bodyDiv w:val="1"/>
      <w:marLeft w:val="0"/>
      <w:marRight w:val="0"/>
      <w:marTop w:val="0"/>
      <w:marBottom w:val="0"/>
      <w:divBdr>
        <w:top w:val="none" w:sz="0" w:space="0" w:color="auto"/>
        <w:left w:val="none" w:sz="0" w:space="0" w:color="auto"/>
        <w:bottom w:val="none" w:sz="0" w:space="0" w:color="auto"/>
        <w:right w:val="none" w:sz="0" w:space="0" w:color="auto"/>
      </w:divBdr>
    </w:div>
    <w:div w:id="1597129113">
      <w:bodyDiv w:val="1"/>
      <w:marLeft w:val="0"/>
      <w:marRight w:val="0"/>
      <w:marTop w:val="0"/>
      <w:marBottom w:val="0"/>
      <w:divBdr>
        <w:top w:val="none" w:sz="0" w:space="0" w:color="auto"/>
        <w:left w:val="none" w:sz="0" w:space="0" w:color="auto"/>
        <w:bottom w:val="none" w:sz="0" w:space="0" w:color="auto"/>
        <w:right w:val="none" w:sz="0" w:space="0" w:color="auto"/>
      </w:divBdr>
    </w:div>
    <w:div w:id="1636835174">
      <w:bodyDiv w:val="1"/>
      <w:marLeft w:val="0"/>
      <w:marRight w:val="0"/>
      <w:marTop w:val="0"/>
      <w:marBottom w:val="0"/>
      <w:divBdr>
        <w:top w:val="none" w:sz="0" w:space="0" w:color="auto"/>
        <w:left w:val="none" w:sz="0" w:space="0" w:color="auto"/>
        <w:bottom w:val="none" w:sz="0" w:space="0" w:color="auto"/>
        <w:right w:val="none" w:sz="0" w:space="0" w:color="auto"/>
      </w:divBdr>
      <w:divsChild>
        <w:div w:id="1642806922">
          <w:marLeft w:val="274"/>
          <w:marRight w:val="0"/>
          <w:marTop w:val="0"/>
          <w:marBottom w:val="0"/>
          <w:divBdr>
            <w:top w:val="none" w:sz="0" w:space="0" w:color="auto"/>
            <w:left w:val="none" w:sz="0" w:space="0" w:color="auto"/>
            <w:bottom w:val="none" w:sz="0" w:space="0" w:color="auto"/>
            <w:right w:val="none" w:sz="0" w:space="0" w:color="auto"/>
          </w:divBdr>
        </w:div>
      </w:divsChild>
    </w:div>
    <w:div w:id="1643583465">
      <w:bodyDiv w:val="1"/>
      <w:marLeft w:val="0"/>
      <w:marRight w:val="0"/>
      <w:marTop w:val="0"/>
      <w:marBottom w:val="0"/>
      <w:divBdr>
        <w:top w:val="none" w:sz="0" w:space="0" w:color="auto"/>
        <w:left w:val="none" w:sz="0" w:space="0" w:color="auto"/>
        <w:bottom w:val="none" w:sz="0" w:space="0" w:color="auto"/>
        <w:right w:val="none" w:sz="0" w:space="0" w:color="auto"/>
      </w:divBdr>
    </w:div>
    <w:div w:id="1714384481">
      <w:bodyDiv w:val="1"/>
      <w:marLeft w:val="0"/>
      <w:marRight w:val="0"/>
      <w:marTop w:val="0"/>
      <w:marBottom w:val="0"/>
      <w:divBdr>
        <w:top w:val="none" w:sz="0" w:space="0" w:color="auto"/>
        <w:left w:val="none" w:sz="0" w:space="0" w:color="auto"/>
        <w:bottom w:val="none" w:sz="0" w:space="0" w:color="auto"/>
        <w:right w:val="none" w:sz="0" w:space="0" w:color="auto"/>
      </w:divBdr>
    </w:div>
    <w:div w:id="1717706051">
      <w:bodyDiv w:val="1"/>
      <w:marLeft w:val="0"/>
      <w:marRight w:val="0"/>
      <w:marTop w:val="0"/>
      <w:marBottom w:val="0"/>
      <w:divBdr>
        <w:top w:val="none" w:sz="0" w:space="0" w:color="auto"/>
        <w:left w:val="none" w:sz="0" w:space="0" w:color="auto"/>
        <w:bottom w:val="none" w:sz="0" w:space="0" w:color="auto"/>
        <w:right w:val="none" w:sz="0" w:space="0" w:color="auto"/>
      </w:divBdr>
      <w:divsChild>
        <w:div w:id="122575380">
          <w:marLeft w:val="0"/>
          <w:marRight w:val="0"/>
          <w:marTop w:val="0"/>
          <w:marBottom w:val="0"/>
          <w:divBdr>
            <w:top w:val="none" w:sz="0" w:space="0" w:color="auto"/>
            <w:left w:val="none" w:sz="0" w:space="0" w:color="auto"/>
            <w:bottom w:val="none" w:sz="0" w:space="0" w:color="auto"/>
            <w:right w:val="none" w:sz="0" w:space="0" w:color="auto"/>
          </w:divBdr>
        </w:div>
        <w:div w:id="664404455">
          <w:marLeft w:val="0"/>
          <w:marRight w:val="0"/>
          <w:marTop w:val="0"/>
          <w:marBottom w:val="0"/>
          <w:divBdr>
            <w:top w:val="none" w:sz="0" w:space="0" w:color="auto"/>
            <w:left w:val="none" w:sz="0" w:space="0" w:color="auto"/>
            <w:bottom w:val="none" w:sz="0" w:space="0" w:color="auto"/>
            <w:right w:val="none" w:sz="0" w:space="0" w:color="auto"/>
          </w:divBdr>
        </w:div>
        <w:div w:id="1082989075">
          <w:marLeft w:val="0"/>
          <w:marRight w:val="0"/>
          <w:marTop w:val="0"/>
          <w:marBottom w:val="0"/>
          <w:divBdr>
            <w:top w:val="none" w:sz="0" w:space="0" w:color="auto"/>
            <w:left w:val="none" w:sz="0" w:space="0" w:color="auto"/>
            <w:bottom w:val="none" w:sz="0" w:space="0" w:color="auto"/>
            <w:right w:val="none" w:sz="0" w:space="0" w:color="auto"/>
          </w:divBdr>
        </w:div>
        <w:div w:id="1384718908">
          <w:marLeft w:val="0"/>
          <w:marRight w:val="0"/>
          <w:marTop w:val="0"/>
          <w:marBottom w:val="0"/>
          <w:divBdr>
            <w:top w:val="none" w:sz="0" w:space="0" w:color="auto"/>
            <w:left w:val="none" w:sz="0" w:space="0" w:color="auto"/>
            <w:bottom w:val="none" w:sz="0" w:space="0" w:color="auto"/>
            <w:right w:val="none" w:sz="0" w:space="0" w:color="auto"/>
          </w:divBdr>
        </w:div>
        <w:div w:id="1526482146">
          <w:marLeft w:val="0"/>
          <w:marRight w:val="0"/>
          <w:marTop w:val="0"/>
          <w:marBottom w:val="0"/>
          <w:divBdr>
            <w:top w:val="none" w:sz="0" w:space="0" w:color="auto"/>
            <w:left w:val="none" w:sz="0" w:space="0" w:color="auto"/>
            <w:bottom w:val="none" w:sz="0" w:space="0" w:color="auto"/>
            <w:right w:val="none" w:sz="0" w:space="0" w:color="auto"/>
          </w:divBdr>
        </w:div>
        <w:div w:id="1688215263">
          <w:marLeft w:val="0"/>
          <w:marRight w:val="0"/>
          <w:marTop w:val="0"/>
          <w:marBottom w:val="0"/>
          <w:divBdr>
            <w:top w:val="none" w:sz="0" w:space="0" w:color="auto"/>
            <w:left w:val="none" w:sz="0" w:space="0" w:color="auto"/>
            <w:bottom w:val="none" w:sz="0" w:space="0" w:color="auto"/>
            <w:right w:val="none" w:sz="0" w:space="0" w:color="auto"/>
          </w:divBdr>
        </w:div>
        <w:div w:id="1754743234">
          <w:marLeft w:val="0"/>
          <w:marRight w:val="0"/>
          <w:marTop w:val="0"/>
          <w:marBottom w:val="0"/>
          <w:divBdr>
            <w:top w:val="none" w:sz="0" w:space="0" w:color="auto"/>
            <w:left w:val="none" w:sz="0" w:space="0" w:color="auto"/>
            <w:bottom w:val="none" w:sz="0" w:space="0" w:color="auto"/>
            <w:right w:val="none" w:sz="0" w:space="0" w:color="auto"/>
          </w:divBdr>
        </w:div>
        <w:div w:id="2005549344">
          <w:marLeft w:val="0"/>
          <w:marRight w:val="0"/>
          <w:marTop w:val="0"/>
          <w:marBottom w:val="0"/>
          <w:divBdr>
            <w:top w:val="none" w:sz="0" w:space="0" w:color="auto"/>
            <w:left w:val="none" w:sz="0" w:space="0" w:color="auto"/>
            <w:bottom w:val="none" w:sz="0" w:space="0" w:color="auto"/>
            <w:right w:val="none" w:sz="0" w:space="0" w:color="auto"/>
          </w:divBdr>
        </w:div>
        <w:div w:id="2128354740">
          <w:marLeft w:val="0"/>
          <w:marRight w:val="0"/>
          <w:marTop w:val="0"/>
          <w:marBottom w:val="0"/>
          <w:divBdr>
            <w:top w:val="none" w:sz="0" w:space="0" w:color="auto"/>
            <w:left w:val="none" w:sz="0" w:space="0" w:color="auto"/>
            <w:bottom w:val="none" w:sz="0" w:space="0" w:color="auto"/>
            <w:right w:val="none" w:sz="0" w:space="0" w:color="auto"/>
          </w:divBdr>
        </w:div>
      </w:divsChild>
    </w:div>
    <w:div w:id="1722438536">
      <w:bodyDiv w:val="1"/>
      <w:marLeft w:val="0"/>
      <w:marRight w:val="0"/>
      <w:marTop w:val="0"/>
      <w:marBottom w:val="0"/>
      <w:divBdr>
        <w:top w:val="none" w:sz="0" w:space="0" w:color="auto"/>
        <w:left w:val="none" w:sz="0" w:space="0" w:color="auto"/>
        <w:bottom w:val="none" w:sz="0" w:space="0" w:color="auto"/>
        <w:right w:val="none" w:sz="0" w:space="0" w:color="auto"/>
      </w:divBdr>
      <w:divsChild>
        <w:div w:id="1492330178">
          <w:marLeft w:val="0"/>
          <w:marRight w:val="0"/>
          <w:marTop w:val="0"/>
          <w:marBottom w:val="0"/>
          <w:divBdr>
            <w:top w:val="none" w:sz="0" w:space="0" w:color="auto"/>
            <w:left w:val="none" w:sz="0" w:space="0" w:color="auto"/>
            <w:bottom w:val="none" w:sz="0" w:space="0" w:color="auto"/>
            <w:right w:val="none" w:sz="0" w:space="0" w:color="auto"/>
          </w:divBdr>
        </w:div>
        <w:div w:id="1849641044">
          <w:marLeft w:val="0"/>
          <w:marRight w:val="0"/>
          <w:marTop w:val="0"/>
          <w:marBottom w:val="0"/>
          <w:divBdr>
            <w:top w:val="none" w:sz="0" w:space="0" w:color="auto"/>
            <w:left w:val="none" w:sz="0" w:space="0" w:color="auto"/>
            <w:bottom w:val="none" w:sz="0" w:space="0" w:color="auto"/>
            <w:right w:val="none" w:sz="0" w:space="0" w:color="auto"/>
          </w:divBdr>
        </w:div>
      </w:divsChild>
    </w:div>
    <w:div w:id="1723870427">
      <w:bodyDiv w:val="1"/>
      <w:marLeft w:val="0"/>
      <w:marRight w:val="0"/>
      <w:marTop w:val="0"/>
      <w:marBottom w:val="0"/>
      <w:divBdr>
        <w:top w:val="none" w:sz="0" w:space="0" w:color="auto"/>
        <w:left w:val="none" w:sz="0" w:space="0" w:color="auto"/>
        <w:bottom w:val="none" w:sz="0" w:space="0" w:color="auto"/>
        <w:right w:val="none" w:sz="0" w:space="0" w:color="auto"/>
      </w:divBdr>
      <w:divsChild>
        <w:div w:id="267585947">
          <w:marLeft w:val="0"/>
          <w:marRight w:val="0"/>
          <w:marTop w:val="0"/>
          <w:marBottom w:val="0"/>
          <w:divBdr>
            <w:top w:val="none" w:sz="0" w:space="0" w:color="auto"/>
            <w:left w:val="none" w:sz="0" w:space="0" w:color="auto"/>
            <w:bottom w:val="none" w:sz="0" w:space="0" w:color="auto"/>
            <w:right w:val="none" w:sz="0" w:space="0" w:color="auto"/>
          </w:divBdr>
        </w:div>
        <w:div w:id="286007681">
          <w:marLeft w:val="0"/>
          <w:marRight w:val="0"/>
          <w:marTop w:val="0"/>
          <w:marBottom w:val="0"/>
          <w:divBdr>
            <w:top w:val="none" w:sz="0" w:space="0" w:color="auto"/>
            <w:left w:val="none" w:sz="0" w:space="0" w:color="auto"/>
            <w:bottom w:val="none" w:sz="0" w:space="0" w:color="auto"/>
            <w:right w:val="none" w:sz="0" w:space="0" w:color="auto"/>
          </w:divBdr>
        </w:div>
        <w:div w:id="870384197">
          <w:marLeft w:val="0"/>
          <w:marRight w:val="0"/>
          <w:marTop w:val="0"/>
          <w:marBottom w:val="0"/>
          <w:divBdr>
            <w:top w:val="none" w:sz="0" w:space="0" w:color="auto"/>
            <w:left w:val="none" w:sz="0" w:space="0" w:color="auto"/>
            <w:bottom w:val="none" w:sz="0" w:space="0" w:color="auto"/>
            <w:right w:val="none" w:sz="0" w:space="0" w:color="auto"/>
          </w:divBdr>
        </w:div>
        <w:div w:id="996419822">
          <w:marLeft w:val="0"/>
          <w:marRight w:val="0"/>
          <w:marTop w:val="0"/>
          <w:marBottom w:val="0"/>
          <w:divBdr>
            <w:top w:val="none" w:sz="0" w:space="0" w:color="auto"/>
            <w:left w:val="none" w:sz="0" w:space="0" w:color="auto"/>
            <w:bottom w:val="none" w:sz="0" w:space="0" w:color="auto"/>
            <w:right w:val="none" w:sz="0" w:space="0" w:color="auto"/>
          </w:divBdr>
        </w:div>
        <w:div w:id="1288198186">
          <w:marLeft w:val="0"/>
          <w:marRight w:val="0"/>
          <w:marTop w:val="0"/>
          <w:marBottom w:val="0"/>
          <w:divBdr>
            <w:top w:val="none" w:sz="0" w:space="0" w:color="auto"/>
            <w:left w:val="none" w:sz="0" w:space="0" w:color="auto"/>
            <w:bottom w:val="none" w:sz="0" w:space="0" w:color="auto"/>
            <w:right w:val="none" w:sz="0" w:space="0" w:color="auto"/>
          </w:divBdr>
        </w:div>
        <w:div w:id="1496605331">
          <w:marLeft w:val="0"/>
          <w:marRight w:val="0"/>
          <w:marTop w:val="0"/>
          <w:marBottom w:val="0"/>
          <w:divBdr>
            <w:top w:val="none" w:sz="0" w:space="0" w:color="auto"/>
            <w:left w:val="none" w:sz="0" w:space="0" w:color="auto"/>
            <w:bottom w:val="none" w:sz="0" w:space="0" w:color="auto"/>
            <w:right w:val="none" w:sz="0" w:space="0" w:color="auto"/>
          </w:divBdr>
        </w:div>
        <w:div w:id="1532844645">
          <w:marLeft w:val="0"/>
          <w:marRight w:val="0"/>
          <w:marTop w:val="0"/>
          <w:marBottom w:val="0"/>
          <w:divBdr>
            <w:top w:val="none" w:sz="0" w:space="0" w:color="auto"/>
            <w:left w:val="none" w:sz="0" w:space="0" w:color="auto"/>
            <w:bottom w:val="none" w:sz="0" w:space="0" w:color="auto"/>
            <w:right w:val="none" w:sz="0" w:space="0" w:color="auto"/>
          </w:divBdr>
        </w:div>
        <w:div w:id="1696152518">
          <w:marLeft w:val="0"/>
          <w:marRight w:val="0"/>
          <w:marTop w:val="0"/>
          <w:marBottom w:val="0"/>
          <w:divBdr>
            <w:top w:val="none" w:sz="0" w:space="0" w:color="auto"/>
            <w:left w:val="none" w:sz="0" w:space="0" w:color="auto"/>
            <w:bottom w:val="none" w:sz="0" w:space="0" w:color="auto"/>
            <w:right w:val="none" w:sz="0" w:space="0" w:color="auto"/>
          </w:divBdr>
        </w:div>
        <w:div w:id="1828133836">
          <w:marLeft w:val="0"/>
          <w:marRight w:val="0"/>
          <w:marTop w:val="0"/>
          <w:marBottom w:val="0"/>
          <w:divBdr>
            <w:top w:val="none" w:sz="0" w:space="0" w:color="auto"/>
            <w:left w:val="none" w:sz="0" w:space="0" w:color="auto"/>
            <w:bottom w:val="none" w:sz="0" w:space="0" w:color="auto"/>
            <w:right w:val="none" w:sz="0" w:space="0" w:color="auto"/>
          </w:divBdr>
        </w:div>
        <w:div w:id="1924292525">
          <w:marLeft w:val="0"/>
          <w:marRight w:val="0"/>
          <w:marTop w:val="0"/>
          <w:marBottom w:val="0"/>
          <w:divBdr>
            <w:top w:val="none" w:sz="0" w:space="0" w:color="auto"/>
            <w:left w:val="none" w:sz="0" w:space="0" w:color="auto"/>
            <w:bottom w:val="none" w:sz="0" w:space="0" w:color="auto"/>
            <w:right w:val="none" w:sz="0" w:space="0" w:color="auto"/>
          </w:divBdr>
        </w:div>
        <w:div w:id="2025670116">
          <w:marLeft w:val="0"/>
          <w:marRight w:val="0"/>
          <w:marTop w:val="0"/>
          <w:marBottom w:val="0"/>
          <w:divBdr>
            <w:top w:val="none" w:sz="0" w:space="0" w:color="auto"/>
            <w:left w:val="none" w:sz="0" w:space="0" w:color="auto"/>
            <w:bottom w:val="none" w:sz="0" w:space="0" w:color="auto"/>
            <w:right w:val="none" w:sz="0" w:space="0" w:color="auto"/>
          </w:divBdr>
        </w:div>
      </w:divsChild>
    </w:div>
    <w:div w:id="1790081608">
      <w:bodyDiv w:val="1"/>
      <w:marLeft w:val="0"/>
      <w:marRight w:val="0"/>
      <w:marTop w:val="0"/>
      <w:marBottom w:val="0"/>
      <w:divBdr>
        <w:top w:val="none" w:sz="0" w:space="0" w:color="auto"/>
        <w:left w:val="none" w:sz="0" w:space="0" w:color="auto"/>
        <w:bottom w:val="none" w:sz="0" w:space="0" w:color="auto"/>
        <w:right w:val="none" w:sz="0" w:space="0" w:color="auto"/>
      </w:divBdr>
    </w:div>
    <w:div w:id="1833062954">
      <w:bodyDiv w:val="1"/>
      <w:marLeft w:val="0"/>
      <w:marRight w:val="0"/>
      <w:marTop w:val="0"/>
      <w:marBottom w:val="0"/>
      <w:divBdr>
        <w:top w:val="none" w:sz="0" w:space="0" w:color="auto"/>
        <w:left w:val="none" w:sz="0" w:space="0" w:color="auto"/>
        <w:bottom w:val="none" w:sz="0" w:space="0" w:color="auto"/>
        <w:right w:val="none" w:sz="0" w:space="0" w:color="auto"/>
      </w:divBdr>
      <w:divsChild>
        <w:div w:id="118837313">
          <w:marLeft w:val="0"/>
          <w:marRight w:val="0"/>
          <w:marTop w:val="0"/>
          <w:marBottom w:val="0"/>
          <w:divBdr>
            <w:top w:val="none" w:sz="0" w:space="0" w:color="auto"/>
            <w:left w:val="none" w:sz="0" w:space="0" w:color="auto"/>
            <w:bottom w:val="none" w:sz="0" w:space="0" w:color="auto"/>
            <w:right w:val="none" w:sz="0" w:space="0" w:color="auto"/>
          </w:divBdr>
        </w:div>
        <w:div w:id="528839655">
          <w:marLeft w:val="0"/>
          <w:marRight w:val="0"/>
          <w:marTop w:val="0"/>
          <w:marBottom w:val="0"/>
          <w:divBdr>
            <w:top w:val="none" w:sz="0" w:space="0" w:color="auto"/>
            <w:left w:val="none" w:sz="0" w:space="0" w:color="auto"/>
            <w:bottom w:val="none" w:sz="0" w:space="0" w:color="auto"/>
            <w:right w:val="none" w:sz="0" w:space="0" w:color="auto"/>
          </w:divBdr>
        </w:div>
        <w:div w:id="620764463">
          <w:marLeft w:val="0"/>
          <w:marRight w:val="0"/>
          <w:marTop w:val="0"/>
          <w:marBottom w:val="0"/>
          <w:divBdr>
            <w:top w:val="none" w:sz="0" w:space="0" w:color="auto"/>
            <w:left w:val="none" w:sz="0" w:space="0" w:color="auto"/>
            <w:bottom w:val="none" w:sz="0" w:space="0" w:color="auto"/>
            <w:right w:val="none" w:sz="0" w:space="0" w:color="auto"/>
          </w:divBdr>
        </w:div>
      </w:divsChild>
    </w:div>
    <w:div w:id="1834643331">
      <w:bodyDiv w:val="1"/>
      <w:marLeft w:val="0"/>
      <w:marRight w:val="0"/>
      <w:marTop w:val="0"/>
      <w:marBottom w:val="0"/>
      <w:divBdr>
        <w:top w:val="none" w:sz="0" w:space="0" w:color="auto"/>
        <w:left w:val="none" w:sz="0" w:space="0" w:color="auto"/>
        <w:bottom w:val="none" w:sz="0" w:space="0" w:color="auto"/>
        <w:right w:val="none" w:sz="0" w:space="0" w:color="auto"/>
      </w:divBdr>
      <w:divsChild>
        <w:div w:id="423844654">
          <w:marLeft w:val="547"/>
          <w:marRight w:val="0"/>
          <w:marTop w:val="0"/>
          <w:marBottom w:val="0"/>
          <w:divBdr>
            <w:top w:val="none" w:sz="0" w:space="0" w:color="auto"/>
            <w:left w:val="none" w:sz="0" w:space="0" w:color="auto"/>
            <w:bottom w:val="none" w:sz="0" w:space="0" w:color="auto"/>
            <w:right w:val="none" w:sz="0" w:space="0" w:color="auto"/>
          </w:divBdr>
        </w:div>
        <w:div w:id="648052371">
          <w:marLeft w:val="547"/>
          <w:marRight w:val="0"/>
          <w:marTop w:val="0"/>
          <w:marBottom w:val="0"/>
          <w:divBdr>
            <w:top w:val="none" w:sz="0" w:space="0" w:color="auto"/>
            <w:left w:val="none" w:sz="0" w:space="0" w:color="auto"/>
            <w:bottom w:val="none" w:sz="0" w:space="0" w:color="auto"/>
            <w:right w:val="none" w:sz="0" w:space="0" w:color="auto"/>
          </w:divBdr>
        </w:div>
        <w:div w:id="1086659039">
          <w:marLeft w:val="547"/>
          <w:marRight w:val="0"/>
          <w:marTop w:val="0"/>
          <w:marBottom w:val="0"/>
          <w:divBdr>
            <w:top w:val="none" w:sz="0" w:space="0" w:color="auto"/>
            <w:left w:val="none" w:sz="0" w:space="0" w:color="auto"/>
            <w:bottom w:val="none" w:sz="0" w:space="0" w:color="auto"/>
            <w:right w:val="none" w:sz="0" w:space="0" w:color="auto"/>
          </w:divBdr>
        </w:div>
        <w:div w:id="1530947763">
          <w:marLeft w:val="547"/>
          <w:marRight w:val="0"/>
          <w:marTop w:val="0"/>
          <w:marBottom w:val="0"/>
          <w:divBdr>
            <w:top w:val="none" w:sz="0" w:space="0" w:color="auto"/>
            <w:left w:val="none" w:sz="0" w:space="0" w:color="auto"/>
            <w:bottom w:val="none" w:sz="0" w:space="0" w:color="auto"/>
            <w:right w:val="none" w:sz="0" w:space="0" w:color="auto"/>
          </w:divBdr>
        </w:div>
        <w:div w:id="1626692534">
          <w:marLeft w:val="547"/>
          <w:marRight w:val="0"/>
          <w:marTop w:val="0"/>
          <w:marBottom w:val="0"/>
          <w:divBdr>
            <w:top w:val="none" w:sz="0" w:space="0" w:color="auto"/>
            <w:left w:val="none" w:sz="0" w:space="0" w:color="auto"/>
            <w:bottom w:val="none" w:sz="0" w:space="0" w:color="auto"/>
            <w:right w:val="none" w:sz="0" w:space="0" w:color="auto"/>
          </w:divBdr>
        </w:div>
        <w:div w:id="1694958540">
          <w:marLeft w:val="547"/>
          <w:marRight w:val="0"/>
          <w:marTop w:val="0"/>
          <w:marBottom w:val="0"/>
          <w:divBdr>
            <w:top w:val="none" w:sz="0" w:space="0" w:color="auto"/>
            <w:left w:val="none" w:sz="0" w:space="0" w:color="auto"/>
            <w:bottom w:val="none" w:sz="0" w:space="0" w:color="auto"/>
            <w:right w:val="none" w:sz="0" w:space="0" w:color="auto"/>
          </w:divBdr>
        </w:div>
        <w:div w:id="1821119236">
          <w:marLeft w:val="547"/>
          <w:marRight w:val="0"/>
          <w:marTop w:val="0"/>
          <w:marBottom w:val="0"/>
          <w:divBdr>
            <w:top w:val="none" w:sz="0" w:space="0" w:color="auto"/>
            <w:left w:val="none" w:sz="0" w:space="0" w:color="auto"/>
            <w:bottom w:val="none" w:sz="0" w:space="0" w:color="auto"/>
            <w:right w:val="none" w:sz="0" w:space="0" w:color="auto"/>
          </w:divBdr>
        </w:div>
        <w:div w:id="1841651192">
          <w:marLeft w:val="547"/>
          <w:marRight w:val="0"/>
          <w:marTop w:val="0"/>
          <w:marBottom w:val="0"/>
          <w:divBdr>
            <w:top w:val="none" w:sz="0" w:space="0" w:color="auto"/>
            <w:left w:val="none" w:sz="0" w:space="0" w:color="auto"/>
            <w:bottom w:val="none" w:sz="0" w:space="0" w:color="auto"/>
            <w:right w:val="none" w:sz="0" w:space="0" w:color="auto"/>
          </w:divBdr>
        </w:div>
      </w:divsChild>
    </w:div>
    <w:div w:id="1835142825">
      <w:bodyDiv w:val="1"/>
      <w:marLeft w:val="0"/>
      <w:marRight w:val="0"/>
      <w:marTop w:val="0"/>
      <w:marBottom w:val="0"/>
      <w:divBdr>
        <w:top w:val="none" w:sz="0" w:space="0" w:color="auto"/>
        <w:left w:val="none" w:sz="0" w:space="0" w:color="auto"/>
        <w:bottom w:val="none" w:sz="0" w:space="0" w:color="auto"/>
        <w:right w:val="none" w:sz="0" w:space="0" w:color="auto"/>
      </w:divBdr>
      <w:divsChild>
        <w:div w:id="3213612">
          <w:marLeft w:val="0"/>
          <w:marRight w:val="0"/>
          <w:marTop w:val="0"/>
          <w:marBottom w:val="0"/>
          <w:divBdr>
            <w:top w:val="none" w:sz="0" w:space="0" w:color="auto"/>
            <w:left w:val="none" w:sz="0" w:space="0" w:color="auto"/>
            <w:bottom w:val="none" w:sz="0" w:space="0" w:color="auto"/>
            <w:right w:val="none" w:sz="0" w:space="0" w:color="auto"/>
          </w:divBdr>
        </w:div>
        <w:div w:id="46146981">
          <w:marLeft w:val="0"/>
          <w:marRight w:val="0"/>
          <w:marTop w:val="0"/>
          <w:marBottom w:val="0"/>
          <w:divBdr>
            <w:top w:val="none" w:sz="0" w:space="0" w:color="auto"/>
            <w:left w:val="none" w:sz="0" w:space="0" w:color="auto"/>
            <w:bottom w:val="none" w:sz="0" w:space="0" w:color="auto"/>
            <w:right w:val="none" w:sz="0" w:space="0" w:color="auto"/>
          </w:divBdr>
        </w:div>
        <w:div w:id="96297347">
          <w:marLeft w:val="0"/>
          <w:marRight w:val="0"/>
          <w:marTop w:val="0"/>
          <w:marBottom w:val="0"/>
          <w:divBdr>
            <w:top w:val="none" w:sz="0" w:space="0" w:color="auto"/>
            <w:left w:val="none" w:sz="0" w:space="0" w:color="auto"/>
            <w:bottom w:val="none" w:sz="0" w:space="0" w:color="auto"/>
            <w:right w:val="none" w:sz="0" w:space="0" w:color="auto"/>
          </w:divBdr>
        </w:div>
        <w:div w:id="101809460">
          <w:marLeft w:val="0"/>
          <w:marRight w:val="0"/>
          <w:marTop w:val="0"/>
          <w:marBottom w:val="0"/>
          <w:divBdr>
            <w:top w:val="none" w:sz="0" w:space="0" w:color="auto"/>
            <w:left w:val="none" w:sz="0" w:space="0" w:color="auto"/>
            <w:bottom w:val="none" w:sz="0" w:space="0" w:color="auto"/>
            <w:right w:val="none" w:sz="0" w:space="0" w:color="auto"/>
          </w:divBdr>
        </w:div>
        <w:div w:id="103578740">
          <w:marLeft w:val="0"/>
          <w:marRight w:val="0"/>
          <w:marTop w:val="0"/>
          <w:marBottom w:val="0"/>
          <w:divBdr>
            <w:top w:val="none" w:sz="0" w:space="0" w:color="auto"/>
            <w:left w:val="none" w:sz="0" w:space="0" w:color="auto"/>
            <w:bottom w:val="none" w:sz="0" w:space="0" w:color="auto"/>
            <w:right w:val="none" w:sz="0" w:space="0" w:color="auto"/>
          </w:divBdr>
        </w:div>
        <w:div w:id="111637759">
          <w:marLeft w:val="0"/>
          <w:marRight w:val="0"/>
          <w:marTop w:val="0"/>
          <w:marBottom w:val="0"/>
          <w:divBdr>
            <w:top w:val="none" w:sz="0" w:space="0" w:color="auto"/>
            <w:left w:val="none" w:sz="0" w:space="0" w:color="auto"/>
            <w:bottom w:val="none" w:sz="0" w:space="0" w:color="auto"/>
            <w:right w:val="none" w:sz="0" w:space="0" w:color="auto"/>
          </w:divBdr>
        </w:div>
        <w:div w:id="125123113">
          <w:marLeft w:val="0"/>
          <w:marRight w:val="0"/>
          <w:marTop w:val="0"/>
          <w:marBottom w:val="0"/>
          <w:divBdr>
            <w:top w:val="none" w:sz="0" w:space="0" w:color="auto"/>
            <w:left w:val="none" w:sz="0" w:space="0" w:color="auto"/>
            <w:bottom w:val="none" w:sz="0" w:space="0" w:color="auto"/>
            <w:right w:val="none" w:sz="0" w:space="0" w:color="auto"/>
          </w:divBdr>
        </w:div>
        <w:div w:id="142813830">
          <w:marLeft w:val="0"/>
          <w:marRight w:val="0"/>
          <w:marTop w:val="0"/>
          <w:marBottom w:val="0"/>
          <w:divBdr>
            <w:top w:val="none" w:sz="0" w:space="0" w:color="auto"/>
            <w:left w:val="none" w:sz="0" w:space="0" w:color="auto"/>
            <w:bottom w:val="none" w:sz="0" w:space="0" w:color="auto"/>
            <w:right w:val="none" w:sz="0" w:space="0" w:color="auto"/>
          </w:divBdr>
        </w:div>
        <w:div w:id="173544927">
          <w:marLeft w:val="0"/>
          <w:marRight w:val="0"/>
          <w:marTop w:val="0"/>
          <w:marBottom w:val="0"/>
          <w:divBdr>
            <w:top w:val="none" w:sz="0" w:space="0" w:color="auto"/>
            <w:left w:val="none" w:sz="0" w:space="0" w:color="auto"/>
            <w:bottom w:val="none" w:sz="0" w:space="0" w:color="auto"/>
            <w:right w:val="none" w:sz="0" w:space="0" w:color="auto"/>
          </w:divBdr>
        </w:div>
        <w:div w:id="180632529">
          <w:marLeft w:val="0"/>
          <w:marRight w:val="0"/>
          <w:marTop w:val="0"/>
          <w:marBottom w:val="0"/>
          <w:divBdr>
            <w:top w:val="none" w:sz="0" w:space="0" w:color="auto"/>
            <w:left w:val="none" w:sz="0" w:space="0" w:color="auto"/>
            <w:bottom w:val="none" w:sz="0" w:space="0" w:color="auto"/>
            <w:right w:val="none" w:sz="0" w:space="0" w:color="auto"/>
          </w:divBdr>
        </w:div>
        <w:div w:id="200628803">
          <w:marLeft w:val="0"/>
          <w:marRight w:val="0"/>
          <w:marTop w:val="0"/>
          <w:marBottom w:val="0"/>
          <w:divBdr>
            <w:top w:val="none" w:sz="0" w:space="0" w:color="auto"/>
            <w:left w:val="none" w:sz="0" w:space="0" w:color="auto"/>
            <w:bottom w:val="none" w:sz="0" w:space="0" w:color="auto"/>
            <w:right w:val="none" w:sz="0" w:space="0" w:color="auto"/>
          </w:divBdr>
        </w:div>
        <w:div w:id="205727662">
          <w:marLeft w:val="0"/>
          <w:marRight w:val="0"/>
          <w:marTop w:val="0"/>
          <w:marBottom w:val="0"/>
          <w:divBdr>
            <w:top w:val="none" w:sz="0" w:space="0" w:color="auto"/>
            <w:left w:val="none" w:sz="0" w:space="0" w:color="auto"/>
            <w:bottom w:val="none" w:sz="0" w:space="0" w:color="auto"/>
            <w:right w:val="none" w:sz="0" w:space="0" w:color="auto"/>
          </w:divBdr>
        </w:div>
        <w:div w:id="265500702">
          <w:marLeft w:val="0"/>
          <w:marRight w:val="0"/>
          <w:marTop w:val="0"/>
          <w:marBottom w:val="0"/>
          <w:divBdr>
            <w:top w:val="none" w:sz="0" w:space="0" w:color="auto"/>
            <w:left w:val="none" w:sz="0" w:space="0" w:color="auto"/>
            <w:bottom w:val="none" w:sz="0" w:space="0" w:color="auto"/>
            <w:right w:val="none" w:sz="0" w:space="0" w:color="auto"/>
          </w:divBdr>
        </w:div>
        <w:div w:id="273024759">
          <w:marLeft w:val="0"/>
          <w:marRight w:val="0"/>
          <w:marTop w:val="0"/>
          <w:marBottom w:val="0"/>
          <w:divBdr>
            <w:top w:val="none" w:sz="0" w:space="0" w:color="auto"/>
            <w:left w:val="none" w:sz="0" w:space="0" w:color="auto"/>
            <w:bottom w:val="none" w:sz="0" w:space="0" w:color="auto"/>
            <w:right w:val="none" w:sz="0" w:space="0" w:color="auto"/>
          </w:divBdr>
        </w:div>
        <w:div w:id="293950763">
          <w:marLeft w:val="0"/>
          <w:marRight w:val="0"/>
          <w:marTop w:val="0"/>
          <w:marBottom w:val="0"/>
          <w:divBdr>
            <w:top w:val="none" w:sz="0" w:space="0" w:color="auto"/>
            <w:left w:val="none" w:sz="0" w:space="0" w:color="auto"/>
            <w:bottom w:val="none" w:sz="0" w:space="0" w:color="auto"/>
            <w:right w:val="none" w:sz="0" w:space="0" w:color="auto"/>
          </w:divBdr>
        </w:div>
        <w:div w:id="296841546">
          <w:marLeft w:val="0"/>
          <w:marRight w:val="0"/>
          <w:marTop w:val="0"/>
          <w:marBottom w:val="0"/>
          <w:divBdr>
            <w:top w:val="none" w:sz="0" w:space="0" w:color="auto"/>
            <w:left w:val="none" w:sz="0" w:space="0" w:color="auto"/>
            <w:bottom w:val="none" w:sz="0" w:space="0" w:color="auto"/>
            <w:right w:val="none" w:sz="0" w:space="0" w:color="auto"/>
          </w:divBdr>
        </w:div>
        <w:div w:id="299385305">
          <w:marLeft w:val="0"/>
          <w:marRight w:val="0"/>
          <w:marTop w:val="0"/>
          <w:marBottom w:val="0"/>
          <w:divBdr>
            <w:top w:val="none" w:sz="0" w:space="0" w:color="auto"/>
            <w:left w:val="none" w:sz="0" w:space="0" w:color="auto"/>
            <w:bottom w:val="none" w:sz="0" w:space="0" w:color="auto"/>
            <w:right w:val="none" w:sz="0" w:space="0" w:color="auto"/>
          </w:divBdr>
        </w:div>
        <w:div w:id="367798656">
          <w:marLeft w:val="0"/>
          <w:marRight w:val="0"/>
          <w:marTop w:val="0"/>
          <w:marBottom w:val="0"/>
          <w:divBdr>
            <w:top w:val="none" w:sz="0" w:space="0" w:color="auto"/>
            <w:left w:val="none" w:sz="0" w:space="0" w:color="auto"/>
            <w:bottom w:val="none" w:sz="0" w:space="0" w:color="auto"/>
            <w:right w:val="none" w:sz="0" w:space="0" w:color="auto"/>
          </w:divBdr>
        </w:div>
        <w:div w:id="469708813">
          <w:marLeft w:val="0"/>
          <w:marRight w:val="0"/>
          <w:marTop w:val="0"/>
          <w:marBottom w:val="0"/>
          <w:divBdr>
            <w:top w:val="none" w:sz="0" w:space="0" w:color="auto"/>
            <w:left w:val="none" w:sz="0" w:space="0" w:color="auto"/>
            <w:bottom w:val="none" w:sz="0" w:space="0" w:color="auto"/>
            <w:right w:val="none" w:sz="0" w:space="0" w:color="auto"/>
          </w:divBdr>
        </w:div>
        <w:div w:id="474377588">
          <w:marLeft w:val="0"/>
          <w:marRight w:val="0"/>
          <w:marTop w:val="0"/>
          <w:marBottom w:val="0"/>
          <w:divBdr>
            <w:top w:val="none" w:sz="0" w:space="0" w:color="auto"/>
            <w:left w:val="none" w:sz="0" w:space="0" w:color="auto"/>
            <w:bottom w:val="none" w:sz="0" w:space="0" w:color="auto"/>
            <w:right w:val="none" w:sz="0" w:space="0" w:color="auto"/>
          </w:divBdr>
        </w:div>
        <w:div w:id="482738910">
          <w:marLeft w:val="0"/>
          <w:marRight w:val="0"/>
          <w:marTop w:val="0"/>
          <w:marBottom w:val="0"/>
          <w:divBdr>
            <w:top w:val="none" w:sz="0" w:space="0" w:color="auto"/>
            <w:left w:val="none" w:sz="0" w:space="0" w:color="auto"/>
            <w:bottom w:val="none" w:sz="0" w:space="0" w:color="auto"/>
            <w:right w:val="none" w:sz="0" w:space="0" w:color="auto"/>
          </w:divBdr>
        </w:div>
        <w:div w:id="517618522">
          <w:marLeft w:val="0"/>
          <w:marRight w:val="0"/>
          <w:marTop w:val="0"/>
          <w:marBottom w:val="0"/>
          <w:divBdr>
            <w:top w:val="none" w:sz="0" w:space="0" w:color="auto"/>
            <w:left w:val="none" w:sz="0" w:space="0" w:color="auto"/>
            <w:bottom w:val="none" w:sz="0" w:space="0" w:color="auto"/>
            <w:right w:val="none" w:sz="0" w:space="0" w:color="auto"/>
          </w:divBdr>
        </w:div>
        <w:div w:id="583105672">
          <w:marLeft w:val="0"/>
          <w:marRight w:val="0"/>
          <w:marTop w:val="0"/>
          <w:marBottom w:val="0"/>
          <w:divBdr>
            <w:top w:val="none" w:sz="0" w:space="0" w:color="auto"/>
            <w:left w:val="none" w:sz="0" w:space="0" w:color="auto"/>
            <w:bottom w:val="none" w:sz="0" w:space="0" w:color="auto"/>
            <w:right w:val="none" w:sz="0" w:space="0" w:color="auto"/>
          </w:divBdr>
        </w:div>
        <w:div w:id="632753557">
          <w:marLeft w:val="0"/>
          <w:marRight w:val="0"/>
          <w:marTop w:val="0"/>
          <w:marBottom w:val="0"/>
          <w:divBdr>
            <w:top w:val="none" w:sz="0" w:space="0" w:color="auto"/>
            <w:left w:val="none" w:sz="0" w:space="0" w:color="auto"/>
            <w:bottom w:val="none" w:sz="0" w:space="0" w:color="auto"/>
            <w:right w:val="none" w:sz="0" w:space="0" w:color="auto"/>
          </w:divBdr>
        </w:div>
        <w:div w:id="744959654">
          <w:marLeft w:val="0"/>
          <w:marRight w:val="0"/>
          <w:marTop w:val="0"/>
          <w:marBottom w:val="0"/>
          <w:divBdr>
            <w:top w:val="none" w:sz="0" w:space="0" w:color="auto"/>
            <w:left w:val="none" w:sz="0" w:space="0" w:color="auto"/>
            <w:bottom w:val="none" w:sz="0" w:space="0" w:color="auto"/>
            <w:right w:val="none" w:sz="0" w:space="0" w:color="auto"/>
          </w:divBdr>
        </w:div>
        <w:div w:id="759908517">
          <w:marLeft w:val="0"/>
          <w:marRight w:val="0"/>
          <w:marTop w:val="0"/>
          <w:marBottom w:val="0"/>
          <w:divBdr>
            <w:top w:val="none" w:sz="0" w:space="0" w:color="auto"/>
            <w:left w:val="none" w:sz="0" w:space="0" w:color="auto"/>
            <w:bottom w:val="none" w:sz="0" w:space="0" w:color="auto"/>
            <w:right w:val="none" w:sz="0" w:space="0" w:color="auto"/>
          </w:divBdr>
        </w:div>
        <w:div w:id="762840786">
          <w:marLeft w:val="0"/>
          <w:marRight w:val="0"/>
          <w:marTop w:val="0"/>
          <w:marBottom w:val="0"/>
          <w:divBdr>
            <w:top w:val="none" w:sz="0" w:space="0" w:color="auto"/>
            <w:left w:val="none" w:sz="0" w:space="0" w:color="auto"/>
            <w:bottom w:val="none" w:sz="0" w:space="0" w:color="auto"/>
            <w:right w:val="none" w:sz="0" w:space="0" w:color="auto"/>
          </w:divBdr>
        </w:div>
        <w:div w:id="762998570">
          <w:marLeft w:val="0"/>
          <w:marRight w:val="0"/>
          <w:marTop w:val="0"/>
          <w:marBottom w:val="0"/>
          <w:divBdr>
            <w:top w:val="none" w:sz="0" w:space="0" w:color="auto"/>
            <w:left w:val="none" w:sz="0" w:space="0" w:color="auto"/>
            <w:bottom w:val="none" w:sz="0" w:space="0" w:color="auto"/>
            <w:right w:val="none" w:sz="0" w:space="0" w:color="auto"/>
          </w:divBdr>
        </w:div>
        <w:div w:id="763691819">
          <w:marLeft w:val="0"/>
          <w:marRight w:val="0"/>
          <w:marTop w:val="0"/>
          <w:marBottom w:val="0"/>
          <w:divBdr>
            <w:top w:val="none" w:sz="0" w:space="0" w:color="auto"/>
            <w:left w:val="none" w:sz="0" w:space="0" w:color="auto"/>
            <w:bottom w:val="none" w:sz="0" w:space="0" w:color="auto"/>
            <w:right w:val="none" w:sz="0" w:space="0" w:color="auto"/>
          </w:divBdr>
        </w:div>
        <w:div w:id="825245420">
          <w:marLeft w:val="0"/>
          <w:marRight w:val="0"/>
          <w:marTop w:val="0"/>
          <w:marBottom w:val="0"/>
          <w:divBdr>
            <w:top w:val="none" w:sz="0" w:space="0" w:color="auto"/>
            <w:left w:val="none" w:sz="0" w:space="0" w:color="auto"/>
            <w:bottom w:val="none" w:sz="0" w:space="0" w:color="auto"/>
            <w:right w:val="none" w:sz="0" w:space="0" w:color="auto"/>
          </w:divBdr>
        </w:div>
        <w:div w:id="826553693">
          <w:marLeft w:val="0"/>
          <w:marRight w:val="0"/>
          <w:marTop w:val="0"/>
          <w:marBottom w:val="0"/>
          <w:divBdr>
            <w:top w:val="none" w:sz="0" w:space="0" w:color="auto"/>
            <w:left w:val="none" w:sz="0" w:space="0" w:color="auto"/>
            <w:bottom w:val="none" w:sz="0" w:space="0" w:color="auto"/>
            <w:right w:val="none" w:sz="0" w:space="0" w:color="auto"/>
          </w:divBdr>
        </w:div>
        <w:div w:id="834689619">
          <w:marLeft w:val="0"/>
          <w:marRight w:val="0"/>
          <w:marTop w:val="0"/>
          <w:marBottom w:val="0"/>
          <w:divBdr>
            <w:top w:val="none" w:sz="0" w:space="0" w:color="auto"/>
            <w:left w:val="none" w:sz="0" w:space="0" w:color="auto"/>
            <w:bottom w:val="none" w:sz="0" w:space="0" w:color="auto"/>
            <w:right w:val="none" w:sz="0" w:space="0" w:color="auto"/>
          </w:divBdr>
        </w:div>
        <w:div w:id="878318437">
          <w:marLeft w:val="0"/>
          <w:marRight w:val="0"/>
          <w:marTop w:val="0"/>
          <w:marBottom w:val="0"/>
          <w:divBdr>
            <w:top w:val="none" w:sz="0" w:space="0" w:color="auto"/>
            <w:left w:val="none" w:sz="0" w:space="0" w:color="auto"/>
            <w:bottom w:val="none" w:sz="0" w:space="0" w:color="auto"/>
            <w:right w:val="none" w:sz="0" w:space="0" w:color="auto"/>
          </w:divBdr>
        </w:div>
        <w:div w:id="886918783">
          <w:marLeft w:val="0"/>
          <w:marRight w:val="0"/>
          <w:marTop w:val="0"/>
          <w:marBottom w:val="0"/>
          <w:divBdr>
            <w:top w:val="none" w:sz="0" w:space="0" w:color="auto"/>
            <w:left w:val="none" w:sz="0" w:space="0" w:color="auto"/>
            <w:bottom w:val="none" w:sz="0" w:space="0" w:color="auto"/>
            <w:right w:val="none" w:sz="0" w:space="0" w:color="auto"/>
          </w:divBdr>
        </w:div>
        <w:div w:id="891692337">
          <w:marLeft w:val="0"/>
          <w:marRight w:val="0"/>
          <w:marTop w:val="0"/>
          <w:marBottom w:val="0"/>
          <w:divBdr>
            <w:top w:val="none" w:sz="0" w:space="0" w:color="auto"/>
            <w:left w:val="none" w:sz="0" w:space="0" w:color="auto"/>
            <w:bottom w:val="none" w:sz="0" w:space="0" w:color="auto"/>
            <w:right w:val="none" w:sz="0" w:space="0" w:color="auto"/>
          </w:divBdr>
        </w:div>
        <w:div w:id="1035885897">
          <w:marLeft w:val="0"/>
          <w:marRight w:val="0"/>
          <w:marTop w:val="0"/>
          <w:marBottom w:val="0"/>
          <w:divBdr>
            <w:top w:val="none" w:sz="0" w:space="0" w:color="auto"/>
            <w:left w:val="none" w:sz="0" w:space="0" w:color="auto"/>
            <w:bottom w:val="none" w:sz="0" w:space="0" w:color="auto"/>
            <w:right w:val="none" w:sz="0" w:space="0" w:color="auto"/>
          </w:divBdr>
        </w:div>
        <w:div w:id="1068964238">
          <w:marLeft w:val="0"/>
          <w:marRight w:val="0"/>
          <w:marTop w:val="0"/>
          <w:marBottom w:val="0"/>
          <w:divBdr>
            <w:top w:val="none" w:sz="0" w:space="0" w:color="auto"/>
            <w:left w:val="none" w:sz="0" w:space="0" w:color="auto"/>
            <w:bottom w:val="none" w:sz="0" w:space="0" w:color="auto"/>
            <w:right w:val="none" w:sz="0" w:space="0" w:color="auto"/>
          </w:divBdr>
        </w:div>
        <w:div w:id="1079017068">
          <w:marLeft w:val="0"/>
          <w:marRight w:val="0"/>
          <w:marTop w:val="0"/>
          <w:marBottom w:val="0"/>
          <w:divBdr>
            <w:top w:val="none" w:sz="0" w:space="0" w:color="auto"/>
            <w:left w:val="none" w:sz="0" w:space="0" w:color="auto"/>
            <w:bottom w:val="none" w:sz="0" w:space="0" w:color="auto"/>
            <w:right w:val="none" w:sz="0" w:space="0" w:color="auto"/>
          </w:divBdr>
        </w:div>
        <w:div w:id="1111363384">
          <w:marLeft w:val="0"/>
          <w:marRight w:val="0"/>
          <w:marTop w:val="0"/>
          <w:marBottom w:val="0"/>
          <w:divBdr>
            <w:top w:val="none" w:sz="0" w:space="0" w:color="auto"/>
            <w:left w:val="none" w:sz="0" w:space="0" w:color="auto"/>
            <w:bottom w:val="none" w:sz="0" w:space="0" w:color="auto"/>
            <w:right w:val="none" w:sz="0" w:space="0" w:color="auto"/>
          </w:divBdr>
        </w:div>
        <w:div w:id="1136414199">
          <w:marLeft w:val="0"/>
          <w:marRight w:val="0"/>
          <w:marTop w:val="0"/>
          <w:marBottom w:val="0"/>
          <w:divBdr>
            <w:top w:val="none" w:sz="0" w:space="0" w:color="auto"/>
            <w:left w:val="none" w:sz="0" w:space="0" w:color="auto"/>
            <w:bottom w:val="none" w:sz="0" w:space="0" w:color="auto"/>
            <w:right w:val="none" w:sz="0" w:space="0" w:color="auto"/>
          </w:divBdr>
        </w:div>
        <w:div w:id="1155956026">
          <w:marLeft w:val="0"/>
          <w:marRight w:val="0"/>
          <w:marTop w:val="0"/>
          <w:marBottom w:val="0"/>
          <w:divBdr>
            <w:top w:val="none" w:sz="0" w:space="0" w:color="auto"/>
            <w:left w:val="none" w:sz="0" w:space="0" w:color="auto"/>
            <w:bottom w:val="none" w:sz="0" w:space="0" w:color="auto"/>
            <w:right w:val="none" w:sz="0" w:space="0" w:color="auto"/>
          </w:divBdr>
        </w:div>
        <w:div w:id="1162161458">
          <w:marLeft w:val="0"/>
          <w:marRight w:val="0"/>
          <w:marTop w:val="0"/>
          <w:marBottom w:val="0"/>
          <w:divBdr>
            <w:top w:val="none" w:sz="0" w:space="0" w:color="auto"/>
            <w:left w:val="none" w:sz="0" w:space="0" w:color="auto"/>
            <w:bottom w:val="none" w:sz="0" w:space="0" w:color="auto"/>
            <w:right w:val="none" w:sz="0" w:space="0" w:color="auto"/>
          </w:divBdr>
        </w:div>
        <w:div w:id="1241283525">
          <w:marLeft w:val="0"/>
          <w:marRight w:val="0"/>
          <w:marTop w:val="0"/>
          <w:marBottom w:val="0"/>
          <w:divBdr>
            <w:top w:val="none" w:sz="0" w:space="0" w:color="auto"/>
            <w:left w:val="none" w:sz="0" w:space="0" w:color="auto"/>
            <w:bottom w:val="none" w:sz="0" w:space="0" w:color="auto"/>
            <w:right w:val="none" w:sz="0" w:space="0" w:color="auto"/>
          </w:divBdr>
        </w:div>
        <w:div w:id="1269973068">
          <w:marLeft w:val="0"/>
          <w:marRight w:val="0"/>
          <w:marTop w:val="0"/>
          <w:marBottom w:val="0"/>
          <w:divBdr>
            <w:top w:val="none" w:sz="0" w:space="0" w:color="auto"/>
            <w:left w:val="none" w:sz="0" w:space="0" w:color="auto"/>
            <w:bottom w:val="none" w:sz="0" w:space="0" w:color="auto"/>
            <w:right w:val="none" w:sz="0" w:space="0" w:color="auto"/>
          </w:divBdr>
        </w:div>
        <w:div w:id="1300649036">
          <w:marLeft w:val="0"/>
          <w:marRight w:val="0"/>
          <w:marTop w:val="0"/>
          <w:marBottom w:val="0"/>
          <w:divBdr>
            <w:top w:val="none" w:sz="0" w:space="0" w:color="auto"/>
            <w:left w:val="none" w:sz="0" w:space="0" w:color="auto"/>
            <w:bottom w:val="none" w:sz="0" w:space="0" w:color="auto"/>
            <w:right w:val="none" w:sz="0" w:space="0" w:color="auto"/>
          </w:divBdr>
        </w:div>
        <w:div w:id="1345745581">
          <w:marLeft w:val="0"/>
          <w:marRight w:val="0"/>
          <w:marTop w:val="0"/>
          <w:marBottom w:val="0"/>
          <w:divBdr>
            <w:top w:val="none" w:sz="0" w:space="0" w:color="auto"/>
            <w:left w:val="none" w:sz="0" w:space="0" w:color="auto"/>
            <w:bottom w:val="none" w:sz="0" w:space="0" w:color="auto"/>
            <w:right w:val="none" w:sz="0" w:space="0" w:color="auto"/>
          </w:divBdr>
        </w:div>
        <w:div w:id="1356880600">
          <w:marLeft w:val="0"/>
          <w:marRight w:val="0"/>
          <w:marTop w:val="0"/>
          <w:marBottom w:val="0"/>
          <w:divBdr>
            <w:top w:val="none" w:sz="0" w:space="0" w:color="auto"/>
            <w:left w:val="none" w:sz="0" w:space="0" w:color="auto"/>
            <w:bottom w:val="none" w:sz="0" w:space="0" w:color="auto"/>
            <w:right w:val="none" w:sz="0" w:space="0" w:color="auto"/>
          </w:divBdr>
        </w:div>
        <w:div w:id="1389261141">
          <w:marLeft w:val="0"/>
          <w:marRight w:val="0"/>
          <w:marTop w:val="0"/>
          <w:marBottom w:val="0"/>
          <w:divBdr>
            <w:top w:val="none" w:sz="0" w:space="0" w:color="auto"/>
            <w:left w:val="none" w:sz="0" w:space="0" w:color="auto"/>
            <w:bottom w:val="none" w:sz="0" w:space="0" w:color="auto"/>
            <w:right w:val="none" w:sz="0" w:space="0" w:color="auto"/>
          </w:divBdr>
        </w:div>
        <w:div w:id="1442142253">
          <w:marLeft w:val="0"/>
          <w:marRight w:val="0"/>
          <w:marTop w:val="0"/>
          <w:marBottom w:val="0"/>
          <w:divBdr>
            <w:top w:val="none" w:sz="0" w:space="0" w:color="auto"/>
            <w:left w:val="none" w:sz="0" w:space="0" w:color="auto"/>
            <w:bottom w:val="none" w:sz="0" w:space="0" w:color="auto"/>
            <w:right w:val="none" w:sz="0" w:space="0" w:color="auto"/>
          </w:divBdr>
        </w:div>
        <w:div w:id="1473984228">
          <w:marLeft w:val="0"/>
          <w:marRight w:val="0"/>
          <w:marTop w:val="0"/>
          <w:marBottom w:val="0"/>
          <w:divBdr>
            <w:top w:val="none" w:sz="0" w:space="0" w:color="auto"/>
            <w:left w:val="none" w:sz="0" w:space="0" w:color="auto"/>
            <w:bottom w:val="none" w:sz="0" w:space="0" w:color="auto"/>
            <w:right w:val="none" w:sz="0" w:space="0" w:color="auto"/>
          </w:divBdr>
        </w:div>
        <w:div w:id="1511019846">
          <w:marLeft w:val="0"/>
          <w:marRight w:val="0"/>
          <w:marTop w:val="0"/>
          <w:marBottom w:val="0"/>
          <w:divBdr>
            <w:top w:val="none" w:sz="0" w:space="0" w:color="auto"/>
            <w:left w:val="none" w:sz="0" w:space="0" w:color="auto"/>
            <w:bottom w:val="none" w:sz="0" w:space="0" w:color="auto"/>
            <w:right w:val="none" w:sz="0" w:space="0" w:color="auto"/>
          </w:divBdr>
        </w:div>
        <w:div w:id="1516338563">
          <w:marLeft w:val="0"/>
          <w:marRight w:val="0"/>
          <w:marTop w:val="0"/>
          <w:marBottom w:val="0"/>
          <w:divBdr>
            <w:top w:val="none" w:sz="0" w:space="0" w:color="auto"/>
            <w:left w:val="none" w:sz="0" w:space="0" w:color="auto"/>
            <w:bottom w:val="none" w:sz="0" w:space="0" w:color="auto"/>
            <w:right w:val="none" w:sz="0" w:space="0" w:color="auto"/>
          </w:divBdr>
        </w:div>
        <w:div w:id="1524127866">
          <w:marLeft w:val="0"/>
          <w:marRight w:val="0"/>
          <w:marTop w:val="0"/>
          <w:marBottom w:val="0"/>
          <w:divBdr>
            <w:top w:val="none" w:sz="0" w:space="0" w:color="auto"/>
            <w:left w:val="none" w:sz="0" w:space="0" w:color="auto"/>
            <w:bottom w:val="none" w:sz="0" w:space="0" w:color="auto"/>
            <w:right w:val="none" w:sz="0" w:space="0" w:color="auto"/>
          </w:divBdr>
        </w:div>
        <w:div w:id="1526214358">
          <w:marLeft w:val="0"/>
          <w:marRight w:val="0"/>
          <w:marTop w:val="0"/>
          <w:marBottom w:val="0"/>
          <w:divBdr>
            <w:top w:val="none" w:sz="0" w:space="0" w:color="auto"/>
            <w:left w:val="none" w:sz="0" w:space="0" w:color="auto"/>
            <w:bottom w:val="none" w:sz="0" w:space="0" w:color="auto"/>
            <w:right w:val="none" w:sz="0" w:space="0" w:color="auto"/>
          </w:divBdr>
        </w:div>
        <w:div w:id="1551115688">
          <w:marLeft w:val="0"/>
          <w:marRight w:val="0"/>
          <w:marTop w:val="0"/>
          <w:marBottom w:val="0"/>
          <w:divBdr>
            <w:top w:val="none" w:sz="0" w:space="0" w:color="auto"/>
            <w:left w:val="none" w:sz="0" w:space="0" w:color="auto"/>
            <w:bottom w:val="none" w:sz="0" w:space="0" w:color="auto"/>
            <w:right w:val="none" w:sz="0" w:space="0" w:color="auto"/>
          </w:divBdr>
        </w:div>
        <w:div w:id="1642541106">
          <w:marLeft w:val="0"/>
          <w:marRight w:val="0"/>
          <w:marTop w:val="0"/>
          <w:marBottom w:val="0"/>
          <w:divBdr>
            <w:top w:val="none" w:sz="0" w:space="0" w:color="auto"/>
            <w:left w:val="none" w:sz="0" w:space="0" w:color="auto"/>
            <w:bottom w:val="none" w:sz="0" w:space="0" w:color="auto"/>
            <w:right w:val="none" w:sz="0" w:space="0" w:color="auto"/>
          </w:divBdr>
        </w:div>
        <w:div w:id="1696271197">
          <w:marLeft w:val="0"/>
          <w:marRight w:val="0"/>
          <w:marTop w:val="0"/>
          <w:marBottom w:val="0"/>
          <w:divBdr>
            <w:top w:val="none" w:sz="0" w:space="0" w:color="auto"/>
            <w:left w:val="none" w:sz="0" w:space="0" w:color="auto"/>
            <w:bottom w:val="none" w:sz="0" w:space="0" w:color="auto"/>
            <w:right w:val="none" w:sz="0" w:space="0" w:color="auto"/>
          </w:divBdr>
        </w:div>
        <w:div w:id="1709528717">
          <w:marLeft w:val="0"/>
          <w:marRight w:val="0"/>
          <w:marTop w:val="0"/>
          <w:marBottom w:val="0"/>
          <w:divBdr>
            <w:top w:val="none" w:sz="0" w:space="0" w:color="auto"/>
            <w:left w:val="none" w:sz="0" w:space="0" w:color="auto"/>
            <w:bottom w:val="none" w:sz="0" w:space="0" w:color="auto"/>
            <w:right w:val="none" w:sz="0" w:space="0" w:color="auto"/>
          </w:divBdr>
        </w:div>
        <w:div w:id="1782333960">
          <w:marLeft w:val="0"/>
          <w:marRight w:val="0"/>
          <w:marTop w:val="0"/>
          <w:marBottom w:val="0"/>
          <w:divBdr>
            <w:top w:val="none" w:sz="0" w:space="0" w:color="auto"/>
            <w:left w:val="none" w:sz="0" w:space="0" w:color="auto"/>
            <w:bottom w:val="none" w:sz="0" w:space="0" w:color="auto"/>
            <w:right w:val="none" w:sz="0" w:space="0" w:color="auto"/>
          </w:divBdr>
        </w:div>
        <w:div w:id="1842429243">
          <w:marLeft w:val="0"/>
          <w:marRight w:val="0"/>
          <w:marTop w:val="0"/>
          <w:marBottom w:val="0"/>
          <w:divBdr>
            <w:top w:val="none" w:sz="0" w:space="0" w:color="auto"/>
            <w:left w:val="none" w:sz="0" w:space="0" w:color="auto"/>
            <w:bottom w:val="none" w:sz="0" w:space="0" w:color="auto"/>
            <w:right w:val="none" w:sz="0" w:space="0" w:color="auto"/>
          </w:divBdr>
        </w:div>
        <w:div w:id="1872840135">
          <w:marLeft w:val="0"/>
          <w:marRight w:val="0"/>
          <w:marTop w:val="0"/>
          <w:marBottom w:val="0"/>
          <w:divBdr>
            <w:top w:val="none" w:sz="0" w:space="0" w:color="auto"/>
            <w:left w:val="none" w:sz="0" w:space="0" w:color="auto"/>
            <w:bottom w:val="none" w:sz="0" w:space="0" w:color="auto"/>
            <w:right w:val="none" w:sz="0" w:space="0" w:color="auto"/>
          </w:divBdr>
        </w:div>
        <w:div w:id="1879195732">
          <w:marLeft w:val="0"/>
          <w:marRight w:val="0"/>
          <w:marTop w:val="0"/>
          <w:marBottom w:val="0"/>
          <w:divBdr>
            <w:top w:val="none" w:sz="0" w:space="0" w:color="auto"/>
            <w:left w:val="none" w:sz="0" w:space="0" w:color="auto"/>
            <w:bottom w:val="none" w:sz="0" w:space="0" w:color="auto"/>
            <w:right w:val="none" w:sz="0" w:space="0" w:color="auto"/>
          </w:divBdr>
        </w:div>
        <w:div w:id="1912538975">
          <w:marLeft w:val="0"/>
          <w:marRight w:val="0"/>
          <w:marTop w:val="0"/>
          <w:marBottom w:val="0"/>
          <w:divBdr>
            <w:top w:val="none" w:sz="0" w:space="0" w:color="auto"/>
            <w:left w:val="none" w:sz="0" w:space="0" w:color="auto"/>
            <w:bottom w:val="none" w:sz="0" w:space="0" w:color="auto"/>
            <w:right w:val="none" w:sz="0" w:space="0" w:color="auto"/>
          </w:divBdr>
        </w:div>
        <w:div w:id="1925719838">
          <w:marLeft w:val="0"/>
          <w:marRight w:val="0"/>
          <w:marTop w:val="0"/>
          <w:marBottom w:val="0"/>
          <w:divBdr>
            <w:top w:val="none" w:sz="0" w:space="0" w:color="auto"/>
            <w:left w:val="none" w:sz="0" w:space="0" w:color="auto"/>
            <w:bottom w:val="none" w:sz="0" w:space="0" w:color="auto"/>
            <w:right w:val="none" w:sz="0" w:space="0" w:color="auto"/>
          </w:divBdr>
        </w:div>
        <w:div w:id="1977253631">
          <w:marLeft w:val="0"/>
          <w:marRight w:val="0"/>
          <w:marTop w:val="0"/>
          <w:marBottom w:val="0"/>
          <w:divBdr>
            <w:top w:val="none" w:sz="0" w:space="0" w:color="auto"/>
            <w:left w:val="none" w:sz="0" w:space="0" w:color="auto"/>
            <w:bottom w:val="none" w:sz="0" w:space="0" w:color="auto"/>
            <w:right w:val="none" w:sz="0" w:space="0" w:color="auto"/>
          </w:divBdr>
        </w:div>
        <w:div w:id="2028939974">
          <w:marLeft w:val="0"/>
          <w:marRight w:val="0"/>
          <w:marTop w:val="0"/>
          <w:marBottom w:val="0"/>
          <w:divBdr>
            <w:top w:val="none" w:sz="0" w:space="0" w:color="auto"/>
            <w:left w:val="none" w:sz="0" w:space="0" w:color="auto"/>
            <w:bottom w:val="none" w:sz="0" w:space="0" w:color="auto"/>
            <w:right w:val="none" w:sz="0" w:space="0" w:color="auto"/>
          </w:divBdr>
        </w:div>
        <w:div w:id="2044093834">
          <w:marLeft w:val="0"/>
          <w:marRight w:val="0"/>
          <w:marTop w:val="0"/>
          <w:marBottom w:val="0"/>
          <w:divBdr>
            <w:top w:val="none" w:sz="0" w:space="0" w:color="auto"/>
            <w:left w:val="none" w:sz="0" w:space="0" w:color="auto"/>
            <w:bottom w:val="none" w:sz="0" w:space="0" w:color="auto"/>
            <w:right w:val="none" w:sz="0" w:space="0" w:color="auto"/>
          </w:divBdr>
        </w:div>
        <w:div w:id="2063821266">
          <w:marLeft w:val="0"/>
          <w:marRight w:val="0"/>
          <w:marTop w:val="0"/>
          <w:marBottom w:val="0"/>
          <w:divBdr>
            <w:top w:val="none" w:sz="0" w:space="0" w:color="auto"/>
            <w:left w:val="none" w:sz="0" w:space="0" w:color="auto"/>
            <w:bottom w:val="none" w:sz="0" w:space="0" w:color="auto"/>
            <w:right w:val="none" w:sz="0" w:space="0" w:color="auto"/>
          </w:divBdr>
        </w:div>
        <w:div w:id="2065249648">
          <w:marLeft w:val="0"/>
          <w:marRight w:val="0"/>
          <w:marTop w:val="0"/>
          <w:marBottom w:val="0"/>
          <w:divBdr>
            <w:top w:val="none" w:sz="0" w:space="0" w:color="auto"/>
            <w:left w:val="none" w:sz="0" w:space="0" w:color="auto"/>
            <w:bottom w:val="none" w:sz="0" w:space="0" w:color="auto"/>
            <w:right w:val="none" w:sz="0" w:space="0" w:color="auto"/>
          </w:divBdr>
        </w:div>
        <w:div w:id="2077969928">
          <w:marLeft w:val="0"/>
          <w:marRight w:val="0"/>
          <w:marTop w:val="0"/>
          <w:marBottom w:val="0"/>
          <w:divBdr>
            <w:top w:val="none" w:sz="0" w:space="0" w:color="auto"/>
            <w:left w:val="none" w:sz="0" w:space="0" w:color="auto"/>
            <w:bottom w:val="none" w:sz="0" w:space="0" w:color="auto"/>
            <w:right w:val="none" w:sz="0" w:space="0" w:color="auto"/>
          </w:divBdr>
        </w:div>
        <w:div w:id="2096629292">
          <w:marLeft w:val="0"/>
          <w:marRight w:val="0"/>
          <w:marTop w:val="0"/>
          <w:marBottom w:val="0"/>
          <w:divBdr>
            <w:top w:val="none" w:sz="0" w:space="0" w:color="auto"/>
            <w:left w:val="none" w:sz="0" w:space="0" w:color="auto"/>
            <w:bottom w:val="none" w:sz="0" w:space="0" w:color="auto"/>
            <w:right w:val="none" w:sz="0" w:space="0" w:color="auto"/>
          </w:divBdr>
        </w:div>
        <w:div w:id="2119982106">
          <w:marLeft w:val="0"/>
          <w:marRight w:val="0"/>
          <w:marTop w:val="0"/>
          <w:marBottom w:val="0"/>
          <w:divBdr>
            <w:top w:val="none" w:sz="0" w:space="0" w:color="auto"/>
            <w:left w:val="none" w:sz="0" w:space="0" w:color="auto"/>
            <w:bottom w:val="none" w:sz="0" w:space="0" w:color="auto"/>
            <w:right w:val="none" w:sz="0" w:space="0" w:color="auto"/>
          </w:divBdr>
        </w:div>
        <w:div w:id="2122844577">
          <w:marLeft w:val="0"/>
          <w:marRight w:val="0"/>
          <w:marTop w:val="0"/>
          <w:marBottom w:val="0"/>
          <w:divBdr>
            <w:top w:val="none" w:sz="0" w:space="0" w:color="auto"/>
            <w:left w:val="none" w:sz="0" w:space="0" w:color="auto"/>
            <w:bottom w:val="none" w:sz="0" w:space="0" w:color="auto"/>
            <w:right w:val="none" w:sz="0" w:space="0" w:color="auto"/>
          </w:divBdr>
        </w:div>
      </w:divsChild>
    </w:div>
    <w:div w:id="1862665467">
      <w:bodyDiv w:val="1"/>
      <w:marLeft w:val="0"/>
      <w:marRight w:val="0"/>
      <w:marTop w:val="0"/>
      <w:marBottom w:val="0"/>
      <w:divBdr>
        <w:top w:val="none" w:sz="0" w:space="0" w:color="auto"/>
        <w:left w:val="none" w:sz="0" w:space="0" w:color="auto"/>
        <w:bottom w:val="none" w:sz="0" w:space="0" w:color="auto"/>
        <w:right w:val="none" w:sz="0" w:space="0" w:color="auto"/>
      </w:divBdr>
      <w:divsChild>
        <w:div w:id="378286163">
          <w:marLeft w:val="0"/>
          <w:marRight w:val="0"/>
          <w:marTop w:val="0"/>
          <w:marBottom w:val="0"/>
          <w:divBdr>
            <w:top w:val="none" w:sz="0" w:space="0" w:color="auto"/>
            <w:left w:val="none" w:sz="0" w:space="0" w:color="auto"/>
            <w:bottom w:val="none" w:sz="0" w:space="0" w:color="auto"/>
            <w:right w:val="none" w:sz="0" w:space="0" w:color="auto"/>
          </w:divBdr>
        </w:div>
        <w:div w:id="764767664">
          <w:marLeft w:val="0"/>
          <w:marRight w:val="0"/>
          <w:marTop w:val="0"/>
          <w:marBottom w:val="0"/>
          <w:divBdr>
            <w:top w:val="none" w:sz="0" w:space="0" w:color="auto"/>
            <w:left w:val="none" w:sz="0" w:space="0" w:color="auto"/>
            <w:bottom w:val="none" w:sz="0" w:space="0" w:color="auto"/>
            <w:right w:val="none" w:sz="0" w:space="0" w:color="auto"/>
          </w:divBdr>
        </w:div>
      </w:divsChild>
    </w:div>
    <w:div w:id="1873764887">
      <w:bodyDiv w:val="1"/>
      <w:marLeft w:val="0"/>
      <w:marRight w:val="0"/>
      <w:marTop w:val="0"/>
      <w:marBottom w:val="0"/>
      <w:divBdr>
        <w:top w:val="none" w:sz="0" w:space="0" w:color="auto"/>
        <w:left w:val="none" w:sz="0" w:space="0" w:color="auto"/>
        <w:bottom w:val="none" w:sz="0" w:space="0" w:color="auto"/>
        <w:right w:val="none" w:sz="0" w:space="0" w:color="auto"/>
      </w:divBdr>
    </w:div>
    <w:div w:id="1915360045">
      <w:bodyDiv w:val="1"/>
      <w:marLeft w:val="0"/>
      <w:marRight w:val="0"/>
      <w:marTop w:val="0"/>
      <w:marBottom w:val="0"/>
      <w:divBdr>
        <w:top w:val="none" w:sz="0" w:space="0" w:color="auto"/>
        <w:left w:val="none" w:sz="0" w:space="0" w:color="auto"/>
        <w:bottom w:val="none" w:sz="0" w:space="0" w:color="auto"/>
        <w:right w:val="none" w:sz="0" w:space="0" w:color="auto"/>
      </w:divBdr>
    </w:div>
    <w:div w:id="1953828601">
      <w:bodyDiv w:val="1"/>
      <w:marLeft w:val="0"/>
      <w:marRight w:val="0"/>
      <w:marTop w:val="0"/>
      <w:marBottom w:val="0"/>
      <w:divBdr>
        <w:top w:val="none" w:sz="0" w:space="0" w:color="auto"/>
        <w:left w:val="none" w:sz="0" w:space="0" w:color="auto"/>
        <w:bottom w:val="none" w:sz="0" w:space="0" w:color="auto"/>
        <w:right w:val="none" w:sz="0" w:space="0" w:color="auto"/>
      </w:divBdr>
    </w:div>
    <w:div w:id="1968121271">
      <w:bodyDiv w:val="1"/>
      <w:marLeft w:val="0"/>
      <w:marRight w:val="0"/>
      <w:marTop w:val="0"/>
      <w:marBottom w:val="0"/>
      <w:divBdr>
        <w:top w:val="none" w:sz="0" w:space="0" w:color="auto"/>
        <w:left w:val="none" w:sz="0" w:space="0" w:color="auto"/>
        <w:bottom w:val="none" w:sz="0" w:space="0" w:color="auto"/>
        <w:right w:val="none" w:sz="0" w:space="0" w:color="auto"/>
      </w:divBdr>
      <w:divsChild>
        <w:div w:id="1250893205">
          <w:marLeft w:val="274"/>
          <w:marRight w:val="0"/>
          <w:marTop w:val="0"/>
          <w:marBottom w:val="0"/>
          <w:divBdr>
            <w:top w:val="none" w:sz="0" w:space="0" w:color="auto"/>
            <w:left w:val="none" w:sz="0" w:space="0" w:color="auto"/>
            <w:bottom w:val="none" w:sz="0" w:space="0" w:color="auto"/>
            <w:right w:val="none" w:sz="0" w:space="0" w:color="auto"/>
          </w:divBdr>
        </w:div>
        <w:div w:id="2046366863">
          <w:marLeft w:val="274"/>
          <w:marRight w:val="0"/>
          <w:marTop w:val="0"/>
          <w:marBottom w:val="0"/>
          <w:divBdr>
            <w:top w:val="none" w:sz="0" w:space="0" w:color="auto"/>
            <w:left w:val="none" w:sz="0" w:space="0" w:color="auto"/>
            <w:bottom w:val="none" w:sz="0" w:space="0" w:color="auto"/>
            <w:right w:val="none" w:sz="0" w:space="0" w:color="auto"/>
          </w:divBdr>
        </w:div>
      </w:divsChild>
    </w:div>
    <w:div w:id="2009793672">
      <w:bodyDiv w:val="1"/>
      <w:marLeft w:val="0"/>
      <w:marRight w:val="0"/>
      <w:marTop w:val="0"/>
      <w:marBottom w:val="0"/>
      <w:divBdr>
        <w:top w:val="none" w:sz="0" w:space="0" w:color="auto"/>
        <w:left w:val="none" w:sz="0" w:space="0" w:color="auto"/>
        <w:bottom w:val="none" w:sz="0" w:space="0" w:color="auto"/>
        <w:right w:val="none" w:sz="0" w:space="0" w:color="auto"/>
      </w:divBdr>
      <w:divsChild>
        <w:div w:id="175074202">
          <w:marLeft w:val="0"/>
          <w:marRight w:val="0"/>
          <w:marTop w:val="0"/>
          <w:marBottom w:val="0"/>
          <w:divBdr>
            <w:top w:val="none" w:sz="0" w:space="0" w:color="auto"/>
            <w:left w:val="none" w:sz="0" w:space="0" w:color="auto"/>
            <w:bottom w:val="none" w:sz="0" w:space="0" w:color="auto"/>
            <w:right w:val="none" w:sz="0" w:space="0" w:color="auto"/>
          </w:divBdr>
        </w:div>
        <w:div w:id="421922829">
          <w:marLeft w:val="0"/>
          <w:marRight w:val="0"/>
          <w:marTop w:val="0"/>
          <w:marBottom w:val="0"/>
          <w:divBdr>
            <w:top w:val="none" w:sz="0" w:space="0" w:color="auto"/>
            <w:left w:val="none" w:sz="0" w:space="0" w:color="auto"/>
            <w:bottom w:val="none" w:sz="0" w:space="0" w:color="auto"/>
            <w:right w:val="none" w:sz="0" w:space="0" w:color="auto"/>
          </w:divBdr>
        </w:div>
      </w:divsChild>
    </w:div>
    <w:div w:id="2034183966">
      <w:bodyDiv w:val="1"/>
      <w:marLeft w:val="0"/>
      <w:marRight w:val="0"/>
      <w:marTop w:val="0"/>
      <w:marBottom w:val="0"/>
      <w:divBdr>
        <w:top w:val="none" w:sz="0" w:space="0" w:color="auto"/>
        <w:left w:val="none" w:sz="0" w:space="0" w:color="auto"/>
        <w:bottom w:val="none" w:sz="0" w:space="0" w:color="auto"/>
        <w:right w:val="none" w:sz="0" w:space="0" w:color="auto"/>
      </w:divBdr>
      <w:divsChild>
        <w:div w:id="720717504">
          <w:marLeft w:val="274"/>
          <w:marRight w:val="0"/>
          <w:marTop w:val="0"/>
          <w:marBottom w:val="0"/>
          <w:divBdr>
            <w:top w:val="none" w:sz="0" w:space="0" w:color="auto"/>
            <w:left w:val="none" w:sz="0" w:space="0" w:color="auto"/>
            <w:bottom w:val="none" w:sz="0" w:space="0" w:color="auto"/>
            <w:right w:val="none" w:sz="0" w:space="0" w:color="auto"/>
          </w:divBdr>
        </w:div>
        <w:div w:id="118197397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21" Type="http://schemas.openxmlformats.org/officeDocument/2006/relationships/image" Target="media/image7.png"/><Relationship Id="rId34" Type="http://schemas.openxmlformats.org/officeDocument/2006/relationships/chart" Target="charts/chart8.xml"/><Relationship Id="rId42" Type="http://schemas.openxmlformats.org/officeDocument/2006/relationships/chart" Target="charts/chart12.xm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chart" Target="charts/chart16.xml"/><Relationship Id="rId63" Type="http://schemas.openxmlformats.org/officeDocument/2006/relationships/hyperlink" Target="http://datatopics.worldbank.org/financialinclusion/country/beni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chart" Target="charts/chart5.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chart" Target="charts/chart7.xml"/><Relationship Id="rId37" Type="http://schemas.openxmlformats.org/officeDocument/2006/relationships/image" Target="media/image15.png"/><Relationship Id="rId40" Type="http://schemas.openxmlformats.org/officeDocument/2006/relationships/chart" Target="charts/chart11.xml"/><Relationship Id="rId45" Type="http://schemas.openxmlformats.org/officeDocument/2006/relationships/chart" Target="charts/chart13.xml"/><Relationship Id="rId53" Type="http://schemas.openxmlformats.org/officeDocument/2006/relationships/chart" Target="charts/chart15.xml"/><Relationship Id="rId58" Type="http://schemas.openxmlformats.org/officeDocument/2006/relationships/image" Target="media/image26.png"/><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29.emf"/><Relationship Id="rId19" Type="http://schemas.openxmlformats.org/officeDocument/2006/relationships/chart" Target="charts/chart1.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9.xml"/><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hyperlink" Target="http://www.bj.undp.org/content/benin/fr/home/library/poverty/publication_335111/" TargetMode="External"/><Relationship Id="rId8" Type="http://schemas.openxmlformats.org/officeDocument/2006/relationships/webSettings" Target="webSettings.xml"/><Relationship Id="rId51" Type="http://schemas.openxmlformats.org/officeDocument/2006/relationships/hyperlink" Target="http://finclusionlab.org/fr/country/Benin/analytics?title=Analyse-du-type-d%27institu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emf"/><Relationship Id="rId25" Type="http://schemas.openxmlformats.org/officeDocument/2006/relationships/image" Target="media/image10.emf"/><Relationship Id="rId33" Type="http://schemas.openxmlformats.org/officeDocument/2006/relationships/image" Target="media/image13.emf"/><Relationship Id="rId38" Type="http://schemas.openxmlformats.org/officeDocument/2006/relationships/image" Target="media/image16.png"/><Relationship Id="rId46" Type="http://schemas.openxmlformats.org/officeDocument/2006/relationships/hyperlink" Target="http://benin.opendataforafrica.org/" TargetMode="External"/><Relationship Id="rId59" Type="http://schemas.openxmlformats.org/officeDocument/2006/relationships/image" Target="media/image27.png"/><Relationship Id="rId67" Type="http://schemas.openxmlformats.org/officeDocument/2006/relationships/theme" Target="theme/theme1.xml"/><Relationship Id="rId20" Type="http://schemas.openxmlformats.org/officeDocument/2006/relationships/hyperlink" Target="https://www.finances.bj/thematiques/economie/microfinance/" TargetMode="External"/><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hyperlink" Target="https://www.bceao.int/IMG/pdf/rapport_annuel_com_ban_umoa_2016_internet.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chart" Target="charts/chart2.xml"/><Relationship Id="rId28" Type="http://schemas.openxmlformats.org/officeDocument/2006/relationships/chart" Target="charts/chart4.xml"/><Relationship Id="rId36" Type="http://schemas.openxmlformats.org/officeDocument/2006/relationships/image" Target="media/image14.png"/><Relationship Id="rId49" Type="http://schemas.openxmlformats.org/officeDocument/2006/relationships/image" Target="media/image22.png"/><Relationship Id="rId57" Type="http://schemas.openxmlformats.org/officeDocument/2006/relationships/hyperlink" Target="http://finclusionlab.org/fr/country/Benin/analytics?title=Ratio-de-l%27offre-et-de-la-demande-%28Pourcentage%29" TargetMode="Externa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chart" Target="charts/chart14.xml"/><Relationship Id="rId60" Type="http://schemas.openxmlformats.org/officeDocument/2006/relationships/image" Target="media/image28.emf"/><Relationship Id="rId65"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emf"/><Relationship Id="rId39" Type="http://schemas.openxmlformats.org/officeDocument/2006/relationships/chart" Target="charts/chart10.xml"/></Relationships>
</file>

<file path=word/_rels/footnotes.xml.rels><?xml version="1.0" encoding="UTF-8" standalone="yes"?>
<Relationships xmlns="http://schemas.openxmlformats.org/package/2006/relationships"><Relationship Id="rId1" Type="http://schemas.openxmlformats.org/officeDocument/2006/relationships/hyperlink" Target="http://finclusion.org/uploads/file/reports/FINAL%20BENIN%20-%20UNCDF%20MM4P%20Benin%20Long%20version%20English%20CEL%208%20Nov.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https://worldbankgroup-my.sharepoint.com/personal/tdicko_worldbank_org/Documents/Benin/donn&#233;es_secteur_microfinanc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Consultant\WORLD%20BANK%20_%20Payment%20System%20Development%20Group\BENIN\Data%20Mission%20Benin\Data%20Diagnostic%20Paiement%20Detail%20_%20Beni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Consultant\WORLD%20BANK%20_%20Payment%20System%20Development%20Group\BENIN\Data%20Mission%20Benin\Data%20Diagnostic%20Paiement%20Detail%20_%20Benin.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Consultant\WORLD%20BANK%20_%20Payment%20System%20Development%20Group\BENIN\Data%20Mission%20Benin\Data%20Diagnostic%20Paiement%20Detail%20_%20Benin.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Consultant\WORLD%20BANK%20_%20Payment%20System%20Development%20Group\BENIN\Donn&#233;es%20Mission%20Benin\D&#233;penses%20de%20consommation%20des%20m&#233;nages\Consommation%20des%20m&#233;nages%20201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Consultant\WORLD%20BANK%20_%20Payment%20System%20Development%20Group\BENIN\Data%20Mission%20Benin\Data%20Diagnostic%20Paiement%20Detail%20_%20Benin.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Consultant\WORLD%20BANK%20_%20Payment%20System%20Development%20Group\BENIN\Data%20Mission%20Benin\Data%20Diagnostic%20Paiement%20Detail%20_%20Benin.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Consultant\WORLD%20BANK%20_%20Payment%20System%20Development%20Group\BENIN\Data%20Mission%20Benin\Data%20Diagnostic%20Paiement%20Detail%20_%20Beni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worldbankgroup-my.sharepoint.com/personal/tdicko_worldbank_org/Documents/Benin/donn&#233;es_secteur_microfinanc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worldbankgroup-my.sharepoint.com/personal/tdicko_worldbank_org/Documents/Benin/fin_sept_201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worldbankgroup-my.sharepoint.com/personal/tdicko_worldbank_org/Documents/Benin/fin_sept_2017.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worldbankgroup-my.sharepoint.com/personal/tdicko_worldbank_org/Documents/Benin/fin_sept_2017.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https://worldbankgroup-my.sharepoint.com/personal/tdicko_worldbank_org/Documents/Benin/fin_sept_201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https://worldbankgroup-my.sharepoint.com/personal/tdicko_worldbank_org/Documents/Benin/fin_sept_2017.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Consultant\WORLD%20BANK%20_%20Payment%20System%20Development%20Group\BENIN\Data%20Mission%20Benin\Data%20Diagnostic%20Paiement%20Detail%20_%20Benin.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Consultant\WORLD%20BANK%20_%20Payment%20System%20Development%20Group\BENIN\Data%20Mission%20Benin\Data%20Diagnostic%20Paiement%20Detail%20_%20Beni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Sheet1!$A$3</c:f>
              <c:strCache>
                <c:ptCount val="1"/>
                <c:pt idx="0">
                  <c:v>clientèle</c:v>
                </c:pt>
              </c:strCache>
            </c:strRef>
          </c:tx>
          <c:spPr>
            <a:ln w="28575" cap="rnd">
              <a:solidFill>
                <a:schemeClr val="accent3"/>
              </a:solidFill>
              <a:round/>
            </a:ln>
            <a:effectLst/>
          </c:spPr>
          <c:marker>
            <c:symbol val="none"/>
          </c:marker>
          <c:cat>
            <c:numRef>
              <c:f>Sheet1!$B$2:$N$2</c:f>
              <c:numCache>
                <c:formatCode>General</c:formatCode>
                <c:ptCount val="13"/>
                <c:pt idx="0">
                  <c:v>2006</c:v>
                </c:pt>
                <c:pt idx="1">
                  <c:v>2007</c:v>
                </c:pt>
                <c:pt idx="2">
                  <c:v>2008</c:v>
                </c:pt>
                <c:pt idx="3">
                  <c:v>2009</c:v>
                </c:pt>
                <c:pt idx="4">
                  <c:v>2010</c:v>
                </c:pt>
                <c:pt idx="5">
                  <c:v>2011</c:v>
                </c:pt>
                <c:pt idx="6">
                  <c:v>2012</c:v>
                </c:pt>
                <c:pt idx="7">
                  <c:v>2013</c:v>
                </c:pt>
                <c:pt idx="8">
                  <c:v>2014</c:v>
                </c:pt>
                <c:pt idx="9">
                  <c:v>2014</c:v>
                </c:pt>
                <c:pt idx="10">
                  <c:v>2015</c:v>
                </c:pt>
                <c:pt idx="11">
                  <c:v>2016</c:v>
                </c:pt>
                <c:pt idx="12">
                  <c:v>2017</c:v>
                </c:pt>
              </c:numCache>
            </c:numRef>
          </c:cat>
          <c:val>
            <c:numRef>
              <c:f>Sheet1!$B$3:$N$3</c:f>
              <c:numCache>
                <c:formatCode>#,##0</c:formatCode>
                <c:ptCount val="13"/>
                <c:pt idx="0">
                  <c:v>719068</c:v>
                </c:pt>
                <c:pt idx="1">
                  <c:v>704158</c:v>
                </c:pt>
                <c:pt idx="2">
                  <c:v>1129016</c:v>
                </c:pt>
                <c:pt idx="3">
                  <c:v>1406683</c:v>
                </c:pt>
                <c:pt idx="4">
                  <c:v>1450334</c:v>
                </c:pt>
                <c:pt idx="5">
                  <c:v>1579322</c:v>
                </c:pt>
                <c:pt idx="6">
                  <c:v>1577936</c:v>
                </c:pt>
                <c:pt idx="7">
                  <c:v>1600496</c:v>
                </c:pt>
                <c:pt idx="8">
                  <c:v>1792146</c:v>
                </c:pt>
                <c:pt idx="9">
                  <c:v>1792146</c:v>
                </c:pt>
                <c:pt idx="10">
                  <c:v>1825262</c:v>
                </c:pt>
                <c:pt idx="11">
                  <c:v>1890357</c:v>
                </c:pt>
                <c:pt idx="12" formatCode="General">
                  <c:v>2208479</c:v>
                </c:pt>
              </c:numCache>
            </c:numRef>
          </c:val>
          <c:smooth val="0"/>
          <c:extLst>
            <c:ext xmlns:c16="http://schemas.microsoft.com/office/drawing/2014/chart" uri="{C3380CC4-5D6E-409C-BE32-E72D297353CC}">
              <c16:uniqueId val="{00000000-D48E-4DBD-BF1A-8D0BD273F8C9}"/>
            </c:ext>
          </c:extLst>
        </c:ser>
        <c:dLbls>
          <c:showLegendKey val="0"/>
          <c:showVal val="0"/>
          <c:showCatName val="0"/>
          <c:showSerName val="0"/>
          <c:showPercent val="0"/>
          <c:showBubbleSize val="0"/>
        </c:dLbls>
        <c:smooth val="0"/>
        <c:axId val="446648704"/>
        <c:axId val="446650240"/>
      </c:lineChart>
      <c:catAx>
        <c:axId val="44664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650240"/>
        <c:crosses val="autoZero"/>
        <c:auto val="1"/>
        <c:lblAlgn val="ctr"/>
        <c:lblOffset val="100"/>
        <c:noMultiLvlLbl val="0"/>
      </c:catAx>
      <c:valAx>
        <c:axId val="4466502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648704"/>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'MOBILE MONEY'!$A$4</c:f>
              <c:strCache>
                <c:ptCount val="1"/>
                <c:pt idx="0">
                  <c:v>Nombre de comptes Mobile Money</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'MOBILE MONEY'!$B$3:$F$3</c:f>
              <c:numCache>
                <c:formatCode>0</c:formatCode>
                <c:ptCount val="5"/>
                <c:pt idx="0">
                  <c:v>2013</c:v>
                </c:pt>
                <c:pt idx="1">
                  <c:v>2014</c:v>
                </c:pt>
                <c:pt idx="2">
                  <c:v>2015</c:v>
                </c:pt>
                <c:pt idx="3">
                  <c:v>2016</c:v>
                </c:pt>
                <c:pt idx="4" formatCode="[$-40C]mmm\-yy;@">
                  <c:v>42887</c:v>
                </c:pt>
              </c:numCache>
            </c:numRef>
          </c:cat>
          <c:val>
            <c:numRef>
              <c:f>'MOBILE MONEY'!$B$4:$F$4</c:f>
              <c:numCache>
                <c:formatCode>#,##0</c:formatCode>
                <c:ptCount val="5"/>
                <c:pt idx="0">
                  <c:v>159154</c:v>
                </c:pt>
                <c:pt idx="1">
                  <c:v>1097021</c:v>
                </c:pt>
                <c:pt idx="2">
                  <c:v>2535493</c:v>
                </c:pt>
                <c:pt idx="3">
                  <c:v>4357574</c:v>
                </c:pt>
                <c:pt idx="4">
                  <c:v>5524413</c:v>
                </c:pt>
              </c:numCache>
            </c:numRef>
          </c:val>
          <c:extLst>
            <c:ext xmlns:c16="http://schemas.microsoft.com/office/drawing/2014/chart" uri="{C3380CC4-5D6E-409C-BE32-E72D297353CC}">
              <c16:uniqueId val="{00000000-1D4E-45B5-8E7F-196FB050CBED}"/>
            </c:ext>
          </c:extLst>
        </c:ser>
        <c:ser>
          <c:idx val="1"/>
          <c:order val="1"/>
          <c:tx>
            <c:strRef>
              <c:f>'MOBILE MONEY'!$A$5</c:f>
              <c:strCache>
                <c:ptCount val="1"/>
                <c:pt idx="0">
                  <c:v>Nombre de comptes Mobile Money (actifs 90 jours)</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'MOBILE MONEY'!$B$3:$F$3</c:f>
              <c:numCache>
                <c:formatCode>0</c:formatCode>
                <c:ptCount val="5"/>
                <c:pt idx="0">
                  <c:v>2013</c:v>
                </c:pt>
                <c:pt idx="1">
                  <c:v>2014</c:v>
                </c:pt>
                <c:pt idx="2">
                  <c:v>2015</c:v>
                </c:pt>
                <c:pt idx="3">
                  <c:v>2016</c:v>
                </c:pt>
                <c:pt idx="4" formatCode="[$-40C]mmm\-yy;@">
                  <c:v>42887</c:v>
                </c:pt>
              </c:numCache>
            </c:numRef>
          </c:cat>
          <c:val>
            <c:numRef>
              <c:f>'MOBILE MONEY'!$B$5:$F$5</c:f>
              <c:numCache>
                <c:formatCode>#,##0</c:formatCode>
                <c:ptCount val="5"/>
                <c:pt idx="1">
                  <c:v>134766</c:v>
                </c:pt>
                <c:pt idx="2">
                  <c:v>393912</c:v>
                </c:pt>
                <c:pt idx="3">
                  <c:v>974293</c:v>
                </c:pt>
                <c:pt idx="4">
                  <c:v>1458353</c:v>
                </c:pt>
              </c:numCache>
            </c:numRef>
          </c:val>
          <c:extLst>
            <c:ext xmlns:c16="http://schemas.microsoft.com/office/drawing/2014/chart" uri="{C3380CC4-5D6E-409C-BE32-E72D297353CC}">
              <c16:uniqueId val="{00000001-1D4E-45B5-8E7F-196FB050CBED}"/>
            </c:ext>
          </c:extLst>
        </c:ser>
        <c:dLbls>
          <c:showLegendKey val="0"/>
          <c:showVal val="0"/>
          <c:showCatName val="0"/>
          <c:showSerName val="0"/>
          <c:showPercent val="0"/>
          <c:showBubbleSize val="0"/>
        </c:dLbls>
        <c:gapWidth val="100"/>
        <c:overlap val="-24"/>
        <c:axId val="457592192"/>
        <c:axId val="457618560"/>
      </c:barChart>
      <c:catAx>
        <c:axId val="45759219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7618560"/>
        <c:crosses val="autoZero"/>
        <c:auto val="1"/>
        <c:lblAlgn val="ctr"/>
        <c:lblOffset val="100"/>
        <c:noMultiLvlLbl val="0"/>
      </c:catAx>
      <c:valAx>
        <c:axId val="4576185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7592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'MOBILE MONEY'!$A$7</c:f>
              <c:strCache>
                <c:ptCount val="1"/>
                <c:pt idx="0">
                  <c:v>Valeur totale des transactions (Milliards F CFA)</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'MOBILE MONEY'!$B$3:$F$3</c:f>
              <c:numCache>
                <c:formatCode>0</c:formatCode>
                <c:ptCount val="5"/>
                <c:pt idx="0">
                  <c:v>2013</c:v>
                </c:pt>
                <c:pt idx="1">
                  <c:v>2014</c:v>
                </c:pt>
                <c:pt idx="2">
                  <c:v>2015</c:v>
                </c:pt>
                <c:pt idx="3">
                  <c:v>2016</c:v>
                </c:pt>
                <c:pt idx="4" formatCode="[$-40C]mmm\-yy;@">
                  <c:v>42887</c:v>
                </c:pt>
              </c:numCache>
            </c:numRef>
          </c:cat>
          <c:val>
            <c:numRef>
              <c:f>'MOBILE MONEY'!$B$7:$F$7</c:f>
              <c:numCache>
                <c:formatCode>#,##0.0</c:formatCode>
                <c:ptCount val="5"/>
                <c:pt idx="0">
                  <c:v>2.8</c:v>
                </c:pt>
                <c:pt idx="1">
                  <c:v>19.399999999999999</c:v>
                </c:pt>
                <c:pt idx="2">
                  <c:v>205.5</c:v>
                </c:pt>
                <c:pt idx="3">
                  <c:v>914.6</c:v>
                </c:pt>
                <c:pt idx="4">
                  <c:v>766.5</c:v>
                </c:pt>
              </c:numCache>
            </c:numRef>
          </c:val>
          <c:extLst>
            <c:ext xmlns:c16="http://schemas.microsoft.com/office/drawing/2014/chart" uri="{C3380CC4-5D6E-409C-BE32-E72D297353CC}">
              <c16:uniqueId val="{00000000-C785-4F29-8928-A15A2C8A0FCC}"/>
            </c:ext>
          </c:extLst>
        </c:ser>
        <c:dLbls>
          <c:showLegendKey val="0"/>
          <c:showVal val="1"/>
          <c:showCatName val="0"/>
          <c:showSerName val="0"/>
          <c:showPercent val="0"/>
          <c:showBubbleSize val="0"/>
        </c:dLbls>
        <c:gapWidth val="100"/>
        <c:overlap val="-24"/>
        <c:axId val="457630080"/>
        <c:axId val="457632768"/>
      </c:barChart>
      <c:catAx>
        <c:axId val="457630080"/>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7632768"/>
        <c:crosses val="autoZero"/>
        <c:auto val="1"/>
        <c:lblAlgn val="ctr"/>
        <c:lblOffset val="100"/>
        <c:noMultiLvlLbl val="0"/>
      </c:catAx>
      <c:valAx>
        <c:axId val="4576327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7630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233814188979"/>
          <c:y val="5.5693163982642901E-2"/>
          <c:w val="0.85921062992125896"/>
          <c:h val="0.48003025663458698"/>
        </c:manualLayout>
      </c:layout>
      <c:barChart>
        <c:barDir val="col"/>
        <c:grouping val="clustered"/>
        <c:varyColors val="0"/>
        <c:ser>
          <c:idx val="0"/>
          <c:order val="0"/>
          <c:tx>
            <c:strRef>
              <c:f>'Tarifs Transfert d''argent'!$B$46</c:f>
              <c:strCache>
                <c:ptCount val="1"/>
                <c:pt idx="0">
                  <c:v>MOBILE MONEY</c:v>
                </c:pt>
              </c:strCache>
            </c:strRef>
          </c:tx>
          <c:spPr>
            <a:solidFill>
              <a:schemeClr val="accent1"/>
            </a:solidFill>
            <a:ln>
              <a:noFill/>
            </a:ln>
            <a:effectLst/>
          </c:spPr>
          <c:invertIfNegative val="0"/>
          <c:cat>
            <c:strRef>
              <c:f>'Tarifs Transfert d''argent'!$A$47:$A$66</c:f>
              <c:strCache>
                <c:ptCount val="20"/>
                <c:pt idx="0">
                  <c:v>1 à 500 F CFA</c:v>
                </c:pt>
                <c:pt idx="1">
                  <c:v>501 à 2 000 F CFA</c:v>
                </c:pt>
                <c:pt idx="2">
                  <c:v>2 001 à 3 000 F CFA</c:v>
                </c:pt>
                <c:pt idx="3">
                  <c:v>3 001 à 5 000 F CFA</c:v>
                </c:pt>
                <c:pt idx="4">
                  <c:v>5 001 à 10 000 F CFA</c:v>
                </c:pt>
                <c:pt idx="5">
                  <c:v>10 001 à 15 000 F CFA</c:v>
                </c:pt>
                <c:pt idx="6">
                  <c:v>15 001 à 20 000 F CFA</c:v>
                </c:pt>
                <c:pt idx="7">
                  <c:v>20 001 à 25 000 F CFA</c:v>
                </c:pt>
                <c:pt idx="8">
                  <c:v>25 001 à 30 000 F CFA</c:v>
                </c:pt>
                <c:pt idx="9">
                  <c:v>30 001 à 50 000 F CFA</c:v>
                </c:pt>
                <c:pt idx="10">
                  <c:v>50 001 à 60 000 F CFA</c:v>
                </c:pt>
                <c:pt idx="11">
                  <c:v>60 001 à 75 000 F CFA</c:v>
                </c:pt>
                <c:pt idx="12">
                  <c:v>75 001 à 100 000 F CFA</c:v>
                </c:pt>
                <c:pt idx="13">
                  <c:v>100 001 à 120 000 F CFA</c:v>
                </c:pt>
                <c:pt idx="14">
                  <c:v>120 001 à 200 000 F CFA</c:v>
                </c:pt>
                <c:pt idx="15">
                  <c:v>200 001 à 250 000 F CFA</c:v>
                </c:pt>
                <c:pt idx="16">
                  <c:v>250 001 à 270 000 F CFA</c:v>
                </c:pt>
                <c:pt idx="17">
                  <c:v>270 001 à 300 000 F CFA</c:v>
                </c:pt>
                <c:pt idx="18">
                  <c:v>300 001 à 400 000 F CFA</c:v>
                </c:pt>
                <c:pt idx="19">
                  <c:v>400 001 à 500 000 F CFA</c:v>
                </c:pt>
              </c:strCache>
            </c:strRef>
          </c:cat>
          <c:val>
            <c:numRef>
              <c:f>'Tarifs Transfert d''argent'!$B$47:$B$66</c:f>
              <c:numCache>
                <c:formatCode>#,##0</c:formatCode>
                <c:ptCount val="20"/>
                <c:pt idx="0">
                  <c:v>200</c:v>
                </c:pt>
                <c:pt idx="1">
                  <c:v>200</c:v>
                </c:pt>
                <c:pt idx="2">
                  <c:v>200</c:v>
                </c:pt>
                <c:pt idx="3">
                  <c:v>200</c:v>
                </c:pt>
                <c:pt idx="4">
                  <c:v>500</c:v>
                </c:pt>
                <c:pt idx="5">
                  <c:v>500</c:v>
                </c:pt>
                <c:pt idx="6">
                  <c:v>500</c:v>
                </c:pt>
                <c:pt idx="7">
                  <c:v>800</c:v>
                </c:pt>
                <c:pt idx="8">
                  <c:v>800</c:v>
                </c:pt>
                <c:pt idx="9">
                  <c:v>800</c:v>
                </c:pt>
                <c:pt idx="10">
                  <c:v>800</c:v>
                </c:pt>
                <c:pt idx="11">
                  <c:v>1100</c:v>
                </c:pt>
                <c:pt idx="12">
                  <c:v>1600</c:v>
                </c:pt>
                <c:pt idx="13">
                  <c:v>2100</c:v>
                </c:pt>
                <c:pt idx="14">
                  <c:v>2100</c:v>
                </c:pt>
                <c:pt idx="15">
                  <c:v>3100</c:v>
                </c:pt>
                <c:pt idx="16">
                  <c:v>3100</c:v>
                </c:pt>
                <c:pt idx="17">
                  <c:v>3100</c:v>
                </c:pt>
                <c:pt idx="18">
                  <c:v>3600</c:v>
                </c:pt>
                <c:pt idx="19">
                  <c:v>3600</c:v>
                </c:pt>
              </c:numCache>
            </c:numRef>
          </c:val>
          <c:extLst>
            <c:ext xmlns:c16="http://schemas.microsoft.com/office/drawing/2014/chart" uri="{C3380CC4-5D6E-409C-BE32-E72D297353CC}">
              <c16:uniqueId val="{00000000-F5FB-4A6C-BC12-E81404423860}"/>
            </c:ext>
          </c:extLst>
        </c:ser>
        <c:ser>
          <c:idx val="1"/>
          <c:order val="1"/>
          <c:tx>
            <c:strRef>
              <c:f>'Tarifs Transfert d''argent'!$C$46</c:f>
              <c:strCache>
                <c:ptCount val="1"/>
                <c:pt idx="0">
                  <c:v>WARI</c:v>
                </c:pt>
              </c:strCache>
            </c:strRef>
          </c:tx>
          <c:spPr>
            <a:solidFill>
              <a:schemeClr val="accent2"/>
            </a:solidFill>
            <a:ln>
              <a:noFill/>
            </a:ln>
            <a:effectLst/>
          </c:spPr>
          <c:invertIfNegative val="0"/>
          <c:cat>
            <c:strRef>
              <c:f>'Tarifs Transfert d''argent'!$A$47:$A$66</c:f>
              <c:strCache>
                <c:ptCount val="20"/>
                <c:pt idx="0">
                  <c:v>1 à 500 F CFA</c:v>
                </c:pt>
                <c:pt idx="1">
                  <c:v>501 à 2 000 F CFA</c:v>
                </c:pt>
                <c:pt idx="2">
                  <c:v>2 001 à 3 000 F CFA</c:v>
                </c:pt>
                <c:pt idx="3">
                  <c:v>3 001 à 5 000 F CFA</c:v>
                </c:pt>
                <c:pt idx="4">
                  <c:v>5 001 à 10 000 F CFA</c:v>
                </c:pt>
                <c:pt idx="5">
                  <c:v>10 001 à 15 000 F CFA</c:v>
                </c:pt>
                <c:pt idx="6">
                  <c:v>15 001 à 20 000 F CFA</c:v>
                </c:pt>
                <c:pt idx="7">
                  <c:v>20 001 à 25 000 F CFA</c:v>
                </c:pt>
                <c:pt idx="8">
                  <c:v>25 001 à 30 000 F CFA</c:v>
                </c:pt>
                <c:pt idx="9">
                  <c:v>30 001 à 50 000 F CFA</c:v>
                </c:pt>
                <c:pt idx="10">
                  <c:v>50 001 à 60 000 F CFA</c:v>
                </c:pt>
                <c:pt idx="11">
                  <c:v>60 001 à 75 000 F CFA</c:v>
                </c:pt>
                <c:pt idx="12">
                  <c:v>75 001 à 100 000 F CFA</c:v>
                </c:pt>
                <c:pt idx="13">
                  <c:v>100 001 à 120 000 F CFA</c:v>
                </c:pt>
                <c:pt idx="14">
                  <c:v>120 001 à 200 000 F CFA</c:v>
                </c:pt>
                <c:pt idx="15">
                  <c:v>200 001 à 250 000 F CFA</c:v>
                </c:pt>
                <c:pt idx="16">
                  <c:v>250 001 à 270 000 F CFA</c:v>
                </c:pt>
                <c:pt idx="17">
                  <c:v>270 001 à 300 000 F CFA</c:v>
                </c:pt>
                <c:pt idx="18">
                  <c:v>300 001 à 400 000 F CFA</c:v>
                </c:pt>
                <c:pt idx="19">
                  <c:v>400 001 à 500 000 F CFA</c:v>
                </c:pt>
              </c:strCache>
            </c:strRef>
          </c:cat>
          <c:val>
            <c:numRef>
              <c:f>'Tarifs Transfert d''argent'!$C$47:$C$66</c:f>
              <c:numCache>
                <c:formatCode>#,##0</c:formatCode>
                <c:ptCount val="20"/>
                <c:pt idx="0">
                  <c:v>150</c:v>
                </c:pt>
                <c:pt idx="1">
                  <c:v>225</c:v>
                </c:pt>
                <c:pt idx="2">
                  <c:v>250</c:v>
                </c:pt>
                <c:pt idx="3">
                  <c:v>300</c:v>
                </c:pt>
                <c:pt idx="4">
                  <c:v>500</c:v>
                </c:pt>
                <c:pt idx="5">
                  <c:v>550</c:v>
                </c:pt>
                <c:pt idx="6">
                  <c:v>600</c:v>
                </c:pt>
                <c:pt idx="7">
                  <c:v>750</c:v>
                </c:pt>
                <c:pt idx="8">
                  <c:v>800</c:v>
                </c:pt>
                <c:pt idx="9">
                  <c:v>800</c:v>
                </c:pt>
                <c:pt idx="10">
                  <c:v>800</c:v>
                </c:pt>
                <c:pt idx="11">
                  <c:v>1100</c:v>
                </c:pt>
                <c:pt idx="12">
                  <c:v>1600</c:v>
                </c:pt>
                <c:pt idx="13">
                  <c:v>2600</c:v>
                </c:pt>
                <c:pt idx="14">
                  <c:v>2600</c:v>
                </c:pt>
                <c:pt idx="15">
                  <c:v>3600</c:v>
                </c:pt>
                <c:pt idx="16">
                  <c:v>4600</c:v>
                </c:pt>
                <c:pt idx="17">
                  <c:v>4600</c:v>
                </c:pt>
                <c:pt idx="18">
                  <c:v>5600</c:v>
                </c:pt>
                <c:pt idx="19">
                  <c:v>6600</c:v>
                </c:pt>
              </c:numCache>
            </c:numRef>
          </c:val>
          <c:extLst>
            <c:ext xmlns:c16="http://schemas.microsoft.com/office/drawing/2014/chart" uri="{C3380CC4-5D6E-409C-BE32-E72D297353CC}">
              <c16:uniqueId val="{00000001-F5FB-4A6C-BC12-E81404423860}"/>
            </c:ext>
          </c:extLst>
        </c:ser>
        <c:ser>
          <c:idx val="2"/>
          <c:order val="2"/>
          <c:tx>
            <c:strRef>
              <c:f>'Tarifs Transfert d''argent'!$D$46</c:f>
              <c:strCache>
                <c:ptCount val="1"/>
                <c:pt idx="0">
                  <c:v>WESTERN UNION</c:v>
                </c:pt>
              </c:strCache>
            </c:strRef>
          </c:tx>
          <c:spPr>
            <a:solidFill>
              <a:schemeClr val="accent3"/>
            </a:solidFill>
            <a:ln>
              <a:noFill/>
            </a:ln>
            <a:effectLst/>
          </c:spPr>
          <c:invertIfNegative val="0"/>
          <c:cat>
            <c:strRef>
              <c:f>'Tarifs Transfert d''argent'!$A$47:$A$66</c:f>
              <c:strCache>
                <c:ptCount val="20"/>
                <c:pt idx="0">
                  <c:v>1 à 500 F CFA</c:v>
                </c:pt>
                <c:pt idx="1">
                  <c:v>501 à 2 000 F CFA</c:v>
                </c:pt>
                <c:pt idx="2">
                  <c:v>2 001 à 3 000 F CFA</c:v>
                </c:pt>
                <c:pt idx="3">
                  <c:v>3 001 à 5 000 F CFA</c:v>
                </c:pt>
                <c:pt idx="4">
                  <c:v>5 001 à 10 000 F CFA</c:v>
                </c:pt>
                <c:pt idx="5">
                  <c:v>10 001 à 15 000 F CFA</c:v>
                </c:pt>
                <c:pt idx="6">
                  <c:v>15 001 à 20 000 F CFA</c:v>
                </c:pt>
                <c:pt idx="7">
                  <c:v>20 001 à 25 000 F CFA</c:v>
                </c:pt>
                <c:pt idx="8">
                  <c:v>25 001 à 30 000 F CFA</c:v>
                </c:pt>
                <c:pt idx="9">
                  <c:v>30 001 à 50 000 F CFA</c:v>
                </c:pt>
                <c:pt idx="10">
                  <c:v>50 001 à 60 000 F CFA</c:v>
                </c:pt>
                <c:pt idx="11">
                  <c:v>60 001 à 75 000 F CFA</c:v>
                </c:pt>
                <c:pt idx="12">
                  <c:v>75 001 à 100 000 F CFA</c:v>
                </c:pt>
                <c:pt idx="13">
                  <c:v>100 001 à 120 000 F CFA</c:v>
                </c:pt>
                <c:pt idx="14">
                  <c:v>120 001 à 200 000 F CFA</c:v>
                </c:pt>
                <c:pt idx="15">
                  <c:v>200 001 à 250 000 F CFA</c:v>
                </c:pt>
                <c:pt idx="16">
                  <c:v>250 001 à 270 000 F CFA</c:v>
                </c:pt>
                <c:pt idx="17">
                  <c:v>270 001 à 300 000 F CFA</c:v>
                </c:pt>
                <c:pt idx="18">
                  <c:v>300 001 à 400 000 F CFA</c:v>
                </c:pt>
                <c:pt idx="19">
                  <c:v>400 001 à 500 000 F CFA</c:v>
                </c:pt>
              </c:strCache>
            </c:strRef>
          </c:cat>
          <c:val>
            <c:numRef>
              <c:f>'Tarifs Transfert d''argent'!$D$47:$D$66</c:f>
              <c:numCache>
                <c:formatCode>#,##0</c:formatCode>
                <c:ptCount val="20"/>
                <c:pt idx="0">
                  <c:v>499.95</c:v>
                </c:pt>
                <c:pt idx="1">
                  <c:v>499.95</c:v>
                </c:pt>
                <c:pt idx="2">
                  <c:v>499.95</c:v>
                </c:pt>
                <c:pt idx="3">
                  <c:v>499.95</c:v>
                </c:pt>
                <c:pt idx="4">
                  <c:v>499.95</c:v>
                </c:pt>
                <c:pt idx="5">
                  <c:v>1000.01</c:v>
                </c:pt>
                <c:pt idx="6">
                  <c:v>1000.01</c:v>
                </c:pt>
                <c:pt idx="7">
                  <c:v>1500.4</c:v>
                </c:pt>
                <c:pt idx="8">
                  <c:v>1500.4</c:v>
                </c:pt>
                <c:pt idx="9">
                  <c:v>2500.3000000000002</c:v>
                </c:pt>
                <c:pt idx="10">
                  <c:v>2500.3000000000002</c:v>
                </c:pt>
                <c:pt idx="11">
                  <c:v>4199.8</c:v>
                </c:pt>
                <c:pt idx="12">
                  <c:v>4199.8</c:v>
                </c:pt>
                <c:pt idx="13">
                  <c:v>7499.8</c:v>
                </c:pt>
                <c:pt idx="14">
                  <c:v>7499.8</c:v>
                </c:pt>
                <c:pt idx="15">
                  <c:v>9500.0399999999863</c:v>
                </c:pt>
                <c:pt idx="16">
                  <c:v>10500.05</c:v>
                </c:pt>
                <c:pt idx="17">
                  <c:v>10500.05</c:v>
                </c:pt>
                <c:pt idx="18">
                  <c:v>12000.01</c:v>
                </c:pt>
                <c:pt idx="19">
                  <c:v>15000.03999999999</c:v>
                </c:pt>
              </c:numCache>
            </c:numRef>
          </c:val>
          <c:extLst>
            <c:ext xmlns:c16="http://schemas.microsoft.com/office/drawing/2014/chart" uri="{C3380CC4-5D6E-409C-BE32-E72D297353CC}">
              <c16:uniqueId val="{00000002-F5FB-4A6C-BC12-E81404423860}"/>
            </c:ext>
          </c:extLst>
        </c:ser>
        <c:ser>
          <c:idx val="3"/>
          <c:order val="3"/>
          <c:tx>
            <c:strRef>
              <c:f>'Tarifs Transfert d''argent'!$E$46</c:f>
              <c:strCache>
                <c:ptCount val="1"/>
                <c:pt idx="0">
                  <c:v>MONEYGRAM</c:v>
                </c:pt>
              </c:strCache>
            </c:strRef>
          </c:tx>
          <c:spPr>
            <a:solidFill>
              <a:schemeClr val="accent4"/>
            </a:solidFill>
            <a:ln>
              <a:noFill/>
            </a:ln>
            <a:effectLst/>
          </c:spPr>
          <c:invertIfNegative val="0"/>
          <c:cat>
            <c:strRef>
              <c:f>'Tarifs Transfert d''argent'!$A$47:$A$66</c:f>
              <c:strCache>
                <c:ptCount val="20"/>
                <c:pt idx="0">
                  <c:v>1 à 500 F CFA</c:v>
                </c:pt>
                <c:pt idx="1">
                  <c:v>501 à 2 000 F CFA</c:v>
                </c:pt>
                <c:pt idx="2">
                  <c:v>2 001 à 3 000 F CFA</c:v>
                </c:pt>
                <c:pt idx="3">
                  <c:v>3 001 à 5 000 F CFA</c:v>
                </c:pt>
                <c:pt idx="4">
                  <c:v>5 001 à 10 000 F CFA</c:v>
                </c:pt>
                <c:pt idx="5">
                  <c:v>10 001 à 15 000 F CFA</c:v>
                </c:pt>
                <c:pt idx="6">
                  <c:v>15 001 à 20 000 F CFA</c:v>
                </c:pt>
                <c:pt idx="7">
                  <c:v>20 001 à 25 000 F CFA</c:v>
                </c:pt>
                <c:pt idx="8">
                  <c:v>25 001 à 30 000 F CFA</c:v>
                </c:pt>
                <c:pt idx="9">
                  <c:v>30 001 à 50 000 F CFA</c:v>
                </c:pt>
                <c:pt idx="10">
                  <c:v>50 001 à 60 000 F CFA</c:v>
                </c:pt>
                <c:pt idx="11">
                  <c:v>60 001 à 75 000 F CFA</c:v>
                </c:pt>
                <c:pt idx="12">
                  <c:v>75 001 à 100 000 F CFA</c:v>
                </c:pt>
                <c:pt idx="13">
                  <c:v>100 001 à 120 000 F CFA</c:v>
                </c:pt>
                <c:pt idx="14">
                  <c:v>120 001 à 200 000 F CFA</c:v>
                </c:pt>
                <c:pt idx="15">
                  <c:v>200 001 à 250 000 F CFA</c:v>
                </c:pt>
                <c:pt idx="16">
                  <c:v>250 001 à 270 000 F CFA</c:v>
                </c:pt>
                <c:pt idx="17">
                  <c:v>270 001 à 300 000 F CFA</c:v>
                </c:pt>
                <c:pt idx="18">
                  <c:v>300 001 à 400 000 F CFA</c:v>
                </c:pt>
                <c:pt idx="19">
                  <c:v>400 001 à 500 000 F CFA</c:v>
                </c:pt>
              </c:strCache>
            </c:strRef>
          </c:cat>
          <c:val>
            <c:numRef>
              <c:f>'Tarifs Transfert d''argent'!$E$47:$E$66</c:f>
              <c:numCache>
                <c:formatCode>#,##0</c:formatCode>
                <c:ptCount val="20"/>
                <c:pt idx="0">
                  <c:v>354</c:v>
                </c:pt>
                <c:pt idx="1">
                  <c:v>354</c:v>
                </c:pt>
                <c:pt idx="2">
                  <c:v>354</c:v>
                </c:pt>
                <c:pt idx="3">
                  <c:v>354</c:v>
                </c:pt>
                <c:pt idx="4">
                  <c:v>826</c:v>
                </c:pt>
                <c:pt idx="5">
                  <c:v>1180</c:v>
                </c:pt>
                <c:pt idx="6">
                  <c:v>1652</c:v>
                </c:pt>
                <c:pt idx="7">
                  <c:v>1652</c:v>
                </c:pt>
                <c:pt idx="8">
                  <c:v>1652</c:v>
                </c:pt>
                <c:pt idx="9">
                  <c:v>1652</c:v>
                </c:pt>
                <c:pt idx="10">
                  <c:v>2714</c:v>
                </c:pt>
                <c:pt idx="11">
                  <c:v>3304</c:v>
                </c:pt>
                <c:pt idx="12">
                  <c:v>3304</c:v>
                </c:pt>
                <c:pt idx="13">
                  <c:v>4720</c:v>
                </c:pt>
                <c:pt idx="14">
                  <c:v>5900</c:v>
                </c:pt>
                <c:pt idx="15">
                  <c:v>6136</c:v>
                </c:pt>
                <c:pt idx="16">
                  <c:v>6136</c:v>
                </c:pt>
                <c:pt idx="17">
                  <c:v>9912</c:v>
                </c:pt>
                <c:pt idx="18">
                  <c:v>10620</c:v>
                </c:pt>
                <c:pt idx="19">
                  <c:v>11800</c:v>
                </c:pt>
              </c:numCache>
            </c:numRef>
          </c:val>
          <c:extLst>
            <c:ext xmlns:c16="http://schemas.microsoft.com/office/drawing/2014/chart" uri="{C3380CC4-5D6E-409C-BE32-E72D297353CC}">
              <c16:uniqueId val="{00000003-F5FB-4A6C-BC12-E81404423860}"/>
            </c:ext>
          </c:extLst>
        </c:ser>
        <c:dLbls>
          <c:showLegendKey val="0"/>
          <c:showVal val="0"/>
          <c:showCatName val="0"/>
          <c:showSerName val="0"/>
          <c:showPercent val="0"/>
          <c:showBubbleSize val="0"/>
        </c:dLbls>
        <c:gapWidth val="150"/>
        <c:axId val="457685248"/>
        <c:axId val="457691136"/>
      </c:barChart>
      <c:catAx>
        <c:axId val="457685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691136"/>
        <c:crosses val="autoZero"/>
        <c:auto val="1"/>
        <c:lblAlgn val="ctr"/>
        <c:lblOffset val="100"/>
        <c:noMultiLvlLbl val="0"/>
      </c:catAx>
      <c:valAx>
        <c:axId val="457691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685248"/>
        <c:crosses val="autoZero"/>
        <c:crossBetween val="between"/>
      </c:valAx>
      <c:spPr>
        <a:noFill/>
        <a:ln>
          <a:noFill/>
        </a:ln>
        <a:effectLst/>
      </c:spPr>
    </c:plotArea>
    <c:legend>
      <c:legendPos val="b"/>
      <c:layout>
        <c:manualLayout>
          <c:xMode val="edge"/>
          <c:yMode val="edge"/>
          <c:x val="0.11180774232641701"/>
          <c:y val="0.92795630275945196"/>
          <c:w val="0.78194024101930104"/>
          <c:h val="5.8860736026981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100" baseline="0"/>
              <a:t>Average annual expenditure on household consumption</a:t>
            </a:r>
            <a:endParaRPr lang="fr-FR" sz="1100"/>
          </a:p>
        </c:rich>
      </c:tx>
      <c:overlay val="0"/>
    </c:title>
    <c:autoTitleDeleted val="0"/>
    <c:plotArea>
      <c:layout/>
      <c:barChart>
        <c:barDir val="col"/>
        <c:grouping val="clustered"/>
        <c:varyColors val="0"/>
        <c:ser>
          <c:idx val="0"/>
          <c:order val="0"/>
          <c:tx>
            <c:v>Atakora - Total</c:v>
          </c:tx>
          <c:spPr>
            <a:solidFill>
              <a:srgbClr val="438631"/>
            </a:solidFill>
          </c:spPr>
          <c:invertIfNegative val="0"/>
          <c:cat>
            <c:strLit>
              <c:ptCount val="4"/>
              <c:pt idx="0">
                <c:v>2007</c:v>
              </c:pt>
              <c:pt idx="1">
                <c:v>2009</c:v>
              </c:pt>
              <c:pt idx="2">
                <c:v>2011</c:v>
              </c:pt>
              <c:pt idx="3">
                <c:v>2015</c:v>
              </c:pt>
            </c:strLit>
          </c:cat>
          <c:val>
            <c:numRef>
              <c:f>Data!$C$2:$F$2</c:f>
              <c:numCache>
                <c:formatCode>#.00;\-#.00;0.00;@</c:formatCode>
                <c:ptCount val="4"/>
                <c:pt idx="0">
                  <c:v>152412</c:v>
                </c:pt>
                <c:pt idx="1">
                  <c:v>157883</c:v>
                </c:pt>
                <c:pt idx="2">
                  <c:v>134582</c:v>
                </c:pt>
                <c:pt idx="3">
                  <c:v>159754</c:v>
                </c:pt>
              </c:numCache>
            </c:numRef>
          </c:val>
          <c:extLst>
            <c:ext xmlns:c16="http://schemas.microsoft.com/office/drawing/2014/chart" uri="{C3380CC4-5D6E-409C-BE32-E72D297353CC}">
              <c16:uniqueId val="{00000000-E198-4768-9377-DF670F239292}"/>
            </c:ext>
          </c:extLst>
        </c:ser>
        <c:ser>
          <c:idx val="1"/>
          <c:order val="1"/>
          <c:tx>
            <c:v>Alibori - Total</c:v>
          </c:tx>
          <c:spPr>
            <a:solidFill>
              <a:srgbClr val="0496D5"/>
            </a:solidFill>
          </c:spPr>
          <c:invertIfNegative val="0"/>
          <c:cat>
            <c:strLit>
              <c:ptCount val="4"/>
              <c:pt idx="0">
                <c:v>2007</c:v>
              </c:pt>
              <c:pt idx="1">
                <c:v>2009</c:v>
              </c:pt>
              <c:pt idx="2">
                <c:v>2011</c:v>
              </c:pt>
              <c:pt idx="3">
                <c:v>2015</c:v>
              </c:pt>
            </c:strLit>
          </c:cat>
          <c:val>
            <c:numRef>
              <c:f>Data!$C$3:$F$3</c:f>
              <c:numCache>
                <c:formatCode>#.00;\-#.00;0.00;@</c:formatCode>
                <c:ptCount val="4"/>
                <c:pt idx="0">
                  <c:v>248342</c:v>
                </c:pt>
                <c:pt idx="1">
                  <c:v>200309</c:v>
                </c:pt>
                <c:pt idx="2">
                  <c:v>144274</c:v>
                </c:pt>
                <c:pt idx="3">
                  <c:v>160347</c:v>
                </c:pt>
              </c:numCache>
            </c:numRef>
          </c:val>
          <c:extLst>
            <c:ext xmlns:c16="http://schemas.microsoft.com/office/drawing/2014/chart" uri="{C3380CC4-5D6E-409C-BE32-E72D297353CC}">
              <c16:uniqueId val="{00000001-E198-4768-9377-DF670F239292}"/>
            </c:ext>
          </c:extLst>
        </c:ser>
        <c:ser>
          <c:idx val="2"/>
          <c:order val="2"/>
          <c:tx>
            <c:v>Atlantique - Total</c:v>
          </c:tx>
          <c:spPr>
            <a:solidFill>
              <a:srgbClr val="FF4B28"/>
            </a:solidFill>
          </c:spPr>
          <c:invertIfNegative val="0"/>
          <c:cat>
            <c:strLit>
              <c:ptCount val="4"/>
              <c:pt idx="0">
                <c:v>2007</c:v>
              </c:pt>
              <c:pt idx="1">
                <c:v>2009</c:v>
              </c:pt>
              <c:pt idx="2">
                <c:v>2011</c:v>
              </c:pt>
              <c:pt idx="3">
                <c:v>2015</c:v>
              </c:pt>
            </c:strLit>
          </c:cat>
          <c:val>
            <c:numRef>
              <c:f>Data!$C$4:$F$4</c:f>
              <c:numCache>
                <c:formatCode>#.00;\-#.00;0.00;@</c:formatCode>
                <c:ptCount val="4"/>
                <c:pt idx="0">
                  <c:v>258645</c:v>
                </c:pt>
                <c:pt idx="1">
                  <c:v>254262</c:v>
                </c:pt>
                <c:pt idx="2">
                  <c:v>251076</c:v>
                </c:pt>
                <c:pt idx="3">
                  <c:v>240471</c:v>
                </c:pt>
              </c:numCache>
            </c:numRef>
          </c:val>
          <c:extLst>
            <c:ext xmlns:c16="http://schemas.microsoft.com/office/drawing/2014/chart" uri="{C3380CC4-5D6E-409C-BE32-E72D297353CC}">
              <c16:uniqueId val="{00000002-E198-4768-9377-DF670F239292}"/>
            </c:ext>
          </c:extLst>
        </c:ser>
        <c:ser>
          <c:idx val="3"/>
          <c:order val="3"/>
          <c:tx>
            <c:v>Borgou - Total</c:v>
          </c:tx>
          <c:spPr>
            <a:solidFill>
              <a:srgbClr val="E9A14C"/>
            </a:solidFill>
          </c:spPr>
          <c:invertIfNegative val="0"/>
          <c:cat>
            <c:strLit>
              <c:ptCount val="4"/>
              <c:pt idx="0">
                <c:v>2007</c:v>
              </c:pt>
              <c:pt idx="1">
                <c:v>2009</c:v>
              </c:pt>
              <c:pt idx="2">
                <c:v>2011</c:v>
              </c:pt>
              <c:pt idx="3">
                <c:v>2015</c:v>
              </c:pt>
            </c:strLit>
          </c:cat>
          <c:val>
            <c:numRef>
              <c:f>Data!$C$5:$F$5</c:f>
              <c:numCache>
                <c:formatCode>#.00;\-#.00;0.00;@</c:formatCode>
                <c:ptCount val="4"/>
                <c:pt idx="0">
                  <c:v>164542</c:v>
                </c:pt>
                <c:pt idx="1">
                  <c:v>192483</c:v>
                </c:pt>
                <c:pt idx="2">
                  <c:v>167022</c:v>
                </c:pt>
                <c:pt idx="3">
                  <c:v>201486</c:v>
                </c:pt>
              </c:numCache>
            </c:numRef>
          </c:val>
          <c:extLst>
            <c:ext xmlns:c16="http://schemas.microsoft.com/office/drawing/2014/chart" uri="{C3380CC4-5D6E-409C-BE32-E72D297353CC}">
              <c16:uniqueId val="{00000003-E198-4768-9377-DF670F239292}"/>
            </c:ext>
          </c:extLst>
        </c:ser>
        <c:ser>
          <c:idx val="4"/>
          <c:order val="4"/>
          <c:tx>
            <c:v>Collines - Total</c:v>
          </c:tx>
          <c:spPr>
            <a:solidFill>
              <a:srgbClr val="03497E"/>
            </a:solidFill>
          </c:spPr>
          <c:invertIfNegative val="0"/>
          <c:cat>
            <c:strLit>
              <c:ptCount val="4"/>
              <c:pt idx="0">
                <c:v>2007</c:v>
              </c:pt>
              <c:pt idx="1">
                <c:v>2009</c:v>
              </c:pt>
              <c:pt idx="2">
                <c:v>2011</c:v>
              </c:pt>
              <c:pt idx="3">
                <c:v>2015</c:v>
              </c:pt>
            </c:strLit>
          </c:cat>
          <c:val>
            <c:numRef>
              <c:f>Data!$C$6:$F$6</c:f>
              <c:numCache>
                <c:formatCode>#.00;\-#.00;0.00;@</c:formatCode>
                <c:ptCount val="4"/>
                <c:pt idx="0">
                  <c:v>229252</c:v>
                </c:pt>
                <c:pt idx="1">
                  <c:v>177604</c:v>
                </c:pt>
                <c:pt idx="2">
                  <c:v>167981</c:v>
                </c:pt>
                <c:pt idx="3">
                  <c:v>235994</c:v>
                </c:pt>
              </c:numCache>
            </c:numRef>
          </c:val>
          <c:extLst>
            <c:ext xmlns:c16="http://schemas.microsoft.com/office/drawing/2014/chart" uri="{C3380CC4-5D6E-409C-BE32-E72D297353CC}">
              <c16:uniqueId val="{00000004-E198-4768-9377-DF670F239292}"/>
            </c:ext>
          </c:extLst>
        </c:ser>
        <c:ser>
          <c:idx val="5"/>
          <c:order val="5"/>
          <c:tx>
            <c:v>Kouffo - Total</c:v>
          </c:tx>
          <c:spPr>
            <a:solidFill>
              <a:srgbClr val="999999"/>
            </a:solidFill>
          </c:spPr>
          <c:invertIfNegative val="0"/>
          <c:cat>
            <c:strLit>
              <c:ptCount val="4"/>
              <c:pt idx="0">
                <c:v>2007</c:v>
              </c:pt>
              <c:pt idx="1">
                <c:v>2009</c:v>
              </c:pt>
              <c:pt idx="2">
                <c:v>2011</c:v>
              </c:pt>
              <c:pt idx="3">
                <c:v>2015</c:v>
              </c:pt>
            </c:strLit>
          </c:cat>
          <c:val>
            <c:numRef>
              <c:f>Data!$C$7:$F$7</c:f>
              <c:numCache>
                <c:formatCode>#.00;\-#.00;0.00;@</c:formatCode>
                <c:ptCount val="4"/>
                <c:pt idx="0">
                  <c:v>134474</c:v>
                </c:pt>
                <c:pt idx="1">
                  <c:v>123680</c:v>
                </c:pt>
                <c:pt idx="2">
                  <c:v>149428</c:v>
                </c:pt>
                <c:pt idx="3">
                  <c:v>171190</c:v>
                </c:pt>
              </c:numCache>
            </c:numRef>
          </c:val>
          <c:extLst>
            <c:ext xmlns:c16="http://schemas.microsoft.com/office/drawing/2014/chart" uri="{C3380CC4-5D6E-409C-BE32-E72D297353CC}">
              <c16:uniqueId val="{00000005-E198-4768-9377-DF670F239292}"/>
            </c:ext>
          </c:extLst>
        </c:ser>
        <c:ser>
          <c:idx val="6"/>
          <c:order val="6"/>
          <c:tx>
            <c:v>Donga - Total</c:v>
          </c:tx>
          <c:spPr>
            <a:solidFill>
              <a:srgbClr val="71B45F"/>
            </a:solidFill>
          </c:spPr>
          <c:invertIfNegative val="0"/>
          <c:cat>
            <c:strLit>
              <c:ptCount val="4"/>
              <c:pt idx="0">
                <c:v>2007</c:v>
              </c:pt>
              <c:pt idx="1">
                <c:v>2009</c:v>
              </c:pt>
              <c:pt idx="2">
                <c:v>2011</c:v>
              </c:pt>
              <c:pt idx="3">
                <c:v>2015</c:v>
              </c:pt>
            </c:strLit>
          </c:cat>
          <c:val>
            <c:numRef>
              <c:f>Data!$C$8:$F$8</c:f>
              <c:numCache>
                <c:formatCode>#.00;\-#.00;0.00;@</c:formatCode>
                <c:ptCount val="4"/>
                <c:pt idx="0">
                  <c:v>144340</c:v>
                </c:pt>
                <c:pt idx="1">
                  <c:v>158704</c:v>
                </c:pt>
                <c:pt idx="2">
                  <c:v>132628</c:v>
                </c:pt>
                <c:pt idx="3">
                  <c:v>162281</c:v>
                </c:pt>
              </c:numCache>
            </c:numRef>
          </c:val>
          <c:extLst>
            <c:ext xmlns:c16="http://schemas.microsoft.com/office/drawing/2014/chart" uri="{C3380CC4-5D6E-409C-BE32-E72D297353CC}">
              <c16:uniqueId val="{00000006-E198-4768-9377-DF670F239292}"/>
            </c:ext>
          </c:extLst>
        </c:ser>
        <c:ser>
          <c:idx val="7"/>
          <c:order val="7"/>
          <c:tx>
            <c:v>Littoral - Total</c:v>
          </c:tx>
          <c:spPr>
            <a:solidFill>
              <a:srgbClr val="81D4E6"/>
            </a:solidFill>
          </c:spPr>
          <c:invertIfNegative val="0"/>
          <c:cat>
            <c:strLit>
              <c:ptCount val="4"/>
              <c:pt idx="0">
                <c:v>2007</c:v>
              </c:pt>
              <c:pt idx="1">
                <c:v>2009</c:v>
              </c:pt>
              <c:pt idx="2">
                <c:v>2011</c:v>
              </c:pt>
              <c:pt idx="3">
                <c:v>2015</c:v>
              </c:pt>
            </c:strLit>
          </c:cat>
          <c:val>
            <c:numRef>
              <c:f>Data!$C$9:$F$9</c:f>
              <c:numCache>
                <c:formatCode>#.00;\-#.00;0.00;@</c:formatCode>
                <c:ptCount val="4"/>
                <c:pt idx="0">
                  <c:v>519032</c:v>
                </c:pt>
                <c:pt idx="1">
                  <c:v>526074</c:v>
                </c:pt>
                <c:pt idx="2">
                  <c:v>517748</c:v>
                </c:pt>
                <c:pt idx="3">
                  <c:v>575327</c:v>
                </c:pt>
              </c:numCache>
            </c:numRef>
          </c:val>
          <c:extLst>
            <c:ext xmlns:c16="http://schemas.microsoft.com/office/drawing/2014/chart" uri="{C3380CC4-5D6E-409C-BE32-E72D297353CC}">
              <c16:uniqueId val="{00000007-E198-4768-9377-DF670F239292}"/>
            </c:ext>
          </c:extLst>
        </c:ser>
        <c:ser>
          <c:idx val="8"/>
          <c:order val="8"/>
          <c:tx>
            <c:v>Mono - Total</c:v>
          </c:tx>
          <c:spPr>
            <a:solidFill>
              <a:srgbClr val="438631"/>
            </a:solidFill>
          </c:spPr>
          <c:invertIfNegative val="0"/>
          <c:cat>
            <c:strLit>
              <c:ptCount val="4"/>
              <c:pt idx="0">
                <c:v>2007</c:v>
              </c:pt>
              <c:pt idx="1">
                <c:v>2009</c:v>
              </c:pt>
              <c:pt idx="2">
                <c:v>2011</c:v>
              </c:pt>
              <c:pt idx="3">
                <c:v>2015</c:v>
              </c:pt>
            </c:strLit>
          </c:cat>
          <c:val>
            <c:numRef>
              <c:f>Data!$C$10:$F$10</c:f>
              <c:numCache>
                <c:formatCode>#.00;\-#.00;0.00;@</c:formatCode>
                <c:ptCount val="4"/>
                <c:pt idx="0">
                  <c:v>224103</c:v>
                </c:pt>
                <c:pt idx="1">
                  <c:v>164179</c:v>
                </c:pt>
                <c:pt idx="2">
                  <c:v>190368</c:v>
                </c:pt>
                <c:pt idx="3">
                  <c:v>204373</c:v>
                </c:pt>
              </c:numCache>
            </c:numRef>
          </c:val>
          <c:extLst>
            <c:ext xmlns:c16="http://schemas.microsoft.com/office/drawing/2014/chart" uri="{C3380CC4-5D6E-409C-BE32-E72D297353CC}">
              <c16:uniqueId val="{00000008-E198-4768-9377-DF670F239292}"/>
            </c:ext>
          </c:extLst>
        </c:ser>
        <c:ser>
          <c:idx val="9"/>
          <c:order val="9"/>
          <c:tx>
            <c:v>Ouémé - Total</c:v>
          </c:tx>
          <c:spPr>
            <a:solidFill>
              <a:srgbClr val="0496D5"/>
            </a:solidFill>
          </c:spPr>
          <c:invertIfNegative val="0"/>
          <c:cat>
            <c:strLit>
              <c:ptCount val="4"/>
              <c:pt idx="0">
                <c:v>2007</c:v>
              </c:pt>
              <c:pt idx="1">
                <c:v>2009</c:v>
              </c:pt>
              <c:pt idx="2">
                <c:v>2011</c:v>
              </c:pt>
              <c:pt idx="3">
                <c:v>2015</c:v>
              </c:pt>
            </c:strLit>
          </c:cat>
          <c:val>
            <c:numRef>
              <c:f>Data!$C$11:$F$11</c:f>
              <c:numCache>
                <c:formatCode>#.00;\-#.00;0.00;@</c:formatCode>
                <c:ptCount val="4"/>
                <c:pt idx="0">
                  <c:v>326847</c:v>
                </c:pt>
                <c:pt idx="1">
                  <c:v>294564</c:v>
                </c:pt>
                <c:pt idx="2">
                  <c:v>295562</c:v>
                </c:pt>
                <c:pt idx="3">
                  <c:v>370576</c:v>
                </c:pt>
              </c:numCache>
            </c:numRef>
          </c:val>
          <c:extLst>
            <c:ext xmlns:c16="http://schemas.microsoft.com/office/drawing/2014/chart" uri="{C3380CC4-5D6E-409C-BE32-E72D297353CC}">
              <c16:uniqueId val="{00000009-E198-4768-9377-DF670F239292}"/>
            </c:ext>
          </c:extLst>
        </c:ser>
        <c:ser>
          <c:idx val="10"/>
          <c:order val="10"/>
          <c:tx>
            <c:v>Plateau - Total</c:v>
          </c:tx>
          <c:spPr>
            <a:solidFill>
              <a:srgbClr val="FF4B28"/>
            </a:solidFill>
          </c:spPr>
          <c:invertIfNegative val="0"/>
          <c:cat>
            <c:strLit>
              <c:ptCount val="4"/>
              <c:pt idx="0">
                <c:v>2007</c:v>
              </c:pt>
              <c:pt idx="1">
                <c:v>2009</c:v>
              </c:pt>
              <c:pt idx="2">
                <c:v>2011</c:v>
              </c:pt>
              <c:pt idx="3">
                <c:v>2015</c:v>
              </c:pt>
            </c:strLit>
          </c:cat>
          <c:val>
            <c:numRef>
              <c:f>Data!$C$12:$F$12</c:f>
              <c:numCache>
                <c:formatCode>#.00;\-#.00;0.00;@</c:formatCode>
                <c:ptCount val="4"/>
                <c:pt idx="0">
                  <c:v>165969</c:v>
                </c:pt>
                <c:pt idx="1">
                  <c:v>172332</c:v>
                </c:pt>
                <c:pt idx="2">
                  <c:v>183922</c:v>
                </c:pt>
                <c:pt idx="3">
                  <c:v>205888</c:v>
                </c:pt>
              </c:numCache>
            </c:numRef>
          </c:val>
          <c:extLst>
            <c:ext xmlns:c16="http://schemas.microsoft.com/office/drawing/2014/chart" uri="{C3380CC4-5D6E-409C-BE32-E72D297353CC}">
              <c16:uniqueId val="{0000000A-E198-4768-9377-DF670F239292}"/>
            </c:ext>
          </c:extLst>
        </c:ser>
        <c:ser>
          <c:idx val="11"/>
          <c:order val="11"/>
          <c:tx>
            <c:v>Zou - Total</c:v>
          </c:tx>
          <c:spPr>
            <a:solidFill>
              <a:srgbClr val="E9A14C"/>
            </a:solidFill>
          </c:spPr>
          <c:invertIfNegative val="0"/>
          <c:cat>
            <c:strLit>
              <c:ptCount val="4"/>
              <c:pt idx="0">
                <c:v>2007</c:v>
              </c:pt>
              <c:pt idx="1">
                <c:v>2009</c:v>
              </c:pt>
              <c:pt idx="2">
                <c:v>2011</c:v>
              </c:pt>
              <c:pt idx="3">
                <c:v>2015</c:v>
              </c:pt>
            </c:strLit>
          </c:cat>
          <c:val>
            <c:numRef>
              <c:f>Data!$C$13:$F$13</c:f>
              <c:numCache>
                <c:formatCode>#.00;\-#.00;0.00;@</c:formatCode>
                <c:ptCount val="4"/>
                <c:pt idx="0">
                  <c:v>172493</c:v>
                </c:pt>
                <c:pt idx="1">
                  <c:v>139112</c:v>
                </c:pt>
                <c:pt idx="2">
                  <c:v>148684</c:v>
                </c:pt>
                <c:pt idx="3">
                  <c:v>213464</c:v>
                </c:pt>
              </c:numCache>
            </c:numRef>
          </c:val>
          <c:extLst>
            <c:ext xmlns:c16="http://schemas.microsoft.com/office/drawing/2014/chart" uri="{C3380CC4-5D6E-409C-BE32-E72D297353CC}">
              <c16:uniqueId val="{0000000B-E198-4768-9377-DF670F239292}"/>
            </c:ext>
          </c:extLst>
        </c:ser>
        <c:dLbls>
          <c:showLegendKey val="0"/>
          <c:showVal val="0"/>
          <c:showCatName val="0"/>
          <c:showSerName val="0"/>
          <c:showPercent val="0"/>
          <c:showBubbleSize val="0"/>
        </c:dLbls>
        <c:gapWidth val="150"/>
        <c:overlap val="-25"/>
        <c:axId val="457948160"/>
        <c:axId val="457962240"/>
      </c:barChart>
      <c:catAx>
        <c:axId val="457948160"/>
        <c:scaling>
          <c:orientation val="minMax"/>
        </c:scaling>
        <c:delete val="0"/>
        <c:axPos val="b"/>
        <c:numFmt formatCode="General" sourceLinked="0"/>
        <c:majorTickMark val="out"/>
        <c:minorTickMark val="out"/>
        <c:tickLblPos val="low"/>
        <c:spPr>
          <a:ln>
            <a:solidFill>
              <a:srgbClr val="000000"/>
            </a:solidFill>
          </a:ln>
        </c:spPr>
        <c:crossAx val="457962240"/>
        <c:crossesAt val="0"/>
        <c:auto val="1"/>
        <c:lblAlgn val="ctr"/>
        <c:lblOffset val="100"/>
        <c:noMultiLvlLbl val="0"/>
      </c:catAx>
      <c:valAx>
        <c:axId val="457962240"/>
        <c:scaling>
          <c:orientation val="minMax"/>
          <c:max val="700000"/>
          <c:min val="0"/>
        </c:scaling>
        <c:delete val="0"/>
        <c:axPos val="l"/>
        <c:majorGridlines>
          <c:spPr>
            <a:ln>
              <a:solidFill>
                <a:srgbClr val="000000"/>
              </a:solidFill>
            </a:ln>
          </c:spPr>
        </c:majorGridlines>
        <c:title>
          <c:tx>
            <c:rich>
              <a:bodyPr rot="-5400000" vert="horz"/>
              <a:lstStyle/>
              <a:p>
                <a:r>
                  <a:rPr lang="fr-FR" sz="1100" b="1" baseline="0">
                    <a:solidFill>
                      <a:srgbClr val="000000"/>
                    </a:solidFill>
                    <a:latin typeface="+mn-lt"/>
                  </a:rPr>
                  <a:t>Expenditure per household individual (CFA.F)</a:t>
                </a:r>
                <a:endParaRPr lang="fr-FR" sz="1100" b="1">
                  <a:solidFill>
                    <a:srgbClr val="000000"/>
                  </a:solidFill>
                  <a:latin typeface="+mn-lt"/>
                </a:endParaRPr>
              </a:p>
            </c:rich>
          </c:tx>
          <c:layout>
            <c:manualLayout>
              <c:xMode val="edge"/>
              <c:yMode val="edge"/>
              <c:x val="6.8353318055766697E-3"/>
              <c:y val="0.138393927287255"/>
            </c:manualLayout>
          </c:layout>
          <c:overlay val="0"/>
        </c:title>
        <c:numFmt formatCode="#,##0" sourceLinked="0"/>
        <c:majorTickMark val="cross"/>
        <c:minorTickMark val="none"/>
        <c:tickLblPos val="nextTo"/>
        <c:spPr>
          <a:ln>
            <a:solidFill>
              <a:srgbClr val="000000"/>
            </a:solidFill>
          </a:ln>
        </c:spPr>
        <c:crossAx val="457948160"/>
        <c:crosses val="min"/>
        <c:crossBetween val="between"/>
        <c:majorUnit val="100000"/>
      </c:valAx>
      <c:spPr>
        <a:solidFill>
          <a:srgbClr val="FFFFFF"/>
        </a:solidFill>
      </c:spPr>
    </c:plotArea>
    <c:legend>
      <c:legendPos val="r"/>
      <c:layout>
        <c:manualLayout>
          <c:xMode val="edge"/>
          <c:yMode val="edge"/>
          <c:x val="0.76786670297972703"/>
          <c:y val="2.5449146064093198E-2"/>
          <c:w val="0.20346905088994599"/>
          <c:h val="0.93386801979357104"/>
        </c:manualLayout>
      </c:layout>
      <c:overlay val="0"/>
    </c:legend>
    <c:plotVisOnly val="1"/>
    <c:dispBlanksAs val="span"/>
    <c:showDLblsOverMax val="1"/>
  </c:chart>
  <c:spPr>
    <a:ln>
      <a:noFill/>
    </a:ln>
  </c:spPr>
  <c:txPr>
    <a:bodyPr/>
    <a:lstStyle/>
    <a:p>
      <a:pPr>
        <a:defRPr sz="1200" b="1">
          <a:solidFill>
            <a:srgbClr val="000000"/>
          </a:solidFill>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BANCARISATION!$A$2</c:f>
              <c:strCache>
                <c:ptCount val="1"/>
                <c:pt idx="0">
                  <c:v>Nombre de comptes bancaires</c:v>
                </c:pt>
              </c:strCache>
            </c:strRef>
          </c:tx>
          <c:spPr>
            <a:solidFill>
              <a:schemeClr val="accent2"/>
            </a:solidFill>
            <a:ln>
              <a:noFill/>
            </a:ln>
            <a:effectLst/>
          </c:spPr>
          <c:invertIfNegative val="0"/>
          <c:cat>
            <c:numRef>
              <c:f>BANCARISATION!$B$1:$H$1</c:f>
              <c:numCache>
                <c:formatCode>General</c:formatCode>
                <c:ptCount val="5"/>
                <c:pt idx="0">
                  <c:v>2012</c:v>
                </c:pt>
                <c:pt idx="1">
                  <c:v>2013</c:v>
                </c:pt>
                <c:pt idx="2">
                  <c:v>2014</c:v>
                </c:pt>
                <c:pt idx="3">
                  <c:v>2015</c:v>
                </c:pt>
                <c:pt idx="4">
                  <c:v>2016</c:v>
                </c:pt>
              </c:numCache>
              <c:extLst/>
            </c:numRef>
          </c:cat>
          <c:val>
            <c:numRef>
              <c:f>BANCARISATION!$B$2:$H$2</c:f>
              <c:numCache>
                <c:formatCode>#,##0</c:formatCode>
                <c:ptCount val="5"/>
                <c:pt idx="0">
                  <c:v>766635</c:v>
                </c:pt>
                <c:pt idx="1">
                  <c:v>892914</c:v>
                </c:pt>
                <c:pt idx="2">
                  <c:v>947330</c:v>
                </c:pt>
                <c:pt idx="3">
                  <c:v>1056113</c:v>
                </c:pt>
                <c:pt idx="4">
                  <c:v>1166380</c:v>
                </c:pt>
              </c:numCache>
              <c:extLst/>
            </c:numRef>
          </c:val>
          <c:extLst>
            <c:ext xmlns:c16="http://schemas.microsoft.com/office/drawing/2014/chart" uri="{C3380CC4-5D6E-409C-BE32-E72D297353CC}">
              <c16:uniqueId val="{00000000-B31A-4BBD-83B4-90ED5AE7EB2E}"/>
            </c:ext>
          </c:extLst>
        </c:ser>
        <c:dLbls>
          <c:showLegendKey val="0"/>
          <c:showVal val="0"/>
          <c:showCatName val="0"/>
          <c:showSerName val="0"/>
          <c:showPercent val="0"/>
          <c:showBubbleSize val="0"/>
        </c:dLbls>
        <c:gapWidth val="219"/>
        <c:overlap val="-27"/>
        <c:axId val="457856896"/>
        <c:axId val="457858432"/>
      </c:barChart>
      <c:catAx>
        <c:axId val="45785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858432"/>
        <c:crosses val="autoZero"/>
        <c:auto val="1"/>
        <c:lblAlgn val="ctr"/>
        <c:lblOffset val="100"/>
        <c:noMultiLvlLbl val="0"/>
      </c:catAx>
      <c:valAx>
        <c:axId val="457858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856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'Statistique SFD'!$A$5</c:f>
              <c:strCache>
                <c:ptCount val="1"/>
                <c:pt idx="0">
                  <c:v>Nombre de clients des SFD</c:v>
                </c:pt>
              </c:strCache>
            </c:strRef>
          </c:tx>
          <c:spPr>
            <a:solidFill>
              <a:schemeClr val="accent2"/>
            </a:solidFill>
            <a:ln>
              <a:noFill/>
            </a:ln>
            <a:effectLst/>
          </c:spPr>
          <c:invertIfNegative val="0"/>
          <c:cat>
            <c:numRef>
              <c:f>'Statistique SFD'!$B$3:$F$3</c:f>
              <c:numCache>
                <c:formatCode>General</c:formatCode>
                <c:ptCount val="5"/>
                <c:pt idx="0">
                  <c:v>2012</c:v>
                </c:pt>
                <c:pt idx="1">
                  <c:v>2013</c:v>
                </c:pt>
                <c:pt idx="2">
                  <c:v>2014</c:v>
                </c:pt>
                <c:pt idx="3">
                  <c:v>2015</c:v>
                </c:pt>
                <c:pt idx="4">
                  <c:v>2016</c:v>
                </c:pt>
              </c:numCache>
            </c:numRef>
          </c:cat>
          <c:val>
            <c:numRef>
              <c:f>'Statistique SFD'!$B$5:$F$5</c:f>
              <c:numCache>
                <c:formatCode>#,##0</c:formatCode>
                <c:ptCount val="5"/>
                <c:pt idx="0">
                  <c:v>1577936</c:v>
                </c:pt>
                <c:pt idx="1">
                  <c:v>1600496</c:v>
                </c:pt>
                <c:pt idx="2">
                  <c:v>1792146</c:v>
                </c:pt>
                <c:pt idx="3">
                  <c:v>1825262</c:v>
                </c:pt>
                <c:pt idx="4">
                  <c:v>1890357</c:v>
                </c:pt>
              </c:numCache>
            </c:numRef>
          </c:val>
          <c:extLst>
            <c:ext xmlns:c16="http://schemas.microsoft.com/office/drawing/2014/chart" uri="{C3380CC4-5D6E-409C-BE32-E72D297353CC}">
              <c16:uniqueId val="{00000000-503F-4DB1-B511-5035B8AC6F77}"/>
            </c:ext>
          </c:extLst>
        </c:ser>
        <c:dLbls>
          <c:showLegendKey val="0"/>
          <c:showVal val="0"/>
          <c:showCatName val="0"/>
          <c:showSerName val="0"/>
          <c:showPercent val="0"/>
          <c:showBubbleSize val="0"/>
        </c:dLbls>
        <c:gapWidth val="219"/>
        <c:overlap val="-27"/>
        <c:axId val="457870720"/>
        <c:axId val="457876608"/>
        <c:extLst>
          <c:ext xmlns:c15="http://schemas.microsoft.com/office/drawing/2012/chart" uri="{02D57815-91ED-43cb-92C2-25804820EDAC}">
            <c15:filteredBarSeries>
              <c15:ser>
                <c:idx val="0"/>
                <c:order val="0"/>
                <c:tx>
                  <c:strRef>
                    <c:extLst>
                      <c:ext uri="{02D57815-91ED-43cb-92C2-25804820EDAC}">
                        <c15:formulaRef>
                          <c15:sqref>'Statistique SFD'!$A$4</c15:sqref>
                        </c15:formulaRef>
                      </c:ext>
                    </c:extLst>
                    <c:strCache>
                      <c:ptCount val="1"/>
                      <c:pt idx="0">
                        <c:v>Nombre de points de service des SFD</c:v>
                      </c:pt>
                    </c:strCache>
                  </c:strRef>
                </c:tx>
                <c:spPr>
                  <a:solidFill>
                    <a:schemeClr val="accent1"/>
                  </a:solidFill>
                  <a:ln>
                    <a:noFill/>
                  </a:ln>
                  <a:effectLst/>
                </c:spPr>
                <c:invertIfNegative val="0"/>
                <c:cat>
                  <c:numRef>
                    <c:extLst>
                      <c:ext uri="{02D57815-91ED-43cb-92C2-25804820EDAC}">
                        <c15:formulaRef>
                          <c15:sqref>'Statistique SFD'!$B$3:$F$3</c15:sqref>
                        </c15:formulaRef>
                      </c:ext>
                    </c:extLst>
                    <c:numCache>
                      <c:formatCode>General</c:formatCode>
                      <c:ptCount val="5"/>
                      <c:pt idx="0">
                        <c:v>2012</c:v>
                      </c:pt>
                      <c:pt idx="1">
                        <c:v>2013</c:v>
                      </c:pt>
                      <c:pt idx="2">
                        <c:v>2014</c:v>
                      </c:pt>
                      <c:pt idx="3">
                        <c:v>2015</c:v>
                      </c:pt>
                      <c:pt idx="4">
                        <c:v>2016</c:v>
                      </c:pt>
                    </c:numCache>
                  </c:numRef>
                </c:cat>
                <c:val>
                  <c:numRef>
                    <c:extLst>
                      <c:ext uri="{02D57815-91ED-43cb-92C2-25804820EDAC}">
                        <c15:formulaRef>
                          <c15:sqref>'Statistique SFD'!$B$4:$F$4</c15:sqref>
                        </c15:formulaRef>
                      </c:ext>
                    </c:extLst>
                    <c:numCache>
                      <c:formatCode>#,##0</c:formatCode>
                      <c:ptCount val="5"/>
                      <c:pt idx="0">
                        <c:v>482</c:v>
                      </c:pt>
                      <c:pt idx="1">
                        <c:v>501</c:v>
                      </c:pt>
                      <c:pt idx="2">
                        <c:v>579</c:v>
                      </c:pt>
                      <c:pt idx="3">
                        <c:v>628</c:v>
                      </c:pt>
                      <c:pt idx="4">
                        <c:v>668</c:v>
                      </c:pt>
                    </c:numCache>
                  </c:numRef>
                </c:val>
                <c:extLst>
                  <c:ext xmlns:c16="http://schemas.microsoft.com/office/drawing/2014/chart" uri="{C3380CC4-5D6E-409C-BE32-E72D297353CC}">
                    <c16:uniqueId val="{00000001-503F-4DB1-B511-5035B8AC6F7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'Statistique SFD'!#REF!</c15:sqref>
                        </c15:formulaRef>
                      </c:ext>
                    </c:extLst>
                    <c:strCache>
                      <c:ptCount val="1"/>
                      <c:pt idx="0">
                        <c:v>#REF!</c:v>
                      </c:pt>
                    </c:strCache>
                  </c:strRef>
                </c:tx>
                <c:spPr>
                  <a:solidFill>
                    <a:schemeClr val="accent2"/>
                  </a:solidFill>
                  <a:ln>
                    <a:noFill/>
                  </a:ln>
                  <a:effectLst/>
                </c:spPr>
                <c:invertIfNegative val="0"/>
                <c:cat>
                  <c:numRef>
                    <c:extLst xmlns:c15="http://schemas.microsoft.com/office/drawing/2012/chart">
                      <c:ext xmlns:c15="http://schemas.microsoft.com/office/drawing/2012/chart" uri="{02D57815-91ED-43cb-92C2-25804820EDAC}">
                        <c15:formulaRef>
                          <c15:sqref>'Statistique SFD'!$B$3:$F$3</c15:sqref>
                        </c15:formulaRef>
                      </c:ext>
                    </c:extLst>
                    <c:numCache>
                      <c:formatCode>General</c:formatCode>
                      <c:ptCount val="5"/>
                      <c:pt idx="0">
                        <c:v>2012</c:v>
                      </c:pt>
                      <c:pt idx="1">
                        <c:v>2013</c:v>
                      </c:pt>
                      <c:pt idx="2">
                        <c:v>2014</c:v>
                      </c:pt>
                      <c:pt idx="3">
                        <c:v>2015</c:v>
                      </c:pt>
                      <c:pt idx="4">
                        <c:v>2016</c:v>
                      </c:pt>
                    </c:numCache>
                  </c:numRef>
                </c:cat>
                <c:val>
                  <c:numRef>
                    <c:extLst xmlns:c15="http://schemas.microsoft.com/office/drawing/2012/chart">
                      <c:ext xmlns:c15="http://schemas.microsoft.com/office/drawing/2012/chart" uri="{02D57815-91ED-43cb-92C2-25804820EDAC}">
                        <c15:formulaRef>
                          <c15:sqref>'Statistique SFD'!#REF!</c15:sqref>
                        </c15:formulaRef>
                      </c:ext>
                    </c:extLst>
                    <c:numCache>
                      <c:formatCode>General</c:formatCode>
                      <c:ptCount val="1"/>
                      <c:pt idx="0">
                        <c:v>1</c:v>
                      </c:pt>
                    </c:numCache>
                  </c:numRef>
                </c:val>
                <c:extLst xmlns:c15="http://schemas.microsoft.com/office/drawing/2012/chart">
                  <c:ext xmlns:c16="http://schemas.microsoft.com/office/drawing/2014/chart" uri="{C3380CC4-5D6E-409C-BE32-E72D297353CC}">
                    <c16:uniqueId val="{00000002-503F-4DB1-B511-5035B8AC6F77}"/>
                  </c:ext>
                </c:extLst>
              </c15:ser>
            </c15:filteredBarSeries>
          </c:ext>
        </c:extLst>
      </c:barChart>
      <c:catAx>
        <c:axId val="45787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876608"/>
        <c:crosses val="autoZero"/>
        <c:auto val="1"/>
        <c:lblAlgn val="ctr"/>
        <c:lblOffset val="100"/>
        <c:noMultiLvlLbl val="0"/>
      </c:catAx>
      <c:valAx>
        <c:axId val="4578766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87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76911406167"/>
          <c:y val="0.14351851851851899"/>
          <c:w val="0.87256215847825802"/>
          <c:h val="0.57199766695829701"/>
        </c:manualLayout>
      </c:layout>
      <c:barChart>
        <c:barDir val="col"/>
        <c:grouping val="clustered"/>
        <c:varyColors val="0"/>
        <c:ser>
          <c:idx val="0"/>
          <c:order val="0"/>
          <c:tx>
            <c:strRef>
              <c:f>'Internet Mobile'!$A$2</c:f>
              <c:strCache>
                <c:ptCount val="1"/>
                <c:pt idx="0">
                  <c:v>Abonnements à Internet sur mobile</c:v>
                </c:pt>
              </c:strCache>
            </c:strRef>
          </c:tx>
          <c:spPr>
            <a:solidFill>
              <a:schemeClr val="accent2"/>
            </a:solidFill>
            <a:ln>
              <a:noFill/>
            </a:ln>
            <a:effectLst/>
          </c:spPr>
          <c:invertIfNegative val="0"/>
          <c:cat>
            <c:numRef>
              <c:f>'Internet Mobile'!$B$1:$F$1</c:f>
              <c:numCache>
                <c:formatCode>General</c:formatCode>
                <c:ptCount val="5"/>
                <c:pt idx="0">
                  <c:v>2012</c:v>
                </c:pt>
                <c:pt idx="1">
                  <c:v>2013</c:v>
                </c:pt>
                <c:pt idx="2">
                  <c:v>2014</c:v>
                </c:pt>
                <c:pt idx="3">
                  <c:v>2015</c:v>
                </c:pt>
                <c:pt idx="4">
                  <c:v>2016</c:v>
                </c:pt>
              </c:numCache>
            </c:numRef>
          </c:cat>
          <c:val>
            <c:numRef>
              <c:f>'Internet Mobile'!$B$2:$F$2</c:f>
              <c:numCache>
                <c:formatCode>#,##0</c:formatCode>
                <c:ptCount val="5"/>
                <c:pt idx="0">
                  <c:v>414725</c:v>
                </c:pt>
                <c:pt idx="1">
                  <c:v>1087089</c:v>
                </c:pt>
                <c:pt idx="2">
                  <c:v>1915452</c:v>
                </c:pt>
                <c:pt idx="3">
                  <c:v>2155041</c:v>
                </c:pt>
                <c:pt idx="4">
                  <c:v>2770627</c:v>
                </c:pt>
              </c:numCache>
            </c:numRef>
          </c:val>
          <c:extLst>
            <c:ext xmlns:c16="http://schemas.microsoft.com/office/drawing/2014/chart" uri="{C3380CC4-5D6E-409C-BE32-E72D297353CC}">
              <c16:uniqueId val="{00000000-4944-46B4-B43A-E482DD76832B}"/>
            </c:ext>
          </c:extLst>
        </c:ser>
        <c:ser>
          <c:idx val="1"/>
          <c:order val="1"/>
          <c:tx>
            <c:strRef>
              <c:f>'Internet Mobile'!$A$3</c:f>
              <c:strCache>
                <c:ptCount val="1"/>
                <c:pt idx="0">
                  <c:v>Abonnements à Internet sur mobile (bas débit)</c:v>
                </c:pt>
              </c:strCache>
            </c:strRef>
          </c:tx>
          <c:spPr>
            <a:solidFill>
              <a:schemeClr val="accent6"/>
            </a:solidFill>
            <a:ln>
              <a:noFill/>
            </a:ln>
            <a:effectLst/>
          </c:spPr>
          <c:invertIfNegative val="0"/>
          <c:cat>
            <c:numRef>
              <c:f>'Internet Mobile'!$B$1:$F$1</c:f>
              <c:numCache>
                <c:formatCode>General</c:formatCode>
                <c:ptCount val="5"/>
                <c:pt idx="0">
                  <c:v>2012</c:v>
                </c:pt>
                <c:pt idx="1">
                  <c:v>2013</c:v>
                </c:pt>
                <c:pt idx="2">
                  <c:v>2014</c:v>
                </c:pt>
                <c:pt idx="3">
                  <c:v>2015</c:v>
                </c:pt>
                <c:pt idx="4">
                  <c:v>2016</c:v>
                </c:pt>
              </c:numCache>
            </c:numRef>
          </c:cat>
          <c:val>
            <c:numRef>
              <c:f>'Internet Mobile'!$B$3:$F$3</c:f>
              <c:numCache>
                <c:formatCode>General</c:formatCode>
                <c:ptCount val="5"/>
                <c:pt idx="0">
                  <c:v>382035</c:v>
                </c:pt>
                <c:pt idx="1">
                  <c:v>934090</c:v>
                </c:pt>
                <c:pt idx="2">
                  <c:v>1614723</c:v>
                </c:pt>
                <c:pt idx="3">
                  <c:v>1694014</c:v>
                </c:pt>
                <c:pt idx="4">
                  <c:v>1889148</c:v>
                </c:pt>
              </c:numCache>
            </c:numRef>
          </c:val>
          <c:extLst>
            <c:ext xmlns:c16="http://schemas.microsoft.com/office/drawing/2014/chart" uri="{C3380CC4-5D6E-409C-BE32-E72D297353CC}">
              <c16:uniqueId val="{00000001-4944-46B4-B43A-E482DD76832B}"/>
            </c:ext>
          </c:extLst>
        </c:ser>
        <c:ser>
          <c:idx val="2"/>
          <c:order val="2"/>
          <c:tx>
            <c:strRef>
              <c:f>'Internet Mobile'!$A$4</c:f>
              <c:strCache>
                <c:ptCount val="1"/>
                <c:pt idx="0">
                  <c:v>Abonnements à Internet sur mobile (haut débit)</c:v>
                </c:pt>
              </c:strCache>
            </c:strRef>
          </c:tx>
          <c:spPr>
            <a:solidFill>
              <a:schemeClr val="accent3"/>
            </a:solidFill>
            <a:ln>
              <a:noFill/>
            </a:ln>
            <a:effectLst/>
          </c:spPr>
          <c:invertIfNegative val="0"/>
          <c:cat>
            <c:numRef>
              <c:f>'Internet Mobile'!$B$1:$F$1</c:f>
              <c:numCache>
                <c:formatCode>General</c:formatCode>
                <c:ptCount val="5"/>
                <c:pt idx="0">
                  <c:v>2012</c:v>
                </c:pt>
                <c:pt idx="1">
                  <c:v>2013</c:v>
                </c:pt>
                <c:pt idx="2">
                  <c:v>2014</c:v>
                </c:pt>
                <c:pt idx="3">
                  <c:v>2015</c:v>
                </c:pt>
                <c:pt idx="4">
                  <c:v>2016</c:v>
                </c:pt>
              </c:numCache>
            </c:numRef>
          </c:cat>
          <c:val>
            <c:numRef>
              <c:f>'Internet Mobile'!$B$4:$F$4</c:f>
              <c:numCache>
                <c:formatCode>General</c:formatCode>
                <c:ptCount val="5"/>
                <c:pt idx="0">
                  <c:v>32690</c:v>
                </c:pt>
                <c:pt idx="1">
                  <c:v>152999</c:v>
                </c:pt>
                <c:pt idx="2">
                  <c:v>300729</c:v>
                </c:pt>
                <c:pt idx="3">
                  <c:v>461027</c:v>
                </c:pt>
                <c:pt idx="4">
                  <c:v>881479</c:v>
                </c:pt>
              </c:numCache>
            </c:numRef>
          </c:val>
          <c:extLst>
            <c:ext xmlns:c16="http://schemas.microsoft.com/office/drawing/2014/chart" uri="{C3380CC4-5D6E-409C-BE32-E72D297353CC}">
              <c16:uniqueId val="{00000002-4944-46B4-B43A-E482DD76832B}"/>
            </c:ext>
          </c:extLst>
        </c:ser>
        <c:dLbls>
          <c:showLegendKey val="0"/>
          <c:showVal val="0"/>
          <c:showCatName val="0"/>
          <c:showSerName val="0"/>
          <c:showPercent val="0"/>
          <c:showBubbleSize val="0"/>
        </c:dLbls>
        <c:gapWidth val="219"/>
        <c:overlap val="-27"/>
        <c:axId val="454052864"/>
        <c:axId val="454054656"/>
      </c:barChart>
      <c:catAx>
        <c:axId val="454052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054656"/>
        <c:crosses val="autoZero"/>
        <c:auto val="1"/>
        <c:lblAlgn val="ctr"/>
        <c:lblOffset val="100"/>
        <c:noMultiLvlLbl val="0"/>
      </c:catAx>
      <c:valAx>
        <c:axId val="454054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4052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247594050743705E-2"/>
          <c:y val="0.18572222222222201"/>
          <c:w val="0.890196850393701"/>
          <c:h val="0.50453587051618598"/>
        </c:manualLayout>
      </c:layout>
      <c:lineChart>
        <c:grouping val="standard"/>
        <c:varyColors val="0"/>
        <c:ser>
          <c:idx val="0"/>
          <c:order val="0"/>
          <c:tx>
            <c:strRef>
              <c:f>Sheet1!$A$6</c:f>
              <c:strCache>
                <c:ptCount val="1"/>
                <c:pt idx="0">
                  <c:v>depot </c:v>
                </c:pt>
              </c:strCache>
            </c:strRef>
          </c:tx>
          <c:spPr>
            <a:ln w="28575" cap="rnd">
              <a:solidFill>
                <a:schemeClr val="accent1"/>
              </a:solidFill>
              <a:round/>
            </a:ln>
            <a:effectLst/>
          </c:spPr>
          <c:marker>
            <c:symbol val="none"/>
          </c:marker>
          <c:cat>
            <c:numRef>
              <c:f>Sheet1!$B$5:$S$5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2014</c:v>
                </c:pt>
                <c:pt idx="16">
                  <c:v>2015</c:v>
                </c:pt>
                <c:pt idx="17">
                  <c:v>2016</c:v>
                </c:pt>
              </c:numCache>
            </c:numRef>
          </c:cat>
          <c:val>
            <c:numRef>
              <c:f>Sheet1!$B$6:$S$6</c:f>
              <c:numCache>
                <c:formatCode>General</c:formatCode>
                <c:ptCount val="18"/>
                <c:pt idx="0">
                  <c:v>22.035</c:v>
                </c:pt>
                <c:pt idx="1">
                  <c:v>26.956</c:v>
                </c:pt>
                <c:pt idx="2">
                  <c:v>35.887</c:v>
                </c:pt>
                <c:pt idx="3">
                  <c:v>38.814</c:v>
                </c:pt>
                <c:pt idx="4">
                  <c:v>40.593000000000011</c:v>
                </c:pt>
                <c:pt idx="5" formatCode="0.00">
                  <c:v>38.736000000000011</c:v>
                </c:pt>
                <c:pt idx="6" formatCode="#,##0.00">
                  <c:v>38.512160147000003</c:v>
                </c:pt>
                <c:pt idx="7" formatCode="#,##0.00">
                  <c:v>43.076214349000011</c:v>
                </c:pt>
                <c:pt idx="8" formatCode="#,##0.00">
                  <c:v>47.473866348000001</c:v>
                </c:pt>
                <c:pt idx="9" formatCode="#,##0.00">
                  <c:v>56.128451583999997</c:v>
                </c:pt>
                <c:pt idx="10" formatCode="#,##0.00">
                  <c:v>54.476472039000001</c:v>
                </c:pt>
                <c:pt idx="11" formatCode="#,##0.00">
                  <c:v>64.495404726999979</c:v>
                </c:pt>
                <c:pt idx="12" formatCode="#,##0.00">
                  <c:v>67.404981043999982</c:v>
                </c:pt>
                <c:pt idx="13" formatCode="#,##0.00">
                  <c:v>72.180153855999976</c:v>
                </c:pt>
                <c:pt idx="14" formatCode="#,##0.00">
                  <c:v>79.819999999999993</c:v>
                </c:pt>
                <c:pt idx="15" formatCode="#,##0.00">
                  <c:v>79.824163984999998</c:v>
                </c:pt>
                <c:pt idx="16" formatCode="#,##0.00">
                  <c:v>93.679947677999891</c:v>
                </c:pt>
                <c:pt idx="17" formatCode="#,##0.00">
                  <c:v>97.52</c:v>
                </c:pt>
              </c:numCache>
            </c:numRef>
          </c:val>
          <c:smooth val="0"/>
          <c:extLst>
            <c:ext xmlns:c16="http://schemas.microsoft.com/office/drawing/2014/chart" uri="{C3380CC4-5D6E-409C-BE32-E72D297353CC}">
              <c16:uniqueId val="{00000000-A86D-433E-9C2E-09FF84B2E167}"/>
            </c:ext>
          </c:extLst>
        </c:ser>
        <c:ser>
          <c:idx val="1"/>
          <c:order val="1"/>
          <c:tx>
            <c:strRef>
              <c:f>Sheet1!$A$7</c:f>
              <c:strCache>
                <c:ptCount val="1"/>
                <c:pt idx="0">
                  <c:v>credit</c:v>
                </c:pt>
              </c:strCache>
            </c:strRef>
          </c:tx>
          <c:spPr>
            <a:ln w="28575" cap="rnd">
              <a:solidFill>
                <a:schemeClr val="accent2"/>
              </a:solidFill>
              <a:round/>
            </a:ln>
            <a:effectLst/>
          </c:spPr>
          <c:marker>
            <c:symbol val="none"/>
          </c:marker>
          <c:cat>
            <c:numRef>
              <c:f>Sheet1!$B$5:$S$5</c:f>
              <c:numCache>
                <c:formatCode>General</c:formatCode>
                <c:ptCount val="18"/>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2014</c:v>
                </c:pt>
                <c:pt idx="16">
                  <c:v>2015</c:v>
                </c:pt>
                <c:pt idx="17">
                  <c:v>2016</c:v>
                </c:pt>
              </c:numCache>
            </c:numRef>
          </c:cat>
          <c:val>
            <c:numRef>
              <c:f>Sheet1!$B$7:$S$7</c:f>
              <c:numCache>
                <c:formatCode>General</c:formatCode>
                <c:ptCount val="18"/>
                <c:pt idx="0">
                  <c:v>14.455</c:v>
                </c:pt>
                <c:pt idx="1">
                  <c:v>24.39</c:v>
                </c:pt>
                <c:pt idx="2">
                  <c:v>47.534000000000013</c:v>
                </c:pt>
                <c:pt idx="3">
                  <c:v>62.587000000000003</c:v>
                </c:pt>
                <c:pt idx="4">
                  <c:v>72.403000000000006</c:v>
                </c:pt>
                <c:pt idx="5">
                  <c:v>77.53</c:v>
                </c:pt>
                <c:pt idx="6" formatCode="#,##0.00">
                  <c:v>59.951548989999999</c:v>
                </c:pt>
                <c:pt idx="7" formatCode="#,##0.00">
                  <c:v>52.413315397000012</c:v>
                </c:pt>
                <c:pt idx="8" formatCode="#,##0.00">
                  <c:v>55.038058669999998</c:v>
                </c:pt>
                <c:pt idx="9" formatCode="#,##0.00">
                  <c:v>69.409989654</c:v>
                </c:pt>
                <c:pt idx="10" formatCode="#,##0.00">
                  <c:v>73.346202775999998</c:v>
                </c:pt>
                <c:pt idx="11" formatCode="#,##0.00">
                  <c:v>82.924952594000004</c:v>
                </c:pt>
                <c:pt idx="12" formatCode="#,##0.00">
                  <c:v>91.35276975599993</c:v>
                </c:pt>
                <c:pt idx="13" formatCode="#,##0.00">
                  <c:v>92.793779181000005</c:v>
                </c:pt>
                <c:pt idx="14" formatCode="#,##0.00">
                  <c:v>107.03979307541999</c:v>
                </c:pt>
                <c:pt idx="15" formatCode="#,##0.00">
                  <c:v>107.03979307541999</c:v>
                </c:pt>
                <c:pt idx="16" formatCode="#,##0.00">
                  <c:v>124.03717553600001</c:v>
                </c:pt>
                <c:pt idx="17" formatCode="#,##0.00">
                  <c:v>138.51</c:v>
                </c:pt>
              </c:numCache>
            </c:numRef>
          </c:val>
          <c:smooth val="0"/>
          <c:extLst>
            <c:ext xmlns:c16="http://schemas.microsoft.com/office/drawing/2014/chart" uri="{C3380CC4-5D6E-409C-BE32-E72D297353CC}">
              <c16:uniqueId val="{00000001-A86D-433E-9C2E-09FF84B2E167}"/>
            </c:ext>
          </c:extLst>
        </c:ser>
        <c:dLbls>
          <c:showLegendKey val="0"/>
          <c:showVal val="0"/>
          <c:showCatName val="0"/>
          <c:showSerName val="0"/>
          <c:showPercent val="0"/>
          <c:showBubbleSize val="0"/>
        </c:dLbls>
        <c:smooth val="0"/>
        <c:axId val="446676352"/>
        <c:axId val="446678144"/>
      </c:lineChart>
      <c:catAx>
        <c:axId val="44667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678144"/>
        <c:crosses val="autoZero"/>
        <c:auto val="1"/>
        <c:lblAlgn val="ctr"/>
        <c:lblOffset val="100"/>
        <c:noMultiLvlLbl val="0"/>
      </c:catAx>
      <c:valAx>
        <c:axId val="446678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676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CA" sz="1100"/>
              <a:t>Evolution</a:t>
            </a:r>
            <a:r>
              <a:rPr lang="fr-CA" sz="1100" baseline="0"/>
              <a:t> of PAR90 in 6 months</a:t>
            </a:r>
            <a:endParaRPr lang="fr-CA" sz="1100"/>
          </a:p>
        </c:rich>
      </c:tx>
      <c:overlay val="0"/>
      <c:spPr>
        <a:noFill/>
        <a:ln>
          <a:noFill/>
        </a:ln>
        <a:effectLst/>
      </c:spPr>
    </c:title>
    <c:autoTitleDeleted val="0"/>
    <c:plotArea>
      <c:layout/>
      <c:barChart>
        <c:barDir val="col"/>
        <c:grouping val="clustered"/>
        <c:varyColors val="0"/>
        <c:ser>
          <c:idx val="0"/>
          <c:order val="0"/>
          <c:tx>
            <c:strRef>
              <c:f>Sheet1!$D$15</c:f>
              <c:strCache>
                <c:ptCount val="1"/>
                <c:pt idx="0">
                  <c:v>PAR90 (2016)</c:v>
                </c:pt>
              </c:strCache>
            </c:strRef>
          </c:tx>
          <c:spPr>
            <a:solidFill>
              <a:schemeClr val="accent1"/>
            </a:solidFill>
            <a:ln>
              <a:noFill/>
            </a:ln>
            <a:effectLst/>
          </c:spPr>
          <c:invertIfNegative val="0"/>
          <c:cat>
            <c:strRef>
              <c:f>Sheet1!$C$16:$C$20</c:f>
              <c:strCache>
                <c:ptCount val="5"/>
                <c:pt idx="0">
                  <c:v>FECECAM</c:v>
                </c:pt>
                <c:pt idx="1">
                  <c:v>PADME</c:v>
                </c:pt>
                <c:pt idx="2">
                  <c:v>PEBCo</c:v>
                </c:pt>
                <c:pt idx="3">
                  <c:v>FINADEV</c:v>
                </c:pt>
                <c:pt idx="4">
                  <c:v>VITAL-FINANCE</c:v>
                </c:pt>
              </c:strCache>
            </c:strRef>
          </c:cat>
          <c:val>
            <c:numRef>
              <c:f>Sheet1!$D$16:$D$20</c:f>
              <c:numCache>
                <c:formatCode>0%</c:formatCode>
                <c:ptCount val="5"/>
                <c:pt idx="0" formatCode="0.00%">
                  <c:v>9.9000000000000005E-2</c:v>
                </c:pt>
                <c:pt idx="1">
                  <c:v>0.03</c:v>
                </c:pt>
                <c:pt idx="2" formatCode="0.00%">
                  <c:v>3.6999999999999998E-2</c:v>
                </c:pt>
                <c:pt idx="3" formatCode="0.00%">
                  <c:v>0.11899999999999999</c:v>
                </c:pt>
                <c:pt idx="4" formatCode="0.00%">
                  <c:v>6.0999999999999999E-2</c:v>
                </c:pt>
              </c:numCache>
            </c:numRef>
          </c:val>
          <c:extLst>
            <c:ext xmlns:c16="http://schemas.microsoft.com/office/drawing/2014/chart" uri="{C3380CC4-5D6E-409C-BE32-E72D297353CC}">
              <c16:uniqueId val="{00000000-912D-4C53-9B21-0510B83B8FBC}"/>
            </c:ext>
          </c:extLst>
        </c:ser>
        <c:ser>
          <c:idx val="1"/>
          <c:order val="1"/>
          <c:tx>
            <c:strRef>
              <c:f>Sheet1!$E$15</c:f>
              <c:strCache>
                <c:ptCount val="1"/>
                <c:pt idx="0">
                  <c:v>PAR90 (July 2017)</c:v>
                </c:pt>
              </c:strCache>
            </c:strRef>
          </c:tx>
          <c:spPr>
            <a:solidFill>
              <a:schemeClr val="accent2"/>
            </a:solidFill>
            <a:ln>
              <a:noFill/>
            </a:ln>
            <a:effectLst/>
          </c:spPr>
          <c:invertIfNegative val="0"/>
          <c:cat>
            <c:strRef>
              <c:f>Sheet1!$C$16:$C$20</c:f>
              <c:strCache>
                <c:ptCount val="5"/>
                <c:pt idx="0">
                  <c:v>FECECAM</c:v>
                </c:pt>
                <c:pt idx="1">
                  <c:v>PADME</c:v>
                </c:pt>
                <c:pt idx="2">
                  <c:v>PEBCo</c:v>
                </c:pt>
                <c:pt idx="3">
                  <c:v>FINADEV</c:v>
                </c:pt>
                <c:pt idx="4">
                  <c:v>VITAL-FINANCE</c:v>
                </c:pt>
              </c:strCache>
            </c:strRef>
          </c:cat>
          <c:val>
            <c:numRef>
              <c:f>Sheet1!$E$16:$E$20</c:f>
              <c:numCache>
                <c:formatCode>0%</c:formatCode>
                <c:ptCount val="5"/>
                <c:pt idx="0">
                  <c:v>7.2763211050987306E-2</c:v>
                </c:pt>
                <c:pt idx="1">
                  <c:v>5.1163470726332899E-2</c:v>
                </c:pt>
                <c:pt idx="2" formatCode="0.0%">
                  <c:v>2.6304158284968501E-2</c:v>
                </c:pt>
                <c:pt idx="3">
                  <c:v>0.207952246924068</c:v>
                </c:pt>
                <c:pt idx="4">
                  <c:v>6.5794559730886104E-2</c:v>
                </c:pt>
              </c:numCache>
            </c:numRef>
          </c:val>
          <c:extLst>
            <c:ext xmlns:c16="http://schemas.microsoft.com/office/drawing/2014/chart" uri="{C3380CC4-5D6E-409C-BE32-E72D297353CC}">
              <c16:uniqueId val="{00000001-912D-4C53-9B21-0510B83B8FBC}"/>
            </c:ext>
          </c:extLst>
        </c:ser>
        <c:dLbls>
          <c:showLegendKey val="0"/>
          <c:showVal val="0"/>
          <c:showCatName val="0"/>
          <c:showSerName val="0"/>
          <c:showPercent val="0"/>
          <c:showBubbleSize val="0"/>
        </c:dLbls>
        <c:gapWidth val="219"/>
        <c:overlap val="-27"/>
        <c:axId val="446688256"/>
        <c:axId val="411964160"/>
      </c:barChart>
      <c:catAx>
        <c:axId val="44668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64160"/>
        <c:crosses val="autoZero"/>
        <c:auto val="1"/>
        <c:lblAlgn val="ctr"/>
        <c:lblOffset val="100"/>
        <c:noMultiLvlLbl val="0"/>
      </c:catAx>
      <c:valAx>
        <c:axId val="4119641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688256"/>
        <c:crosses val="autoZero"/>
        <c:crossBetween val="between"/>
        <c:majorUnit val="0.03"/>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FECECAM</c:v>
                </c:pt>
                <c:pt idx="1">
                  <c:v>PADME</c:v>
                </c:pt>
                <c:pt idx="2">
                  <c:v>PEBCo</c:v>
                </c:pt>
                <c:pt idx="3">
                  <c:v>FINADEV</c:v>
                </c:pt>
                <c:pt idx="4">
                  <c:v>VITAL-FINANCE</c:v>
                </c:pt>
              </c:strCache>
            </c:strRef>
          </c:cat>
          <c:val>
            <c:numRef>
              <c:f>Sheet1!$C$22:$C$26</c:f>
              <c:numCache>
                <c:formatCode>0.00%</c:formatCode>
                <c:ptCount val="5"/>
                <c:pt idx="0">
                  <c:v>8.3500000000000005E-2</c:v>
                </c:pt>
                <c:pt idx="1">
                  <c:v>3.0200000000000001E-2</c:v>
                </c:pt>
                <c:pt idx="2">
                  <c:v>3.1099999999999999E-2</c:v>
                </c:pt>
                <c:pt idx="3">
                  <c:v>-0.51770000000000005</c:v>
                </c:pt>
                <c:pt idx="4">
                  <c:v>0.26090000000000002</c:v>
                </c:pt>
              </c:numCache>
            </c:numRef>
          </c:val>
          <c:extLst>
            <c:ext xmlns:c16="http://schemas.microsoft.com/office/drawing/2014/chart" uri="{C3380CC4-5D6E-409C-BE32-E72D297353CC}">
              <c16:uniqueId val="{00000000-FB1F-4619-B7F8-C69350DBEBCC}"/>
            </c:ext>
          </c:extLst>
        </c:ser>
        <c:dLbls>
          <c:dLblPos val="outEnd"/>
          <c:showLegendKey val="0"/>
          <c:showVal val="1"/>
          <c:showCatName val="0"/>
          <c:showSerName val="0"/>
          <c:showPercent val="0"/>
          <c:showBubbleSize val="0"/>
        </c:dLbls>
        <c:gapWidth val="219"/>
        <c:overlap val="-27"/>
        <c:axId val="411984256"/>
        <c:axId val="411986944"/>
      </c:barChart>
      <c:catAx>
        <c:axId val="41198425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86944"/>
        <c:crosses val="autoZero"/>
        <c:auto val="1"/>
        <c:lblAlgn val="ctr"/>
        <c:lblOffset val="100"/>
        <c:noMultiLvlLbl val="0"/>
      </c:catAx>
      <c:valAx>
        <c:axId val="411986944"/>
        <c:scaling>
          <c:orientation val="minMax"/>
          <c:min val="-0.55000000000000004"/>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984256"/>
        <c:crosses val="autoZero"/>
        <c:crossBetween val="between"/>
        <c:min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Sheet1!$B$22:$B$26</c:f>
              <c:strCache>
                <c:ptCount val="5"/>
                <c:pt idx="0">
                  <c:v>FECECAM</c:v>
                </c:pt>
                <c:pt idx="1">
                  <c:v>PADME</c:v>
                </c:pt>
                <c:pt idx="2">
                  <c:v>PEBCo</c:v>
                </c:pt>
                <c:pt idx="3">
                  <c:v>FINADEV</c:v>
                </c:pt>
                <c:pt idx="4">
                  <c:v>VITAL-FINANCE</c:v>
                </c:pt>
              </c:strCache>
            </c:strRef>
          </c:cat>
          <c:val>
            <c:numRef>
              <c:f>Sheet1!$D$22:$D$26</c:f>
              <c:numCache>
                <c:formatCode>0.00%</c:formatCode>
                <c:ptCount val="5"/>
                <c:pt idx="0">
                  <c:v>2.0799999999999999E-2</c:v>
                </c:pt>
                <c:pt idx="1">
                  <c:v>1.5299999999999999E-2</c:v>
                </c:pt>
                <c:pt idx="2">
                  <c:v>1.24E-2</c:v>
                </c:pt>
                <c:pt idx="3">
                  <c:v>5.7099999999999998E-2</c:v>
                </c:pt>
                <c:pt idx="4">
                  <c:v>4.9799999999999997E-2</c:v>
                </c:pt>
              </c:numCache>
            </c:numRef>
          </c:val>
          <c:extLst>
            <c:ext xmlns:c16="http://schemas.microsoft.com/office/drawing/2014/chart" uri="{C3380CC4-5D6E-409C-BE32-E72D297353CC}">
              <c16:uniqueId val="{00000000-774B-4100-B65D-2A311CCE0FA4}"/>
            </c:ext>
          </c:extLst>
        </c:ser>
        <c:dLbls>
          <c:dLblPos val="outEnd"/>
          <c:showLegendKey val="0"/>
          <c:showVal val="1"/>
          <c:showCatName val="0"/>
          <c:showSerName val="0"/>
          <c:showPercent val="0"/>
          <c:showBubbleSize val="0"/>
        </c:dLbls>
        <c:gapWidth val="219"/>
        <c:overlap val="-27"/>
        <c:axId val="412010368"/>
        <c:axId val="412017408"/>
      </c:barChart>
      <c:catAx>
        <c:axId val="4120103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17408"/>
        <c:crosses val="autoZero"/>
        <c:auto val="1"/>
        <c:lblAlgn val="ctr"/>
        <c:lblOffset val="100"/>
        <c:noMultiLvlLbl val="0"/>
      </c:catAx>
      <c:valAx>
        <c:axId val="4120174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010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Sheet1!$B$22:$B$26</c:f>
              <c:strCache>
                <c:ptCount val="5"/>
                <c:pt idx="0">
                  <c:v>FECECAM</c:v>
                </c:pt>
                <c:pt idx="1">
                  <c:v>PADME</c:v>
                </c:pt>
                <c:pt idx="2">
                  <c:v>PEBCo</c:v>
                </c:pt>
                <c:pt idx="3">
                  <c:v>FINADEV</c:v>
                </c:pt>
                <c:pt idx="4">
                  <c:v>VITAL-FINANCE</c:v>
                </c:pt>
              </c:strCache>
            </c:strRef>
          </c:cat>
          <c:val>
            <c:numRef>
              <c:f>Sheet1!$E$22:$E$26</c:f>
              <c:numCache>
                <c:formatCode>0.00%</c:formatCode>
                <c:ptCount val="5"/>
                <c:pt idx="0">
                  <c:v>1.1457999999999999</c:v>
                </c:pt>
                <c:pt idx="1">
                  <c:v>1.1134999999999999</c:v>
                </c:pt>
                <c:pt idx="2">
                  <c:v>1.0751999999999999</c:v>
                </c:pt>
                <c:pt idx="3">
                  <c:v>0.75639999999999996</c:v>
                </c:pt>
                <c:pt idx="4">
                  <c:v>1.2702</c:v>
                </c:pt>
              </c:numCache>
            </c:numRef>
          </c:val>
          <c:extLst>
            <c:ext xmlns:c16="http://schemas.microsoft.com/office/drawing/2014/chart" uri="{C3380CC4-5D6E-409C-BE32-E72D297353CC}">
              <c16:uniqueId val="{00000000-084A-4C7F-8A16-A76EFA0288BD}"/>
            </c:ext>
          </c:extLst>
        </c:ser>
        <c:dLbls>
          <c:showLegendKey val="0"/>
          <c:showVal val="0"/>
          <c:showCatName val="0"/>
          <c:showSerName val="0"/>
          <c:showPercent val="0"/>
          <c:showBubbleSize val="0"/>
        </c:dLbls>
        <c:gapWidth val="219"/>
        <c:overlap val="-27"/>
        <c:axId val="453903104"/>
        <c:axId val="453904640"/>
      </c:barChart>
      <c:catAx>
        <c:axId val="45390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904640"/>
        <c:crosses val="autoZero"/>
        <c:auto val="1"/>
        <c:lblAlgn val="ctr"/>
        <c:lblOffset val="100"/>
        <c:noMultiLvlLbl val="0"/>
      </c:catAx>
      <c:valAx>
        <c:axId val="453904640"/>
        <c:scaling>
          <c:orientation val="minMax"/>
          <c:min val="0.6"/>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903104"/>
        <c:crosses val="autoZero"/>
        <c:crossBetween val="between"/>
        <c:majorUnit val="0.1"/>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NTCM_autorisées!$H$108</c:f>
              <c:strCache>
                <c:ptCount val="1"/>
              </c:strCache>
            </c:strRef>
          </c:tx>
          <c:spPr>
            <a:solidFill>
              <a:schemeClr val="accent1"/>
            </a:solidFill>
            <a:ln>
              <a:noFill/>
            </a:ln>
            <a:effectLst/>
          </c:spPr>
          <c:invertIfNegative val="0"/>
          <c:cat>
            <c:strRef>
              <c:f>NTCM_autorisées!$G$109:$G$112</c:f>
              <c:strCache>
                <c:ptCount val="4"/>
                <c:pt idx="0">
                  <c:v>FC</c:v>
                </c:pt>
                <c:pt idx="1">
                  <c:v>Credit direct associations</c:v>
                </c:pt>
                <c:pt idx="2">
                  <c:v>NGOs</c:v>
                </c:pt>
                <c:pt idx="3">
                  <c:v>Limited companies</c:v>
                </c:pt>
              </c:strCache>
            </c:strRef>
          </c:cat>
          <c:val>
            <c:numRef>
              <c:f>NTCM_autorisées!$H$109:$H$112</c:f>
            </c:numRef>
          </c:val>
          <c:extLst>
            <c:ext xmlns:c16="http://schemas.microsoft.com/office/drawing/2014/chart" uri="{C3380CC4-5D6E-409C-BE32-E72D297353CC}">
              <c16:uniqueId val="{00000000-3917-43AD-8652-3550789D6729}"/>
            </c:ext>
          </c:extLst>
        </c:ser>
        <c:ser>
          <c:idx val="1"/>
          <c:order val="1"/>
          <c:tx>
            <c:strRef>
              <c:f>NTCM_autorisées!$I$108</c:f>
              <c:strCache>
                <c:ptCount val="1"/>
                <c:pt idx="0">
                  <c:v>Number of insitutions</c:v>
                </c:pt>
              </c:strCache>
            </c:strRef>
          </c:tx>
          <c:spPr>
            <a:solidFill>
              <a:schemeClr val="accent2"/>
            </a:solidFill>
            <a:ln>
              <a:noFill/>
            </a:ln>
            <a:effectLst/>
          </c:spPr>
          <c:invertIfNegative val="0"/>
          <c:cat>
            <c:strRef>
              <c:f>NTCM_autorisées!$G$109:$G$112</c:f>
              <c:strCache>
                <c:ptCount val="4"/>
                <c:pt idx="0">
                  <c:v>FC</c:v>
                </c:pt>
                <c:pt idx="1">
                  <c:v>Credit direct associations</c:v>
                </c:pt>
                <c:pt idx="2">
                  <c:v>NGOs</c:v>
                </c:pt>
                <c:pt idx="3">
                  <c:v>Limited companies</c:v>
                </c:pt>
              </c:strCache>
            </c:strRef>
          </c:cat>
          <c:val>
            <c:numRef>
              <c:f>NTCM_autorisées!$I$109:$I$112</c:f>
              <c:numCache>
                <c:formatCode>0%</c:formatCode>
                <c:ptCount val="4"/>
                <c:pt idx="0">
                  <c:v>0.76</c:v>
                </c:pt>
                <c:pt idx="1">
                  <c:v>0.13</c:v>
                </c:pt>
                <c:pt idx="2">
                  <c:v>0.08</c:v>
                </c:pt>
                <c:pt idx="3">
                  <c:v>0.03</c:v>
                </c:pt>
              </c:numCache>
            </c:numRef>
          </c:val>
          <c:extLst>
            <c:ext xmlns:c16="http://schemas.microsoft.com/office/drawing/2014/chart" uri="{C3380CC4-5D6E-409C-BE32-E72D297353CC}">
              <c16:uniqueId val="{00000001-3917-43AD-8652-3550789D6729}"/>
            </c:ext>
          </c:extLst>
        </c:ser>
        <c:ser>
          <c:idx val="2"/>
          <c:order val="2"/>
          <c:tx>
            <c:strRef>
              <c:f>NTCM_autorisées!$J$108</c:f>
              <c:strCache>
                <c:ptCount val="1"/>
              </c:strCache>
            </c:strRef>
          </c:tx>
          <c:spPr>
            <a:solidFill>
              <a:schemeClr val="accent3"/>
            </a:solidFill>
            <a:ln>
              <a:noFill/>
            </a:ln>
            <a:effectLst/>
          </c:spPr>
          <c:invertIfNegative val="0"/>
          <c:cat>
            <c:strRef>
              <c:f>NTCM_autorisées!$G$109:$G$112</c:f>
              <c:strCache>
                <c:ptCount val="4"/>
                <c:pt idx="0">
                  <c:v>FC</c:v>
                </c:pt>
                <c:pt idx="1">
                  <c:v>Credit direct associations</c:v>
                </c:pt>
                <c:pt idx="2">
                  <c:v>NGOs</c:v>
                </c:pt>
                <c:pt idx="3">
                  <c:v>Limited companies</c:v>
                </c:pt>
              </c:strCache>
            </c:strRef>
          </c:cat>
          <c:val>
            <c:numRef>
              <c:f>NTCM_autorisées!$J$109:$J$112</c:f>
            </c:numRef>
          </c:val>
          <c:extLst>
            <c:ext xmlns:c16="http://schemas.microsoft.com/office/drawing/2014/chart" uri="{C3380CC4-5D6E-409C-BE32-E72D297353CC}">
              <c16:uniqueId val="{00000002-3917-43AD-8652-3550789D6729}"/>
            </c:ext>
          </c:extLst>
        </c:ser>
        <c:ser>
          <c:idx val="3"/>
          <c:order val="3"/>
          <c:tx>
            <c:strRef>
              <c:f>NTCM_autorisées!$K$108</c:f>
              <c:strCache>
                <c:ptCount val="1"/>
                <c:pt idx="0">
                  <c:v>Point of services</c:v>
                </c:pt>
              </c:strCache>
            </c:strRef>
          </c:tx>
          <c:spPr>
            <a:solidFill>
              <a:schemeClr val="accent4"/>
            </a:solidFill>
            <a:ln>
              <a:noFill/>
            </a:ln>
            <a:effectLst/>
          </c:spPr>
          <c:invertIfNegative val="0"/>
          <c:cat>
            <c:strRef>
              <c:f>NTCM_autorisées!$G$109:$G$112</c:f>
              <c:strCache>
                <c:ptCount val="4"/>
                <c:pt idx="0">
                  <c:v>FC</c:v>
                </c:pt>
                <c:pt idx="1">
                  <c:v>Credit direct associations</c:v>
                </c:pt>
                <c:pt idx="2">
                  <c:v>NGOs</c:v>
                </c:pt>
                <c:pt idx="3">
                  <c:v>Limited companies</c:v>
                </c:pt>
              </c:strCache>
            </c:strRef>
          </c:cat>
          <c:val>
            <c:numRef>
              <c:f>NTCM_autorisées!$K$109:$K$112</c:f>
              <c:numCache>
                <c:formatCode>0%</c:formatCode>
                <c:ptCount val="4"/>
                <c:pt idx="0">
                  <c:v>0.62</c:v>
                </c:pt>
                <c:pt idx="1">
                  <c:v>0.2</c:v>
                </c:pt>
                <c:pt idx="2">
                  <c:v>0.15</c:v>
                </c:pt>
                <c:pt idx="3">
                  <c:v>0.03</c:v>
                </c:pt>
              </c:numCache>
            </c:numRef>
          </c:val>
          <c:extLst>
            <c:ext xmlns:c16="http://schemas.microsoft.com/office/drawing/2014/chart" uri="{C3380CC4-5D6E-409C-BE32-E72D297353CC}">
              <c16:uniqueId val="{00000003-3917-43AD-8652-3550789D6729}"/>
            </c:ext>
          </c:extLst>
        </c:ser>
        <c:ser>
          <c:idx val="4"/>
          <c:order val="4"/>
          <c:tx>
            <c:strRef>
              <c:f>NTCM_autorisées!$L$108</c:f>
              <c:strCache>
                <c:ptCount val="1"/>
                <c:pt idx="0">
                  <c:v>Clients/member</c:v>
                </c:pt>
              </c:strCache>
            </c:strRef>
          </c:tx>
          <c:spPr>
            <a:solidFill>
              <a:schemeClr val="accent5"/>
            </a:solidFill>
            <a:ln>
              <a:noFill/>
            </a:ln>
            <a:effectLst/>
          </c:spPr>
          <c:invertIfNegative val="0"/>
          <c:cat>
            <c:strRef>
              <c:f>NTCM_autorisées!$G$109:$G$112</c:f>
              <c:strCache>
                <c:ptCount val="4"/>
                <c:pt idx="0">
                  <c:v>FC</c:v>
                </c:pt>
                <c:pt idx="1">
                  <c:v>Credit direct associations</c:v>
                </c:pt>
                <c:pt idx="2">
                  <c:v>NGOs</c:v>
                </c:pt>
                <c:pt idx="3">
                  <c:v>Limited companies</c:v>
                </c:pt>
              </c:strCache>
            </c:strRef>
          </c:cat>
          <c:val>
            <c:numRef>
              <c:f>NTCM_autorisées!$L$109:$L$112</c:f>
              <c:numCache>
                <c:formatCode>0%</c:formatCode>
                <c:ptCount val="4"/>
                <c:pt idx="0">
                  <c:v>0.71</c:v>
                </c:pt>
                <c:pt idx="1">
                  <c:v>0.08</c:v>
                </c:pt>
                <c:pt idx="2">
                  <c:v>0.2</c:v>
                </c:pt>
                <c:pt idx="3">
                  <c:v>0.01</c:v>
                </c:pt>
              </c:numCache>
            </c:numRef>
          </c:val>
          <c:extLst>
            <c:ext xmlns:c16="http://schemas.microsoft.com/office/drawing/2014/chart" uri="{C3380CC4-5D6E-409C-BE32-E72D297353CC}">
              <c16:uniqueId val="{00000004-3917-43AD-8652-3550789D6729}"/>
            </c:ext>
          </c:extLst>
        </c:ser>
        <c:dLbls>
          <c:showLegendKey val="0"/>
          <c:showVal val="0"/>
          <c:showCatName val="0"/>
          <c:showSerName val="0"/>
          <c:showPercent val="0"/>
          <c:showBubbleSize val="0"/>
        </c:dLbls>
        <c:gapWidth val="219"/>
        <c:overlap val="-27"/>
        <c:axId val="453942656"/>
        <c:axId val="453948544"/>
      </c:barChart>
      <c:catAx>
        <c:axId val="453942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948544"/>
        <c:crosses val="autoZero"/>
        <c:auto val="1"/>
        <c:lblAlgn val="ctr"/>
        <c:lblOffset val="100"/>
        <c:noMultiLvlLbl val="0"/>
      </c:catAx>
      <c:valAx>
        <c:axId val="453948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394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fr-FR" sz="1100" b="1"/>
              <a:t>Paiements par payeur </a:t>
            </a:r>
          </a:p>
        </c:rich>
      </c:tx>
      <c:overlay val="0"/>
      <c:spPr>
        <a:noFill/>
        <a:ln>
          <a:noFill/>
        </a:ln>
        <a:effectLst/>
      </c:spPr>
    </c:title>
    <c:autoTitleDeleted val="0"/>
    <c:plotArea>
      <c:layout>
        <c:manualLayout>
          <c:layoutTarget val="inner"/>
          <c:xMode val="edge"/>
          <c:yMode val="edge"/>
          <c:x val="0.22271723431020901"/>
          <c:y val="0.116157355782877"/>
          <c:w val="0.76484430570439099"/>
          <c:h val="0.68944043928251897"/>
        </c:manualLayout>
      </c:layout>
      <c:barChart>
        <c:barDir val="col"/>
        <c:grouping val="stacked"/>
        <c:varyColors val="0"/>
        <c:ser>
          <c:idx val="0"/>
          <c:order val="0"/>
          <c:tx>
            <c:strRef>
              <c:f>'Executive summary'!$A$8</c:f>
              <c:strCache>
                <c:ptCount val="1"/>
                <c:pt idx="0">
                  <c:v>Cash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'Executive summary'!$B$7:$C$7</c:f>
              <c:strCache>
                <c:ptCount val="2"/>
                <c:pt idx="0">
                  <c:v>Gouvernement</c:v>
                </c:pt>
                <c:pt idx="1">
                  <c:v>Personne</c:v>
                </c:pt>
              </c:strCache>
            </c:strRef>
          </c:cat>
          <c:val>
            <c:numRef>
              <c:f>'Executive summary'!$B$8:$C$8</c:f>
              <c:numCache>
                <c:formatCode>0.00</c:formatCode>
                <c:ptCount val="2"/>
                <c:pt idx="0">
                  <c:v>0</c:v>
                </c:pt>
                <c:pt idx="1">
                  <c:v>150.10482017499999</c:v>
                </c:pt>
              </c:numCache>
            </c:numRef>
          </c:val>
          <c:extLst>
            <c:ext xmlns:c16="http://schemas.microsoft.com/office/drawing/2014/chart" uri="{C3380CC4-5D6E-409C-BE32-E72D297353CC}">
              <c16:uniqueId val="{00000000-3939-474C-8F42-BE0D15B7CC34}"/>
            </c:ext>
          </c:extLst>
        </c:ser>
        <c:ser>
          <c:idx val="2"/>
          <c:order val="1"/>
          <c:tx>
            <c:strRef>
              <c:f>'Executive summary'!$A$9</c:f>
              <c:strCache>
                <c:ptCount val="1"/>
                <c:pt idx="0">
                  <c:v>Digital</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'Executive summary'!$B$7:$C$7</c:f>
              <c:strCache>
                <c:ptCount val="2"/>
                <c:pt idx="0">
                  <c:v>Gouvernement</c:v>
                </c:pt>
                <c:pt idx="1">
                  <c:v>Personne</c:v>
                </c:pt>
              </c:strCache>
            </c:strRef>
          </c:cat>
          <c:val>
            <c:numRef>
              <c:f>'Executive summary'!$B$9:$C$9</c:f>
              <c:numCache>
                <c:formatCode>0.00</c:formatCode>
                <c:ptCount val="2"/>
                <c:pt idx="0">
                  <c:v>309.5</c:v>
                </c:pt>
                <c:pt idx="1">
                  <c:v>231.8210762730001</c:v>
                </c:pt>
              </c:numCache>
            </c:numRef>
          </c:val>
          <c:extLst>
            <c:ext xmlns:c16="http://schemas.microsoft.com/office/drawing/2014/chart" uri="{C3380CC4-5D6E-409C-BE32-E72D297353CC}">
              <c16:uniqueId val="{00000001-3939-474C-8F42-BE0D15B7CC34}"/>
            </c:ext>
          </c:extLst>
        </c:ser>
        <c:dLbls>
          <c:showLegendKey val="0"/>
          <c:showVal val="0"/>
          <c:showCatName val="0"/>
          <c:showSerName val="0"/>
          <c:showPercent val="0"/>
          <c:showBubbleSize val="0"/>
        </c:dLbls>
        <c:gapWidth val="150"/>
        <c:overlap val="100"/>
        <c:axId val="456413184"/>
        <c:axId val="456414720"/>
      </c:barChart>
      <c:catAx>
        <c:axId val="45641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6414720"/>
        <c:crosses val="autoZero"/>
        <c:auto val="1"/>
        <c:lblAlgn val="ctr"/>
        <c:lblOffset val="100"/>
        <c:noMultiLvlLbl val="0"/>
      </c:catAx>
      <c:valAx>
        <c:axId val="45641472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641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sz="1100" b="1"/>
              <a:t>Paiements G2P</a:t>
            </a:r>
          </a:p>
        </c:rich>
      </c:tx>
      <c:layout>
        <c:manualLayout>
          <c:xMode val="edge"/>
          <c:yMode val="edge"/>
          <c:x val="0.34723600174978098"/>
          <c:y val="2.7777777777777801E-2"/>
        </c:manualLayout>
      </c:layout>
      <c:overlay val="0"/>
      <c:spPr>
        <a:noFill/>
        <a:ln>
          <a:noFill/>
        </a:ln>
        <a:effectLst/>
      </c:spPr>
    </c:title>
    <c:autoTitleDeleted val="0"/>
    <c:plotArea>
      <c:layout>
        <c:manualLayout>
          <c:layoutTarget val="inner"/>
          <c:xMode val="edge"/>
          <c:yMode val="edge"/>
          <c:x val="0.19168291463567"/>
          <c:y val="0.26482156397117101"/>
          <c:w val="0.777761529808774"/>
          <c:h val="0.53889030537849503"/>
        </c:manualLayout>
      </c:layout>
      <c:barChart>
        <c:barDir val="col"/>
        <c:grouping val="clustered"/>
        <c:varyColors val="0"/>
        <c:ser>
          <c:idx val="0"/>
          <c:order val="0"/>
          <c:tx>
            <c:strRef>
              <c:f>'Executive summary'!$A$2</c:f>
              <c:strCache>
                <c:ptCount val="1"/>
                <c:pt idx="0">
                  <c:v>Gouvernement</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BF-454B-8BF4-A4861A2F94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'Executive summary'!$B$1:$F$1</c:f>
              <c:strCache>
                <c:ptCount val="5"/>
                <c:pt idx="0">
                  <c:v>Cash</c:v>
                </c:pt>
                <c:pt idx="1">
                  <c:v>Chèques</c:v>
                </c:pt>
                <c:pt idx="2">
                  <c:v>Cartes</c:v>
                </c:pt>
                <c:pt idx="3">
                  <c:v>Virements</c:v>
                </c:pt>
                <c:pt idx="4">
                  <c:v>PFE</c:v>
                </c:pt>
              </c:strCache>
            </c:strRef>
          </c:cat>
          <c:val>
            <c:numRef>
              <c:f>'Executive summary'!$B$2:$F$2</c:f>
              <c:numCache>
                <c:formatCode>0.0</c:formatCode>
                <c:ptCount val="5"/>
                <c:pt idx="0">
                  <c:v>0</c:v>
                </c:pt>
                <c:pt idx="1">
                  <c:v>0</c:v>
                </c:pt>
                <c:pt idx="2">
                  <c:v>0</c:v>
                </c:pt>
                <c:pt idx="3">
                  <c:v>309.5</c:v>
                </c:pt>
                <c:pt idx="4">
                  <c:v>0</c:v>
                </c:pt>
              </c:numCache>
            </c:numRef>
          </c:val>
          <c:extLst>
            <c:ext xmlns:c16="http://schemas.microsoft.com/office/drawing/2014/chart" uri="{C3380CC4-5D6E-409C-BE32-E72D297353CC}">
              <c16:uniqueId val="{00000001-B9BF-454B-8BF4-A4861A2F94E2}"/>
            </c:ext>
          </c:extLst>
        </c:ser>
        <c:dLbls>
          <c:showLegendKey val="0"/>
          <c:showVal val="0"/>
          <c:showCatName val="0"/>
          <c:showSerName val="0"/>
          <c:showPercent val="0"/>
          <c:showBubbleSize val="0"/>
        </c:dLbls>
        <c:gapWidth val="100"/>
        <c:overlap val="-24"/>
        <c:axId val="456454144"/>
        <c:axId val="456455680"/>
      </c:barChart>
      <c:catAx>
        <c:axId val="456454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6455680"/>
        <c:crosses val="autoZero"/>
        <c:auto val="1"/>
        <c:lblAlgn val="ctr"/>
        <c:lblOffset val="100"/>
        <c:noMultiLvlLbl val="0"/>
      </c:catAx>
      <c:valAx>
        <c:axId val="456455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456454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0.16774</cdr:x>
      <cdr:y>0.432</cdr:y>
    </cdr:from>
    <cdr:to>
      <cdr:x>0.96516</cdr:x>
      <cdr:y>0.4352</cdr:y>
    </cdr:to>
    <cdr:cxnSp macro="">
      <cdr:nvCxnSpPr>
        <cdr:cNvPr id="3" name="Straight Connector 2"/>
        <cdr:cNvCxnSpPr/>
      </cdr:nvCxnSpPr>
      <cdr:spPr>
        <a:xfrm xmlns:a="http://schemas.openxmlformats.org/drawingml/2006/main" flipV="1">
          <a:off x="475488" y="987552"/>
          <a:ext cx="2260397" cy="7315"/>
        </a:xfrm>
        <a:prstGeom xmlns:a="http://schemas.openxmlformats.org/drawingml/2006/main" prst="line">
          <a:avLst/>
        </a:prstGeom>
        <a:ln xmlns:a="http://schemas.openxmlformats.org/drawingml/2006/main" w="1270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0.12952</cdr:x>
      <cdr:y>0.25448</cdr:y>
    </cdr:from>
    <cdr:to>
      <cdr:x>0.98368</cdr:x>
      <cdr:y>0.25795</cdr:y>
    </cdr:to>
    <cdr:cxnSp macro="">
      <cdr:nvCxnSpPr>
        <cdr:cNvPr id="2" name="Straight Connector 1">
          <a:extLst xmlns:a="http://schemas.openxmlformats.org/drawingml/2006/main">
            <a:ext uri="{FF2B5EF4-FFF2-40B4-BE49-F238E27FC236}">
              <a16:creationId xmlns:a16="http://schemas.microsoft.com/office/drawing/2014/main" id="{F78A901D-18AE-4735-B6B4-92D8BAA33D5F}"/>
            </a:ext>
          </a:extLst>
        </cdr:cNvPr>
        <cdr:cNvCxnSpPr/>
      </cdr:nvCxnSpPr>
      <cdr:spPr>
        <a:xfrm xmlns:a="http://schemas.openxmlformats.org/drawingml/2006/main" flipV="1">
          <a:off x="540923" y="619866"/>
          <a:ext cx="3567309" cy="8452"/>
        </a:xfrm>
        <a:prstGeom xmlns:a="http://schemas.openxmlformats.org/drawingml/2006/main" prst="line">
          <a:avLst/>
        </a:prstGeom>
        <a:ln xmlns:a="http://schemas.openxmlformats.org/drawingml/2006/main" w="12700">
          <a:solidFill>
            <a:srgbClr val="FF0000"/>
          </a:solidFill>
          <a:prstDash val="sysDash"/>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0.0117</cdr:x>
      <cdr:y>0.00868</cdr:y>
    </cdr:from>
    <cdr:to>
      <cdr:x>0.08577</cdr:x>
      <cdr:y>0.84865</cdr:y>
    </cdr:to>
    <cdr:sp macro="" textlink="">
      <cdr:nvSpPr>
        <cdr:cNvPr id="2" name="ZoneTexte 1"/>
        <cdr:cNvSpPr txBox="1"/>
      </cdr:nvSpPr>
      <cdr:spPr>
        <a:xfrm xmlns:a="http://schemas.openxmlformats.org/drawingml/2006/main" rot="-5400000">
          <a:off x="-871963" y="952076"/>
          <a:ext cx="2220196" cy="361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r-FR" sz="900"/>
            <a:t>Valeur</a:t>
          </a:r>
          <a:r>
            <a:rPr lang="fr-FR" sz="900" baseline="0"/>
            <a:t> des paiements 2016 (Milliards F CFA)</a:t>
          </a:r>
          <a:endParaRPr lang="fr-FR" sz="900"/>
        </a:p>
      </cdr:txBody>
    </cdr:sp>
  </cdr:relSizeAnchor>
</c:userShapes>
</file>

<file path=word/drawings/drawing4.xml><?xml version="1.0" encoding="utf-8"?>
<c:userShapes xmlns:c="http://schemas.openxmlformats.org/drawingml/2006/chart">
  <cdr:relSizeAnchor xmlns:cdr="http://schemas.openxmlformats.org/drawingml/2006/chartDrawing">
    <cdr:from>
      <cdr:x>0.00813</cdr:x>
      <cdr:y>0.06667</cdr:y>
    </cdr:from>
    <cdr:to>
      <cdr:x>0.05952</cdr:x>
      <cdr:y>0.84345</cdr:y>
    </cdr:to>
    <cdr:sp macro="" textlink="">
      <cdr:nvSpPr>
        <cdr:cNvPr id="3" name="ZoneTexte 1"/>
        <cdr:cNvSpPr txBox="1"/>
      </cdr:nvSpPr>
      <cdr:spPr>
        <a:xfrm xmlns:a="http://schemas.openxmlformats.org/drawingml/2006/main" rot="-5400000">
          <a:off x="-1057057" y="1283112"/>
          <a:ext cx="2330648" cy="16447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a:t>Valeur</a:t>
          </a:r>
          <a:r>
            <a:rPr lang="fr-FR" sz="900" baseline="0"/>
            <a:t> des paiements 2016 (Milliards F CFA)</a:t>
          </a:r>
          <a:endParaRPr lang="fr-FR" sz="900"/>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78CC12881F3D4FB16C7014AA843BF9" ma:contentTypeVersion="2" ma:contentTypeDescription="Create a new document." ma:contentTypeScope="" ma:versionID="d2fbdc9779ab3d94639e45bc765f0937">
  <xsd:schema xmlns:xsd="http://www.w3.org/2001/XMLSchema" xmlns:xs="http://www.w3.org/2001/XMLSchema" xmlns:p="http://schemas.microsoft.com/office/2006/metadata/properties" xmlns:ns2="bf45fa88-98c7-47bb-888f-84717ead0ae6" targetNamespace="http://schemas.microsoft.com/office/2006/metadata/properties" ma:root="true" ma:fieldsID="2e0ca4e7f36a92509c00cdfd76d58cbe" ns2:_="">
    <xsd:import namespace="bf45fa88-98c7-47bb-888f-84717ead0ae6"/>
    <xsd:element name="properties">
      <xsd:complexType>
        <xsd:sequence>
          <xsd:element name="documentManagement">
            <xsd:complexType>
              <xsd:all>
                <xsd:element ref="ns2:DSRServiceReque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5fa88-98c7-47bb-888f-84717ead0ae6" elementFormDefault="qualified">
    <xsd:import namespace="http://schemas.microsoft.com/office/2006/documentManagement/types"/>
    <xsd:import namespace="http://schemas.microsoft.com/office/infopath/2007/PartnerControls"/>
    <xsd:element name="DSRServiceRequestID" ma:index="8" nillable="true" ma:displayName="DSRServiceRequestID" ma:list="{f3ae5b33-8917-4057-9a6c-4074f6c415ad}" ma:internalName="DSRServiceRequestID" ma:showField="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SRServiceRequestID xmlns="bf45fa88-98c7-47bb-888f-84717ead0ae6">1817</DSRServiceReques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5B71BB-4E31-4BAA-91A5-C32656ABD4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5fa88-98c7-47bb-888f-84717ead0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F41082-73C3-4FF1-9009-10384248D980}">
  <ds:schemaRefs>
    <ds:schemaRef ds:uri="http://purl.org/dc/terms/"/>
    <ds:schemaRef ds:uri="http://purl.org/dc/elements/1.1/"/>
    <ds:schemaRef ds:uri="bf45fa88-98c7-47bb-888f-84717ead0ae6"/>
    <ds:schemaRef ds:uri="http://purl.org/dc/dcmitype/"/>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C282018-F213-456B-AAE3-26E5FF0215D9}">
  <ds:schemaRefs>
    <ds:schemaRef ds:uri="http://schemas.microsoft.com/sharepoint/v3/contenttype/forms"/>
  </ds:schemaRefs>
</ds:datastoreItem>
</file>

<file path=customXml/itemProps4.xml><?xml version="1.0" encoding="utf-8"?>
<ds:datastoreItem xmlns:ds="http://schemas.openxmlformats.org/officeDocument/2006/customXml" ds:itemID="{BCB43239-9575-4F17-967C-609B217AD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362</TotalTime>
  <Pages>84</Pages>
  <Words>28356</Words>
  <Characters>161632</Characters>
  <Application>Microsoft Office Word</Application>
  <DocSecurity>0</DocSecurity>
  <Lines>1346</Lines>
  <Paragraphs>379</Paragraphs>
  <ScaleCrop>false</ScaleCrop>
  <HeadingPairs>
    <vt:vector size="6" baseType="variant">
      <vt:variant>
        <vt:lpstr>Title</vt:lpstr>
      </vt:variant>
      <vt:variant>
        <vt:i4>1</vt:i4>
      </vt:variant>
      <vt:variant>
        <vt:lpstr>Headings</vt:lpstr>
      </vt:variant>
      <vt:variant>
        <vt:i4>21</vt:i4>
      </vt:variant>
      <vt:variant>
        <vt:lpstr>Titre</vt:lpstr>
      </vt:variant>
      <vt:variant>
        <vt:i4>1</vt:i4>
      </vt:variant>
    </vt:vector>
  </HeadingPairs>
  <TitlesOfParts>
    <vt:vector size="23" baseType="lpstr">
      <vt:lpstr/>
      <vt:lpstr>    </vt:lpstr>
      <vt:lpstr>Abbreviations and Acronyms</vt:lpstr>
      <vt:lpstr>Acknowledgments</vt:lpstr>
      <vt:lpstr>Executive Summary</vt:lpstr>
      <vt:lpstr>Introduction</vt:lpstr>
      <vt:lpstr>/ CHAPTER 1: Overview of the Banking sector in Benin </vt:lpstr>
      <vt:lpstr>    1.2 Main features of the banking sector</vt:lpstr>
      <vt:lpstr/>
      <vt:lpstr>CHAPTER 2: State of the Microfinance Sector — Threats and Recommendations</vt:lpstr>
      <vt:lpstr>    2.1 State of the Microfinance Sector in Benin</vt:lpstr>
      <vt:lpstr>        2.1.1 Microfinance is a key sector for financial inclusion...</vt:lpstr>
      <vt:lpstr>        … Offering a diverse range of financial services and products to individuals and</vt:lpstr>
      <vt:lpstr>        In spite of promotion efforts and the enhance regulatory and supervisory framewo</vt:lpstr>
      <vt:lpstr>        …The sector remains relatively small and fragile.</vt:lpstr>
      <vt:lpstr>    Threats to the Beninese microfinance sector</vt:lpstr>
      <vt:lpstr>        Enduring challenges…</vt:lpstr>
      <vt:lpstr>        Exposing the sector to risks that threaten its stability and could compromise it</vt:lpstr>
      <vt:lpstr>    2.3 The Beninese microfinance, a strong asset in bringing financial services to </vt:lpstr>
      <vt:lpstr>    2.8 Annex</vt:lpstr>
      <vt:lpstr>CHAPTER 3: Payment System Diagnostic Key Findings</vt:lpstr>
      <vt:lpstr>    3.1 Context of the Study</vt:lpstr>
      <vt:lpstr/>
    </vt:vector>
  </TitlesOfParts>
  <Company>Hewlett-Packard Company</Company>
  <LinksUpToDate>false</LinksUpToDate>
  <CharactersWithSpaces>189609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Philippe Marie Aguera</cp:lastModifiedBy>
  <cp:revision>92</cp:revision>
  <cp:lastPrinted>2019-01-15T21:06:00Z</cp:lastPrinted>
  <dcterms:created xsi:type="dcterms:W3CDTF">2019-03-18T16:03:00Z</dcterms:created>
  <dcterms:modified xsi:type="dcterms:W3CDTF">2019-04-15T16:23:00Z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0x0101001478CC12881F3D4FB16C7014AA843BF9</vt:lpwstr>
  </property>
</Properties>
</file>